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10183244"/>
        <w:docPartObj>
          <w:docPartGallery w:val="Cover Pages"/>
          <w:docPartUnique/>
        </w:docPartObj>
      </w:sdtPr>
      <w:sdtEndPr>
        <w:rPr>
          <w:sz w:val="32"/>
          <w:szCs w:val="32"/>
        </w:rPr>
      </w:sdtEndPr>
      <w:sdtContent>
        <w:p w14:paraId="4EBEA440" w14:textId="3676080C" w:rsidR="00C125BB" w:rsidRDefault="00C125BB" w:rsidP="006E55FE">
          <w:pPr>
            <w:spacing w:before="240"/>
          </w:pPr>
          <w:r>
            <w:rPr>
              <w:noProof/>
              <w:sz w:val="32"/>
              <w:szCs w:val="32"/>
              <w:lang w:eastAsia="en-AU"/>
            </w:rPr>
            <w:drawing>
              <wp:anchor distT="0" distB="0" distL="114300" distR="114300" simplePos="0" relativeHeight="251711488" behindDoc="1" locked="0" layoutInCell="1" allowOverlap="1" wp14:anchorId="1ED9071A" wp14:editId="3766F2CD">
                <wp:simplePos x="0" y="0"/>
                <wp:positionH relativeFrom="column">
                  <wp:posOffset>-612141</wp:posOffset>
                </wp:positionH>
                <wp:positionV relativeFrom="paragraph">
                  <wp:posOffset>-354965</wp:posOffset>
                </wp:positionV>
                <wp:extent cx="7575239" cy="10713720"/>
                <wp:effectExtent l="0" t="0" r="698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0865" cy="10707534"/>
                        </a:xfrm>
                        <a:prstGeom prst="rect">
                          <a:avLst/>
                        </a:prstGeom>
                      </pic:spPr>
                    </pic:pic>
                  </a:graphicData>
                </a:graphic>
                <wp14:sizeRelH relativeFrom="page">
                  <wp14:pctWidth>0</wp14:pctWidth>
                </wp14:sizeRelH>
                <wp14:sizeRelV relativeFrom="page">
                  <wp14:pctHeight>0</wp14:pctHeight>
                </wp14:sizeRelV>
              </wp:anchor>
            </w:drawing>
          </w:r>
        </w:p>
        <w:p w14:paraId="02B00FBC" w14:textId="77777777" w:rsidR="00C125BB" w:rsidRDefault="00C125BB"/>
        <w:tbl>
          <w:tblPr>
            <w:tblpPr w:leftFromText="187" w:rightFromText="187" w:horzAnchor="margin" w:tblpXSpec="center" w:tblpYSpec="bottom"/>
            <w:tblW w:w="5000" w:type="pct"/>
            <w:tblLook w:val="04A0" w:firstRow="1" w:lastRow="0" w:firstColumn="1" w:lastColumn="0" w:noHBand="0" w:noVBand="1"/>
          </w:tblPr>
          <w:tblGrid>
            <w:gridCol w:w="9979"/>
          </w:tblGrid>
          <w:tr w:rsidR="00C125BB" w14:paraId="50024369" w14:textId="77777777">
            <w:tc>
              <w:tcPr>
                <w:tcW w:w="5000" w:type="pct"/>
              </w:tcPr>
              <w:p w14:paraId="375842AA" w14:textId="4D882C27" w:rsidR="00C125BB" w:rsidRDefault="00C125BB" w:rsidP="00C125BB">
                <w:pPr>
                  <w:pStyle w:val="NoSpacing"/>
                </w:pPr>
              </w:p>
            </w:tc>
          </w:tr>
        </w:tbl>
        <w:p w14:paraId="01E0E0D9" w14:textId="21A3CC7E" w:rsidR="00C125BB" w:rsidRDefault="00C125BB"/>
        <w:p w14:paraId="53DB502C" w14:textId="2E00AD5A" w:rsidR="00F72C44" w:rsidRPr="0018517A" w:rsidRDefault="00104FB4" w:rsidP="0018517A">
          <w:pPr>
            <w:spacing w:after="0" w:line="240" w:lineRule="auto"/>
            <w:rPr>
              <w:sz w:val="32"/>
              <w:szCs w:val="32"/>
            </w:rPr>
          </w:pPr>
          <w:r>
            <w:rPr>
              <w:noProof/>
              <w:w w:val="100"/>
              <w:sz w:val="32"/>
              <w:szCs w:val="32"/>
              <w:lang w:eastAsia="en-AU"/>
            </w:rPr>
            <mc:AlternateContent>
              <mc:Choice Requires="wps">
                <w:drawing>
                  <wp:anchor distT="0" distB="0" distL="114300" distR="114300" simplePos="0" relativeHeight="251745280" behindDoc="0" locked="0" layoutInCell="1" allowOverlap="1" wp14:anchorId="0982D7C4" wp14:editId="366E8D39">
                    <wp:simplePos x="0" y="0"/>
                    <wp:positionH relativeFrom="column">
                      <wp:posOffset>3588385</wp:posOffset>
                    </wp:positionH>
                    <wp:positionV relativeFrom="paragraph">
                      <wp:posOffset>3462655</wp:posOffset>
                    </wp:positionV>
                    <wp:extent cx="3238500" cy="809625"/>
                    <wp:effectExtent l="0" t="0" r="0" b="0"/>
                    <wp:wrapNone/>
                    <wp:docPr id="82" name="Text Box 82"/>
                    <wp:cNvGraphicFramePr/>
                    <a:graphic xmlns:a="http://schemas.openxmlformats.org/drawingml/2006/main">
                      <a:graphicData uri="http://schemas.microsoft.com/office/word/2010/wordprocessingShape">
                        <wps:wsp>
                          <wps:cNvSpPr txBox="1"/>
                          <wps:spPr>
                            <a:xfrm>
                              <a:off x="0" y="0"/>
                              <a:ext cx="32385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AC7FF" w14:textId="23E3C87B" w:rsidR="00E75C3B" w:rsidRPr="005D2D17" w:rsidRDefault="00E75C3B" w:rsidP="00104FB4">
                                <w:pPr>
                                  <w:spacing w:after="800" w:line="240" w:lineRule="auto"/>
                                  <w:rPr>
                                    <w:b/>
                                    <w:sz w:val="30"/>
                                    <w:szCs w:val="30"/>
                                  </w:rPr>
                                </w:pPr>
                                <w:r w:rsidRPr="005D2D17">
                                  <w:rPr>
                                    <w:b/>
                                    <w:sz w:val="30"/>
                                    <w:szCs w:val="30"/>
                                  </w:rPr>
                                  <w:t>Guidance on adequate procedures to prevent the commission of foreign bribery</w:t>
                                </w:r>
                              </w:p>
                              <w:p w14:paraId="2464503D" w14:textId="77777777" w:rsidR="00E75C3B" w:rsidRPr="00104FB4" w:rsidRDefault="00E75C3B">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2D7C4" id="_x0000_t202" coordsize="21600,21600" o:spt="202" path="m,l,21600r21600,l21600,xe">
                    <v:stroke joinstyle="miter"/>
                    <v:path gradientshapeok="t" o:connecttype="rect"/>
                  </v:shapetype>
                  <v:shape id="Text Box 82" o:spid="_x0000_s1026" type="#_x0000_t202" style="position:absolute;margin-left:282.55pt;margin-top:272.65pt;width:255pt;height:6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" filled="f" stroked="f" strokeweight=".5pt">
                    <v:textbox>
                      <w:txbxContent>
                        <w:p w14:paraId="4AEAC7FF" w14:textId="23E3C87B" w:rsidR="00E75C3B" w:rsidRPr="005D2D17" w:rsidRDefault="00E75C3B" w:rsidP="00104FB4">
                          <w:pPr>
                            <w:spacing w:after="800" w:line="240" w:lineRule="auto"/>
                            <w:rPr>
                              <w:b/>
                              <w:sz w:val="30"/>
                              <w:szCs w:val="30"/>
                            </w:rPr>
                          </w:pPr>
                          <w:r w:rsidRPr="005D2D17">
                            <w:rPr>
                              <w:b/>
                              <w:sz w:val="30"/>
                              <w:szCs w:val="30"/>
                            </w:rPr>
                            <w:t>Guidance on adequate procedures to prevent the commission of foreign bribery</w:t>
                          </w:r>
                        </w:p>
                        <w:p w14:paraId="2464503D" w14:textId="77777777" w:rsidR="00E75C3B" w:rsidRPr="00104FB4" w:rsidRDefault="00E75C3B">
                          <w:pPr>
                            <w:rPr>
                              <w:sz w:val="44"/>
                              <w:szCs w:val="44"/>
                            </w:rPr>
                          </w:pPr>
                        </w:p>
                      </w:txbxContent>
                    </v:textbox>
                  </v:shape>
                </w:pict>
              </mc:Fallback>
            </mc:AlternateContent>
          </w:r>
          <w:r w:rsidR="00C125BB">
            <w:rPr>
              <w:sz w:val="32"/>
              <w:szCs w:val="32"/>
            </w:rPr>
            <w:br w:type="page"/>
          </w:r>
        </w:p>
      </w:sdtContent>
    </w:sdt>
    <w:sdt>
      <w:sdtPr>
        <w:rPr>
          <w:rFonts w:ascii="Calibri" w:eastAsia="Calibri" w:hAnsi="Calibri" w:cs="Calibri"/>
          <w:color w:val="auto"/>
          <w:w w:val="105"/>
          <w:kern w:val="40"/>
          <w:sz w:val="22"/>
          <w:szCs w:val="22"/>
          <w:lang w:val="en-AU"/>
        </w:rPr>
        <w:id w:val="2054192695"/>
        <w:docPartObj>
          <w:docPartGallery w:val="Table of Contents"/>
          <w:docPartUnique/>
        </w:docPartObj>
      </w:sdtPr>
      <w:sdtEndPr>
        <w:rPr>
          <w:b/>
          <w:bCs/>
          <w:noProof/>
        </w:rPr>
      </w:sdtEndPr>
      <w:sdtContent>
        <w:p w14:paraId="0A8D385B" w14:textId="66B7B101" w:rsidR="000A75C3" w:rsidRPr="000A75C3" w:rsidRDefault="000A75C3">
          <w:pPr>
            <w:pStyle w:val="TOCHeading"/>
            <w:rPr>
              <w:rFonts w:ascii="Calibri" w:eastAsia="Calibri" w:hAnsi="Calibri" w:cs="Calibri"/>
              <w:color w:val="auto"/>
              <w:w w:val="105"/>
              <w:kern w:val="40"/>
              <w:sz w:val="22"/>
              <w:szCs w:val="22"/>
              <w:lang w:val="en-AU"/>
            </w:rPr>
          </w:pPr>
        </w:p>
        <w:p w14:paraId="6D262076" w14:textId="12D82EEF" w:rsidR="00F72C44" w:rsidRPr="000A75C3" w:rsidRDefault="00F72C44">
          <w:pPr>
            <w:pStyle w:val="TOCHeading"/>
            <w:rPr>
              <w:rFonts w:ascii="Calibri" w:eastAsia="Calibri" w:hAnsi="Calibri" w:cs="Calibri"/>
              <w:color w:val="auto"/>
              <w:w w:val="105"/>
              <w:kern w:val="40"/>
              <w:sz w:val="22"/>
              <w:szCs w:val="22"/>
              <w:lang w:val="en-AU"/>
            </w:rPr>
          </w:pPr>
          <w:r>
            <w:t>Contents</w:t>
          </w:r>
        </w:p>
        <w:p w14:paraId="187939A3" w14:textId="64FF66A8" w:rsidR="00A2735C" w:rsidRDefault="00A2735C">
          <w:pPr>
            <w:pStyle w:val="TOC1"/>
            <w:rPr>
              <w:rFonts w:asciiTheme="minorHAnsi" w:eastAsiaTheme="minorEastAsia" w:hAnsiTheme="minorHAnsi" w:cstheme="minorBidi"/>
              <w:noProof/>
              <w:w w:val="100"/>
              <w:kern w:val="0"/>
              <w:lang w:eastAsia="en-AU"/>
            </w:rPr>
          </w:pPr>
          <w:r>
            <w:fldChar w:fldCharType="begin"/>
          </w:r>
          <w:r>
            <w:instrText xml:space="preserve"> TOC \o "1-2" \h \z \u </w:instrText>
          </w:r>
          <w:r>
            <w:fldChar w:fldCharType="separate"/>
          </w:r>
          <w:hyperlink w:anchor="_Toc163563340" w:history="1">
            <w:r w:rsidRPr="002C34CD">
              <w:rPr>
                <w:rStyle w:val="Hyperlink"/>
                <w:noProof/>
              </w:rPr>
              <w:t>1.Introduction</w:t>
            </w:r>
            <w:r>
              <w:rPr>
                <w:noProof/>
                <w:webHidden/>
              </w:rPr>
              <w:tab/>
            </w:r>
            <w:r>
              <w:rPr>
                <w:noProof/>
                <w:webHidden/>
              </w:rPr>
              <w:fldChar w:fldCharType="begin"/>
            </w:r>
            <w:r>
              <w:rPr>
                <w:noProof/>
                <w:webHidden/>
              </w:rPr>
              <w:instrText xml:space="preserve"> PAGEREF _Toc163563340 \h </w:instrText>
            </w:r>
            <w:r>
              <w:rPr>
                <w:noProof/>
                <w:webHidden/>
              </w:rPr>
            </w:r>
            <w:r>
              <w:rPr>
                <w:noProof/>
                <w:webHidden/>
              </w:rPr>
              <w:fldChar w:fldCharType="separate"/>
            </w:r>
            <w:r>
              <w:rPr>
                <w:noProof/>
                <w:webHidden/>
              </w:rPr>
              <w:t>2</w:t>
            </w:r>
            <w:r>
              <w:rPr>
                <w:noProof/>
                <w:webHidden/>
              </w:rPr>
              <w:fldChar w:fldCharType="end"/>
            </w:r>
          </w:hyperlink>
        </w:p>
        <w:p w14:paraId="7DA4E858" w14:textId="217CF9D3" w:rsidR="00A2735C" w:rsidRDefault="00CF15C1">
          <w:pPr>
            <w:pStyle w:val="TOC1"/>
            <w:rPr>
              <w:rFonts w:asciiTheme="minorHAnsi" w:eastAsiaTheme="minorEastAsia" w:hAnsiTheme="minorHAnsi" w:cstheme="minorBidi"/>
              <w:noProof/>
              <w:w w:val="100"/>
              <w:kern w:val="0"/>
              <w:lang w:eastAsia="en-AU"/>
            </w:rPr>
          </w:pPr>
          <w:hyperlink w:anchor="_Toc163563341" w:history="1">
            <w:r w:rsidR="00A2735C" w:rsidRPr="002C34CD">
              <w:rPr>
                <w:rStyle w:val="Hyperlink"/>
                <w:noProof/>
              </w:rPr>
              <w:t>2. Fostering a control environment to prevent foreign bribery</w:t>
            </w:r>
            <w:r w:rsidR="00A2735C">
              <w:rPr>
                <w:noProof/>
                <w:webHidden/>
              </w:rPr>
              <w:tab/>
            </w:r>
            <w:r w:rsidR="00A2735C">
              <w:rPr>
                <w:noProof/>
                <w:webHidden/>
              </w:rPr>
              <w:fldChar w:fldCharType="begin"/>
            </w:r>
            <w:r w:rsidR="00A2735C">
              <w:rPr>
                <w:noProof/>
                <w:webHidden/>
              </w:rPr>
              <w:instrText xml:space="preserve"> PAGEREF _Toc163563341 \h </w:instrText>
            </w:r>
            <w:r w:rsidR="00A2735C">
              <w:rPr>
                <w:noProof/>
                <w:webHidden/>
              </w:rPr>
            </w:r>
            <w:r w:rsidR="00A2735C">
              <w:rPr>
                <w:noProof/>
                <w:webHidden/>
              </w:rPr>
              <w:fldChar w:fldCharType="separate"/>
            </w:r>
            <w:r w:rsidR="00A2735C">
              <w:rPr>
                <w:noProof/>
                <w:webHidden/>
              </w:rPr>
              <w:t>4</w:t>
            </w:r>
            <w:r w:rsidR="00A2735C">
              <w:rPr>
                <w:noProof/>
                <w:webHidden/>
              </w:rPr>
              <w:fldChar w:fldCharType="end"/>
            </w:r>
          </w:hyperlink>
        </w:p>
        <w:p w14:paraId="3A7278C5" w14:textId="000CFBC3"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42" w:history="1">
            <w:r w:rsidR="00A2735C" w:rsidRPr="002C34CD">
              <w:rPr>
                <w:rStyle w:val="Hyperlink"/>
                <w:noProof/>
              </w:rPr>
              <w:t>2.1 Proportionality and effectiveness</w:t>
            </w:r>
            <w:r w:rsidR="00A2735C">
              <w:rPr>
                <w:noProof/>
                <w:webHidden/>
              </w:rPr>
              <w:tab/>
            </w:r>
            <w:r w:rsidR="00A2735C">
              <w:rPr>
                <w:noProof/>
                <w:webHidden/>
              </w:rPr>
              <w:fldChar w:fldCharType="begin"/>
            </w:r>
            <w:r w:rsidR="00A2735C">
              <w:rPr>
                <w:noProof/>
                <w:webHidden/>
              </w:rPr>
              <w:instrText xml:space="preserve"> PAGEREF _Toc163563342 \h </w:instrText>
            </w:r>
            <w:r w:rsidR="00A2735C">
              <w:rPr>
                <w:noProof/>
                <w:webHidden/>
              </w:rPr>
            </w:r>
            <w:r w:rsidR="00A2735C">
              <w:rPr>
                <w:noProof/>
                <w:webHidden/>
              </w:rPr>
              <w:fldChar w:fldCharType="separate"/>
            </w:r>
            <w:r w:rsidR="00A2735C">
              <w:rPr>
                <w:noProof/>
                <w:webHidden/>
              </w:rPr>
              <w:t>4</w:t>
            </w:r>
            <w:r w:rsidR="00A2735C">
              <w:rPr>
                <w:noProof/>
                <w:webHidden/>
              </w:rPr>
              <w:fldChar w:fldCharType="end"/>
            </w:r>
          </w:hyperlink>
        </w:p>
        <w:p w14:paraId="549000B2" w14:textId="3960F9DB" w:rsidR="00A2735C" w:rsidRDefault="00CF15C1">
          <w:pPr>
            <w:pStyle w:val="TOC1"/>
            <w:rPr>
              <w:rFonts w:asciiTheme="minorHAnsi" w:eastAsiaTheme="minorEastAsia" w:hAnsiTheme="minorHAnsi" w:cstheme="minorBidi"/>
              <w:noProof/>
              <w:w w:val="100"/>
              <w:kern w:val="0"/>
              <w:lang w:eastAsia="en-AU"/>
            </w:rPr>
          </w:pPr>
          <w:hyperlink w:anchor="_Toc163563343" w:history="1">
            <w:r w:rsidR="00A2735C" w:rsidRPr="002C34CD">
              <w:rPr>
                <w:rStyle w:val="Hyperlink"/>
                <w:noProof/>
              </w:rPr>
              <w:t>3. Responsibilities of top-level management</w:t>
            </w:r>
            <w:r w:rsidR="00A2735C">
              <w:rPr>
                <w:noProof/>
                <w:webHidden/>
              </w:rPr>
              <w:tab/>
            </w:r>
            <w:r w:rsidR="00A2735C">
              <w:rPr>
                <w:noProof/>
                <w:webHidden/>
              </w:rPr>
              <w:fldChar w:fldCharType="begin"/>
            </w:r>
            <w:r w:rsidR="00A2735C">
              <w:rPr>
                <w:noProof/>
                <w:webHidden/>
              </w:rPr>
              <w:instrText xml:space="preserve"> PAGEREF _Toc163563343 \h </w:instrText>
            </w:r>
            <w:r w:rsidR="00A2735C">
              <w:rPr>
                <w:noProof/>
                <w:webHidden/>
              </w:rPr>
            </w:r>
            <w:r w:rsidR="00A2735C">
              <w:rPr>
                <w:noProof/>
                <w:webHidden/>
              </w:rPr>
              <w:fldChar w:fldCharType="separate"/>
            </w:r>
            <w:r w:rsidR="00A2735C">
              <w:rPr>
                <w:noProof/>
                <w:webHidden/>
              </w:rPr>
              <w:t>9</w:t>
            </w:r>
            <w:r w:rsidR="00A2735C">
              <w:rPr>
                <w:noProof/>
                <w:webHidden/>
              </w:rPr>
              <w:fldChar w:fldCharType="end"/>
            </w:r>
          </w:hyperlink>
        </w:p>
        <w:p w14:paraId="3377926B" w14:textId="259A20BB" w:rsidR="00A2735C" w:rsidRDefault="00CF15C1">
          <w:pPr>
            <w:pStyle w:val="TOC1"/>
            <w:rPr>
              <w:rFonts w:asciiTheme="minorHAnsi" w:eastAsiaTheme="minorEastAsia" w:hAnsiTheme="minorHAnsi" w:cstheme="minorBidi"/>
              <w:noProof/>
              <w:w w:val="100"/>
              <w:kern w:val="0"/>
              <w:lang w:eastAsia="en-AU"/>
            </w:rPr>
          </w:pPr>
          <w:hyperlink w:anchor="_Toc163563344" w:history="1">
            <w:r w:rsidR="00A2735C" w:rsidRPr="002C34CD">
              <w:rPr>
                <w:rStyle w:val="Hyperlink"/>
                <w:noProof/>
              </w:rPr>
              <w:t>4. Risk Assessment</w:t>
            </w:r>
            <w:r w:rsidR="00A2735C">
              <w:rPr>
                <w:noProof/>
                <w:webHidden/>
              </w:rPr>
              <w:tab/>
            </w:r>
            <w:r w:rsidR="00A2735C">
              <w:rPr>
                <w:noProof/>
                <w:webHidden/>
              </w:rPr>
              <w:fldChar w:fldCharType="begin"/>
            </w:r>
            <w:r w:rsidR="00A2735C">
              <w:rPr>
                <w:noProof/>
                <w:webHidden/>
              </w:rPr>
              <w:instrText xml:space="preserve"> PAGEREF _Toc163563344 \h </w:instrText>
            </w:r>
            <w:r w:rsidR="00A2735C">
              <w:rPr>
                <w:noProof/>
                <w:webHidden/>
              </w:rPr>
            </w:r>
            <w:r w:rsidR="00A2735C">
              <w:rPr>
                <w:noProof/>
                <w:webHidden/>
              </w:rPr>
              <w:fldChar w:fldCharType="separate"/>
            </w:r>
            <w:r w:rsidR="00A2735C">
              <w:rPr>
                <w:noProof/>
                <w:webHidden/>
              </w:rPr>
              <w:t>11</w:t>
            </w:r>
            <w:r w:rsidR="00A2735C">
              <w:rPr>
                <w:noProof/>
                <w:webHidden/>
              </w:rPr>
              <w:fldChar w:fldCharType="end"/>
            </w:r>
          </w:hyperlink>
        </w:p>
        <w:p w14:paraId="0D38DFFA" w14:textId="06FC4C99"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45" w:history="1">
            <w:r w:rsidR="00A2735C" w:rsidRPr="002C34CD">
              <w:rPr>
                <w:rStyle w:val="Hyperlink"/>
                <w:noProof/>
              </w:rPr>
              <w:t>4.1 Overview</w:t>
            </w:r>
            <w:r w:rsidR="00A2735C">
              <w:rPr>
                <w:noProof/>
                <w:webHidden/>
              </w:rPr>
              <w:tab/>
            </w:r>
            <w:r w:rsidR="00A2735C">
              <w:rPr>
                <w:noProof/>
                <w:webHidden/>
              </w:rPr>
              <w:fldChar w:fldCharType="begin"/>
            </w:r>
            <w:r w:rsidR="00A2735C">
              <w:rPr>
                <w:noProof/>
                <w:webHidden/>
              </w:rPr>
              <w:instrText xml:space="preserve"> PAGEREF _Toc163563345 \h </w:instrText>
            </w:r>
            <w:r w:rsidR="00A2735C">
              <w:rPr>
                <w:noProof/>
                <w:webHidden/>
              </w:rPr>
            </w:r>
            <w:r w:rsidR="00A2735C">
              <w:rPr>
                <w:noProof/>
                <w:webHidden/>
              </w:rPr>
              <w:fldChar w:fldCharType="separate"/>
            </w:r>
            <w:r w:rsidR="00A2735C">
              <w:rPr>
                <w:noProof/>
                <w:webHidden/>
              </w:rPr>
              <w:t>11</w:t>
            </w:r>
            <w:r w:rsidR="00A2735C">
              <w:rPr>
                <w:noProof/>
                <w:webHidden/>
              </w:rPr>
              <w:fldChar w:fldCharType="end"/>
            </w:r>
          </w:hyperlink>
        </w:p>
        <w:p w14:paraId="59F529C6" w14:textId="53F42578"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46" w:history="1">
            <w:r w:rsidR="00A2735C" w:rsidRPr="002C34CD">
              <w:rPr>
                <w:rStyle w:val="Hyperlink"/>
                <w:noProof/>
              </w:rPr>
              <w:t>4.2 The process</w:t>
            </w:r>
            <w:r w:rsidR="00A2735C">
              <w:rPr>
                <w:noProof/>
                <w:webHidden/>
              </w:rPr>
              <w:tab/>
            </w:r>
            <w:r w:rsidR="00A2735C">
              <w:rPr>
                <w:noProof/>
                <w:webHidden/>
              </w:rPr>
              <w:fldChar w:fldCharType="begin"/>
            </w:r>
            <w:r w:rsidR="00A2735C">
              <w:rPr>
                <w:noProof/>
                <w:webHidden/>
              </w:rPr>
              <w:instrText xml:space="preserve"> PAGEREF _Toc163563346 \h </w:instrText>
            </w:r>
            <w:r w:rsidR="00A2735C">
              <w:rPr>
                <w:noProof/>
                <w:webHidden/>
              </w:rPr>
            </w:r>
            <w:r w:rsidR="00A2735C">
              <w:rPr>
                <w:noProof/>
                <w:webHidden/>
              </w:rPr>
              <w:fldChar w:fldCharType="separate"/>
            </w:r>
            <w:r w:rsidR="00A2735C">
              <w:rPr>
                <w:noProof/>
                <w:webHidden/>
              </w:rPr>
              <w:t>11</w:t>
            </w:r>
            <w:r w:rsidR="00A2735C">
              <w:rPr>
                <w:noProof/>
                <w:webHidden/>
              </w:rPr>
              <w:fldChar w:fldCharType="end"/>
            </w:r>
          </w:hyperlink>
        </w:p>
        <w:p w14:paraId="2D50745C" w14:textId="3FC83800"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47" w:history="1">
            <w:r w:rsidR="00A2735C" w:rsidRPr="002C34CD">
              <w:rPr>
                <w:rStyle w:val="Hyperlink"/>
                <w:noProof/>
              </w:rPr>
              <w:t>4.3 Due Diligence</w:t>
            </w:r>
            <w:r w:rsidR="00A2735C">
              <w:rPr>
                <w:noProof/>
                <w:webHidden/>
              </w:rPr>
              <w:tab/>
            </w:r>
            <w:r w:rsidR="00A2735C">
              <w:rPr>
                <w:noProof/>
                <w:webHidden/>
              </w:rPr>
              <w:fldChar w:fldCharType="begin"/>
            </w:r>
            <w:r w:rsidR="00A2735C">
              <w:rPr>
                <w:noProof/>
                <w:webHidden/>
              </w:rPr>
              <w:instrText xml:space="preserve"> PAGEREF _Toc163563347 \h </w:instrText>
            </w:r>
            <w:r w:rsidR="00A2735C">
              <w:rPr>
                <w:noProof/>
                <w:webHidden/>
              </w:rPr>
            </w:r>
            <w:r w:rsidR="00A2735C">
              <w:rPr>
                <w:noProof/>
                <w:webHidden/>
              </w:rPr>
              <w:fldChar w:fldCharType="separate"/>
            </w:r>
            <w:r w:rsidR="00A2735C">
              <w:rPr>
                <w:noProof/>
                <w:webHidden/>
              </w:rPr>
              <w:t>14</w:t>
            </w:r>
            <w:r w:rsidR="00A2735C">
              <w:rPr>
                <w:noProof/>
                <w:webHidden/>
              </w:rPr>
              <w:fldChar w:fldCharType="end"/>
            </w:r>
          </w:hyperlink>
        </w:p>
        <w:p w14:paraId="028CC8B0" w14:textId="3448378A" w:rsidR="00A2735C" w:rsidRDefault="00CF15C1">
          <w:pPr>
            <w:pStyle w:val="TOC1"/>
            <w:rPr>
              <w:rFonts w:asciiTheme="minorHAnsi" w:eastAsiaTheme="minorEastAsia" w:hAnsiTheme="minorHAnsi" w:cstheme="minorBidi"/>
              <w:noProof/>
              <w:w w:val="100"/>
              <w:kern w:val="0"/>
              <w:lang w:eastAsia="en-AU"/>
            </w:rPr>
          </w:pPr>
          <w:hyperlink w:anchor="_Toc163563348" w:history="1">
            <w:r w:rsidR="00A2735C" w:rsidRPr="002C34CD">
              <w:rPr>
                <w:rStyle w:val="Hyperlink"/>
                <w:noProof/>
              </w:rPr>
              <w:t>5. Communication and training</w:t>
            </w:r>
            <w:r w:rsidR="00A2735C">
              <w:rPr>
                <w:noProof/>
                <w:webHidden/>
              </w:rPr>
              <w:tab/>
            </w:r>
            <w:r w:rsidR="00A2735C">
              <w:rPr>
                <w:noProof/>
                <w:webHidden/>
              </w:rPr>
              <w:fldChar w:fldCharType="begin"/>
            </w:r>
            <w:r w:rsidR="00A2735C">
              <w:rPr>
                <w:noProof/>
                <w:webHidden/>
              </w:rPr>
              <w:instrText xml:space="preserve"> PAGEREF _Toc163563348 \h </w:instrText>
            </w:r>
            <w:r w:rsidR="00A2735C">
              <w:rPr>
                <w:noProof/>
                <w:webHidden/>
              </w:rPr>
            </w:r>
            <w:r w:rsidR="00A2735C">
              <w:rPr>
                <w:noProof/>
                <w:webHidden/>
              </w:rPr>
              <w:fldChar w:fldCharType="separate"/>
            </w:r>
            <w:r w:rsidR="00A2735C">
              <w:rPr>
                <w:noProof/>
                <w:webHidden/>
              </w:rPr>
              <w:t>17</w:t>
            </w:r>
            <w:r w:rsidR="00A2735C">
              <w:rPr>
                <w:noProof/>
                <w:webHidden/>
              </w:rPr>
              <w:fldChar w:fldCharType="end"/>
            </w:r>
          </w:hyperlink>
        </w:p>
        <w:p w14:paraId="6DFBC48D" w14:textId="54F51979"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49" w:history="1">
            <w:r w:rsidR="00A2735C" w:rsidRPr="002C34CD">
              <w:rPr>
                <w:rStyle w:val="Hyperlink"/>
                <w:noProof/>
              </w:rPr>
              <w:t>5.1 Training</w:t>
            </w:r>
            <w:r w:rsidR="00A2735C">
              <w:rPr>
                <w:noProof/>
                <w:webHidden/>
              </w:rPr>
              <w:tab/>
            </w:r>
            <w:r w:rsidR="00A2735C">
              <w:rPr>
                <w:noProof/>
                <w:webHidden/>
              </w:rPr>
              <w:fldChar w:fldCharType="begin"/>
            </w:r>
            <w:r w:rsidR="00A2735C">
              <w:rPr>
                <w:noProof/>
                <w:webHidden/>
              </w:rPr>
              <w:instrText xml:space="preserve"> PAGEREF _Toc163563349 \h </w:instrText>
            </w:r>
            <w:r w:rsidR="00A2735C">
              <w:rPr>
                <w:noProof/>
                <w:webHidden/>
              </w:rPr>
            </w:r>
            <w:r w:rsidR="00A2735C">
              <w:rPr>
                <w:noProof/>
                <w:webHidden/>
              </w:rPr>
              <w:fldChar w:fldCharType="separate"/>
            </w:r>
            <w:r w:rsidR="00A2735C">
              <w:rPr>
                <w:noProof/>
                <w:webHidden/>
              </w:rPr>
              <w:t>17</w:t>
            </w:r>
            <w:r w:rsidR="00A2735C">
              <w:rPr>
                <w:noProof/>
                <w:webHidden/>
              </w:rPr>
              <w:fldChar w:fldCharType="end"/>
            </w:r>
          </w:hyperlink>
        </w:p>
        <w:p w14:paraId="6EB05367" w14:textId="34206742"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0" w:history="1">
            <w:r w:rsidR="00A2735C" w:rsidRPr="002C34CD">
              <w:rPr>
                <w:rStyle w:val="Hyperlink"/>
                <w:noProof/>
              </w:rPr>
              <w:t>5.2 Communication</w:t>
            </w:r>
            <w:r w:rsidR="00A2735C">
              <w:rPr>
                <w:noProof/>
                <w:webHidden/>
              </w:rPr>
              <w:tab/>
            </w:r>
            <w:r w:rsidR="00A2735C">
              <w:rPr>
                <w:noProof/>
                <w:webHidden/>
              </w:rPr>
              <w:fldChar w:fldCharType="begin"/>
            </w:r>
            <w:r w:rsidR="00A2735C">
              <w:rPr>
                <w:noProof/>
                <w:webHidden/>
              </w:rPr>
              <w:instrText xml:space="preserve"> PAGEREF _Toc163563350 \h </w:instrText>
            </w:r>
            <w:r w:rsidR="00A2735C">
              <w:rPr>
                <w:noProof/>
                <w:webHidden/>
              </w:rPr>
            </w:r>
            <w:r w:rsidR="00A2735C">
              <w:rPr>
                <w:noProof/>
                <w:webHidden/>
              </w:rPr>
              <w:fldChar w:fldCharType="separate"/>
            </w:r>
            <w:r w:rsidR="00A2735C">
              <w:rPr>
                <w:noProof/>
                <w:webHidden/>
              </w:rPr>
              <w:t>17</w:t>
            </w:r>
            <w:r w:rsidR="00A2735C">
              <w:rPr>
                <w:noProof/>
                <w:webHidden/>
              </w:rPr>
              <w:fldChar w:fldCharType="end"/>
            </w:r>
          </w:hyperlink>
        </w:p>
        <w:p w14:paraId="7D7C82D6" w14:textId="214609BE" w:rsidR="00A2735C" w:rsidRDefault="00CF15C1">
          <w:pPr>
            <w:pStyle w:val="TOC1"/>
            <w:rPr>
              <w:rFonts w:asciiTheme="minorHAnsi" w:eastAsiaTheme="minorEastAsia" w:hAnsiTheme="minorHAnsi" w:cstheme="minorBidi"/>
              <w:noProof/>
              <w:w w:val="100"/>
              <w:kern w:val="0"/>
              <w:lang w:eastAsia="en-AU"/>
            </w:rPr>
          </w:pPr>
          <w:hyperlink w:anchor="_Toc163563351" w:history="1">
            <w:r w:rsidR="00A2735C" w:rsidRPr="002C34CD">
              <w:rPr>
                <w:rStyle w:val="Hyperlink"/>
                <w:noProof/>
              </w:rPr>
              <w:t>6. Reporting foreign bribery</w:t>
            </w:r>
            <w:r w:rsidR="00A2735C">
              <w:rPr>
                <w:noProof/>
                <w:webHidden/>
              </w:rPr>
              <w:tab/>
            </w:r>
            <w:r w:rsidR="00A2735C">
              <w:rPr>
                <w:noProof/>
                <w:webHidden/>
              </w:rPr>
              <w:fldChar w:fldCharType="begin"/>
            </w:r>
            <w:r w:rsidR="00A2735C">
              <w:rPr>
                <w:noProof/>
                <w:webHidden/>
              </w:rPr>
              <w:instrText xml:space="preserve"> PAGEREF _Toc163563351 \h </w:instrText>
            </w:r>
            <w:r w:rsidR="00A2735C">
              <w:rPr>
                <w:noProof/>
                <w:webHidden/>
              </w:rPr>
            </w:r>
            <w:r w:rsidR="00A2735C">
              <w:rPr>
                <w:noProof/>
                <w:webHidden/>
              </w:rPr>
              <w:fldChar w:fldCharType="separate"/>
            </w:r>
            <w:r w:rsidR="00A2735C">
              <w:rPr>
                <w:noProof/>
                <w:webHidden/>
              </w:rPr>
              <w:t>19</w:t>
            </w:r>
            <w:r w:rsidR="00A2735C">
              <w:rPr>
                <w:noProof/>
                <w:webHidden/>
              </w:rPr>
              <w:fldChar w:fldCharType="end"/>
            </w:r>
          </w:hyperlink>
        </w:p>
        <w:p w14:paraId="2CB445A7" w14:textId="0ACC4798"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2" w:history="1">
            <w:r w:rsidR="00A2735C" w:rsidRPr="002C34CD">
              <w:rPr>
                <w:rStyle w:val="Hyperlink"/>
                <w:noProof/>
              </w:rPr>
              <w:t>6.1 Whistleblower protections</w:t>
            </w:r>
            <w:r w:rsidR="00A2735C">
              <w:rPr>
                <w:noProof/>
                <w:webHidden/>
              </w:rPr>
              <w:tab/>
            </w:r>
            <w:r w:rsidR="00A2735C">
              <w:rPr>
                <w:noProof/>
                <w:webHidden/>
              </w:rPr>
              <w:fldChar w:fldCharType="begin"/>
            </w:r>
            <w:r w:rsidR="00A2735C">
              <w:rPr>
                <w:noProof/>
                <w:webHidden/>
              </w:rPr>
              <w:instrText xml:space="preserve"> PAGEREF _Toc163563352 \h </w:instrText>
            </w:r>
            <w:r w:rsidR="00A2735C">
              <w:rPr>
                <w:noProof/>
                <w:webHidden/>
              </w:rPr>
            </w:r>
            <w:r w:rsidR="00A2735C">
              <w:rPr>
                <w:noProof/>
                <w:webHidden/>
              </w:rPr>
              <w:fldChar w:fldCharType="separate"/>
            </w:r>
            <w:r w:rsidR="00A2735C">
              <w:rPr>
                <w:noProof/>
                <w:webHidden/>
              </w:rPr>
              <w:t>19</w:t>
            </w:r>
            <w:r w:rsidR="00A2735C">
              <w:rPr>
                <w:noProof/>
                <w:webHidden/>
              </w:rPr>
              <w:fldChar w:fldCharType="end"/>
            </w:r>
          </w:hyperlink>
        </w:p>
        <w:p w14:paraId="1AE0DF87" w14:textId="1BE8C697"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3" w:history="1">
            <w:r w:rsidR="00A2735C" w:rsidRPr="002C34CD">
              <w:rPr>
                <w:rStyle w:val="Hyperlink"/>
                <w:noProof/>
              </w:rPr>
              <w:t>6.2 Reporting mechanisms</w:t>
            </w:r>
            <w:r w:rsidR="00A2735C">
              <w:rPr>
                <w:noProof/>
                <w:webHidden/>
              </w:rPr>
              <w:tab/>
            </w:r>
            <w:r w:rsidR="00A2735C">
              <w:rPr>
                <w:noProof/>
                <w:webHidden/>
              </w:rPr>
              <w:fldChar w:fldCharType="begin"/>
            </w:r>
            <w:r w:rsidR="00A2735C">
              <w:rPr>
                <w:noProof/>
                <w:webHidden/>
              </w:rPr>
              <w:instrText xml:space="preserve"> PAGEREF _Toc163563353 \h </w:instrText>
            </w:r>
            <w:r w:rsidR="00A2735C">
              <w:rPr>
                <w:noProof/>
                <w:webHidden/>
              </w:rPr>
            </w:r>
            <w:r w:rsidR="00A2735C">
              <w:rPr>
                <w:noProof/>
                <w:webHidden/>
              </w:rPr>
              <w:fldChar w:fldCharType="separate"/>
            </w:r>
            <w:r w:rsidR="00A2735C">
              <w:rPr>
                <w:noProof/>
                <w:webHidden/>
              </w:rPr>
              <w:t>20</w:t>
            </w:r>
            <w:r w:rsidR="00A2735C">
              <w:rPr>
                <w:noProof/>
                <w:webHidden/>
              </w:rPr>
              <w:fldChar w:fldCharType="end"/>
            </w:r>
          </w:hyperlink>
        </w:p>
        <w:p w14:paraId="3FEBF8F0" w14:textId="430B99A1"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4" w:history="1">
            <w:r w:rsidR="00A2735C" w:rsidRPr="002C34CD">
              <w:rPr>
                <w:rStyle w:val="Hyperlink"/>
                <w:noProof/>
              </w:rPr>
              <w:t>6.3 Self-reporting by corporations</w:t>
            </w:r>
            <w:r w:rsidR="00A2735C">
              <w:rPr>
                <w:noProof/>
                <w:webHidden/>
              </w:rPr>
              <w:tab/>
            </w:r>
            <w:r w:rsidR="00A2735C">
              <w:rPr>
                <w:noProof/>
                <w:webHidden/>
              </w:rPr>
              <w:fldChar w:fldCharType="begin"/>
            </w:r>
            <w:r w:rsidR="00A2735C">
              <w:rPr>
                <w:noProof/>
                <w:webHidden/>
              </w:rPr>
              <w:instrText xml:space="preserve"> PAGEREF _Toc163563354 \h </w:instrText>
            </w:r>
            <w:r w:rsidR="00A2735C">
              <w:rPr>
                <w:noProof/>
                <w:webHidden/>
              </w:rPr>
            </w:r>
            <w:r w:rsidR="00A2735C">
              <w:rPr>
                <w:noProof/>
                <w:webHidden/>
              </w:rPr>
              <w:fldChar w:fldCharType="separate"/>
            </w:r>
            <w:r w:rsidR="00A2735C">
              <w:rPr>
                <w:noProof/>
                <w:webHidden/>
              </w:rPr>
              <w:t>21</w:t>
            </w:r>
            <w:r w:rsidR="00A2735C">
              <w:rPr>
                <w:noProof/>
                <w:webHidden/>
              </w:rPr>
              <w:fldChar w:fldCharType="end"/>
            </w:r>
          </w:hyperlink>
        </w:p>
        <w:p w14:paraId="5AB9E02F" w14:textId="76B28836" w:rsidR="00A2735C" w:rsidRDefault="00CF15C1">
          <w:pPr>
            <w:pStyle w:val="TOC1"/>
            <w:rPr>
              <w:rFonts w:asciiTheme="minorHAnsi" w:eastAsiaTheme="minorEastAsia" w:hAnsiTheme="minorHAnsi" w:cstheme="minorBidi"/>
              <w:noProof/>
              <w:w w:val="100"/>
              <w:kern w:val="0"/>
              <w:lang w:eastAsia="en-AU"/>
            </w:rPr>
          </w:pPr>
          <w:hyperlink w:anchor="_Toc163563355" w:history="1">
            <w:r w:rsidR="00A2735C" w:rsidRPr="002C34CD">
              <w:rPr>
                <w:rStyle w:val="Hyperlink"/>
                <w:noProof/>
              </w:rPr>
              <w:t>7. Monitoring and Review</w:t>
            </w:r>
            <w:r w:rsidR="00A2735C">
              <w:rPr>
                <w:noProof/>
                <w:webHidden/>
              </w:rPr>
              <w:tab/>
            </w:r>
            <w:r w:rsidR="00A2735C">
              <w:rPr>
                <w:noProof/>
                <w:webHidden/>
              </w:rPr>
              <w:fldChar w:fldCharType="begin"/>
            </w:r>
            <w:r w:rsidR="00A2735C">
              <w:rPr>
                <w:noProof/>
                <w:webHidden/>
              </w:rPr>
              <w:instrText xml:space="preserve"> PAGEREF _Toc163563355 \h </w:instrText>
            </w:r>
            <w:r w:rsidR="00A2735C">
              <w:rPr>
                <w:noProof/>
                <w:webHidden/>
              </w:rPr>
            </w:r>
            <w:r w:rsidR="00A2735C">
              <w:rPr>
                <w:noProof/>
                <w:webHidden/>
              </w:rPr>
              <w:fldChar w:fldCharType="separate"/>
            </w:r>
            <w:r w:rsidR="00A2735C">
              <w:rPr>
                <w:noProof/>
                <w:webHidden/>
              </w:rPr>
              <w:t>22</w:t>
            </w:r>
            <w:r w:rsidR="00A2735C">
              <w:rPr>
                <w:noProof/>
                <w:webHidden/>
              </w:rPr>
              <w:fldChar w:fldCharType="end"/>
            </w:r>
          </w:hyperlink>
        </w:p>
        <w:p w14:paraId="27DA527A" w14:textId="2F60CF9A" w:rsidR="00A2735C" w:rsidRDefault="00CF15C1">
          <w:pPr>
            <w:pStyle w:val="TOC1"/>
            <w:rPr>
              <w:rFonts w:asciiTheme="minorHAnsi" w:eastAsiaTheme="minorEastAsia" w:hAnsiTheme="minorHAnsi" w:cstheme="minorBidi"/>
              <w:noProof/>
              <w:w w:val="100"/>
              <w:kern w:val="0"/>
              <w:lang w:eastAsia="en-AU"/>
            </w:rPr>
          </w:pPr>
          <w:hyperlink w:anchor="_Toc163563356" w:history="1">
            <w:r w:rsidR="00A2735C" w:rsidRPr="002C34CD">
              <w:rPr>
                <w:rStyle w:val="Hyperlink"/>
                <w:noProof/>
              </w:rPr>
              <w:t>Appendix A: Australia’s foreign bribery laws</w:t>
            </w:r>
            <w:r w:rsidR="00A2735C">
              <w:rPr>
                <w:noProof/>
                <w:webHidden/>
              </w:rPr>
              <w:tab/>
            </w:r>
            <w:r w:rsidR="00A2735C">
              <w:rPr>
                <w:noProof/>
                <w:webHidden/>
              </w:rPr>
              <w:fldChar w:fldCharType="begin"/>
            </w:r>
            <w:r w:rsidR="00A2735C">
              <w:rPr>
                <w:noProof/>
                <w:webHidden/>
              </w:rPr>
              <w:instrText xml:space="preserve"> PAGEREF _Toc163563356 \h </w:instrText>
            </w:r>
            <w:r w:rsidR="00A2735C">
              <w:rPr>
                <w:noProof/>
                <w:webHidden/>
              </w:rPr>
            </w:r>
            <w:r w:rsidR="00A2735C">
              <w:rPr>
                <w:noProof/>
                <w:webHidden/>
              </w:rPr>
              <w:fldChar w:fldCharType="separate"/>
            </w:r>
            <w:r w:rsidR="00A2735C">
              <w:rPr>
                <w:noProof/>
                <w:webHidden/>
              </w:rPr>
              <w:t>23</w:t>
            </w:r>
            <w:r w:rsidR="00A2735C">
              <w:rPr>
                <w:noProof/>
                <w:webHidden/>
              </w:rPr>
              <w:fldChar w:fldCharType="end"/>
            </w:r>
          </w:hyperlink>
        </w:p>
        <w:p w14:paraId="7D9ADF45" w14:textId="2B0F1932"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7" w:history="1">
            <w:r w:rsidR="00A2735C" w:rsidRPr="002C34CD">
              <w:rPr>
                <w:rStyle w:val="Hyperlink"/>
                <w:noProof/>
              </w:rPr>
              <w:t>Overview</w:t>
            </w:r>
            <w:r w:rsidR="00A2735C">
              <w:rPr>
                <w:noProof/>
                <w:webHidden/>
              </w:rPr>
              <w:tab/>
            </w:r>
            <w:r w:rsidR="00A2735C">
              <w:rPr>
                <w:noProof/>
                <w:webHidden/>
              </w:rPr>
              <w:fldChar w:fldCharType="begin"/>
            </w:r>
            <w:r w:rsidR="00A2735C">
              <w:rPr>
                <w:noProof/>
                <w:webHidden/>
              </w:rPr>
              <w:instrText xml:space="preserve"> PAGEREF _Toc163563357 \h </w:instrText>
            </w:r>
            <w:r w:rsidR="00A2735C">
              <w:rPr>
                <w:noProof/>
                <w:webHidden/>
              </w:rPr>
            </w:r>
            <w:r w:rsidR="00A2735C">
              <w:rPr>
                <w:noProof/>
                <w:webHidden/>
              </w:rPr>
              <w:fldChar w:fldCharType="separate"/>
            </w:r>
            <w:r w:rsidR="00A2735C">
              <w:rPr>
                <w:noProof/>
                <w:webHidden/>
              </w:rPr>
              <w:t>23</w:t>
            </w:r>
            <w:r w:rsidR="00A2735C">
              <w:rPr>
                <w:noProof/>
                <w:webHidden/>
              </w:rPr>
              <w:fldChar w:fldCharType="end"/>
            </w:r>
          </w:hyperlink>
        </w:p>
        <w:p w14:paraId="397448D0" w14:textId="7963B27A"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8" w:history="1">
            <w:r w:rsidR="00A2735C" w:rsidRPr="002C34CD">
              <w:rPr>
                <w:rStyle w:val="Hyperlink"/>
                <w:noProof/>
              </w:rPr>
              <w:t>The offences</w:t>
            </w:r>
            <w:r w:rsidR="00A2735C">
              <w:rPr>
                <w:noProof/>
                <w:webHidden/>
              </w:rPr>
              <w:tab/>
            </w:r>
            <w:r w:rsidR="00A2735C">
              <w:rPr>
                <w:noProof/>
                <w:webHidden/>
              </w:rPr>
              <w:fldChar w:fldCharType="begin"/>
            </w:r>
            <w:r w:rsidR="00A2735C">
              <w:rPr>
                <w:noProof/>
                <w:webHidden/>
              </w:rPr>
              <w:instrText xml:space="preserve"> PAGEREF _Toc163563358 \h </w:instrText>
            </w:r>
            <w:r w:rsidR="00A2735C">
              <w:rPr>
                <w:noProof/>
                <w:webHidden/>
              </w:rPr>
            </w:r>
            <w:r w:rsidR="00A2735C">
              <w:rPr>
                <w:noProof/>
                <w:webHidden/>
              </w:rPr>
              <w:fldChar w:fldCharType="separate"/>
            </w:r>
            <w:r w:rsidR="00A2735C">
              <w:rPr>
                <w:noProof/>
                <w:webHidden/>
              </w:rPr>
              <w:t>23</w:t>
            </w:r>
            <w:r w:rsidR="00A2735C">
              <w:rPr>
                <w:noProof/>
                <w:webHidden/>
              </w:rPr>
              <w:fldChar w:fldCharType="end"/>
            </w:r>
          </w:hyperlink>
        </w:p>
        <w:p w14:paraId="3D1A1906" w14:textId="15AA4805"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59" w:history="1">
            <w:r w:rsidR="00A2735C" w:rsidRPr="002C34CD">
              <w:rPr>
                <w:rStyle w:val="Hyperlink"/>
                <w:noProof/>
              </w:rPr>
              <w:t>Associate</w:t>
            </w:r>
            <w:r w:rsidR="00A2735C">
              <w:rPr>
                <w:noProof/>
                <w:webHidden/>
              </w:rPr>
              <w:tab/>
            </w:r>
            <w:r w:rsidR="00A2735C">
              <w:rPr>
                <w:noProof/>
                <w:webHidden/>
              </w:rPr>
              <w:fldChar w:fldCharType="begin"/>
            </w:r>
            <w:r w:rsidR="00A2735C">
              <w:rPr>
                <w:noProof/>
                <w:webHidden/>
              </w:rPr>
              <w:instrText xml:space="preserve"> PAGEREF _Toc163563359 \h </w:instrText>
            </w:r>
            <w:r w:rsidR="00A2735C">
              <w:rPr>
                <w:noProof/>
                <w:webHidden/>
              </w:rPr>
            </w:r>
            <w:r w:rsidR="00A2735C">
              <w:rPr>
                <w:noProof/>
                <w:webHidden/>
              </w:rPr>
              <w:fldChar w:fldCharType="separate"/>
            </w:r>
            <w:r w:rsidR="00A2735C">
              <w:rPr>
                <w:noProof/>
                <w:webHidden/>
              </w:rPr>
              <w:t>24</w:t>
            </w:r>
            <w:r w:rsidR="00A2735C">
              <w:rPr>
                <w:noProof/>
                <w:webHidden/>
              </w:rPr>
              <w:fldChar w:fldCharType="end"/>
            </w:r>
          </w:hyperlink>
        </w:p>
        <w:p w14:paraId="2D3EBD45" w14:textId="27B7DB79"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60" w:history="1">
            <w:r w:rsidR="00A2735C" w:rsidRPr="002C34CD">
              <w:rPr>
                <w:rStyle w:val="Hyperlink"/>
                <w:noProof/>
              </w:rPr>
              <w:t>Foreign public officials</w:t>
            </w:r>
            <w:r w:rsidR="00A2735C">
              <w:rPr>
                <w:noProof/>
                <w:webHidden/>
              </w:rPr>
              <w:tab/>
            </w:r>
            <w:r w:rsidR="00A2735C">
              <w:rPr>
                <w:noProof/>
                <w:webHidden/>
              </w:rPr>
              <w:fldChar w:fldCharType="begin"/>
            </w:r>
            <w:r w:rsidR="00A2735C">
              <w:rPr>
                <w:noProof/>
                <w:webHidden/>
              </w:rPr>
              <w:instrText xml:space="preserve"> PAGEREF _Toc163563360 \h </w:instrText>
            </w:r>
            <w:r w:rsidR="00A2735C">
              <w:rPr>
                <w:noProof/>
                <w:webHidden/>
              </w:rPr>
            </w:r>
            <w:r w:rsidR="00A2735C">
              <w:rPr>
                <w:noProof/>
                <w:webHidden/>
              </w:rPr>
              <w:fldChar w:fldCharType="separate"/>
            </w:r>
            <w:r w:rsidR="00A2735C">
              <w:rPr>
                <w:noProof/>
                <w:webHidden/>
              </w:rPr>
              <w:t>24</w:t>
            </w:r>
            <w:r w:rsidR="00A2735C">
              <w:rPr>
                <w:noProof/>
                <w:webHidden/>
              </w:rPr>
              <w:fldChar w:fldCharType="end"/>
            </w:r>
          </w:hyperlink>
        </w:p>
        <w:p w14:paraId="5AEFBB7C" w14:textId="7DAB4D4B"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61" w:history="1">
            <w:r w:rsidR="00A2735C" w:rsidRPr="002C34CD">
              <w:rPr>
                <w:rStyle w:val="Hyperlink"/>
                <w:noProof/>
              </w:rPr>
              <w:t>Jurisdictional reach</w:t>
            </w:r>
            <w:r w:rsidR="00A2735C">
              <w:rPr>
                <w:noProof/>
                <w:webHidden/>
              </w:rPr>
              <w:tab/>
            </w:r>
            <w:r w:rsidR="00A2735C">
              <w:rPr>
                <w:noProof/>
                <w:webHidden/>
              </w:rPr>
              <w:fldChar w:fldCharType="begin"/>
            </w:r>
            <w:r w:rsidR="00A2735C">
              <w:rPr>
                <w:noProof/>
                <w:webHidden/>
              </w:rPr>
              <w:instrText xml:space="preserve"> PAGEREF _Toc163563361 \h </w:instrText>
            </w:r>
            <w:r w:rsidR="00A2735C">
              <w:rPr>
                <w:noProof/>
                <w:webHidden/>
              </w:rPr>
            </w:r>
            <w:r w:rsidR="00A2735C">
              <w:rPr>
                <w:noProof/>
                <w:webHidden/>
              </w:rPr>
              <w:fldChar w:fldCharType="separate"/>
            </w:r>
            <w:r w:rsidR="00A2735C">
              <w:rPr>
                <w:noProof/>
                <w:webHidden/>
              </w:rPr>
              <w:t>25</w:t>
            </w:r>
            <w:r w:rsidR="00A2735C">
              <w:rPr>
                <w:noProof/>
                <w:webHidden/>
              </w:rPr>
              <w:fldChar w:fldCharType="end"/>
            </w:r>
          </w:hyperlink>
        </w:p>
        <w:p w14:paraId="39F85F76" w14:textId="63695F07"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62" w:history="1">
            <w:r w:rsidR="00A2735C" w:rsidRPr="002C34CD">
              <w:rPr>
                <w:rStyle w:val="Hyperlink"/>
                <w:noProof/>
              </w:rPr>
              <w:t>Penalties</w:t>
            </w:r>
            <w:r w:rsidR="00A2735C">
              <w:rPr>
                <w:noProof/>
                <w:webHidden/>
              </w:rPr>
              <w:tab/>
            </w:r>
            <w:r w:rsidR="00A2735C">
              <w:rPr>
                <w:noProof/>
                <w:webHidden/>
              </w:rPr>
              <w:fldChar w:fldCharType="begin"/>
            </w:r>
            <w:r w:rsidR="00A2735C">
              <w:rPr>
                <w:noProof/>
                <w:webHidden/>
              </w:rPr>
              <w:instrText xml:space="preserve"> PAGEREF _Toc163563362 \h </w:instrText>
            </w:r>
            <w:r w:rsidR="00A2735C">
              <w:rPr>
                <w:noProof/>
                <w:webHidden/>
              </w:rPr>
            </w:r>
            <w:r w:rsidR="00A2735C">
              <w:rPr>
                <w:noProof/>
                <w:webHidden/>
              </w:rPr>
              <w:fldChar w:fldCharType="separate"/>
            </w:r>
            <w:r w:rsidR="00A2735C">
              <w:rPr>
                <w:noProof/>
                <w:webHidden/>
              </w:rPr>
              <w:t>25</w:t>
            </w:r>
            <w:r w:rsidR="00A2735C">
              <w:rPr>
                <w:noProof/>
                <w:webHidden/>
              </w:rPr>
              <w:fldChar w:fldCharType="end"/>
            </w:r>
          </w:hyperlink>
        </w:p>
        <w:p w14:paraId="0872FC6D" w14:textId="4149D23E" w:rsidR="00A2735C" w:rsidRDefault="00CF15C1">
          <w:pPr>
            <w:pStyle w:val="TOC2"/>
            <w:tabs>
              <w:tab w:val="right" w:leader="dot" w:pos="9969"/>
            </w:tabs>
            <w:rPr>
              <w:rFonts w:asciiTheme="minorHAnsi" w:eastAsiaTheme="minorEastAsia" w:hAnsiTheme="minorHAnsi" w:cstheme="minorBidi"/>
              <w:noProof/>
              <w:w w:val="100"/>
              <w:kern w:val="0"/>
              <w:lang w:eastAsia="en-AU"/>
            </w:rPr>
          </w:pPr>
          <w:hyperlink w:anchor="_Toc163563363" w:history="1">
            <w:r w:rsidR="00A2735C" w:rsidRPr="002C34CD">
              <w:rPr>
                <w:rStyle w:val="Hyperlink"/>
                <w:noProof/>
              </w:rPr>
              <w:t>Defences</w:t>
            </w:r>
            <w:r w:rsidR="00A2735C">
              <w:rPr>
                <w:noProof/>
                <w:webHidden/>
              </w:rPr>
              <w:tab/>
            </w:r>
            <w:r w:rsidR="00A2735C">
              <w:rPr>
                <w:noProof/>
                <w:webHidden/>
              </w:rPr>
              <w:fldChar w:fldCharType="begin"/>
            </w:r>
            <w:r w:rsidR="00A2735C">
              <w:rPr>
                <w:noProof/>
                <w:webHidden/>
              </w:rPr>
              <w:instrText xml:space="preserve"> PAGEREF _Toc163563363 \h </w:instrText>
            </w:r>
            <w:r w:rsidR="00A2735C">
              <w:rPr>
                <w:noProof/>
                <w:webHidden/>
              </w:rPr>
            </w:r>
            <w:r w:rsidR="00A2735C">
              <w:rPr>
                <w:noProof/>
                <w:webHidden/>
              </w:rPr>
              <w:fldChar w:fldCharType="separate"/>
            </w:r>
            <w:r w:rsidR="00A2735C">
              <w:rPr>
                <w:noProof/>
                <w:webHidden/>
              </w:rPr>
              <w:t>25</w:t>
            </w:r>
            <w:r w:rsidR="00A2735C">
              <w:rPr>
                <w:noProof/>
                <w:webHidden/>
              </w:rPr>
              <w:fldChar w:fldCharType="end"/>
            </w:r>
          </w:hyperlink>
        </w:p>
        <w:p w14:paraId="25F417D0" w14:textId="17E8B201" w:rsidR="00E85E12" w:rsidRDefault="00A2735C" w:rsidP="00F72C44">
          <w:r>
            <w:fldChar w:fldCharType="end"/>
          </w:r>
        </w:p>
      </w:sdtContent>
    </w:sdt>
    <w:p w14:paraId="23D6E68F" w14:textId="1F6E78B2" w:rsidR="000A75C3" w:rsidRPr="001C7E66" w:rsidRDefault="000A75C3" w:rsidP="001C7E66">
      <w:pPr>
        <w:spacing w:after="0" w:line="240" w:lineRule="auto"/>
        <w:rPr>
          <w:rFonts w:eastAsia="SimSun" w:cs="Angsana New"/>
          <w:b/>
          <w:bCs/>
          <w:color w:val="404040"/>
          <w:kern w:val="32"/>
          <w:sz w:val="52"/>
          <w:szCs w:val="52"/>
        </w:rPr>
      </w:pPr>
      <w:r>
        <w:br w:type="page"/>
      </w:r>
    </w:p>
    <w:p w14:paraId="48D7A54E" w14:textId="68E74391" w:rsidR="009940EB" w:rsidRPr="00E32A66" w:rsidRDefault="000A75C3" w:rsidP="00E32A66">
      <w:pPr>
        <w:pStyle w:val="Heading1"/>
        <w:spacing w:beforeLines="100" w:before="240"/>
        <w:jc w:val="left"/>
      </w:pPr>
      <w:bookmarkStart w:id="0" w:name="_Toc163563340"/>
      <w:r>
        <w:lastRenderedPageBreak/>
        <w:t>1.</w:t>
      </w:r>
      <w:r w:rsidR="00F72C44" w:rsidRPr="00E32A66">
        <w:t>Introduction</w:t>
      </w:r>
      <w:bookmarkEnd w:id="0"/>
    </w:p>
    <w:p w14:paraId="411F8786" w14:textId="009BD761" w:rsidR="003421A0" w:rsidRDefault="003421A0" w:rsidP="003421A0">
      <w:pPr>
        <w:spacing w:before="240"/>
      </w:pPr>
      <w:r>
        <w:t xml:space="preserve">Foreign bribery harms Australia’s trade and investment interests and can </w:t>
      </w:r>
      <w:r w:rsidR="008E3EDA">
        <w:t xml:space="preserve">harm </w:t>
      </w:r>
      <w:r>
        <w:t>the growth of Australian business</w:t>
      </w:r>
      <w:r w:rsidR="004E04D2">
        <w:t>es</w:t>
      </w:r>
      <w:r>
        <w:t>. It also corrodes good governance and contributes to social and economic inequality in the local communities where it occurs.</w:t>
      </w:r>
    </w:p>
    <w:p w14:paraId="3036606F" w14:textId="71ACA666" w:rsidR="00066FF1" w:rsidRDefault="003421A0" w:rsidP="00DF5129">
      <w:pPr>
        <w:spacing w:before="240"/>
      </w:pPr>
      <w:r>
        <w:t xml:space="preserve">The </w:t>
      </w:r>
      <w:r w:rsidR="00B12810">
        <w:t>Australia</w:t>
      </w:r>
      <w:r>
        <w:t xml:space="preserve">n Government has a zero-tolerance approach to foreign bribery and other forms of corruption. </w:t>
      </w:r>
      <w:r w:rsidR="003D5887">
        <w:t xml:space="preserve">As a </w:t>
      </w:r>
      <w:r w:rsidR="00573BB3">
        <w:t>party to</w:t>
      </w:r>
      <w:r w:rsidR="003D5887">
        <w:t xml:space="preserve"> the O</w:t>
      </w:r>
      <w:r w:rsidR="00573BB3">
        <w:t>rganisation for Economic Co-operation and Development’s (O</w:t>
      </w:r>
      <w:r w:rsidR="003D5887">
        <w:t>ECD</w:t>
      </w:r>
      <w:r w:rsidR="00573BB3">
        <w:t xml:space="preserve">) </w:t>
      </w:r>
      <w:r w:rsidR="008E0E00" w:rsidRPr="008E0E00">
        <w:t>Convention on Combating Bribery of Foreign Public Officials in International Business Transactions</w:t>
      </w:r>
      <w:r w:rsidR="008E0E00">
        <w:t xml:space="preserve"> (</w:t>
      </w:r>
      <w:r w:rsidR="00573BB3">
        <w:t>Anti</w:t>
      </w:r>
      <w:r w:rsidR="00E75C3B">
        <w:noBreakHyphen/>
      </w:r>
      <w:r w:rsidR="00573BB3">
        <w:t>Bribery Convention</w:t>
      </w:r>
      <w:r w:rsidR="008E0E00">
        <w:t>)</w:t>
      </w:r>
      <w:r w:rsidR="00573BB3">
        <w:t xml:space="preserve">, </w:t>
      </w:r>
      <w:r w:rsidR="002B4072">
        <w:t>the Australian Government</w:t>
      </w:r>
      <w:r w:rsidR="00BA5028">
        <w:t xml:space="preserve"> is committed to measures that will reinforce efforts to prevent, detect and investigate foreign bribery. </w:t>
      </w:r>
      <w:r w:rsidR="00721F0C">
        <w:t>The Australian Government is also committed to implementing the</w:t>
      </w:r>
      <w:r w:rsidR="00573BB3">
        <w:t xml:space="preserve"> OECD’s 2021 Recommendation for Further Combating Bribery of Foreign Public Officials in International Business Transactions</w:t>
      </w:r>
      <w:r w:rsidR="003C7A4C">
        <w:t xml:space="preserve">, </w:t>
      </w:r>
      <w:r w:rsidR="004D2A7D">
        <w:t xml:space="preserve">including </w:t>
      </w:r>
      <w:r w:rsidR="0020298F">
        <w:t>to strengthen</w:t>
      </w:r>
      <w:r w:rsidR="00721F0C">
        <w:t xml:space="preserve"> </w:t>
      </w:r>
      <w:r w:rsidR="003C7A4C">
        <w:t xml:space="preserve">Australia’s </w:t>
      </w:r>
      <w:r w:rsidR="00B12810">
        <w:t>anti-bribery law</w:t>
      </w:r>
      <w:r>
        <w:t>s</w:t>
      </w:r>
      <w:r w:rsidR="00F44403">
        <w:t xml:space="preserve"> </w:t>
      </w:r>
      <w:r w:rsidR="00721F0C">
        <w:t>by</w:t>
      </w:r>
      <w:r w:rsidR="003C7A4C">
        <w:t xml:space="preserve"> incentivis</w:t>
      </w:r>
      <w:r w:rsidR="00721F0C">
        <w:t>ing</w:t>
      </w:r>
      <w:r w:rsidR="003C7A4C">
        <w:t xml:space="preserve"> corporations to develop internal controls, ethics and compliance programs to prevent and detect foreign bribery.</w:t>
      </w:r>
      <w:r>
        <w:t xml:space="preserve"> </w:t>
      </w:r>
    </w:p>
    <w:p w14:paraId="21C757CE" w14:textId="4A921CDA" w:rsidR="009940EB" w:rsidRDefault="00066FF1" w:rsidP="00DF5129">
      <w:pPr>
        <w:spacing w:before="240"/>
      </w:pPr>
      <w:r>
        <w:t>In 202</w:t>
      </w:r>
      <w:r w:rsidR="00F1214F">
        <w:t>4</w:t>
      </w:r>
      <w:r>
        <w:t xml:space="preserve">, </w:t>
      </w:r>
      <w:r w:rsidR="003421A0">
        <w:t>the</w:t>
      </w:r>
      <w:r w:rsidR="004D2A7D">
        <w:t xml:space="preserve"> </w:t>
      </w:r>
      <w:r w:rsidR="004D2A7D" w:rsidRPr="006036A6">
        <w:rPr>
          <w:i/>
        </w:rPr>
        <w:t>Crimes Legislation Amendment (</w:t>
      </w:r>
      <w:r w:rsidR="003421A0" w:rsidRPr="006036A6">
        <w:rPr>
          <w:i/>
        </w:rPr>
        <w:t xml:space="preserve">Combatting </w:t>
      </w:r>
      <w:r w:rsidR="009940EB" w:rsidRPr="006036A6">
        <w:rPr>
          <w:i/>
        </w:rPr>
        <w:t>Foreign Bribery</w:t>
      </w:r>
      <w:r w:rsidR="003421A0" w:rsidRPr="006036A6">
        <w:rPr>
          <w:i/>
        </w:rPr>
        <w:t xml:space="preserve">) </w:t>
      </w:r>
      <w:r w:rsidR="004D2A7D" w:rsidRPr="006036A6">
        <w:rPr>
          <w:i/>
        </w:rPr>
        <w:t xml:space="preserve">Act </w:t>
      </w:r>
      <w:r w:rsidR="003421A0" w:rsidRPr="006036A6">
        <w:rPr>
          <w:i/>
        </w:rPr>
        <w:t>202</w:t>
      </w:r>
      <w:r w:rsidR="00F1214F" w:rsidRPr="006036A6">
        <w:rPr>
          <w:i/>
        </w:rPr>
        <w:t>4</w:t>
      </w:r>
      <w:r w:rsidR="003421A0" w:rsidRPr="00F1214F">
        <w:t xml:space="preserve"> </w:t>
      </w:r>
      <w:r w:rsidR="00DD71EE">
        <w:t xml:space="preserve">(the </w:t>
      </w:r>
      <w:r w:rsidR="004D2A7D">
        <w:t>Act</w:t>
      </w:r>
      <w:r w:rsidR="00DD71EE">
        <w:t>)</w:t>
      </w:r>
      <w:r w:rsidR="009940EB">
        <w:t xml:space="preserve"> introduce</w:t>
      </w:r>
      <w:r w:rsidR="00F44403">
        <w:t>d</w:t>
      </w:r>
      <w:r w:rsidR="009940EB">
        <w:t xml:space="preserve"> an offence of corporate </w:t>
      </w:r>
      <w:r w:rsidR="00FD60E3">
        <w:t>‘</w:t>
      </w:r>
      <w:r w:rsidR="009940EB">
        <w:t>failure to prevent</w:t>
      </w:r>
      <w:r w:rsidR="00FD60E3">
        <w:t>’</w:t>
      </w:r>
      <w:r w:rsidR="009940EB">
        <w:t xml:space="preserve"> </w:t>
      </w:r>
      <w:r w:rsidR="004D2A7D">
        <w:t xml:space="preserve">foreign </w:t>
      </w:r>
      <w:r w:rsidR="009940EB">
        <w:t>bribery</w:t>
      </w:r>
      <w:r w:rsidR="005D1E62">
        <w:t xml:space="preserve"> under </w:t>
      </w:r>
      <w:r w:rsidR="00F726C9">
        <w:t xml:space="preserve">section 70.5A of the </w:t>
      </w:r>
      <w:r w:rsidR="00F726C9" w:rsidRPr="00EF7288">
        <w:rPr>
          <w:i/>
        </w:rPr>
        <w:t>Criminal Code Act 1995</w:t>
      </w:r>
      <w:r w:rsidR="00F726C9">
        <w:t xml:space="preserve"> (Cth) (the Criminal Code)</w:t>
      </w:r>
      <w:r w:rsidR="009940EB">
        <w:t xml:space="preserve">. </w:t>
      </w:r>
      <w:r w:rsidR="00FD60E3">
        <w:t>A corporation will not be liable under the corporate ‘failure to prevent’ offence if it can</w:t>
      </w:r>
      <w:r w:rsidR="009940EB">
        <w:t xml:space="preserve"> prove it had ‘adequate procedures’ in place to prevent foreign bribery. </w:t>
      </w:r>
      <w:r w:rsidR="0020374E">
        <w:t xml:space="preserve">Further information on Australia’s foreign bribery laws can be found at </w:t>
      </w:r>
      <w:hyperlink w:anchor="_Appendix_A:_Australia’s" w:history="1">
        <w:r w:rsidR="0020374E" w:rsidRPr="0020374E">
          <w:rPr>
            <w:rStyle w:val="Hyperlink"/>
            <w:b/>
          </w:rPr>
          <w:t>Appendix A</w:t>
        </w:r>
      </w:hyperlink>
      <w:r w:rsidR="0020374E">
        <w:t xml:space="preserve">. </w:t>
      </w:r>
    </w:p>
    <w:p w14:paraId="193E9BCB" w14:textId="7804AA9E" w:rsidR="00ED4057" w:rsidRDefault="00FD60E3" w:rsidP="00DF5129">
      <w:pPr>
        <w:spacing w:before="240"/>
      </w:pPr>
      <w:r>
        <w:t>T</w:t>
      </w:r>
      <w:r w:rsidR="00DD71EE">
        <w:t xml:space="preserve">he </w:t>
      </w:r>
      <w:r>
        <w:t xml:space="preserve">Act </w:t>
      </w:r>
      <w:r w:rsidR="00DD71EE">
        <w:t xml:space="preserve">requires the </w:t>
      </w:r>
      <w:r w:rsidR="005C3270">
        <w:t>Australian Government</w:t>
      </w:r>
      <w:r>
        <w:t xml:space="preserve"> to</w:t>
      </w:r>
      <w:r w:rsidR="00DD71EE">
        <w:t xml:space="preserve"> publish guidance material on what constitutes ‘adequate procedures’. This document</w:t>
      </w:r>
      <w:r w:rsidR="00A602E5">
        <w:t xml:space="preserve"> </w:t>
      </w:r>
      <w:r>
        <w:t>is designed to provide</w:t>
      </w:r>
      <w:r w:rsidR="005A4C58">
        <w:t xml:space="preserve"> guidance</w:t>
      </w:r>
      <w:r w:rsidR="0085638A">
        <w:t xml:space="preserve"> </w:t>
      </w:r>
      <w:r w:rsidR="005C3270">
        <w:t xml:space="preserve">on the steps </w:t>
      </w:r>
      <w:r w:rsidR="007B05E0">
        <w:t>corporations</w:t>
      </w:r>
      <w:r w:rsidR="00ED4057">
        <w:t xml:space="preserve"> </w:t>
      </w:r>
      <w:r>
        <w:t xml:space="preserve">can take to ensure their anti-bribery </w:t>
      </w:r>
      <w:r w:rsidR="005C3270">
        <w:t>controls</w:t>
      </w:r>
      <w:r>
        <w:t xml:space="preserve"> are adequate</w:t>
      </w:r>
      <w:r w:rsidR="00CA730F">
        <w:t>.</w:t>
      </w:r>
      <w:r w:rsidR="0085638A">
        <w:t xml:space="preserve"> However, what constitutes ‘adequate procedures’ will ultimately be determined by the courts on a case-by-case basis.</w:t>
      </w:r>
    </w:p>
    <w:p w14:paraId="738AF634" w14:textId="24420403" w:rsidR="0000764F" w:rsidRDefault="00ED4057" w:rsidP="000219B4">
      <w:pPr>
        <w:spacing w:before="240"/>
      </w:pPr>
      <w:r>
        <w:t>Th</w:t>
      </w:r>
      <w:r w:rsidR="00BE3754">
        <w:t>is</w:t>
      </w:r>
      <w:r>
        <w:t xml:space="preserve"> guidance is not intended to be used as a ‘checkbox’ approach to implementing an effective </w:t>
      </w:r>
      <w:r w:rsidR="00EB3C63">
        <w:t>anti</w:t>
      </w:r>
      <w:r w:rsidR="00E75C3B">
        <w:noBreakHyphen/>
      </w:r>
      <w:r w:rsidR="00EB3C63">
        <w:t xml:space="preserve">bribery </w:t>
      </w:r>
      <w:r>
        <w:t xml:space="preserve">compliance program. Instead, it outlines the fundamental elements that could be included in </w:t>
      </w:r>
      <w:r w:rsidR="00EB3C63">
        <w:t>such a</w:t>
      </w:r>
      <w:r w:rsidR="001E79BC">
        <w:t xml:space="preserve"> </w:t>
      </w:r>
      <w:r w:rsidR="0085638A">
        <w:t xml:space="preserve">program </w:t>
      </w:r>
      <w:r>
        <w:t xml:space="preserve">and suggests types of </w:t>
      </w:r>
      <w:r w:rsidR="0085638A">
        <w:t xml:space="preserve">controls </w:t>
      </w:r>
      <w:r>
        <w:t>that should be considered.</w:t>
      </w:r>
      <w:r w:rsidR="006B033D">
        <w:t xml:space="preserve"> </w:t>
      </w:r>
      <w:r w:rsidR="0010184B">
        <w:t>In order to create adequate procedures, all topics should be considered by corporations.</w:t>
      </w:r>
      <w:r w:rsidR="0021366A">
        <w:t xml:space="preserve"> </w:t>
      </w:r>
      <w:r w:rsidR="00FD60E3">
        <w:t>Importantly, the mere existence of anti</w:t>
      </w:r>
      <w:r w:rsidR="00E75C3B">
        <w:noBreakHyphen/>
      </w:r>
      <w:r w:rsidR="00FD60E3">
        <w:t xml:space="preserve">bribery </w:t>
      </w:r>
      <w:r w:rsidR="002F1E7E" w:rsidRPr="009E04F3">
        <w:t>controls</w:t>
      </w:r>
      <w:r w:rsidR="00FD60E3" w:rsidRPr="009E04F3">
        <w:t xml:space="preserve"> will</w:t>
      </w:r>
      <w:r w:rsidR="00FD60E3">
        <w:t xml:space="preserve"> not be sufficient for a corporation to </w:t>
      </w:r>
      <w:r w:rsidR="0000764F">
        <w:t>make use</w:t>
      </w:r>
      <w:r w:rsidR="00FD60E3">
        <w:t xml:space="preserve"> of the ‘adequate procedures’ defence. A corporation must also show that the procedures were adequate. </w:t>
      </w:r>
      <w:r w:rsidR="0000764F">
        <w:t xml:space="preserve">Additional resources to support corporations on preventing foreign bribery are available on the Attorney-General Department’s website. </w:t>
      </w:r>
      <w:r w:rsidR="00A55DE5">
        <w:t xml:space="preserve">Corporations should </w:t>
      </w:r>
      <w:r w:rsidR="0000764F">
        <w:t xml:space="preserve">also </w:t>
      </w:r>
      <w:r w:rsidR="00A55DE5">
        <w:t xml:space="preserve">consider their obligations under other laws, guidelines or rules, </w:t>
      </w:r>
      <w:r w:rsidR="0000764F">
        <w:t xml:space="preserve">for example under the ASX Listing Rules or the </w:t>
      </w:r>
      <w:r w:rsidR="0000764F">
        <w:rPr>
          <w:i/>
        </w:rPr>
        <w:t>Corporations Act 2001</w:t>
      </w:r>
      <w:r w:rsidR="00733242">
        <w:t xml:space="preserve"> (the Corporations Act)</w:t>
      </w:r>
      <w:r w:rsidR="0000764F">
        <w:t>, in addition to this guidance</w:t>
      </w:r>
      <w:r w:rsidR="00A55DE5">
        <w:t>.</w:t>
      </w:r>
    </w:p>
    <w:p w14:paraId="1AB77077" w14:textId="3575DCE0" w:rsidR="00EB3C63" w:rsidRDefault="006B033D" w:rsidP="000219B4">
      <w:pPr>
        <w:spacing w:before="240"/>
      </w:pPr>
      <w:r>
        <w:t>Case studies</w:t>
      </w:r>
      <w:r w:rsidR="001E79BC">
        <w:t xml:space="preserve"> and scenarios</w:t>
      </w:r>
      <w:r>
        <w:t xml:space="preserve"> are </w:t>
      </w:r>
      <w:r w:rsidR="001E79BC">
        <w:t>included</w:t>
      </w:r>
      <w:r>
        <w:t xml:space="preserve"> throughout</w:t>
      </w:r>
      <w:r w:rsidR="001E79BC">
        <w:t xml:space="preserve"> the guidance</w:t>
      </w:r>
      <w:r>
        <w:t xml:space="preserve"> </w:t>
      </w:r>
      <w:r w:rsidR="001E79BC">
        <w:t xml:space="preserve">to provide practical examples </w:t>
      </w:r>
      <w:r w:rsidR="00EB3C63">
        <w:t>s</w:t>
      </w:r>
      <w:r w:rsidR="001E79BC">
        <w:t xml:space="preserve">upporting the specific topic discussed. These case studies are illustrative only and are not intended to </w:t>
      </w:r>
      <w:r w:rsidR="00FD60E3">
        <w:t>constitute</w:t>
      </w:r>
      <w:r w:rsidR="001E79BC">
        <w:t xml:space="preserve"> legal advice.</w:t>
      </w:r>
      <w:r w:rsidR="00ED4057">
        <w:t xml:space="preserve"> </w:t>
      </w:r>
    </w:p>
    <w:p w14:paraId="5857D4AA" w14:textId="13A09AF1" w:rsidR="005C3270" w:rsidRDefault="009940EB" w:rsidP="00FF56E5">
      <w:pPr>
        <w:spacing w:before="240"/>
      </w:pPr>
      <w:r>
        <w:lastRenderedPageBreak/>
        <w:t xml:space="preserve">It is reasonable to expect </w:t>
      </w:r>
      <w:r w:rsidR="00EB3C63">
        <w:t xml:space="preserve">corporations </w:t>
      </w:r>
      <w:r>
        <w:t xml:space="preserve">of all sizes to put in place appropriate and proportionate </w:t>
      </w:r>
      <w:r w:rsidR="0085638A">
        <w:t xml:space="preserve">controls </w:t>
      </w:r>
      <w:r>
        <w:t xml:space="preserve">to prevent bribery from occurring within their business. Therefore, this guidance is based on the </w:t>
      </w:r>
      <w:r w:rsidR="00BE3754">
        <w:t xml:space="preserve">key </w:t>
      </w:r>
      <w:r>
        <w:t xml:space="preserve">principle that the obligation to implement such </w:t>
      </w:r>
      <w:r w:rsidR="0085638A">
        <w:t xml:space="preserve">controls </w:t>
      </w:r>
      <w:r>
        <w:t xml:space="preserve">will be proportionate to the circumstances of the corporation, including the scale and location of the corporation’s activities and the nature and level of risk identified. This guidance is designed to be of general application to corporations of all sizes and in all sectors. </w:t>
      </w:r>
      <w:r w:rsidR="005C3270">
        <w:br w:type="page"/>
      </w:r>
    </w:p>
    <w:p w14:paraId="3C808E2C" w14:textId="1364DDB4" w:rsidR="00DC2435" w:rsidRDefault="00E6683B" w:rsidP="00E32A66">
      <w:pPr>
        <w:pStyle w:val="Heading1"/>
        <w:spacing w:beforeLines="100" w:before="240"/>
        <w:jc w:val="left"/>
      </w:pPr>
      <w:bookmarkStart w:id="1" w:name="_Toc163563341"/>
      <w:r>
        <w:lastRenderedPageBreak/>
        <w:t>2</w:t>
      </w:r>
      <w:r w:rsidR="00B032A9">
        <w:t>.</w:t>
      </w:r>
      <w:r w:rsidR="009940EB">
        <w:t xml:space="preserve"> </w:t>
      </w:r>
      <w:r w:rsidR="00596CBF">
        <w:t>Fostering a control environment to p</w:t>
      </w:r>
      <w:r w:rsidR="00DC2435">
        <w:t>revent foreign bribery</w:t>
      </w:r>
      <w:bookmarkEnd w:id="1"/>
      <w:r w:rsidR="00DC2435">
        <w:t xml:space="preserve"> </w:t>
      </w:r>
    </w:p>
    <w:p w14:paraId="46AF2F9B" w14:textId="701ECD41" w:rsidR="009E1283" w:rsidRDefault="009E1283">
      <w:pPr>
        <w:spacing w:before="240"/>
      </w:pPr>
      <w:r>
        <w:t xml:space="preserve">This section provides </w:t>
      </w:r>
      <w:r w:rsidR="007D1FDA">
        <w:t>fundamental elements</w:t>
      </w:r>
      <w:r w:rsidR="00E8159E">
        <w:t xml:space="preserve"> </w:t>
      </w:r>
      <w:r w:rsidR="00E23C56">
        <w:t xml:space="preserve">to assist </w:t>
      </w:r>
      <w:r w:rsidR="00E8159E">
        <w:t>corporations</w:t>
      </w:r>
      <w:r>
        <w:t xml:space="preserve"> </w:t>
      </w:r>
      <w:r w:rsidR="00E23C56">
        <w:t>in</w:t>
      </w:r>
      <w:r w:rsidR="0075257F">
        <w:t xml:space="preserve"> developing</w:t>
      </w:r>
      <w:r w:rsidR="00C32DA0">
        <w:t xml:space="preserve"> </w:t>
      </w:r>
      <w:r w:rsidR="003B2860">
        <w:t>bribery</w:t>
      </w:r>
      <w:r w:rsidR="00C32DA0">
        <w:t xml:space="preserve"> </w:t>
      </w:r>
      <w:r w:rsidR="003B2860">
        <w:t xml:space="preserve">prevention </w:t>
      </w:r>
      <w:r w:rsidR="00C32DA0">
        <w:t>controls</w:t>
      </w:r>
      <w:r w:rsidR="003B2860">
        <w:t xml:space="preserve"> that may</w:t>
      </w:r>
      <w:r w:rsidR="0072556F">
        <w:t xml:space="preserve"> then</w:t>
      </w:r>
      <w:r w:rsidR="003B2860">
        <w:t xml:space="preserve"> contribute to</w:t>
      </w:r>
      <w:r w:rsidR="0072556F">
        <w:t xml:space="preserve"> a corporation’s</w:t>
      </w:r>
      <w:r w:rsidR="0075257F">
        <w:t xml:space="preserve"> anti-bribery compliance program</w:t>
      </w:r>
      <w:r w:rsidR="00E8159E">
        <w:t xml:space="preserve">. </w:t>
      </w:r>
      <w:r w:rsidR="00F97664">
        <w:t>All corporations should put</w:t>
      </w:r>
      <w:r w:rsidR="00815391">
        <w:t xml:space="preserve"> in place</w:t>
      </w:r>
      <w:r w:rsidR="00F97664">
        <w:t xml:space="preserve"> effective </w:t>
      </w:r>
      <w:r w:rsidR="00C32DA0">
        <w:t>controls</w:t>
      </w:r>
      <w:r w:rsidR="0075257F">
        <w:t xml:space="preserve"> </w:t>
      </w:r>
      <w:r w:rsidR="00815391">
        <w:t>scaled to the level and nature of risk the corporation faces</w:t>
      </w:r>
      <w:r w:rsidR="00337180">
        <w:t>.</w:t>
      </w:r>
      <w:r w:rsidR="009923BA">
        <w:t xml:space="preserve"> </w:t>
      </w:r>
      <w:r w:rsidR="000D3887">
        <w:t>Corporations that face higher risks of foreign bribery will need to ensure that such controls are proportionate to</w:t>
      </w:r>
      <w:r w:rsidR="0023468B">
        <w:t>,</w:t>
      </w:r>
      <w:r w:rsidR="000D3887">
        <w:t xml:space="preserve"> and effective in</w:t>
      </w:r>
      <w:r w:rsidR="0023468B">
        <w:t>,</w:t>
      </w:r>
      <w:r w:rsidR="000D3887">
        <w:t xml:space="preserve"> mitigating those higher risks</w:t>
      </w:r>
      <w:r w:rsidR="00F97664">
        <w:t>.</w:t>
      </w:r>
      <w:r w:rsidR="00815391">
        <w:t xml:space="preserve"> Put simply, the higher the risk, the greater the controls</w:t>
      </w:r>
      <w:r w:rsidR="00755E2A">
        <w:t xml:space="preserve"> needed</w:t>
      </w:r>
      <w:r w:rsidR="00815391">
        <w:t>.</w:t>
      </w:r>
      <w:r w:rsidR="00F97664">
        <w:t xml:space="preserve"> </w:t>
      </w:r>
      <w:r w:rsidR="00CF7AAC">
        <w:t>A corporation</w:t>
      </w:r>
      <w:r w:rsidR="00F97664">
        <w:t xml:space="preserve"> should consider </w:t>
      </w:r>
      <w:r w:rsidR="00CF7AAC">
        <w:t>its</w:t>
      </w:r>
      <w:r w:rsidR="00F97664">
        <w:t xml:space="preserve"> individual circumstances when deciding</w:t>
      </w:r>
      <w:r w:rsidR="005D1E62">
        <w:t xml:space="preserve"> </w:t>
      </w:r>
      <w:r w:rsidR="000D3887">
        <w:t>the type and nature of controls to include in</w:t>
      </w:r>
      <w:r w:rsidR="0075257F">
        <w:t xml:space="preserve"> </w:t>
      </w:r>
      <w:r w:rsidR="00535F4F">
        <w:t xml:space="preserve">its </w:t>
      </w:r>
      <w:r w:rsidR="0075257F">
        <w:t>anti-bribery compliance program.</w:t>
      </w:r>
      <w:r w:rsidR="00F97664">
        <w:t xml:space="preserve"> </w:t>
      </w:r>
    </w:p>
    <w:p w14:paraId="1655F6E6" w14:textId="46A6B3E5" w:rsidR="0075257F" w:rsidRPr="0042132D" w:rsidRDefault="0075257F" w:rsidP="00596CBF">
      <w:pPr>
        <w:spacing w:before="240"/>
      </w:pPr>
      <w:r>
        <w:t>This</w:t>
      </w:r>
      <w:r w:rsidR="00B63395">
        <w:t xml:space="preserve"> guidance</w:t>
      </w:r>
      <w:r>
        <w:t xml:space="preserve"> document does not necessarily require</w:t>
      </w:r>
      <w:r w:rsidR="00ED4957">
        <w:t xml:space="preserve"> a</w:t>
      </w:r>
      <w:r>
        <w:t xml:space="preserve"> co</w:t>
      </w:r>
      <w:r w:rsidR="003D37E1">
        <w:t>rporation</w:t>
      </w:r>
      <w:r>
        <w:t xml:space="preserve"> to introduce new</w:t>
      </w:r>
      <w:r w:rsidR="00E260F6">
        <w:t xml:space="preserve"> </w:t>
      </w:r>
      <w:r w:rsidR="00C32DA0">
        <w:t>controls</w:t>
      </w:r>
      <w:r>
        <w:t xml:space="preserve"> to </w:t>
      </w:r>
      <w:r w:rsidR="00ED4957">
        <w:t>its</w:t>
      </w:r>
      <w:r>
        <w:t xml:space="preserve"> compliance </w:t>
      </w:r>
      <w:r w:rsidR="003B2860">
        <w:t>program if</w:t>
      </w:r>
      <w:r>
        <w:t xml:space="preserve"> the corporation’s </w:t>
      </w:r>
      <w:r w:rsidR="003B2860">
        <w:t xml:space="preserve">compliance </w:t>
      </w:r>
      <w:r>
        <w:t xml:space="preserve">program is consistent with this </w:t>
      </w:r>
      <w:r w:rsidR="00B63395">
        <w:t>guidance</w:t>
      </w:r>
      <w:r>
        <w:t>.</w:t>
      </w:r>
      <w:r w:rsidR="003B2860">
        <w:t xml:space="preserve"> </w:t>
      </w:r>
      <w:r w:rsidR="00D17589">
        <w:t>However</w:t>
      </w:r>
      <w:r w:rsidR="00A70902">
        <w:t xml:space="preserve">, </w:t>
      </w:r>
      <w:r w:rsidR="00A70902" w:rsidRPr="0042132D">
        <w:t>failure to take any steps to address the risk of foreign</w:t>
      </w:r>
      <w:r w:rsidR="00C32DA0" w:rsidRPr="0042132D">
        <w:t xml:space="preserve"> </w:t>
      </w:r>
      <w:r w:rsidR="00A70902" w:rsidRPr="0042132D">
        <w:t>bribery would likely result in</w:t>
      </w:r>
      <w:r w:rsidR="00BC5DBE" w:rsidRPr="0042132D">
        <w:t xml:space="preserve"> a corporation</w:t>
      </w:r>
      <w:r w:rsidR="005D0648">
        <w:t xml:space="preserve"> being</w:t>
      </w:r>
      <w:r w:rsidR="00BC5DBE" w:rsidRPr="0042132D">
        <w:t xml:space="preserve"> found to have inadequate</w:t>
      </w:r>
      <w:r w:rsidR="00A70902" w:rsidRPr="0042132D">
        <w:t xml:space="preserve"> procedures</w:t>
      </w:r>
      <w:r w:rsidR="00BC5DBE" w:rsidRPr="0042132D">
        <w:t xml:space="preserve"> in place</w:t>
      </w:r>
      <w:r w:rsidR="00C32DA0" w:rsidRPr="0042132D">
        <w:t>.</w:t>
      </w:r>
    </w:p>
    <w:p w14:paraId="5CFDEA10" w14:textId="12E716BB" w:rsidR="00535F4F" w:rsidRDefault="00535F4F" w:rsidP="00596CBF">
      <w:pPr>
        <w:spacing w:before="240"/>
      </w:pPr>
      <w:r w:rsidRPr="0042132D">
        <w:t xml:space="preserve">In the event a single bribery event occurs, it does not necessarily </w:t>
      </w:r>
      <w:r w:rsidR="00D17589">
        <w:t>mean</w:t>
      </w:r>
      <w:r w:rsidR="00D17589" w:rsidRPr="0042132D">
        <w:t xml:space="preserve"> </w:t>
      </w:r>
      <w:r w:rsidRPr="0042132D">
        <w:t xml:space="preserve">that the bribery prevention controls within a corporation were inadequate. </w:t>
      </w:r>
      <w:r w:rsidR="00D17589">
        <w:t>Whether</w:t>
      </w:r>
      <w:r w:rsidRPr="0042132D">
        <w:t xml:space="preserve"> controls </w:t>
      </w:r>
      <w:r w:rsidR="000D3887">
        <w:t xml:space="preserve">were </w:t>
      </w:r>
      <w:r w:rsidRPr="0042132D">
        <w:t>adequate</w:t>
      </w:r>
      <w:r w:rsidR="000D3887">
        <w:t xml:space="preserve"> or inadequate</w:t>
      </w:r>
      <w:r w:rsidRPr="0042132D">
        <w:t xml:space="preserve"> will depend on the circumstances of </w:t>
      </w:r>
      <w:r w:rsidR="000D3887">
        <w:t>each</w:t>
      </w:r>
      <w:r w:rsidRPr="0042132D">
        <w:t xml:space="preserve"> case</w:t>
      </w:r>
      <w:r w:rsidR="000D3887">
        <w:t>, including whether the controls were effective and proportionate to the risk posed.</w:t>
      </w:r>
    </w:p>
    <w:p w14:paraId="5F8FFBF1" w14:textId="465FAE0B" w:rsidR="009940EB" w:rsidRDefault="00E6683B" w:rsidP="00DC2435">
      <w:pPr>
        <w:pStyle w:val="Heading2"/>
      </w:pPr>
      <w:bookmarkStart w:id="2" w:name="_Toc163563342"/>
      <w:r>
        <w:t>2</w:t>
      </w:r>
      <w:r w:rsidR="00DC2435">
        <w:t xml:space="preserve">.1 </w:t>
      </w:r>
      <w:r w:rsidR="009940EB" w:rsidRPr="00DC2435">
        <w:t>Proportionality and effectiveness</w:t>
      </w:r>
      <w:bookmarkEnd w:id="2"/>
    </w:p>
    <w:p w14:paraId="2BAD856C" w14:textId="2CA22DEF" w:rsidR="005D2D17" w:rsidRPr="00DC2435" w:rsidRDefault="00E6683B" w:rsidP="00DC2435">
      <w:pPr>
        <w:pStyle w:val="Heading3"/>
        <w:spacing w:beforeLines="100" w:before="240"/>
      </w:pPr>
      <w:r>
        <w:t>2</w:t>
      </w:r>
      <w:r w:rsidR="00AD1803">
        <w:t>.1</w:t>
      </w:r>
      <w:r w:rsidR="00DC2435">
        <w:t>.1</w:t>
      </w:r>
      <w:r w:rsidR="00AD1803">
        <w:t xml:space="preserve"> </w:t>
      </w:r>
      <w:r w:rsidR="005D2D17" w:rsidRPr="00DC2435">
        <w:t xml:space="preserve">The </w:t>
      </w:r>
      <w:r w:rsidR="00524F35">
        <w:t>p</w:t>
      </w:r>
      <w:r w:rsidR="005D2D17" w:rsidRPr="00DC2435">
        <w:t xml:space="preserve">rinciple of </w:t>
      </w:r>
      <w:r w:rsidR="00524F35">
        <w:t>p</w:t>
      </w:r>
      <w:r w:rsidR="005D2D17" w:rsidRPr="00DC2435">
        <w:t>roportionality</w:t>
      </w:r>
    </w:p>
    <w:p w14:paraId="774D25E9" w14:textId="62D3A2CC" w:rsidR="005D2D17" w:rsidRDefault="005D2D17" w:rsidP="00AD1803">
      <w:pPr>
        <w:spacing w:before="240"/>
      </w:pPr>
      <w:r>
        <w:t xml:space="preserve">The </w:t>
      </w:r>
      <w:r w:rsidR="005608A8">
        <w:t>controls</w:t>
      </w:r>
      <w:r>
        <w:t xml:space="preserve"> a corporation implements to prevent foreign bribery should be proportionate to the corporation’s operational circumstances, including its foreign bribery risks and the nature of its activities. </w:t>
      </w:r>
    </w:p>
    <w:p w14:paraId="65B45986" w14:textId="12721B7A" w:rsidR="005D2D17" w:rsidRDefault="005D2D17" w:rsidP="00AD1803">
      <w:pPr>
        <w:spacing w:before="240"/>
      </w:pPr>
      <w:r>
        <w:t xml:space="preserve">An assessment needs to be made by each corporation to consider the nature and extent of </w:t>
      </w:r>
      <w:r w:rsidR="00D17589">
        <w:t xml:space="preserve">its </w:t>
      </w:r>
      <w:r>
        <w:t xml:space="preserve">foreign bribery risks. This assessment may form part of a wider, more general risk assessment or have a specific bribery focus. It should be overseen by management and conducted by suitable personnel. The assessment may also involve input from other key stakeholders, such as suppliers and customers, where appropriate. Procedures for conducting a risk assessment are outlined in </w:t>
      </w:r>
      <w:hyperlink w:anchor="_5._Risk_Assessment" w:history="1">
        <w:r w:rsidR="00815391">
          <w:rPr>
            <w:rStyle w:val="Hyperlink"/>
          </w:rPr>
          <w:t>Section</w:t>
        </w:r>
      </w:hyperlink>
      <w:r w:rsidR="00815391">
        <w:rPr>
          <w:rStyle w:val="Hyperlink"/>
        </w:rPr>
        <w:t xml:space="preserve"> 4</w:t>
      </w:r>
      <w:r>
        <w:t xml:space="preserve">. Bribery </w:t>
      </w:r>
      <w:r w:rsidR="00CE1BFB">
        <w:t xml:space="preserve">prevention </w:t>
      </w:r>
      <w:r w:rsidR="005608A8">
        <w:t>controls</w:t>
      </w:r>
      <w:r>
        <w:t xml:space="preserve"> should be proportionate to the bribery risk identified through the risk assessment. </w:t>
      </w:r>
    </w:p>
    <w:p w14:paraId="52DB4983" w14:textId="27F9D9B9" w:rsidR="005D2D17" w:rsidRDefault="005D2D17" w:rsidP="00AD1803">
      <w:pPr>
        <w:spacing w:before="240"/>
      </w:pPr>
      <w:r>
        <w:t xml:space="preserve">Resourcing for anti-bribery compliance should also reflect the scale of the </w:t>
      </w:r>
      <w:r w:rsidR="007223AC">
        <w:t>corporation</w:t>
      </w:r>
      <w:r>
        <w:t>’s business</w:t>
      </w:r>
      <w:r w:rsidR="00755E2A">
        <w:t>, including the level of risk it faces</w:t>
      </w:r>
      <w:r>
        <w:t xml:space="preserve">. </w:t>
      </w:r>
      <w:r w:rsidDel="00D5655A">
        <w:t xml:space="preserve">The level of risk a corporation </w:t>
      </w:r>
      <w:r w:rsidR="00755E2A">
        <w:t>faces</w:t>
      </w:r>
      <w:r w:rsidDel="00D5655A">
        <w:t xml:space="preserve"> is not </w:t>
      </w:r>
      <w:r w:rsidR="00C315DD">
        <w:t xml:space="preserve">necessarily </w:t>
      </w:r>
      <w:r w:rsidDel="00D5655A">
        <w:t>determined by the corporation’s size.</w:t>
      </w:r>
      <w:r w:rsidR="00E75C3B">
        <w:t xml:space="preserve"> For example,</w:t>
      </w:r>
      <w:r w:rsidDel="00D5655A">
        <w:t xml:space="preserve"> </w:t>
      </w:r>
      <w:r w:rsidR="00E75C3B">
        <w:t xml:space="preserve">in </w:t>
      </w:r>
      <w:r>
        <w:t xml:space="preserve">a small corporation, </w:t>
      </w:r>
      <w:r w:rsidR="007223AC">
        <w:t xml:space="preserve">top-level </w:t>
      </w:r>
      <w:r>
        <w:t xml:space="preserve">management may be highly engaged with the </w:t>
      </w:r>
      <w:r w:rsidR="007223AC">
        <w:t xml:space="preserve">corporation’s </w:t>
      </w:r>
      <w:r>
        <w:t>compliance framework by</w:t>
      </w:r>
      <w:r w:rsidR="00755E2A">
        <w:t xml:space="preserve"> nature of working in close proximity to</w:t>
      </w:r>
      <w:r>
        <w:t xml:space="preserve"> the compliance function. By comparison, </w:t>
      </w:r>
      <w:r w:rsidR="005310F5">
        <w:t xml:space="preserve">in </w:t>
      </w:r>
      <w:r>
        <w:t xml:space="preserve">a large corporation – with multiple business units, tiered management </w:t>
      </w:r>
      <w:r>
        <w:lastRenderedPageBreak/>
        <w:t xml:space="preserve">structures and many reporting channels – more </w:t>
      </w:r>
      <w:r w:rsidR="00423FA7">
        <w:t>sophisticated controls may be</w:t>
      </w:r>
      <w:r>
        <w:t xml:space="preserve"> required to connect the compliance function with </w:t>
      </w:r>
      <w:r w:rsidR="007223AC">
        <w:t xml:space="preserve">top-level </w:t>
      </w:r>
      <w:r>
        <w:t>management.</w:t>
      </w:r>
      <w:r w:rsidR="00423FA7" w:rsidRPr="00423FA7">
        <w:t xml:space="preserve"> </w:t>
      </w:r>
    </w:p>
    <w:p w14:paraId="14ABCFAF" w14:textId="42920D6C" w:rsidR="00C31589" w:rsidRDefault="00C31589" w:rsidP="00AD1803">
      <w:pPr>
        <w:spacing w:before="240"/>
      </w:pPr>
      <w:r>
        <w:rPr>
          <w:noProof/>
        </w:rPr>
        <mc:AlternateContent>
          <mc:Choice Requires="wps">
            <w:drawing>
              <wp:anchor distT="45720" distB="45720" distL="114300" distR="114300" simplePos="0" relativeHeight="251755520" behindDoc="0" locked="0" layoutInCell="1" allowOverlap="1" wp14:anchorId="6FA9A936" wp14:editId="3D186EE4">
                <wp:simplePos x="0" y="0"/>
                <wp:positionH relativeFrom="margin">
                  <wp:align>left</wp:align>
                </wp:positionH>
                <wp:positionV relativeFrom="paragraph">
                  <wp:posOffset>1509059</wp:posOffset>
                </wp:positionV>
                <wp:extent cx="6322695" cy="6409055"/>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6409426"/>
                        </a:xfrm>
                        <a:prstGeom prst="rect">
                          <a:avLst/>
                        </a:prstGeom>
                        <a:solidFill>
                          <a:schemeClr val="accent1">
                            <a:lumMod val="60000"/>
                            <a:lumOff val="40000"/>
                          </a:schemeClr>
                        </a:solidFill>
                        <a:ln w="9525">
                          <a:noFill/>
                          <a:miter lim="800000"/>
                          <a:headEnd/>
                          <a:tailEnd/>
                        </a:ln>
                      </wps:spPr>
                      <wps:txbx>
                        <w:txbxContent>
                          <w:p w14:paraId="680E8C81" w14:textId="0C6D3ABE" w:rsidR="00E75C3B" w:rsidRDefault="00E75C3B" w:rsidP="00C31589">
                            <w:pPr>
                              <w:rPr>
                                <w:b/>
                                <w:i/>
                              </w:rPr>
                            </w:pPr>
                            <w:r>
                              <w:rPr>
                                <w:b/>
                                <w:i/>
                              </w:rPr>
                              <w:t>Case Study – Proportionate Procedures</w:t>
                            </w:r>
                          </w:p>
                          <w:p w14:paraId="18070F25" w14:textId="1FE4E238" w:rsidR="00E75C3B" w:rsidRDefault="00E75C3B" w:rsidP="00C31589">
                            <w:r>
                              <w:t>Punky Parquetry is a small-to-medium sized wholesale trade company operating primarily in the Australian domestic market. It has a small presence in two foreign countries where it sells furniture. Customers in the foreign countries include public agencies. Punky Parquetry engages consultants in those countries in order to facilitate business opportunities, help to manage business relations and to assist in preparing formal tenders for new op</w:t>
                            </w:r>
                            <w:bookmarkStart w:id="3" w:name="_GoBack"/>
                            <w:bookmarkEnd w:id="3"/>
                            <w:r>
                              <w:t>portunities. The consultants are engaged on fee-for-service contracts and charge the company for expenses incurred in the course of their duties. The consultants were selected because they have important business contacts and specialist information about the local market.</w:t>
                            </w:r>
                          </w:p>
                          <w:p w14:paraId="61DCC300" w14:textId="07233A3E" w:rsidR="00E75C3B" w:rsidRDefault="00E75C3B" w:rsidP="00C31589">
                            <w:r>
                              <w:t>The company’s corruption risk assessment has identified that its reliance on consultants in foreign markets is a source of medium-to-high risk of foreign bribery, particularly since some of its customers and potential customers in the foreign countries are public agencies. Among other issues, it is difficult for the company to monitor consultants’ cash expenditure.</w:t>
                            </w:r>
                          </w:p>
                          <w:p w14:paraId="6D31B88E" w14:textId="77777777" w:rsidR="00E75C3B" w:rsidRDefault="00E75C3B" w:rsidP="00C31589">
                            <w:r>
                              <w:t>To mitigate risks, Punky Parquetry could consider how to effectively communicate its anti-foreign bribery policy, including to sales staff and consultants who could be asked to read and sign an appropriate declaration regarding the policy. Senior management could periodically emphasise this company policy at meetings and in internal company communications. The company could also maintain a confidential whistleblower scheme for staff or external business contacts to report suspicions of foreign bribery or otherwise raise concerns about anti-bribery compliance.</w:t>
                            </w:r>
                          </w:p>
                          <w:p w14:paraId="27820C75" w14:textId="77777777" w:rsidR="00E75C3B" w:rsidRDefault="00E75C3B" w:rsidP="00C31589">
                            <w:r>
                              <w:t>Due diligence on prospective consultants could include making enquiries through business contacts, local chambers of commerce, business associations, internet searches, interviews and through following up any business references and checking financial statements. Sales staff and other relevant employees could undertake online training on bribery prevention.</w:t>
                            </w:r>
                          </w:p>
                          <w:p w14:paraId="4324BB7F" w14:textId="2AC74514" w:rsidR="00E75C3B" w:rsidRDefault="00E75C3B" w:rsidP="00C31589">
                            <w:r>
                              <w:t>The contractual terms for consultants could require zero tolerance of bribery, set clear criteria for providing genuine and proper hospitality expenditure on behalf of Punky Parquetry, and clearly set out the basis for renumeration and expense claims, including requirements that any expenses be properly recorded and supported by documentation. Consultant contracts could be subject to periodic review and renewal, thus providing Punky Parquetry with control over the engagement.</w:t>
                            </w:r>
                          </w:p>
                          <w:p w14:paraId="55734ED5" w14:textId="77777777" w:rsidR="00E75C3B" w:rsidRPr="00C31589" w:rsidRDefault="00E75C3B" w:rsidP="00C31589">
                            <w:pPr>
                              <w:rPr>
                                <w:b/>
                              </w:rPr>
                            </w:pPr>
                          </w:p>
                          <w:p w14:paraId="4A3D29C2" w14:textId="77777777" w:rsidR="00E75C3B" w:rsidRDefault="00E75C3B" w:rsidP="00C31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9A936" id="_x0000_t202" coordsize="21600,21600" o:spt="202" path="m,l,21600r21600,l21600,xe">
                <v:stroke joinstyle="miter"/>
                <v:path gradientshapeok="t" o:connecttype="rect"/>
              </v:shapetype>
              <v:shape id="Text Box 2" o:spid="_x0000_s1027" type="#_x0000_t202" style="position:absolute;margin-left:0;margin-top:118.8pt;width:497.85pt;height:504.6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" fillcolor="#95b3d7 [1940]" stroked="f">
                <v:textbox>
                  <w:txbxContent>
                    <w:p w14:paraId="680E8C81" w14:textId="0C6D3ABE" w:rsidR="00E75C3B" w:rsidRDefault="00E75C3B" w:rsidP="00C31589">
                      <w:pPr>
                        <w:rPr>
                          <w:b/>
                          <w:i/>
                        </w:rPr>
                      </w:pPr>
                      <w:r>
                        <w:rPr>
                          <w:b/>
                          <w:i/>
                        </w:rPr>
                        <w:t>Case Study – Proportionate Procedures</w:t>
                      </w:r>
                    </w:p>
                    <w:p w14:paraId="18070F25" w14:textId="1FE4E238" w:rsidR="00E75C3B" w:rsidRDefault="00E75C3B" w:rsidP="00C31589">
                      <w:r>
                        <w:t>Punky Parquetry is a small-to-medium sized wholesale trade company operating primarily in the Australian domestic market. It has a small presence in two foreign countries where it sells furniture. Customers in the foreign countries include public agencies. Punky Parquetry engages consultants in those countries in order to facilitate business opportunities, help to manage business relations and to assist in preparing formal tenders for new op</w:t>
                      </w:r>
                      <w:bookmarkStart w:id="4" w:name="_GoBack"/>
                      <w:bookmarkEnd w:id="4"/>
                      <w:r>
                        <w:t>portunities. The consultants are engaged on fee-for-service contracts and charge the company for expenses incurred in the course of their duties. The consultants were selected because they have important business contacts and specialist information about the local market.</w:t>
                      </w:r>
                    </w:p>
                    <w:p w14:paraId="61DCC300" w14:textId="07233A3E" w:rsidR="00E75C3B" w:rsidRDefault="00E75C3B" w:rsidP="00C31589">
                      <w:r>
                        <w:t>The company’s corruption risk assessment has identified that its reliance on consultants in foreign markets is a source of medium-to-high risk of foreign bribery, particularly since some of its customers and potential customers in the foreign countries are public agencies. Among other issues, it is difficult for the company to monitor consultants’ cash expenditure.</w:t>
                      </w:r>
                    </w:p>
                    <w:p w14:paraId="6D31B88E" w14:textId="77777777" w:rsidR="00E75C3B" w:rsidRDefault="00E75C3B" w:rsidP="00C31589">
                      <w:r>
                        <w:t>To mitigate risks, Punky Parquetry could consider how to effectively communicate its anti-foreign bribery policy, including to sales staff and consultants who could be asked to read and sign an appropriate declaration regarding the policy. Senior management could periodically emphasise this company policy at meetings and in internal company communications. The company could also maintain a confidential whistleblower scheme for staff or external business contacts to report suspicions of foreign bribery or otherwise raise concerns about anti-bribery compliance.</w:t>
                      </w:r>
                    </w:p>
                    <w:p w14:paraId="27820C75" w14:textId="77777777" w:rsidR="00E75C3B" w:rsidRDefault="00E75C3B" w:rsidP="00C31589">
                      <w:r>
                        <w:t>Due diligence on prospective consultants could include making enquiries through business contacts, local chambers of commerce, business associations, internet searches, interviews and through following up any business references and checking financial statements. Sales staff and other relevant employees could undertake online training on bribery prevention.</w:t>
                      </w:r>
                    </w:p>
                    <w:p w14:paraId="4324BB7F" w14:textId="2AC74514" w:rsidR="00E75C3B" w:rsidRDefault="00E75C3B" w:rsidP="00C31589">
                      <w:r>
                        <w:t>The contractual terms for consultants could require zero tolerance of bribery, set clear criteria for providing genuine and proper hospitality expenditure on behalf of Punky Parquetry, and clearly set out the basis for renumeration and expense claims, including requirements that any expenses be properly recorded and supported by documentation. Consultant contracts could be subject to periodic review and renewal, thus providing Punky Parquetry with control over the engagement.</w:t>
                      </w:r>
                    </w:p>
                    <w:p w14:paraId="55734ED5" w14:textId="77777777" w:rsidR="00E75C3B" w:rsidRPr="00C31589" w:rsidRDefault="00E75C3B" w:rsidP="00C31589">
                      <w:pPr>
                        <w:rPr>
                          <w:b/>
                        </w:rPr>
                      </w:pPr>
                    </w:p>
                    <w:p w14:paraId="4A3D29C2" w14:textId="77777777" w:rsidR="00E75C3B" w:rsidRDefault="00E75C3B" w:rsidP="00C31589"/>
                  </w:txbxContent>
                </v:textbox>
                <w10:wrap type="square" anchorx="margin"/>
              </v:shape>
            </w:pict>
          </mc:Fallback>
        </mc:AlternateContent>
      </w:r>
      <w:r w:rsidR="005D2D17">
        <w:t xml:space="preserve">A proportionate approach for a large multi-national corporation could be for top-level management to set bribery prevention </w:t>
      </w:r>
      <w:r w:rsidR="005608A8">
        <w:t xml:space="preserve">controls </w:t>
      </w:r>
      <w:r w:rsidR="005D2D17">
        <w:t xml:space="preserve">and to task lower-level management to design, implement and monitor anti-bribery measures on a day-to-day basis. However, </w:t>
      </w:r>
      <w:r w:rsidR="00C315DD">
        <w:t>top-level management</w:t>
      </w:r>
      <w:r w:rsidR="005D2D17">
        <w:t xml:space="preserve"> would still be responsible for conducting regular compliance reviews and seeking regular reports on the effective</w:t>
      </w:r>
      <w:r w:rsidR="005310F5">
        <w:t>ness</w:t>
      </w:r>
      <w:r w:rsidR="005D2D17">
        <w:t xml:space="preserve"> of the implemented measures. </w:t>
      </w:r>
    </w:p>
    <w:p w14:paraId="6A973EBF" w14:textId="7819BA94" w:rsidR="009940EB" w:rsidRPr="00DC2435" w:rsidRDefault="00E6683B" w:rsidP="00DC2435">
      <w:pPr>
        <w:pStyle w:val="Heading3"/>
        <w:spacing w:beforeLines="100" w:before="240"/>
      </w:pPr>
      <w:r>
        <w:lastRenderedPageBreak/>
        <w:t>2</w:t>
      </w:r>
      <w:r w:rsidR="00606A98">
        <w:t>.</w:t>
      </w:r>
      <w:r w:rsidR="00DC2435">
        <w:t>1.</w:t>
      </w:r>
      <w:r w:rsidR="00606A98">
        <w:t xml:space="preserve">2 </w:t>
      </w:r>
      <w:r w:rsidR="005D2D17" w:rsidRPr="00DC2435">
        <w:t xml:space="preserve">The </w:t>
      </w:r>
      <w:r w:rsidR="00524F35">
        <w:t>p</w:t>
      </w:r>
      <w:r w:rsidR="005D2D17" w:rsidRPr="00DC2435">
        <w:t xml:space="preserve">rinciple of </w:t>
      </w:r>
      <w:r w:rsidR="00524F35">
        <w:t>e</w:t>
      </w:r>
      <w:r w:rsidR="005D2D17" w:rsidRPr="00DC2435">
        <w:t>ffectiveness</w:t>
      </w:r>
    </w:p>
    <w:p w14:paraId="0E4C9379" w14:textId="5AB95E39" w:rsidR="005D2D17" w:rsidRDefault="005D2D17" w:rsidP="00606A98">
      <w:pPr>
        <w:spacing w:before="240"/>
      </w:pPr>
      <w:r>
        <w:t xml:space="preserve">The </w:t>
      </w:r>
      <w:r w:rsidR="007A065A">
        <w:t xml:space="preserve">5 </w:t>
      </w:r>
      <w:r>
        <w:t>main indicators of</w:t>
      </w:r>
      <w:r w:rsidR="00E32A66">
        <w:t xml:space="preserve"> an</w:t>
      </w:r>
      <w:r>
        <w:t xml:space="preserve"> effective</w:t>
      </w:r>
      <w:r w:rsidR="00E32A66">
        <w:t xml:space="preserve"> anti-bribery compliance program</w:t>
      </w:r>
      <w:r>
        <w:t xml:space="preserve"> are:</w:t>
      </w:r>
    </w:p>
    <w:p w14:paraId="2AC23EAF" w14:textId="161B4473" w:rsidR="005D2D17" w:rsidRDefault="005D2D17" w:rsidP="007A065A">
      <w:pPr>
        <w:pStyle w:val="Bullet1"/>
        <w:numPr>
          <w:ilvl w:val="0"/>
          <w:numId w:val="18"/>
        </w:numPr>
      </w:pPr>
      <w:r>
        <w:t>A robust culture of integrity within the corporation</w:t>
      </w:r>
      <w:r w:rsidR="007C50B0">
        <w:t>.</w:t>
      </w:r>
    </w:p>
    <w:p w14:paraId="78EB7C1D" w14:textId="1CBA66F0" w:rsidR="005D2D17" w:rsidRDefault="005D2D17" w:rsidP="007A065A">
      <w:pPr>
        <w:pStyle w:val="Bullet1"/>
        <w:numPr>
          <w:ilvl w:val="0"/>
          <w:numId w:val="18"/>
        </w:numPr>
      </w:pPr>
      <w:r>
        <w:t>Demonstrated pro-compliance conduct by top-level management and</w:t>
      </w:r>
      <w:r w:rsidR="007223AC">
        <w:t>, where applicable,</w:t>
      </w:r>
      <w:r>
        <w:t xml:space="preserve"> the board of directors</w:t>
      </w:r>
      <w:r w:rsidR="007C50B0">
        <w:t>.</w:t>
      </w:r>
    </w:p>
    <w:p w14:paraId="7D055BBE" w14:textId="14F30A40" w:rsidR="005D2D17" w:rsidRDefault="005D2D17" w:rsidP="007A065A">
      <w:pPr>
        <w:pStyle w:val="Bullet1"/>
        <w:numPr>
          <w:ilvl w:val="0"/>
          <w:numId w:val="18"/>
        </w:numPr>
      </w:pPr>
      <w:r>
        <w:t xml:space="preserve">A strong anti-bribery compliance function or </w:t>
      </w:r>
      <w:r w:rsidR="009764F3">
        <w:t xml:space="preserve">functional </w:t>
      </w:r>
      <w:r>
        <w:t>equivalent</w:t>
      </w:r>
      <w:r w:rsidR="007C50B0">
        <w:t>.</w:t>
      </w:r>
    </w:p>
    <w:p w14:paraId="519D87ED" w14:textId="5811870F" w:rsidR="005D2D17" w:rsidRDefault="005D2D17" w:rsidP="007A065A">
      <w:pPr>
        <w:pStyle w:val="Bullet1"/>
        <w:numPr>
          <w:ilvl w:val="0"/>
          <w:numId w:val="18"/>
        </w:numPr>
      </w:pPr>
      <w:r>
        <w:t>Effective risk assessment and due diligence procedures</w:t>
      </w:r>
      <w:r w:rsidR="007C50B0">
        <w:t>.</w:t>
      </w:r>
    </w:p>
    <w:p w14:paraId="23746B56" w14:textId="33773F30" w:rsidR="005D2D17" w:rsidRDefault="005D2D17" w:rsidP="007A065A">
      <w:pPr>
        <w:pStyle w:val="Bullet1"/>
        <w:numPr>
          <w:ilvl w:val="0"/>
          <w:numId w:val="18"/>
        </w:numPr>
      </w:pPr>
      <w:r>
        <w:t>Careful and proper use of third parties</w:t>
      </w:r>
      <w:r w:rsidR="007C50B0">
        <w:t>.</w:t>
      </w:r>
    </w:p>
    <w:p w14:paraId="56A01FC1" w14:textId="697B76C5" w:rsidR="00A905CB" w:rsidRDefault="006A1A61" w:rsidP="00A905CB">
      <w:pPr>
        <w:spacing w:before="240"/>
      </w:pPr>
      <w:r>
        <w:t>This list is</w:t>
      </w:r>
      <w:r w:rsidR="00A905CB" w:rsidRPr="00596CBF">
        <w:t xml:space="preserve"> not exhaustive, prescriptive or </w:t>
      </w:r>
      <w:r w:rsidR="0018704E">
        <w:t>final</w:t>
      </w:r>
      <w:r w:rsidR="00A905CB" w:rsidRPr="00596CBF">
        <w:t xml:space="preserve">. In a smaller corporation it may be common for the compliance function to be part of a wider set of an individual’s responsibilities. This is reasonable and acceptable provided the </w:t>
      </w:r>
      <w:r w:rsidR="007B1F99">
        <w:t>individual</w:t>
      </w:r>
      <w:r w:rsidR="00A905CB" w:rsidRPr="00596CBF">
        <w:t xml:space="preserve"> delivers an effective compliance function. </w:t>
      </w:r>
    </w:p>
    <w:p w14:paraId="01168642" w14:textId="7951EA8D" w:rsidR="005D2D17" w:rsidRPr="00ED4057" w:rsidRDefault="005D2D17" w:rsidP="00DC2435">
      <w:pPr>
        <w:pStyle w:val="Heading4"/>
      </w:pPr>
      <w:r w:rsidRPr="00ED4057">
        <w:t>A robust culture of integrity</w:t>
      </w:r>
    </w:p>
    <w:p w14:paraId="58293544" w14:textId="4088444D" w:rsidR="005D2D17" w:rsidRDefault="005D2D17" w:rsidP="00606A98">
      <w:pPr>
        <w:spacing w:before="240"/>
      </w:pPr>
      <w:r>
        <w:t xml:space="preserve">A corporation with a robust culture of integrity </w:t>
      </w:r>
      <w:r w:rsidR="00A230A5">
        <w:t xml:space="preserve">can be </w:t>
      </w:r>
      <w:r>
        <w:t>demonstrate</w:t>
      </w:r>
      <w:r w:rsidR="00A230A5">
        <w:t>d by</w:t>
      </w:r>
      <w:r>
        <w:t xml:space="preserve"> a high degree of awareness and understanding of the corporation’s anti-bribery </w:t>
      </w:r>
      <w:r w:rsidR="00A7253F">
        <w:t>compliance program</w:t>
      </w:r>
      <w:r>
        <w:t xml:space="preserve"> among employees, particularly those in high-risk control functions.</w:t>
      </w:r>
      <w:r w:rsidR="008F5056">
        <w:t xml:space="preserve"> A</w:t>
      </w:r>
      <w:r w:rsidR="00A230A5">
        <w:t xml:space="preserve"> robust culture of integrity will</w:t>
      </w:r>
      <w:r w:rsidR="008F5056">
        <w:t xml:space="preserve"> also</w:t>
      </w:r>
      <w:r w:rsidR="00A230A5">
        <w:t xml:space="preserve"> be demonstrated by a</w:t>
      </w:r>
      <w:r>
        <w:t xml:space="preserve"> corporation</w:t>
      </w:r>
      <w:r w:rsidR="00A230A5">
        <w:t xml:space="preserve"> that</w:t>
      </w:r>
      <w:r>
        <w:t>:</w:t>
      </w:r>
    </w:p>
    <w:p w14:paraId="3FED60C0" w14:textId="46B1048E" w:rsidR="005D2D17" w:rsidRDefault="00E75C3B" w:rsidP="00ED4057">
      <w:pPr>
        <w:pStyle w:val="Bullet1"/>
        <w:ind w:left="567" w:hanging="567"/>
      </w:pPr>
      <w:r>
        <w:t>c</w:t>
      </w:r>
      <w:r w:rsidR="005D2D17">
        <w:t>onducts regular and thorough assessments of the effectiveness of bribery</w:t>
      </w:r>
      <w:r w:rsidR="00CE1BFB">
        <w:t xml:space="preserve"> prevention</w:t>
      </w:r>
      <w:r w:rsidR="005D2D17">
        <w:t xml:space="preserve"> </w:t>
      </w:r>
      <w:r w:rsidR="00A7253F">
        <w:t>controls</w:t>
      </w:r>
      <w:r>
        <w:t xml:space="preserve"> and oversees these controls</w:t>
      </w:r>
      <w:r w:rsidR="00203575">
        <w:t>.</w:t>
      </w:r>
    </w:p>
    <w:p w14:paraId="10A56C09" w14:textId="34F48149" w:rsidR="005D2D17" w:rsidRDefault="00E75C3B" w:rsidP="00A230A5">
      <w:pPr>
        <w:pStyle w:val="Bullet1"/>
        <w:ind w:left="567" w:hanging="567"/>
      </w:pPr>
      <w:r>
        <w:t xml:space="preserve">has </w:t>
      </w:r>
      <w:r w:rsidR="005D2D17">
        <w:t>leaders who actively examine foreign bribery risks</w:t>
      </w:r>
      <w:r w:rsidR="00A230A5">
        <w:t xml:space="preserve"> and </w:t>
      </w:r>
      <w:r w:rsidR="00EF255B" w:rsidRPr="00EF255B">
        <w:t>use</w:t>
      </w:r>
      <w:r w:rsidR="0018704E">
        <w:t xml:space="preserve"> both</w:t>
      </w:r>
      <w:r w:rsidR="00A230A5">
        <w:t xml:space="preserve"> </w:t>
      </w:r>
      <w:r w:rsidR="005D2D17">
        <w:t xml:space="preserve">words and actions </w:t>
      </w:r>
      <w:r w:rsidR="00203575">
        <w:t xml:space="preserve">to </w:t>
      </w:r>
      <w:r w:rsidR="005D2D17">
        <w:t>discourage bribery and encourage compliance</w:t>
      </w:r>
      <w:r w:rsidR="007C50B0">
        <w:t>.</w:t>
      </w:r>
    </w:p>
    <w:p w14:paraId="352E5748" w14:textId="520539AD" w:rsidR="005D2D17" w:rsidRDefault="00E75C3B" w:rsidP="00ED4057">
      <w:pPr>
        <w:pStyle w:val="Bullet1"/>
        <w:ind w:left="567" w:hanging="567"/>
      </w:pPr>
      <w:r>
        <w:t>p</w:t>
      </w:r>
      <w:r w:rsidR="005D2D17">
        <w:t xml:space="preserve">rovides sufficient resourcing to </w:t>
      </w:r>
      <w:r w:rsidR="00B9611E">
        <w:t xml:space="preserve">put in place </w:t>
      </w:r>
      <w:r w:rsidR="005D2D17">
        <w:t>mechanisms t</w:t>
      </w:r>
      <w:r w:rsidR="007B1F99">
        <w:t>hat</w:t>
      </w:r>
      <w:r w:rsidR="005D2D17">
        <w:t xml:space="preserve"> monitor the behaviour and compliance of senior leadership</w:t>
      </w:r>
      <w:r w:rsidR="007C50B0">
        <w:t>.</w:t>
      </w:r>
    </w:p>
    <w:p w14:paraId="4DD73FF8" w14:textId="05B273DE" w:rsidR="005D2D17" w:rsidRDefault="00E75C3B" w:rsidP="00ED4057">
      <w:pPr>
        <w:pStyle w:val="Bullet1"/>
        <w:ind w:left="567" w:hanging="567"/>
      </w:pPr>
      <w:r>
        <w:t>a</w:t>
      </w:r>
      <w:r w:rsidR="005D2D17">
        <w:t>ddresses concerns raised by the compliance function and deals with these appropriately</w:t>
      </w:r>
      <w:r w:rsidR="00075493">
        <w:t xml:space="preserve"> and in a timely manner</w:t>
      </w:r>
      <w:r w:rsidR="00A230A5">
        <w:t xml:space="preserve"> (f</w:t>
      </w:r>
      <w:r w:rsidR="00EF7CBF">
        <w:t>or example,</w:t>
      </w:r>
      <w:r w:rsidR="005D2D17">
        <w:t xml:space="preserve"> commits to stopping or modifying a transaction or deal that has been identified as a bribery</w:t>
      </w:r>
      <w:r w:rsidR="0029038E">
        <w:t xml:space="preserve"> </w:t>
      </w:r>
      <w:r w:rsidR="005D2D17">
        <w:t>risk</w:t>
      </w:r>
      <w:r w:rsidR="00203575">
        <w:t>)</w:t>
      </w:r>
      <w:r w:rsidR="007C50B0">
        <w:t>.</w:t>
      </w:r>
    </w:p>
    <w:p w14:paraId="67673D0F" w14:textId="7E8BD1DF" w:rsidR="00E75C3B" w:rsidRDefault="00E75C3B" w:rsidP="006036A6">
      <w:pPr>
        <w:pStyle w:val="Bullet1"/>
        <w:ind w:left="567" w:hanging="567"/>
      </w:pPr>
      <w:r>
        <w:t>investigates allegations of foreign bribery, undertaking full-documented assessments conducted by suitably qualified personnel.</w:t>
      </w:r>
    </w:p>
    <w:p w14:paraId="722BA6AA" w14:textId="3FD4D773" w:rsidR="005D2D17" w:rsidRDefault="00E75C3B" w:rsidP="00ED4057">
      <w:pPr>
        <w:pStyle w:val="Bullet1"/>
        <w:ind w:left="567" w:hanging="567"/>
      </w:pPr>
      <w:r>
        <w:t>e</w:t>
      </w:r>
      <w:r w:rsidR="005D2D17">
        <w:t>mploys appropriate disciplinary actions against employees</w:t>
      </w:r>
      <w:r w:rsidR="002A007B">
        <w:t xml:space="preserve"> at all levels</w:t>
      </w:r>
      <w:r w:rsidR="005D2D17">
        <w:t xml:space="preserve"> involved in foreign bribery, such as termination of employment.</w:t>
      </w:r>
    </w:p>
    <w:p w14:paraId="0FA5C138" w14:textId="635A24ED" w:rsidR="005D2D17" w:rsidRDefault="00E75C3B" w:rsidP="00ED4057">
      <w:pPr>
        <w:pStyle w:val="Bullet1"/>
        <w:ind w:left="567" w:hanging="567"/>
      </w:pPr>
      <w:r>
        <w:t xml:space="preserve">takes </w:t>
      </w:r>
      <w:r w:rsidR="005D2D17">
        <w:t>appropriate action against associates, including contractors and consultants, for breaching contractual provisions relating to bribery prevention.</w:t>
      </w:r>
    </w:p>
    <w:p w14:paraId="64F245C0" w14:textId="14478340" w:rsidR="005D2D17" w:rsidRDefault="00E75C3B" w:rsidP="00ED4057">
      <w:pPr>
        <w:pStyle w:val="Bullet1"/>
        <w:ind w:left="567" w:hanging="567"/>
      </w:pPr>
      <w:r>
        <w:t xml:space="preserve">ensures </w:t>
      </w:r>
      <w:r w:rsidR="005D2D17">
        <w:t xml:space="preserve">that those who issue payments or review approvals apply the corporation’s anti-bribery </w:t>
      </w:r>
      <w:r w:rsidR="00493AB5">
        <w:t>compliance program</w:t>
      </w:r>
      <w:r w:rsidR="005D2D17">
        <w:t>.</w:t>
      </w:r>
    </w:p>
    <w:p w14:paraId="2E36036C" w14:textId="7A516916" w:rsidR="00AB4D3D" w:rsidRDefault="00E75C3B" w:rsidP="00AB4D3D">
      <w:pPr>
        <w:pStyle w:val="Bullet1"/>
        <w:ind w:left="567" w:hanging="567"/>
      </w:pPr>
      <w:r>
        <w:t xml:space="preserve">considers </w:t>
      </w:r>
      <w:r w:rsidR="00C50644">
        <w:t>self-reporting to</w:t>
      </w:r>
      <w:r w:rsidR="00E64EE4">
        <w:t>,</w:t>
      </w:r>
      <w:r w:rsidR="00E31A30">
        <w:t xml:space="preserve"> and proactively engag</w:t>
      </w:r>
      <w:r w:rsidR="00203575">
        <w:t>es</w:t>
      </w:r>
      <w:r w:rsidR="00E31A30">
        <w:t xml:space="preserve"> with</w:t>
      </w:r>
      <w:r w:rsidR="00E64EE4">
        <w:t>,</w:t>
      </w:r>
      <w:r w:rsidR="00C50644">
        <w:t xml:space="preserve"> appropriate law enforcement authoritie</w:t>
      </w:r>
      <w:r w:rsidR="00264B35">
        <w:t>s</w:t>
      </w:r>
      <w:r w:rsidR="008F5056">
        <w:t xml:space="preserve"> when suspected bribery is uncovered</w:t>
      </w:r>
      <w:r w:rsidR="005D2D17">
        <w:t xml:space="preserve">. </w:t>
      </w:r>
    </w:p>
    <w:p w14:paraId="4222DE5C" w14:textId="1D06D258" w:rsidR="005D2D17" w:rsidRPr="00DC2435" w:rsidRDefault="005D2D17" w:rsidP="00DC2435">
      <w:pPr>
        <w:pStyle w:val="Heading4"/>
      </w:pPr>
      <w:r w:rsidRPr="00DC2435">
        <w:lastRenderedPageBreak/>
        <w:t xml:space="preserve">Pro-compliance conduct </w:t>
      </w:r>
    </w:p>
    <w:p w14:paraId="4EB93568" w14:textId="49D72487" w:rsidR="005D2D17" w:rsidRDefault="005D2D17" w:rsidP="00606A98">
      <w:pPr>
        <w:spacing w:before="240"/>
      </w:pPr>
      <w:r>
        <w:t>A culture of integrity is based on the understanding that top-level management can demonstrate their commitment to</w:t>
      </w:r>
      <w:r w:rsidR="00246A1F">
        <w:t xml:space="preserve"> </w:t>
      </w:r>
      <w:r w:rsidR="00CA730F">
        <w:t xml:space="preserve">the </w:t>
      </w:r>
      <w:r>
        <w:t>anti-bribery</w:t>
      </w:r>
      <w:r w:rsidR="00246A1F">
        <w:t xml:space="preserve"> compliance program</w:t>
      </w:r>
      <w:r>
        <w:t xml:space="preserve"> by:</w:t>
      </w:r>
    </w:p>
    <w:p w14:paraId="3242A349" w14:textId="254CF8AF" w:rsidR="005D2D17" w:rsidRDefault="00E75C3B" w:rsidP="00ED4057">
      <w:pPr>
        <w:pStyle w:val="Bullet1"/>
        <w:ind w:left="567" w:hanging="567"/>
      </w:pPr>
      <w:r>
        <w:t>u</w:t>
      </w:r>
      <w:r w:rsidR="005D2D17">
        <w:t>tilising compliance expertise</w:t>
      </w:r>
      <w:r w:rsidR="007C50B0">
        <w:t>.</w:t>
      </w:r>
    </w:p>
    <w:p w14:paraId="2107553E" w14:textId="2FDAD5FD" w:rsidR="001847C1" w:rsidRDefault="00E75C3B" w:rsidP="00ED4057">
      <w:pPr>
        <w:pStyle w:val="Bullet1"/>
        <w:ind w:left="567" w:hanging="567"/>
      </w:pPr>
      <w:r>
        <w:t>p</w:t>
      </w:r>
      <w:r w:rsidR="001847C1">
        <w:t>rompting and engaging in conversations, including asking questions to promote own knowledge.</w:t>
      </w:r>
    </w:p>
    <w:p w14:paraId="417EEC74" w14:textId="795027E5" w:rsidR="005D2D17" w:rsidRDefault="00E75C3B" w:rsidP="00ED4057">
      <w:pPr>
        <w:pStyle w:val="Bullet1"/>
        <w:ind w:left="567" w:hanging="567"/>
      </w:pPr>
      <w:r>
        <w:t>h</w:t>
      </w:r>
      <w:r w:rsidR="005D2D17">
        <w:t>olding meetings with</w:t>
      </w:r>
      <w:r w:rsidR="0029038E">
        <w:t>,</w:t>
      </w:r>
      <w:r w:rsidR="005D2D17">
        <w:t xml:space="preserve"> and receiving briefings from</w:t>
      </w:r>
      <w:r w:rsidR="0029038E">
        <w:t>,</w:t>
      </w:r>
      <w:r w:rsidR="005D2D17">
        <w:t xml:space="preserve"> the corporation’s compliance function</w:t>
      </w:r>
      <w:r w:rsidR="007C50B0">
        <w:t>.</w:t>
      </w:r>
    </w:p>
    <w:p w14:paraId="3D41FC2D" w14:textId="131765FE" w:rsidR="005D2D17" w:rsidRDefault="00E75C3B" w:rsidP="00ED4057">
      <w:pPr>
        <w:pStyle w:val="Bullet1"/>
        <w:ind w:left="567" w:hanging="567"/>
      </w:pPr>
      <w:r>
        <w:t>e</w:t>
      </w:r>
      <w:r w:rsidR="005D2D17">
        <w:t>xamining foreign bribery risks and engaging with options for dealing with those risks</w:t>
      </w:r>
      <w:r w:rsidR="007C50B0">
        <w:t>.</w:t>
      </w:r>
    </w:p>
    <w:p w14:paraId="43AB56B8" w14:textId="03B08709" w:rsidR="007B1F99" w:rsidRDefault="00E75C3B" w:rsidP="007B1F99">
      <w:pPr>
        <w:pStyle w:val="Bullet1"/>
        <w:ind w:left="567" w:hanging="567"/>
      </w:pPr>
      <w:r>
        <w:t>r</w:t>
      </w:r>
      <w:r w:rsidR="005D2D17">
        <w:t>eceiving reports of internal audit findings regarding foreign bribery risks and occurrences and engaging with those findings</w:t>
      </w:r>
      <w:r w:rsidR="007C50B0">
        <w:t>.</w:t>
      </w:r>
    </w:p>
    <w:p w14:paraId="404DAAFE" w14:textId="26391BDE" w:rsidR="007B1F99" w:rsidRDefault="00E75C3B" w:rsidP="007B1F99">
      <w:pPr>
        <w:pStyle w:val="Bullet1"/>
        <w:ind w:left="567" w:hanging="567"/>
      </w:pPr>
      <w:r>
        <w:t>e</w:t>
      </w:r>
      <w:r w:rsidR="005D2D17">
        <w:t>nsuring the compliance function is adequately resourced to perform its functions</w:t>
      </w:r>
      <w:r>
        <w:t>, including responding to requests for resources in order to prevent foreign bribery</w:t>
      </w:r>
      <w:r w:rsidR="007C50B0">
        <w:t>.</w:t>
      </w:r>
      <w:r w:rsidR="007B1F99">
        <w:t xml:space="preserve"> </w:t>
      </w:r>
    </w:p>
    <w:p w14:paraId="716C604C" w14:textId="796CCFEC" w:rsidR="00E75C3B" w:rsidRPr="006036A6" w:rsidRDefault="00E75C3B" w:rsidP="006036A6">
      <w:pPr>
        <w:pStyle w:val="Bullet1"/>
        <w:ind w:left="567" w:hanging="567"/>
      </w:pPr>
      <w:r>
        <w:t>c</w:t>
      </w:r>
      <w:r w:rsidR="007B1F99">
        <w:t>onsidering strong accounting controls as a fundamental element of foreign bribery prevention.</w:t>
      </w:r>
    </w:p>
    <w:p w14:paraId="5C44808A" w14:textId="77777777" w:rsidR="00B70F0A" w:rsidRPr="00596CBF" w:rsidRDefault="00B70F0A" w:rsidP="00596CBF">
      <w:pPr>
        <w:pStyle w:val="Heading4"/>
      </w:pPr>
      <w:r w:rsidRPr="00596CBF">
        <w:t>Anti-bribery compliance function</w:t>
      </w:r>
    </w:p>
    <w:p w14:paraId="4B040559" w14:textId="3A4A4E0F" w:rsidR="00B70F0A" w:rsidRDefault="00B70F0A" w:rsidP="00596CBF">
      <w:pPr>
        <w:spacing w:before="240"/>
      </w:pPr>
      <w:r>
        <w:t>A strong anti-bribery compliance function or functional equivalent (whether audit, legal or financial) operates autonomously and is adequately resourced to perform its functions. To ensure its effectiveness</w:t>
      </w:r>
      <w:r w:rsidR="00E01656">
        <w:t>, it</w:t>
      </w:r>
      <w:r>
        <w:t xml:space="preserve"> should:</w:t>
      </w:r>
    </w:p>
    <w:p w14:paraId="72082A34" w14:textId="5E7194D5" w:rsidR="00B70F0A" w:rsidRDefault="00E75C3B" w:rsidP="00596CBF">
      <w:pPr>
        <w:pStyle w:val="Bullet1"/>
      </w:pPr>
      <w:r>
        <w:t>r</w:t>
      </w:r>
      <w:r w:rsidR="00B70F0A">
        <w:t>egularly train employees on requirements</w:t>
      </w:r>
      <w:r w:rsidR="007C50B0">
        <w:t>.</w:t>
      </w:r>
    </w:p>
    <w:p w14:paraId="3E47F484" w14:textId="46679236" w:rsidR="00B70F0A" w:rsidRDefault="00E75C3B" w:rsidP="00596CBF">
      <w:pPr>
        <w:pStyle w:val="Bullet1"/>
      </w:pPr>
      <w:r>
        <w:t>r</w:t>
      </w:r>
      <w:r w:rsidR="00B70F0A">
        <w:t xml:space="preserve">eport directly and regularly to </w:t>
      </w:r>
      <w:r w:rsidR="004A01F1">
        <w:t xml:space="preserve">top-level </w:t>
      </w:r>
      <w:r w:rsidR="00B70F0A">
        <w:t>management and, where applicable, the board of directors</w:t>
      </w:r>
      <w:r w:rsidR="007C50B0">
        <w:t>.</w:t>
      </w:r>
    </w:p>
    <w:p w14:paraId="697C4DE2" w14:textId="0E60EB80" w:rsidR="00B70F0A" w:rsidRDefault="00E75C3B" w:rsidP="00596CBF">
      <w:pPr>
        <w:pStyle w:val="Bullet1"/>
      </w:pPr>
      <w:r>
        <w:t>b</w:t>
      </w:r>
      <w:r w:rsidR="00B70F0A">
        <w:t>e subject to regular performance reviews</w:t>
      </w:r>
      <w:r w:rsidR="007C50B0">
        <w:t>.</w:t>
      </w:r>
    </w:p>
    <w:p w14:paraId="2BE54C90" w14:textId="373744B9" w:rsidR="00C67FE6" w:rsidRDefault="00E75C3B" w:rsidP="00B63985">
      <w:pPr>
        <w:pStyle w:val="Bullet1"/>
      </w:pPr>
      <w:r>
        <w:t>h</w:t>
      </w:r>
      <w:r w:rsidR="00B70F0A">
        <w:t>ave full and timely access to information,</w:t>
      </w:r>
      <w:r w:rsidR="001F3C3E">
        <w:t xml:space="preserve"> </w:t>
      </w:r>
      <w:r w:rsidR="00B70F0A">
        <w:t>including confidential information, about allegations of foreign bribery</w:t>
      </w:r>
      <w:r w:rsidR="001F3C3E">
        <w:t>, where the law allows.</w:t>
      </w:r>
    </w:p>
    <w:p w14:paraId="390AB4CE" w14:textId="01058314" w:rsidR="00171ABC" w:rsidRPr="00B832C1" w:rsidRDefault="00171ABC" w:rsidP="00171ABC">
      <w:pPr>
        <w:pStyle w:val="Heading4"/>
      </w:pPr>
      <w:r>
        <w:t>Risk assessment and due diligence procedures</w:t>
      </w:r>
    </w:p>
    <w:p w14:paraId="348476A3" w14:textId="5B9DFB11" w:rsidR="00171ABC" w:rsidRPr="004066C9" w:rsidRDefault="00171ABC" w:rsidP="004066C9">
      <w:pPr>
        <w:spacing w:before="240"/>
      </w:pPr>
      <w:r w:rsidRPr="00596CBF">
        <w:t xml:space="preserve">Effective risk assessment and due diligence </w:t>
      </w:r>
      <w:r w:rsidRPr="00F71381">
        <w:t>procedures may be demonstrated where the procedures:</w:t>
      </w:r>
    </w:p>
    <w:p w14:paraId="58C82CB2" w14:textId="6175D1B2" w:rsidR="00171ABC" w:rsidRPr="00F71381" w:rsidRDefault="00E75C3B" w:rsidP="004066C9">
      <w:pPr>
        <w:pStyle w:val="Bullet1"/>
        <w:ind w:left="567" w:hanging="567"/>
      </w:pPr>
      <w:r>
        <w:t>i</w:t>
      </w:r>
      <w:r w:rsidRPr="00F71381">
        <w:t>dentify</w:t>
      </w:r>
      <w:r w:rsidR="00171ABC" w:rsidRPr="00F71381">
        <w:t>, analyse, prioritise and address foreign bribery risks</w:t>
      </w:r>
      <w:r w:rsidR="007C50B0">
        <w:t>.</w:t>
      </w:r>
    </w:p>
    <w:p w14:paraId="12678E92" w14:textId="473F0140" w:rsidR="00171ABC" w:rsidRPr="00F71381" w:rsidRDefault="00E75C3B" w:rsidP="004066C9">
      <w:pPr>
        <w:pStyle w:val="Bullet1"/>
        <w:ind w:left="567" w:hanging="567"/>
      </w:pPr>
      <w:r>
        <w:t>a</w:t>
      </w:r>
      <w:r w:rsidRPr="00F71381">
        <w:t xml:space="preserve">re </w:t>
      </w:r>
      <w:r w:rsidR="00171ABC" w:rsidRPr="00F71381">
        <w:t xml:space="preserve">endorsed and overseen by </w:t>
      </w:r>
      <w:r w:rsidR="004A01F1">
        <w:t>top-level</w:t>
      </w:r>
      <w:r w:rsidR="004A01F1" w:rsidRPr="00F71381">
        <w:t xml:space="preserve"> </w:t>
      </w:r>
      <w:r w:rsidR="00171ABC" w:rsidRPr="00F71381">
        <w:t>management</w:t>
      </w:r>
      <w:r w:rsidR="007C50B0">
        <w:t>.</w:t>
      </w:r>
    </w:p>
    <w:p w14:paraId="29D52BB7" w14:textId="78F5E840" w:rsidR="00171ABC" w:rsidRPr="00F71381" w:rsidRDefault="00E75C3B" w:rsidP="004066C9">
      <w:pPr>
        <w:pStyle w:val="Bullet1"/>
        <w:ind w:left="567" w:hanging="567"/>
      </w:pPr>
      <w:r>
        <w:t>r</w:t>
      </w:r>
      <w:r w:rsidRPr="00F71381">
        <w:t xml:space="preserve">eceive </w:t>
      </w:r>
      <w:r w:rsidR="00171ABC" w:rsidRPr="00F71381">
        <w:t>appropriate resourcing proportionate to the scale of business/risk</w:t>
      </w:r>
      <w:r w:rsidR="007C50B0">
        <w:t>.</w:t>
      </w:r>
    </w:p>
    <w:p w14:paraId="71FAD98E" w14:textId="68F8C3D1" w:rsidR="00171ABC" w:rsidRPr="00F71381" w:rsidRDefault="00E75C3B" w:rsidP="004066C9">
      <w:pPr>
        <w:pStyle w:val="Bullet1"/>
        <w:ind w:left="567" w:hanging="567"/>
      </w:pPr>
      <w:r>
        <w:t>a</w:t>
      </w:r>
      <w:r w:rsidRPr="00F71381">
        <w:t xml:space="preserve">re </w:t>
      </w:r>
      <w:r w:rsidR="00171ABC" w:rsidRPr="00F71381">
        <w:t>applied to relevant situations, including the process of engaging third parties and in mergers and acquisitions</w:t>
      </w:r>
      <w:r w:rsidR="007C50B0">
        <w:t>.</w:t>
      </w:r>
    </w:p>
    <w:p w14:paraId="66B17292" w14:textId="1E1E4E7B" w:rsidR="004E2804" w:rsidRDefault="00E75C3B" w:rsidP="00DC1D62">
      <w:pPr>
        <w:pStyle w:val="Bullet1"/>
        <w:ind w:left="567" w:hanging="567"/>
      </w:pPr>
      <w:r>
        <w:t>a</w:t>
      </w:r>
      <w:r w:rsidRPr="00F71381">
        <w:t xml:space="preserve">re </w:t>
      </w:r>
      <w:r w:rsidR="00171ABC" w:rsidRPr="00F71381">
        <w:t xml:space="preserve">tailored to reflect </w:t>
      </w:r>
      <w:r w:rsidR="004A01F1">
        <w:t>the</w:t>
      </w:r>
      <w:r w:rsidR="00171ABC" w:rsidRPr="00F71381">
        <w:t xml:space="preserve"> corporation’s risk profile</w:t>
      </w:r>
      <w:r w:rsidR="0054099A">
        <w:t>.</w:t>
      </w:r>
    </w:p>
    <w:p w14:paraId="2C9F3AFC" w14:textId="0BB597B5" w:rsidR="007B26EC" w:rsidRPr="002F1EB3" w:rsidRDefault="00F82E33" w:rsidP="00F71381">
      <w:pPr>
        <w:spacing w:before="240"/>
      </w:pPr>
      <w:r>
        <w:t xml:space="preserve">The processes for conducting risk </w:t>
      </w:r>
      <w:r w:rsidR="007B26EC">
        <w:t>assessment</w:t>
      </w:r>
      <w:r>
        <w:t>s</w:t>
      </w:r>
      <w:r w:rsidR="007B26EC">
        <w:t xml:space="preserve"> and due diligence </w:t>
      </w:r>
      <w:r>
        <w:t xml:space="preserve">are </w:t>
      </w:r>
      <w:r w:rsidR="007B26EC">
        <w:t xml:space="preserve">covered in </w:t>
      </w:r>
      <w:hyperlink w:anchor="_5._Risk_Assessment" w:history="1">
        <w:r w:rsidR="007C01BA">
          <w:rPr>
            <w:rStyle w:val="Hyperlink"/>
          </w:rPr>
          <w:t>Section</w:t>
        </w:r>
      </w:hyperlink>
      <w:r w:rsidR="007C01BA">
        <w:rPr>
          <w:rStyle w:val="Hyperlink"/>
        </w:rPr>
        <w:t xml:space="preserve"> 4</w:t>
      </w:r>
      <w:r>
        <w:t xml:space="preserve"> </w:t>
      </w:r>
      <w:r w:rsidR="007B26EC">
        <w:t>of this guidance.</w:t>
      </w:r>
    </w:p>
    <w:p w14:paraId="5B38EFD1" w14:textId="701AE62E" w:rsidR="004E2804" w:rsidRPr="00B832C1" w:rsidRDefault="004E2804" w:rsidP="004E2804">
      <w:pPr>
        <w:pStyle w:val="Heading4"/>
      </w:pPr>
      <w:r>
        <w:t>Third</w:t>
      </w:r>
      <w:r w:rsidR="00626090">
        <w:t>-</w:t>
      </w:r>
      <w:r w:rsidR="00546366">
        <w:t>p</w:t>
      </w:r>
      <w:r>
        <w:t>arty oversight</w:t>
      </w:r>
    </w:p>
    <w:p w14:paraId="7589051F" w14:textId="7407EF54" w:rsidR="00266F6F" w:rsidRPr="00F71381" w:rsidRDefault="00266F6F" w:rsidP="00F71381">
      <w:pPr>
        <w:spacing w:before="240"/>
      </w:pPr>
      <w:r w:rsidRPr="00F71381">
        <w:t>Careful and proper use of third parties, such as agents,</w:t>
      </w:r>
      <w:r w:rsidRPr="00F71381" w:rsidDel="00A166C7">
        <w:t xml:space="preserve"> </w:t>
      </w:r>
      <w:r w:rsidRPr="00F71381">
        <w:t>in dealing with foreign official</w:t>
      </w:r>
      <w:r w:rsidR="004A01F1">
        <w:t>s</w:t>
      </w:r>
      <w:r w:rsidRPr="00F71381">
        <w:t xml:space="preserve"> may be demonstrated if their use is:</w:t>
      </w:r>
    </w:p>
    <w:p w14:paraId="24967531" w14:textId="4E694E09" w:rsidR="00266F6F" w:rsidRPr="00F71381" w:rsidRDefault="00E75C3B" w:rsidP="00F71381">
      <w:pPr>
        <w:pStyle w:val="Bullet1"/>
        <w:ind w:left="567" w:hanging="567"/>
      </w:pPr>
      <w:r>
        <w:lastRenderedPageBreak/>
        <w:t xml:space="preserve">supported </w:t>
      </w:r>
      <w:r w:rsidR="00266F6F" w:rsidRPr="00F71381">
        <w:t>by a clear business rationale</w:t>
      </w:r>
      <w:r w:rsidR="007C50B0">
        <w:t>.</w:t>
      </w:r>
    </w:p>
    <w:p w14:paraId="3B1AA740" w14:textId="0AF61585" w:rsidR="00266F6F" w:rsidRPr="00F71381" w:rsidRDefault="00E75C3B" w:rsidP="00F71381">
      <w:pPr>
        <w:pStyle w:val="Bullet1"/>
        <w:ind w:left="567" w:hanging="567"/>
      </w:pPr>
      <w:r>
        <w:t>s</w:t>
      </w:r>
      <w:r w:rsidR="00266F6F" w:rsidRPr="00F71381">
        <w:t>ubject to oversight</w:t>
      </w:r>
      <w:r w:rsidR="0054099A">
        <w:t>, including</w:t>
      </w:r>
      <w:r w:rsidR="00266F6F" w:rsidRPr="00F71381">
        <w:t xml:space="preserve"> by top</w:t>
      </w:r>
      <w:r w:rsidR="007A065A">
        <w:t>-</w:t>
      </w:r>
      <w:r w:rsidR="00266F6F" w:rsidRPr="00F71381">
        <w:t>level management</w:t>
      </w:r>
      <w:r>
        <w:t>,</w:t>
      </w:r>
      <w:r w:rsidR="0054099A">
        <w:t xml:space="preserve"> where appropriate</w:t>
      </w:r>
      <w:r w:rsidR="007C50B0">
        <w:t>.</w:t>
      </w:r>
    </w:p>
    <w:p w14:paraId="088F22E9" w14:textId="1DA45693" w:rsidR="00266F6F" w:rsidRPr="00F71381" w:rsidRDefault="00E75C3B" w:rsidP="00F71381">
      <w:pPr>
        <w:pStyle w:val="Bullet1"/>
        <w:ind w:left="567" w:hanging="567"/>
      </w:pPr>
      <w:r>
        <w:t>s</w:t>
      </w:r>
      <w:r w:rsidR="00266F6F" w:rsidRPr="00F71381">
        <w:t>ubject to clear contractual terms that describe the services to be performed</w:t>
      </w:r>
      <w:r w:rsidR="007C50B0">
        <w:t>.</w:t>
      </w:r>
    </w:p>
    <w:p w14:paraId="763B0441" w14:textId="449A1547" w:rsidR="00266F6F" w:rsidRPr="00F71381" w:rsidRDefault="00E75C3B" w:rsidP="00F71381">
      <w:pPr>
        <w:pStyle w:val="Bullet1"/>
        <w:ind w:left="567" w:hanging="567"/>
      </w:pPr>
      <w:r>
        <w:t>s</w:t>
      </w:r>
      <w:r w:rsidR="00266F6F" w:rsidRPr="00F71381">
        <w:t>ubject to appropriate payment terms and mechanisms to ensure the contractual work is performed</w:t>
      </w:r>
      <w:r w:rsidR="007C50B0">
        <w:t>.</w:t>
      </w:r>
    </w:p>
    <w:p w14:paraId="4BE7536C" w14:textId="3694D719" w:rsidR="000219B4" w:rsidRDefault="00E75C3B" w:rsidP="00656EA9">
      <w:pPr>
        <w:pStyle w:val="Bullet1"/>
        <w:spacing w:after="0" w:line="240" w:lineRule="auto"/>
        <w:ind w:left="567" w:hanging="567"/>
      </w:pPr>
      <w:r>
        <w:t>c</w:t>
      </w:r>
      <w:r w:rsidR="00266F6F" w:rsidRPr="00F71381">
        <w:t>ompensated proportionate to the value of the services provided.</w:t>
      </w:r>
    </w:p>
    <w:p w14:paraId="2564F30E" w14:textId="69D3494F" w:rsidR="00733434" w:rsidRDefault="00733434">
      <w:pPr>
        <w:spacing w:after="0" w:line="240" w:lineRule="auto"/>
      </w:pPr>
      <w:r>
        <w:br w:type="page"/>
      </w:r>
    </w:p>
    <w:p w14:paraId="21E1E3BF" w14:textId="070C9CD9" w:rsidR="00203993" w:rsidRDefault="00E6683B" w:rsidP="00203993">
      <w:pPr>
        <w:pStyle w:val="Heading1"/>
        <w:spacing w:beforeLines="100" w:before="240"/>
        <w:jc w:val="left"/>
      </w:pPr>
      <w:bookmarkStart w:id="5" w:name="_Toc163563343"/>
      <w:r>
        <w:lastRenderedPageBreak/>
        <w:t>3</w:t>
      </w:r>
      <w:r w:rsidR="00203993">
        <w:t>. Responsibilities of top-level management</w:t>
      </w:r>
      <w:bookmarkEnd w:id="5"/>
      <w:r w:rsidR="00203993">
        <w:t xml:space="preserve"> </w:t>
      </w:r>
    </w:p>
    <w:p w14:paraId="0AD604C4" w14:textId="49CD1F45" w:rsidR="002413A7" w:rsidRDefault="00734F4B">
      <w:pPr>
        <w:spacing w:before="240"/>
      </w:pPr>
      <w:r>
        <w:t xml:space="preserve">A </w:t>
      </w:r>
      <w:r w:rsidR="006E77C1">
        <w:t xml:space="preserve">corporation’s top-level management personnel should play a critical role in </w:t>
      </w:r>
      <w:r w:rsidR="00955AE2">
        <w:t xml:space="preserve">developing, implementing and promoting </w:t>
      </w:r>
      <w:r w:rsidR="006E77C1">
        <w:t xml:space="preserve">its anti-bribery </w:t>
      </w:r>
      <w:r w:rsidR="00E35F90">
        <w:t xml:space="preserve">compliance </w:t>
      </w:r>
      <w:r w:rsidR="006E77C1">
        <w:t xml:space="preserve">program. </w:t>
      </w:r>
      <w:r w:rsidR="00955AE2">
        <w:t xml:space="preserve">Top-level management also has the responsibility for fostering an anti-bribery culture within the corporation. </w:t>
      </w:r>
      <w:r w:rsidR="00C044EA">
        <w:t xml:space="preserve">Top-level management </w:t>
      </w:r>
      <w:r w:rsidR="00BF580E">
        <w:t>can include</w:t>
      </w:r>
      <w:r w:rsidR="00C044EA">
        <w:t xml:space="preserve"> the owners of a</w:t>
      </w:r>
      <w:r w:rsidR="00B4496C">
        <w:t xml:space="preserve"> small-</w:t>
      </w:r>
      <w:r w:rsidR="00BB31D8">
        <w:t>to-</w:t>
      </w:r>
      <w:r w:rsidR="00B4496C">
        <w:t xml:space="preserve">medium </w:t>
      </w:r>
      <w:r w:rsidR="00172FC1">
        <w:t xml:space="preserve">sized </w:t>
      </w:r>
      <w:r w:rsidR="00B4496C">
        <w:t>enterprise (SME)</w:t>
      </w:r>
      <w:r w:rsidR="00C044EA">
        <w:t>,</w:t>
      </w:r>
      <w:r w:rsidR="008A4EFE">
        <w:t xml:space="preserve"> the Chief Executive Officer and executive team,</w:t>
      </w:r>
      <w:r w:rsidR="00C044EA">
        <w:t xml:space="preserve"> a board of directors or equiva</w:t>
      </w:r>
      <w:r w:rsidR="00B4496C">
        <w:t xml:space="preserve">lent persons within a corporation. </w:t>
      </w:r>
      <w:r w:rsidR="003215CF">
        <w:t>Small and large corporations will likely take different approaches to achieving top-level management commitment to the corporation’s anti-bribery compliance program.</w:t>
      </w:r>
    </w:p>
    <w:p w14:paraId="7FCB679E" w14:textId="46C69639" w:rsidR="00955AE2" w:rsidRDefault="00955AE2">
      <w:pPr>
        <w:spacing w:before="240"/>
      </w:pPr>
      <w:r>
        <w:t>Top-level management’s role in developing</w:t>
      </w:r>
      <w:r w:rsidR="00575719">
        <w:t xml:space="preserve"> an</w:t>
      </w:r>
      <w:r>
        <w:t xml:space="preserve"> anti-bribery</w:t>
      </w:r>
      <w:r w:rsidR="00E35F90">
        <w:t xml:space="preserve"> compliance</w:t>
      </w:r>
      <w:r>
        <w:t xml:space="preserve"> program </w:t>
      </w:r>
      <w:r w:rsidR="004C20C1">
        <w:t xml:space="preserve">could </w:t>
      </w:r>
      <w:r w:rsidR="004A01F1">
        <w:t>include</w:t>
      </w:r>
      <w:r>
        <w:t xml:space="preserve">: </w:t>
      </w:r>
    </w:p>
    <w:p w14:paraId="7F7EBDA7" w14:textId="6F2B3B69" w:rsidR="00955AE2" w:rsidRDefault="00122178" w:rsidP="00955AE2">
      <w:pPr>
        <w:pStyle w:val="Bullet1"/>
        <w:ind w:left="567" w:hanging="567"/>
      </w:pPr>
      <w:r>
        <w:t>P</w:t>
      </w:r>
      <w:r w:rsidR="00955AE2">
        <w:t xml:space="preserve">roviding leadership on the corporation’s </w:t>
      </w:r>
      <w:r w:rsidR="00287B18">
        <w:t>anti-</w:t>
      </w:r>
      <w:r w:rsidR="00955AE2">
        <w:t>bribery policies, demonstrated by management initiating the policy development and subsequent reviews, and by insisting on thorough and effective compliance measures</w:t>
      </w:r>
      <w:r w:rsidR="005F0207">
        <w:t>.</w:t>
      </w:r>
    </w:p>
    <w:p w14:paraId="1A717123" w14:textId="0E958930" w:rsidR="00955AE2" w:rsidRDefault="00122178" w:rsidP="00955AE2">
      <w:pPr>
        <w:pStyle w:val="Bullet1"/>
        <w:ind w:left="567" w:hanging="567"/>
      </w:pPr>
      <w:r>
        <w:t>S</w:t>
      </w:r>
      <w:r w:rsidR="00955AE2">
        <w:t>electing senior managers to lead anti-bribery work (or, particularly in the case of small businesses, h</w:t>
      </w:r>
      <w:r w:rsidR="00575719">
        <w:t>aving top-level management involved in leading the work)</w:t>
      </w:r>
      <w:r w:rsidR="005F0207">
        <w:t>.</w:t>
      </w:r>
    </w:p>
    <w:p w14:paraId="7F8D30C3" w14:textId="68930BE0" w:rsidR="00575719" w:rsidRDefault="00122178" w:rsidP="00955AE2">
      <w:pPr>
        <w:pStyle w:val="Bullet1"/>
        <w:ind w:left="567" w:hanging="567"/>
      </w:pPr>
      <w:r>
        <w:t>E</w:t>
      </w:r>
      <w:r w:rsidR="00575719">
        <w:t>ndorsing bribery</w:t>
      </w:r>
      <w:r w:rsidR="00287B18">
        <w:t xml:space="preserve"> </w:t>
      </w:r>
      <w:r w:rsidR="00575719">
        <w:t>prevention publications</w:t>
      </w:r>
      <w:r w:rsidR="005F0207">
        <w:t>.</w:t>
      </w:r>
    </w:p>
    <w:p w14:paraId="013924F7" w14:textId="5ACB4087" w:rsidR="00575719" w:rsidRDefault="00122178" w:rsidP="00955AE2">
      <w:pPr>
        <w:pStyle w:val="Bullet1"/>
        <w:ind w:left="567" w:hanging="567"/>
      </w:pPr>
      <w:r>
        <w:t>H</w:t>
      </w:r>
      <w:r w:rsidR="00575719">
        <w:t>aving specific involvement in high</w:t>
      </w:r>
      <w:r w:rsidR="00B0247B">
        <w:t>-</w:t>
      </w:r>
      <w:r w:rsidR="00575719">
        <w:t>profile and critical decision-making where appropriate</w:t>
      </w:r>
      <w:r w:rsidR="00B63985">
        <w:t>.</w:t>
      </w:r>
    </w:p>
    <w:p w14:paraId="1E1FFD68" w14:textId="273950AF" w:rsidR="00575719" w:rsidRDefault="00122178" w:rsidP="00955AE2">
      <w:pPr>
        <w:pStyle w:val="Bullet1"/>
        <w:ind w:left="567" w:hanging="567"/>
      </w:pPr>
      <w:r>
        <w:t>P</w:t>
      </w:r>
      <w:r w:rsidR="00575719">
        <w:t>roviding oversight and assurance of the corruption risk assessment</w:t>
      </w:r>
      <w:r w:rsidR="005F0207">
        <w:t>.</w:t>
      </w:r>
    </w:p>
    <w:p w14:paraId="1E15CAF8" w14:textId="7A983F8D" w:rsidR="00575719" w:rsidRDefault="00575719" w:rsidP="00575719">
      <w:pPr>
        <w:spacing w:before="240"/>
      </w:pPr>
      <w:r>
        <w:t xml:space="preserve">Top-level management’s role in implementation and promotion </w:t>
      </w:r>
      <w:r w:rsidR="001847C1">
        <w:t xml:space="preserve">of an anti-bribery compliance program </w:t>
      </w:r>
      <w:r>
        <w:t>could include:</w:t>
      </w:r>
    </w:p>
    <w:p w14:paraId="7B41798C" w14:textId="249E3741" w:rsidR="00575719" w:rsidRDefault="00122178" w:rsidP="00575719">
      <w:pPr>
        <w:pStyle w:val="Bullet1"/>
        <w:ind w:left="567" w:hanging="567"/>
      </w:pPr>
      <w:r>
        <w:t>C</w:t>
      </w:r>
      <w:r w:rsidR="00575719">
        <w:t xml:space="preserve">ommunicating the corporation’s anti-bribery stance, for example, through a </w:t>
      </w:r>
      <w:r w:rsidR="003937A5">
        <w:t xml:space="preserve">visible </w:t>
      </w:r>
      <w:r w:rsidR="006D2D8D">
        <w:t xml:space="preserve">and easily accessible </w:t>
      </w:r>
      <w:r w:rsidR="00575719">
        <w:t>statement that demonstrates a top-level dedication to preventing bribery, a culture of integrity and a zero-tolerance approach to corruption</w:t>
      </w:r>
      <w:r w:rsidR="00E64EE4">
        <w:t>.</w:t>
      </w:r>
    </w:p>
    <w:p w14:paraId="2B369DBB" w14:textId="0D93935A" w:rsidR="00575719" w:rsidRDefault="00122178" w:rsidP="00575719">
      <w:pPr>
        <w:pStyle w:val="Bullet1"/>
        <w:ind w:left="567" w:hanging="567"/>
      </w:pPr>
      <w:r>
        <w:t>O</w:t>
      </w:r>
      <w:r w:rsidR="00575719">
        <w:t xml:space="preserve">verseeing the development of a code of conduct that reflects the anti-bribery </w:t>
      </w:r>
      <w:r w:rsidR="004C20C1">
        <w:t xml:space="preserve">compliance </w:t>
      </w:r>
      <w:r w:rsidR="00575719">
        <w:t xml:space="preserve">program and ensuring accessibility of </w:t>
      </w:r>
      <w:r w:rsidR="009F1644">
        <w:t xml:space="preserve">the </w:t>
      </w:r>
      <w:r w:rsidR="00575719">
        <w:t>code to staff and third parties</w:t>
      </w:r>
      <w:r w:rsidR="00E64EE4">
        <w:t>.</w:t>
      </w:r>
    </w:p>
    <w:p w14:paraId="77574A51" w14:textId="0A80C0E1" w:rsidR="00585531" w:rsidRPr="00EF255B" w:rsidRDefault="00585531" w:rsidP="00585531">
      <w:pPr>
        <w:pStyle w:val="Bullet1"/>
        <w:ind w:left="567" w:hanging="567"/>
      </w:pPr>
      <w:r w:rsidRPr="00EF255B">
        <w:t>Emphasising that compliance with the co</w:t>
      </w:r>
      <w:r w:rsidR="00C15162">
        <w:t>rporation</w:t>
      </w:r>
      <w:r w:rsidRPr="00EF255B">
        <w:t xml:space="preserve">’s anti-bribery </w:t>
      </w:r>
      <w:r w:rsidR="006C2873">
        <w:t xml:space="preserve">compliance program </w:t>
      </w:r>
      <w:r w:rsidRPr="00EF255B">
        <w:t xml:space="preserve">is </w:t>
      </w:r>
      <w:r w:rsidR="005B4671" w:rsidRPr="00EF255B">
        <w:t>a responsibility of employees</w:t>
      </w:r>
      <w:r w:rsidR="00426238" w:rsidRPr="00EF255B">
        <w:t xml:space="preserve"> and relevant </w:t>
      </w:r>
      <w:r w:rsidR="005B4671" w:rsidRPr="00EF255B">
        <w:t xml:space="preserve">third parties at all levels of the </w:t>
      </w:r>
      <w:r w:rsidR="00C15162">
        <w:t>corporation</w:t>
      </w:r>
      <w:r w:rsidR="00E64EE4" w:rsidRPr="00EF255B">
        <w:t>.</w:t>
      </w:r>
    </w:p>
    <w:p w14:paraId="4721A0EA" w14:textId="39831318" w:rsidR="00C0376A" w:rsidRDefault="00122178" w:rsidP="00575719">
      <w:pPr>
        <w:pStyle w:val="Bullet1"/>
        <w:ind w:left="567" w:hanging="567"/>
      </w:pPr>
      <w:r>
        <w:t>G</w:t>
      </w:r>
      <w:r w:rsidR="00E010C4">
        <w:t>enerally overseeing responses to breaches of policies</w:t>
      </w:r>
      <w:r w:rsidR="00BD0D1E">
        <w:t xml:space="preserve"> and the provision of feedback, where appropriate, to the board of directors (or equivalent body) on levels of compliance</w:t>
      </w:r>
      <w:r w:rsidR="005F0207">
        <w:t>.</w:t>
      </w:r>
    </w:p>
    <w:p w14:paraId="1302DCC1" w14:textId="748064F2" w:rsidR="00BD0D1E" w:rsidRDefault="00122178" w:rsidP="00575719">
      <w:pPr>
        <w:pStyle w:val="Bullet1"/>
        <w:ind w:left="567" w:hanging="567"/>
      </w:pPr>
      <w:r>
        <w:t>P</w:t>
      </w:r>
      <w:r w:rsidR="00BD0D1E">
        <w:t>romoting the business and social benefits of preventing bribery</w:t>
      </w:r>
      <w:r w:rsidR="005F0207">
        <w:t>.</w:t>
      </w:r>
    </w:p>
    <w:p w14:paraId="2C6DA976" w14:textId="42776178" w:rsidR="00BD0D1E" w:rsidRDefault="00122178" w:rsidP="00575719">
      <w:pPr>
        <w:pStyle w:val="Bullet1"/>
        <w:ind w:left="567" w:hanging="567"/>
      </w:pPr>
      <w:r>
        <w:t>E</w:t>
      </w:r>
      <w:r w:rsidR="00BD0D1E">
        <w:t>liminating inappropriate incentives that could lead to increased risk</w:t>
      </w:r>
      <w:r w:rsidR="005F0207">
        <w:t>.</w:t>
      </w:r>
    </w:p>
    <w:p w14:paraId="7B7C32EB" w14:textId="67122136" w:rsidR="00BD0D1E" w:rsidRDefault="00122178" w:rsidP="002D0C4E">
      <w:pPr>
        <w:pStyle w:val="Bullet1"/>
        <w:ind w:left="567" w:hanging="567"/>
      </w:pPr>
      <w:r>
        <w:t>P</w:t>
      </w:r>
      <w:r w:rsidR="00BD0D1E">
        <w:t xml:space="preserve">romoting and raising awareness of the corporation’s </w:t>
      </w:r>
      <w:r w:rsidR="00B63985">
        <w:t>anti-bribery compliance program</w:t>
      </w:r>
      <w:r w:rsidR="00BD0D1E">
        <w:t xml:space="preserve"> and code of conduct among associates where there is a foreign bribery risk, including any protection and procedures for confidential reporting of bribery (whistleblowing). </w:t>
      </w:r>
    </w:p>
    <w:p w14:paraId="55780CE3" w14:textId="2EA5FD2A" w:rsidR="00567D26" w:rsidRDefault="00105439" w:rsidP="001C7E66">
      <w:pPr>
        <w:spacing w:after="0" w:line="240" w:lineRule="auto"/>
      </w:pPr>
      <w:r>
        <w:rPr>
          <w:noProof/>
        </w:rPr>
        <w:lastRenderedPageBreak/>
        <mc:AlternateContent>
          <mc:Choice Requires="wps">
            <w:drawing>
              <wp:anchor distT="45720" distB="45720" distL="114300" distR="114300" simplePos="0" relativeHeight="251757568" behindDoc="0" locked="0" layoutInCell="1" allowOverlap="1" wp14:anchorId="16331D83" wp14:editId="1E435824">
                <wp:simplePos x="0" y="0"/>
                <wp:positionH relativeFrom="margin">
                  <wp:align>left</wp:align>
                </wp:positionH>
                <wp:positionV relativeFrom="paragraph">
                  <wp:posOffset>384810</wp:posOffset>
                </wp:positionV>
                <wp:extent cx="6322695" cy="4229100"/>
                <wp:effectExtent l="0" t="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4229100"/>
                        </a:xfrm>
                        <a:prstGeom prst="rect">
                          <a:avLst/>
                        </a:prstGeom>
                        <a:solidFill>
                          <a:schemeClr val="accent1">
                            <a:lumMod val="60000"/>
                            <a:lumOff val="40000"/>
                          </a:schemeClr>
                        </a:solidFill>
                        <a:ln w="9525">
                          <a:noFill/>
                          <a:miter lim="800000"/>
                          <a:headEnd/>
                          <a:tailEnd/>
                        </a:ln>
                      </wps:spPr>
                      <wps:txbx>
                        <w:txbxContent>
                          <w:p w14:paraId="7C23EF4A" w14:textId="63EB3566" w:rsidR="00E75C3B" w:rsidRDefault="00E75C3B" w:rsidP="00CF4A47">
                            <w:pPr>
                              <w:rPr>
                                <w:b/>
                                <w:i/>
                              </w:rPr>
                            </w:pPr>
                            <w:r>
                              <w:rPr>
                                <w:b/>
                                <w:i/>
                              </w:rPr>
                              <w:t>Case Study – Top-level commitment to preventing foreign bribery</w:t>
                            </w:r>
                          </w:p>
                          <w:p w14:paraId="4AE96BE9" w14:textId="121E83C3" w:rsidR="00E75C3B" w:rsidRDefault="00E75C3B" w:rsidP="00EE6D5E">
                            <w:r>
                              <w:t>Magnus Minerals is a medium-sized company seeking contracts in markets abroad where it is aware there is a high risk of bribery. The company has in place suitable procedures and written policies to prevent foreign bribery and that sufficiently respond to a recent risk assessment of the foreign market. As a next step, the company’s senior management wants to demonstrate its dedication to ethical business practices and to preventing foreign bribery.</w:t>
                            </w:r>
                          </w:p>
                          <w:p w14:paraId="77DD95C5" w14:textId="78DF51AD" w:rsidR="00E75C3B" w:rsidRDefault="00E75C3B" w:rsidP="00EE6D5E">
                            <w:r>
                              <w:t xml:space="preserve">Prior to submitting any tenders or entering into negotiations for contracts in those markets, Magnus Minerals’ top-level management could make a clear statement about its commitment to carry out business fairly, honestly, in compliance with the law and with zero tolerance for foreign bribery and other forms of corruption. The statement could reference the company’s existing anti-bribery compliance program including its bribery prevention controls. It could be disseminated to staff and key business partners. Staff could be asked to sign a declaration in support of the program. </w:t>
                            </w:r>
                          </w:p>
                          <w:p w14:paraId="4E4FBBB0" w14:textId="1DC35740" w:rsidR="00E75C3B" w:rsidRPr="00A92129" w:rsidRDefault="00E75C3B" w:rsidP="00105439">
                            <w:r>
                              <w:t xml:space="preserve">The company could also develop a code of conduct that covers foreign bribery prevention and makes existing bribery prevention controls easier for staff to understand. The code should be accessible to staff and third parties e.g. by being published on Magnus Minerals’ website. Top-level management could continue to emphasise, during meetings and other interactions with staff and associates, the importance of applying the code of conduct in practice, the benefits of ethical business practices and the consequences of breaching the code. </w:t>
                            </w:r>
                          </w:p>
                          <w:p w14:paraId="07A1C2B2" w14:textId="77777777" w:rsidR="00E75C3B" w:rsidRPr="00C31589" w:rsidRDefault="00E75C3B" w:rsidP="00CF4A47">
                            <w:pPr>
                              <w:rPr>
                                <w:b/>
                              </w:rPr>
                            </w:pPr>
                          </w:p>
                          <w:p w14:paraId="63B6DFC2" w14:textId="77777777" w:rsidR="00E75C3B" w:rsidRDefault="00E75C3B" w:rsidP="00CF4A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31D83" id="_x0000_t202" coordsize="21600,21600" o:spt="202" path="m,l,21600r21600,l21600,xe">
                <v:stroke joinstyle="miter"/>
                <v:path gradientshapeok="t" o:connecttype="rect"/>
              </v:shapetype>
              <v:shape id="_x0000_s1028" type="#_x0000_t202" style="position:absolute;margin-left:0;margin-top:30.3pt;width:497.85pt;height:33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" fillcolor="#95b3d7 [1940]" stroked="f">
                <v:textbox>
                  <w:txbxContent>
                    <w:p w14:paraId="7C23EF4A" w14:textId="63EB3566" w:rsidR="00E75C3B" w:rsidRDefault="00E75C3B" w:rsidP="00CF4A47">
                      <w:pPr>
                        <w:rPr>
                          <w:b/>
                          <w:i/>
                        </w:rPr>
                      </w:pPr>
                      <w:r>
                        <w:rPr>
                          <w:b/>
                          <w:i/>
                        </w:rPr>
                        <w:t>Case Study – Top-level commitment to preventing foreign bribery</w:t>
                      </w:r>
                    </w:p>
                    <w:p w14:paraId="4AE96BE9" w14:textId="121E83C3" w:rsidR="00E75C3B" w:rsidRDefault="00E75C3B" w:rsidP="00EE6D5E">
                      <w:r>
                        <w:t>Magnus Minerals is a medium-sized company seeking contracts in markets abroad where it is aware there is a high risk of bribery. The company has in place suitable procedures and written policies to prevent foreign bribery and that sufficiently respond to a recent risk assessment of the foreign market. As a next step, the company’s senior management wants to demonstrate its dedication to ethical business practices and to preventing foreign bribery.</w:t>
                      </w:r>
                    </w:p>
                    <w:p w14:paraId="77DD95C5" w14:textId="78DF51AD" w:rsidR="00E75C3B" w:rsidRDefault="00E75C3B" w:rsidP="00EE6D5E">
                      <w:r>
                        <w:t xml:space="preserve">Prior to submitting any tenders or entering into negotiations for contracts in those markets, Magnus Minerals’ top-level management could make a clear statement about its commitment to carry out business fairly, honestly, in compliance with the law and with zero tolerance for foreign bribery and other forms of corruption. The statement could reference the company’s existing anti-bribery compliance program including its bribery prevention controls. It could be disseminated to staff and key business partners. Staff could be asked to sign a declaration in support of the program. </w:t>
                      </w:r>
                    </w:p>
                    <w:p w14:paraId="4E4FBBB0" w14:textId="1DC35740" w:rsidR="00E75C3B" w:rsidRPr="00A92129" w:rsidRDefault="00E75C3B" w:rsidP="00105439">
                      <w:r>
                        <w:t xml:space="preserve">The company could also develop a code of conduct that covers foreign bribery prevention and makes existing bribery prevention controls easier for staff to understand. The code should be accessible to staff and third parties e.g. by being published on Magnus Minerals’ website. Top-level management could continue to emphasise, during meetings and other interactions with staff and associates, the importance of applying the code of conduct in practice, the benefits of ethical business practices and the consequences of breaching the code. </w:t>
                      </w:r>
                    </w:p>
                    <w:p w14:paraId="07A1C2B2" w14:textId="77777777" w:rsidR="00E75C3B" w:rsidRPr="00C31589" w:rsidRDefault="00E75C3B" w:rsidP="00CF4A47">
                      <w:pPr>
                        <w:rPr>
                          <w:b/>
                        </w:rPr>
                      </w:pPr>
                    </w:p>
                    <w:p w14:paraId="63B6DFC2" w14:textId="77777777" w:rsidR="00E75C3B" w:rsidRDefault="00E75C3B" w:rsidP="00CF4A47"/>
                  </w:txbxContent>
                </v:textbox>
                <w10:wrap type="square" anchorx="margin"/>
              </v:shape>
            </w:pict>
          </mc:Fallback>
        </mc:AlternateContent>
      </w:r>
    </w:p>
    <w:p w14:paraId="7B5161DA" w14:textId="2CCD19A2" w:rsidR="000219B4" w:rsidRDefault="000219B4">
      <w:pPr>
        <w:spacing w:after="0" w:line="240" w:lineRule="auto"/>
      </w:pPr>
      <w:r>
        <w:br w:type="page"/>
      </w:r>
    </w:p>
    <w:p w14:paraId="3B8F42B2" w14:textId="22E52AB9" w:rsidR="0046202D" w:rsidRDefault="00E6683B" w:rsidP="0046202D">
      <w:pPr>
        <w:pStyle w:val="Heading1"/>
        <w:spacing w:beforeLines="100" w:before="240"/>
        <w:jc w:val="left"/>
      </w:pPr>
      <w:bookmarkStart w:id="6" w:name="_5._Risk_Assessment"/>
      <w:bookmarkStart w:id="7" w:name="_Toc139297581"/>
      <w:bookmarkStart w:id="8" w:name="_Toc163563344"/>
      <w:bookmarkEnd w:id="6"/>
      <w:r>
        <w:lastRenderedPageBreak/>
        <w:t>4</w:t>
      </w:r>
      <w:r w:rsidR="0046202D">
        <w:t>. Risk Assessment</w:t>
      </w:r>
      <w:bookmarkEnd w:id="7"/>
      <w:bookmarkEnd w:id="8"/>
    </w:p>
    <w:p w14:paraId="01FE85AD" w14:textId="02C8C513" w:rsidR="0046202D" w:rsidRDefault="00E6683B" w:rsidP="0046202D">
      <w:pPr>
        <w:pStyle w:val="Heading2"/>
      </w:pPr>
      <w:bookmarkStart w:id="9" w:name="_Toc139297582"/>
      <w:bookmarkStart w:id="10" w:name="_Toc163563345"/>
      <w:r>
        <w:t>4</w:t>
      </w:r>
      <w:r w:rsidR="0046202D">
        <w:t>.1 Overview</w:t>
      </w:r>
      <w:bookmarkEnd w:id="9"/>
      <w:bookmarkEnd w:id="10"/>
    </w:p>
    <w:p w14:paraId="1C5AFD9D" w14:textId="53A534D0" w:rsidR="0046202D" w:rsidRDefault="0046202D" w:rsidP="0046202D">
      <w:pPr>
        <w:spacing w:before="240"/>
      </w:pPr>
      <w:r>
        <w:t xml:space="preserve">Risk assessment is the </w:t>
      </w:r>
      <w:r w:rsidR="00B9611E">
        <w:t>basis</w:t>
      </w:r>
      <w:r>
        <w:t xml:space="preserve"> for the design of any anti-bribery </w:t>
      </w:r>
      <w:r w:rsidR="00E35F90">
        <w:t xml:space="preserve">compliance </w:t>
      </w:r>
      <w:r>
        <w:t>program, regardless of the size and risk</w:t>
      </w:r>
      <w:r w:rsidR="004C20C1">
        <w:t xml:space="preserve"> </w:t>
      </w:r>
      <w:r>
        <w:t xml:space="preserve">level of the corporation. A risk assessment gives a systemic view of where bribery risks lie and, as a result, a corporation can design its controls accordingly. </w:t>
      </w:r>
      <w:r w:rsidRPr="00437ABA">
        <w:t xml:space="preserve">A corporation that faces significant </w:t>
      </w:r>
      <w:r w:rsidR="002E191F">
        <w:t xml:space="preserve">foreign bribery </w:t>
      </w:r>
      <w:r w:rsidRPr="00437ABA">
        <w:t xml:space="preserve">risk </w:t>
      </w:r>
      <w:r w:rsidR="002E191F">
        <w:t>would require</w:t>
      </w:r>
      <w:r w:rsidRPr="00437ABA">
        <w:t xml:space="preserve"> </w:t>
      </w:r>
      <w:r>
        <w:t xml:space="preserve">a </w:t>
      </w:r>
      <w:r w:rsidRPr="00437ABA">
        <w:t xml:space="preserve">more extensive anti-bribery </w:t>
      </w:r>
      <w:r w:rsidR="008E14F5">
        <w:t xml:space="preserve">compliance </w:t>
      </w:r>
      <w:r>
        <w:t>program</w:t>
      </w:r>
      <w:r w:rsidRPr="00437ABA">
        <w:t xml:space="preserve"> </w:t>
      </w:r>
      <w:r>
        <w:t xml:space="preserve">compared to </w:t>
      </w:r>
      <w:r w:rsidRPr="00437ABA">
        <w:t xml:space="preserve">a corporation that faces lower risk. </w:t>
      </w:r>
    </w:p>
    <w:p w14:paraId="69C0399D" w14:textId="03E7F4B8" w:rsidR="0046202D" w:rsidRDefault="00815391" w:rsidP="0046202D">
      <w:pPr>
        <w:pStyle w:val="Heading2"/>
      </w:pPr>
      <w:bookmarkStart w:id="11" w:name="_Toc139297583"/>
      <w:bookmarkStart w:id="12" w:name="_Toc163563346"/>
      <w:r>
        <w:t>4</w:t>
      </w:r>
      <w:r w:rsidR="0046202D">
        <w:t>.2 The process</w:t>
      </w:r>
      <w:bookmarkEnd w:id="11"/>
      <w:bookmarkEnd w:id="12"/>
    </w:p>
    <w:p w14:paraId="0E6F3B1E" w14:textId="19B656CD" w:rsidR="0046202D" w:rsidRPr="0058675B" w:rsidRDefault="002E191F" w:rsidP="0046202D">
      <w:pPr>
        <w:spacing w:before="240"/>
      </w:pPr>
      <w:r>
        <w:t>Corporations should adopt</w:t>
      </w:r>
      <w:r w:rsidR="0046202D">
        <w:t xml:space="preserve"> </w:t>
      </w:r>
      <w:r w:rsidR="00E31A06">
        <w:t>a</w:t>
      </w:r>
      <w:r w:rsidR="0046202D" w:rsidRPr="0058675B">
        <w:t xml:space="preserve"> risk-based approach to developing an anti-bribery compliance progra</w:t>
      </w:r>
      <w:r w:rsidR="008E14F5">
        <w:t>m</w:t>
      </w:r>
      <w:r w:rsidR="0046202D">
        <w:t xml:space="preserve">. The approach involves </w:t>
      </w:r>
      <w:r w:rsidR="0007615A">
        <w:t>3</w:t>
      </w:r>
      <w:r w:rsidR="0046202D" w:rsidRPr="0058675B">
        <w:t xml:space="preserve"> key steps: </w:t>
      </w:r>
    </w:p>
    <w:p w14:paraId="5C3BA3C5" w14:textId="228B93B0" w:rsidR="0046202D" w:rsidRPr="0007615A" w:rsidRDefault="008E14F5" w:rsidP="00097710">
      <w:pPr>
        <w:pStyle w:val="Bullet1"/>
        <w:numPr>
          <w:ilvl w:val="0"/>
          <w:numId w:val="19"/>
        </w:numPr>
        <w:rPr>
          <w:rFonts w:asciiTheme="minorHAnsi" w:hAnsiTheme="minorHAnsi" w:cstheme="minorHAnsi"/>
        </w:rPr>
      </w:pPr>
      <w:r>
        <w:t>C</w:t>
      </w:r>
      <w:r w:rsidR="0046202D" w:rsidRPr="0007615A">
        <w:t>onduct</w:t>
      </w:r>
      <w:r w:rsidR="0046202D" w:rsidRPr="0007615A">
        <w:rPr>
          <w:rFonts w:asciiTheme="minorHAnsi" w:hAnsiTheme="minorHAnsi" w:cstheme="minorHAnsi"/>
        </w:rPr>
        <w:t xml:space="preserve"> a </w:t>
      </w:r>
      <w:r w:rsidR="002E191F" w:rsidRPr="0007615A">
        <w:rPr>
          <w:rFonts w:asciiTheme="minorHAnsi" w:hAnsiTheme="minorHAnsi" w:cstheme="minorHAnsi"/>
        </w:rPr>
        <w:t xml:space="preserve">bribery </w:t>
      </w:r>
      <w:r w:rsidR="0046202D" w:rsidRPr="0007615A">
        <w:rPr>
          <w:rFonts w:asciiTheme="minorHAnsi" w:hAnsiTheme="minorHAnsi" w:cstheme="minorHAnsi"/>
        </w:rPr>
        <w:t>risk assessment</w:t>
      </w:r>
      <w:r>
        <w:rPr>
          <w:rFonts w:asciiTheme="minorHAnsi" w:hAnsiTheme="minorHAnsi" w:cstheme="minorHAnsi"/>
        </w:rPr>
        <w:t>.</w:t>
      </w:r>
      <w:r w:rsidR="0046202D" w:rsidRPr="0007615A">
        <w:rPr>
          <w:rFonts w:asciiTheme="minorHAnsi" w:hAnsiTheme="minorHAnsi" w:cstheme="minorHAnsi"/>
        </w:rPr>
        <w:t xml:space="preserve"> </w:t>
      </w:r>
    </w:p>
    <w:p w14:paraId="7706AD68" w14:textId="5550F9FC" w:rsidR="0046202D" w:rsidRPr="009E04F3" w:rsidRDefault="008E14F5" w:rsidP="00097710">
      <w:pPr>
        <w:pStyle w:val="Bullet1"/>
        <w:numPr>
          <w:ilvl w:val="0"/>
          <w:numId w:val="19"/>
        </w:numPr>
        <w:rPr>
          <w:rFonts w:asciiTheme="minorHAnsi" w:hAnsiTheme="minorHAnsi" w:cstheme="minorHAnsi"/>
        </w:rPr>
      </w:pPr>
      <w:r>
        <w:rPr>
          <w:rFonts w:asciiTheme="minorHAnsi" w:hAnsiTheme="minorHAnsi" w:cstheme="minorHAnsi"/>
        </w:rPr>
        <w:t>R</w:t>
      </w:r>
      <w:r w:rsidR="0046202D" w:rsidRPr="009E04F3">
        <w:rPr>
          <w:rFonts w:asciiTheme="minorHAnsi" w:hAnsiTheme="minorHAnsi" w:cstheme="minorHAnsi"/>
        </w:rPr>
        <w:t>ate the risk</w:t>
      </w:r>
      <w:r>
        <w:rPr>
          <w:rFonts w:asciiTheme="minorHAnsi" w:hAnsiTheme="minorHAnsi" w:cstheme="minorHAnsi"/>
        </w:rPr>
        <w:t>.</w:t>
      </w:r>
    </w:p>
    <w:p w14:paraId="56375DC0" w14:textId="45888CBA" w:rsidR="0046202D" w:rsidRPr="0007615A" w:rsidRDefault="008E14F5" w:rsidP="00097710">
      <w:pPr>
        <w:pStyle w:val="Bullet1"/>
        <w:numPr>
          <w:ilvl w:val="0"/>
          <w:numId w:val="19"/>
        </w:numPr>
        <w:rPr>
          <w:rFonts w:asciiTheme="minorHAnsi" w:hAnsiTheme="minorHAnsi" w:cstheme="minorHAnsi"/>
        </w:rPr>
      </w:pPr>
      <w:r>
        <w:rPr>
          <w:rFonts w:asciiTheme="minorHAnsi" w:hAnsiTheme="minorHAnsi" w:cstheme="minorHAnsi"/>
        </w:rPr>
        <w:t>D</w:t>
      </w:r>
      <w:r w:rsidR="0046202D" w:rsidRPr="009E04F3">
        <w:rPr>
          <w:rFonts w:asciiTheme="minorHAnsi" w:hAnsiTheme="minorHAnsi" w:cstheme="minorHAnsi"/>
        </w:rPr>
        <w:t>ocument the process and findings.</w:t>
      </w:r>
    </w:p>
    <w:p w14:paraId="2514690A" w14:textId="6ADCDAA0" w:rsidR="0046202D" w:rsidRDefault="00815391" w:rsidP="0046202D">
      <w:pPr>
        <w:pStyle w:val="Heading3"/>
        <w:spacing w:beforeLines="100" w:before="240"/>
      </w:pPr>
      <w:bookmarkStart w:id="13" w:name="_Toc139297584"/>
      <w:r>
        <w:t>4</w:t>
      </w:r>
      <w:r w:rsidR="0046202D">
        <w:t>.</w:t>
      </w:r>
      <w:r w:rsidR="00D5016B">
        <w:t>2</w:t>
      </w:r>
      <w:r w:rsidR="0046202D">
        <w:t xml:space="preserve">.1 Conducting a </w:t>
      </w:r>
      <w:r w:rsidR="002E191F">
        <w:t xml:space="preserve">bribery </w:t>
      </w:r>
      <w:r w:rsidR="0046202D">
        <w:t>risk assessment</w:t>
      </w:r>
      <w:bookmarkEnd w:id="13"/>
    </w:p>
    <w:p w14:paraId="1B0E79C1" w14:textId="15C97C44" w:rsidR="0046202D" w:rsidRDefault="002E191F" w:rsidP="0046202D">
      <w:pPr>
        <w:spacing w:before="240"/>
      </w:pPr>
      <w:r>
        <w:t xml:space="preserve">A bribery risk assessment may take place as part of a broader corruption risk assessment. </w:t>
      </w:r>
      <w:r w:rsidR="0046202D" w:rsidRPr="00DA0C25">
        <w:t xml:space="preserve">In order to conduct a </w:t>
      </w:r>
      <w:r>
        <w:t xml:space="preserve">bribery </w:t>
      </w:r>
      <w:r w:rsidR="0046202D" w:rsidRPr="00DA0C25">
        <w:t xml:space="preserve">risk assessment, </w:t>
      </w:r>
      <w:r w:rsidR="00BE58B1">
        <w:t>a corporation</w:t>
      </w:r>
      <w:r w:rsidR="0046202D" w:rsidRPr="00DA0C25">
        <w:t xml:space="preserve"> should </w:t>
      </w:r>
      <w:r w:rsidR="0046202D">
        <w:t xml:space="preserve">first identify its exposure to bribery risks by considering factors </w:t>
      </w:r>
      <w:r w:rsidR="004C20C1">
        <w:t>including</w:t>
      </w:r>
      <w:r w:rsidR="0046202D">
        <w:t>, but not limited to:</w:t>
      </w:r>
    </w:p>
    <w:p w14:paraId="1561A1C8" w14:textId="5F0D2607" w:rsidR="0046202D" w:rsidRPr="005A0893" w:rsidRDefault="007C50B0" w:rsidP="0046202D">
      <w:pPr>
        <w:pStyle w:val="Bullet1"/>
        <w:ind w:left="567" w:hanging="567"/>
      </w:pPr>
      <w:r w:rsidRPr="005A0893">
        <w:t>T</w:t>
      </w:r>
      <w:r w:rsidR="0046202D" w:rsidRPr="005A0893">
        <w:t xml:space="preserve">he countries </w:t>
      </w:r>
      <w:r w:rsidR="0038224B" w:rsidRPr="005A0893">
        <w:t>and regulatory environment</w:t>
      </w:r>
      <w:r w:rsidR="0046202D" w:rsidRPr="005A0893">
        <w:t xml:space="preserve"> the corporation operates in</w:t>
      </w:r>
      <w:r w:rsidR="005A0893" w:rsidRPr="005A0893">
        <w:t>.</w:t>
      </w:r>
    </w:p>
    <w:p w14:paraId="5D881FC4" w14:textId="3CEC2109" w:rsidR="0046202D" w:rsidRPr="005A0893" w:rsidRDefault="007C50B0" w:rsidP="0046202D">
      <w:pPr>
        <w:pStyle w:val="Bullet1"/>
        <w:ind w:left="567" w:hanging="567"/>
      </w:pPr>
      <w:r w:rsidRPr="005A0893">
        <w:t>T</w:t>
      </w:r>
      <w:r w:rsidR="0046202D" w:rsidRPr="005A0893">
        <w:t>he sector(s) in which the corporation undertakes business in</w:t>
      </w:r>
      <w:r w:rsidR="005A0893" w:rsidRPr="005A0893">
        <w:t>.</w:t>
      </w:r>
    </w:p>
    <w:p w14:paraId="4A377F30" w14:textId="49BC3C3F" w:rsidR="0046202D" w:rsidRPr="005A0893" w:rsidRDefault="007C50B0" w:rsidP="0046202D">
      <w:pPr>
        <w:pStyle w:val="Bullet1"/>
        <w:ind w:left="567" w:hanging="567"/>
      </w:pPr>
      <w:r w:rsidRPr="005A0893">
        <w:t>T</w:t>
      </w:r>
      <w:r w:rsidR="0046202D" w:rsidRPr="005A0893">
        <w:t>he corporation’s common transactions, including those involving foreign public officials or foreign governments</w:t>
      </w:r>
      <w:r w:rsidR="005A0893" w:rsidRPr="005A0893">
        <w:t>.</w:t>
      </w:r>
    </w:p>
    <w:p w14:paraId="4E173E3C" w14:textId="1678CA30" w:rsidR="0046202D" w:rsidRPr="005A0893" w:rsidRDefault="007C50B0" w:rsidP="0046202D">
      <w:pPr>
        <w:pStyle w:val="Bullet1"/>
        <w:ind w:left="567" w:hanging="567"/>
      </w:pPr>
      <w:r w:rsidRPr="005A0893">
        <w:t>T</w:t>
      </w:r>
      <w:r w:rsidR="0046202D" w:rsidRPr="005A0893">
        <w:t xml:space="preserve">he location of offshore operations and </w:t>
      </w:r>
      <w:r w:rsidR="00CF7AAC" w:rsidRPr="005A0893">
        <w:t>its</w:t>
      </w:r>
      <w:r w:rsidR="0046202D" w:rsidRPr="005A0893">
        <w:t xml:space="preserve"> rating for </w:t>
      </w:r>
      <w:r w:rsidR="00B9611E">
        <w:t>corruption</w:t>
      </w:r>
      <w:r w:rsidR="00B9611E" w:rsidRPr="005A0893">
        <w:t xml:space="preserve"> </w:t>
      </w:r>
      <w:r w:rsidR="0046202D" w:rsidRPr="005A0893">
        <w:t>perception</w:t>
      </w:r>
      <w:r w:rsidR="00B9611E">
        <w:t>, using Transparency International’s Corruption Perceptions Index</w:t>
      </w:r>
      <w:r w:rsidR="005A0893" w:rsidRPr="005A0893">
        <w:t>.</w:t>
      </w:r>
    </w:p>
    <w:p w14:paraId="6CBB6FEA" w14:textId="32A66830" w:rsidR="0046202D" w:rsidRPr="005A0893" w:rsidRDefault="007C50B0" w:rsidP="0046202D">
      <w:pPr>
        <w:pStyle w:val="Bullet1"/>
        <w:ind w:left="567" w:hanging="567"/>
      </w:pPr>
      <w:r w:rsidRPr="005A0893">
        <w:t>T</w:t>
      </w:r>
      <w:r w:rsidR="0046202D" w:rsidRPr="005A0893">
        <w:t>he controls the corporation has in place, including financial controls.</w:t>
      </w:r>
    </w:p>
    <w:p w14:paraId="6DC16854" w14:textId="70EEE600" w:rsidR="0046202D" w:rsidRPr="005A0893" w:rsidRDefault="0046202D" w:rsidP="0046202D">
      <w:pPr>
        <w:spacing w:before="240"/>
      </w:pPr>
      <w:r w:rsidRPr="005A0893">
        <w:t>Corporations should also be aware of common red flags</w:t>
      </w:r>
      <w:r w:rsidR="009A5571">
        <w:t xml:space="preserve"> for bribery, particularly</w:t>
      </w:r>
      <w:r w:rsidR="004C20C1" w:rsidRPr="005A0893">
        <w:t xml:space="preserve"> if the corporation</w:t>
      </w:r>
      <w:r w:rsidRPr="005A0893">
        <w:t>:</w:t>
      </w:r>
    </w:p>
    <w:p w14:paraId="2FCC5654" w14:textId="20BEDDD5" w:rsidR="0046202D" w:rsidRPr="005A0893" w:rsidRDefault="007C50B0" w:rsidP="0046202D">
      <w:pPr>
        <w:pStyle w:val="Bullet1"/>
        <w:ind w:left="567" w:hanging="567"/>
      </w:pPr>
      <w:r w:rsidRPr="005A0893">
        <w:t>O</w:t>
      </w:r>
      <w:r w:rsidR="0046202D" w:rsidRPr="005A0893">
        <w:t>perates in locations or sectors perceived to have high levels of corruption</w:t>
      </w:r>
      <w:r w:rsidR="008E14F5">
        <w:t>.</w:t>
      </w:r>
    </w:p>
    <w:p w14:paraId="4D189913" w14:textId="6D9B2355" w:rsidR="0046202D" w:rsidRPr="005A0893" w:rsidRDefault="007C50B0" w:rsidP="0046202D">
      <w:pPr>
        <w:pStyle w:val="Bullet1"/>
        <w:ind w:left="567" w:hanging="567"/>
      </w:pPr>
      <w:r w:rsidRPr="005A0893">
        <w:t>D</w:t>
      </w:r>
      <w:r w:rsidR="0046202D" w:rsidRPr="005A0893">
        <w:t>eals with foreign public officials</w:t>
      </w:r>
      <w:r w:rsidR="005A0893" w:rsidRPr="005A0893">
        <w:t>.</w:t>
      </w:r>
    </w:p>
    <w:p w14:paraId="43B54F76" w14:textId="77F81400" w:rsidR="0046202D" w:rsidRPr="005A0893" w:rsidRDefault="007C50B0" w:rsidP="0046202D">
      <w:pPr>
        <w:pStyle w:val="Bullet1"/>
        <w:ind w:left="567" w:hanging="567"/>
      </w:pPr>
      <w:r w:rsidRPr="005A0893">
        <w:t>W</w:t>
      </w:r>
      <w:r w:rsidR="0046202D" w:rsidRPr="005A0893">
        <w:t>ins large contracts in state-run economies</w:t>
      </w:r>
      <w:r w:rsidR="005A0893" w:rsidRPr="005A0893">
        <w:t>.</w:t>
      </w:r>
    </w:p>
    <w:p w14:paraId="1DB62861" w14:textId="7A5CAD0D" w:rsidR="0046202D" w:rsidRPr="005A0893" w:rsidRDefault="007C50B0" w:rsidP="0046202D">
      <w:pPr>
        <w:pStyle w:val="Bullet1"/>
        <w:ind w:left="567" w:hanging="567"/>
      </w:pPr>
      <w:r w:rsidRPr="005A0893">
        <w:t>I</w:t>
      </w:r>
      <w:r w:rsidR="0046202D" w:rsidRPr="005A0893">
        <w:t>s requested to make political donations or donations to particular charities or social programs.</w:t>
      </w:r>
    </w:p>
    <w:p w14:paraId="26125733" w14:textId="186FD961" w:rsidR="0046202D" w:rsidRDefault="009A5571" w:rsidP="0046202D">
      <w:pPr>
        <w:spacing w:before="240"/>
      </w:pPr>
      <w:r>
        <w:lastRenderedPageBreak/>
        <w:t>The</w:t>
      </w:r>
      <w:r w:rsidR="0046202D">
        <w:t xml:space="preserve"> corporation should </w:t>
      </w:r>
      <w:r>
        <w:t xml:space="preserve">also </w:t>
      </w:r>
      <w:r w:rsidR="0046202D">
        <w:t xml:space="preserve">consider the risks arising from the use of third parties, such as agents and business partners. </w:t>
      </w:r>
      <w:r w:rsidR="0046202D" w:rsidRPr="008A395F">
        <w:t>Third</w:t>
      </w:r>
      <w:r w:rsidR="00281C09">
        <w:t>-</w:t>
      </w:r>
      <w:r w:rsidR="0046202D" w:rsidRPr="008A395F">
        <w:t>party agents are a common means of gaining access to foreign markets</w:t>
      </w:r>
      <w:r w:rsidR="0046202D">
        <w:t>, h</w:t>
      </w:r>
      <w:r w:rsidR="0046202D" w:rsidRPr="008A395F">
        <w:t xml:space="preserve">owever, </w:t>
      </w:r>
      <w:r>
        <w:t>they</w:t>
      </w:r>
      <w:r w:rsidR="0046202D" w:rsidRPr="008A395F">
        <w:t xml:space="preserve"> can pose risks unless due diligence is taken. </w:t>
      </w:r>
      <w:r w:rsidR="0046202D">
        <w:t>Common red flags when using third parties may include:</w:t>
      </w:r>
    </w:p>
    <w:p w14:paraId="28A7F9E6" w14:textId="77777777" w:rsidR="0046202D" w:rsidRDefault="0046202D" w:rsidP="0046202D">
      <w:pPr>
        <w:pStyle w:val="Bullet1"/>
        <w:ind w:left="567" w:hanging="567"/>
      </w:pPr>
      <w:r>
        <w:t>vaguely described services and deliverables</w:t>
      </w:r>
    </w:p>
    <w:p w14:paraId="4F2AB323" w14:textId="77777777" w:rsidR="0046202D" w:rsidRDefault="0046202D" w:rsidP="0046202D">
      <w:pPr>
        <w:pStyle w:val="Bullet1"/>
        <w:ind w:left="567" w:hanging="567"/>
      </w:pPr>
      <w:r>
        <w:t>high expenses</w:t>
      </w:r>
    </w:p>
    <w:p w14:paraId="3427239A" w14:textId="77777777" w:rsidR="0046202D" w:rsidRDefault="0046202D" w:rsidP="0046202D">
      <w:pPr>
        <w:pStyle w:val="Bullet1"/>
        <w:ind w:left="567" w:hanging="567"/>
      </w:pPr>
      <w:r>
        <w:t>upfront fees</w:t>
      </w:r>
    </w:p>
    <w:p w14:paraId="5C8D9546" w14:textId="5FBC35F6" w:rsidR="0046202D" w:rsidRDefault="0046202D" w:rsidP="0046202D">
      <w:pPr>
        <w:pStyle w:val="Bullet1"/>
        <w:ind w:left="567" w:hanging="567"/>
      </w:pPr>
      <w:r>
        <w:t>payments to personal accounts</w:t>
      </w:r>
      <w:r w:rsidR="008D2E80">
        <w:t>, and</w:t>
      </w:r>
    </w:p>
    <w:p w14:paraId="3EA47F76" w14:textId="77777777" w:rsidR="0046202D" w:rsidRDefault="0046202D" w:rsidP="0046202D">
      <w:pPr>
        <w:pStyle w:val="Bullet1"/>
        <w:ind w:left="567" w:hanging="567"/>
      </w:pPr>
      <w:r>
        <w:t xml:space="preserve">large commissions. </w:t>
      </w:r>
    </w:p>
    <w:p w14:paraId="47BAB453" w14:textId="2AA4D804" w:rsidR="0046202D" w:rsidRDefault="0046202D" w:rsidP="0046202D">
      <w:pPr>
        <w:spacing w:before="240"/>
      </w:pPr>
      <w:r>
        <w:t xml:space="preserve">Consultation with management and employees, particularly at a local level, will provide a good idea of where the risks of bribery lie. </w:t>
      </w:r>
      <w:r w:rsidR="009A5571">
        <w:t xml:space="preserve">A corporation’s </w:t>
      </w:r>
      <w:r>
        <w:t xml:space="preserve">risk assessment should include consultation with employees who are on the front line for the </w:t>
      </w:r>
      <w:r w:rsidR="004C20C1">
        <w:t xml:space="preserve">corporation </w:t>
      </w:r>
      <w:r>
        <w:t>and have greater awareness of specific risks and deficiencies. Consultation with sales, procurement, finance and legal</w:t>
      </w:r>
      <w:r w:rsidR="009A5571">
        <w:t xml:space="preserve"> areas</w:t>
      </w:r>
      <w:r>
        <w:t xml:space="preserve"> is recommended. Corporations may also choose to consult with external stakeholders including suppliers, customers, investors and peer </w:t>
      </w:r>
      <w:r w:rsidR="004C20C1">
        <w:t>corporations</w:t>
      </w:r>
      <w:r>
        <w:t>.</w:t>
      </w:r>
    </w:p>
    <w:p w14:paraId="60A4A18D" w14:textId="0CE66D94" w:rsidR="0046202D" w:rsidRDefault="0046202D" w:rsidP="0046202D">
      <w:pPr>
        <w:spacing w:before="240"/>
      </w:pPr>
      <w:r>
        <w:t xml:space="preserve">Information from stakeholders </w:t>
      </w:r>
      <w:r w:rsidR="009A5571">
        <w:t xml:space="preserve">could </w:t>
      </w:r>
      <w:r>
        <w:t xml:space="preserve">be gathered by </w:t>
      </w:r>
      <w:r w:rsidR="009A5571">
        <w:t>in many different ways</w:t>
      </w:r>
      <w:r>
        <w:t xml:space="preserve"> including confidential staff surveys, desktop research, workshops, interviews and ‘SWOT’ analysis (an analysis of your corporation’s </w:t>
      </w:r>
      <w:r w:rsidR="00A64F54">
        <w:t>S</w:t>
      </w:r>
      <w:r>
        <w:t xml:space="preserve">trengths, </w:t>
      </w:r>
      <w:r w:rsidR="00A7243A">
        <w:t>W</w:t>
      </w:r>
      <w:r>
        <w:t xml:space="preserve">eaknesses, external </w:t>
      </w:r>
      <w:r w:rsidR="00A7243A">
        <w:t>O</w:t>
      </w:r>
      <w:r>
        <w:t xml:space="preserve">pportunities and </w:t>
      </w:r>
      <w:r w:rsidR="00A7243A">
        <w:t>T</w:t>
      </w:r>
      <w:r>
        <w:t xml:space="preserve">hreats). Corporations may wish to consider consultancies and research agencies as </w:t>
      </w:r>
      <w:r w:rsidR="00B9611E">
        <w:t>additional</w:t>
      </w:r>
      <w:r>
        <w:t xml:space="preserve"> source</w:t>
      </w:r>
      <w:r w:rsidR="00B9611E">
        <w:t>s</w:t>
      </w:r>
      <w:r>
        <w:t xml:space="preserve"> </w:t>
      </w:r>
      <w:r w:rsidR="00B9611E">
        <w:t xml:space="preserve">of </w:t>
      </w:r>
      <w:r>
        <w:t xml:space="preserve">information. </w:t>
      </w:r>
    </w:p>
    <w:p w14:paraId="26D6906A" w14:textId="7F0689F9" w:rsidR="0046202D" w:rsidRDefault="00815391" w:rsidP="0046202D">
      <w:pPr>
        <w:pStyle w:val="Heading3"/>
        <w:spacing w:beforeLines="100" w:before="240"/>
      </w:pPr>
      <w:r>
        <w:t>4</w:t>
      </w:r>
      <w:r w:rsidR="0046202D" w:rsidRPr="0058675B">
        <w:t>.</w:t>
      </w:r>
      <w:r w:rsidR="00D5016B">
        <w:t>2</w:t>
      </w:r>
      <w:r w:rsidR="0046202D" w:rsidRPr="0058675B">
        <w:t>.2 Rate the risk</w:t>
      </w:r>
    </w:p>
    <w:p w14:paraId="106F0575" w14:textId="460756D5" w:rsidR="0046202D" w:rsidRDefault="0046202D" w:rsidP="0046202D">
      <w:pPr>
        <w:spacing w:before="240"/>
      </w:pPr>
      <w:r>
        <w:t xml:space="preserve">Having identified the relevant areas of risks, corporations should then rate both the likelihood that each risk might occur and the corresponding potential impact of </w:t>
      </w:r>
      <w:r w:rsidR="009A5571">
        <w:t xml:space="preserve">each </w:t>
      </w:r>
      <w:r>
        <w:t xml:space="preserve">occurrence to determine the overall risk to the corporation. If operating in multiple countries or in multiple sectors, </w:t>
      </w:r>
      <w:r w:rsidR="003D5AA5">
        <w:t xml:space="preserve">it is recommended that this exercise </w:t>
      </w:r>
      <w:r w:rsidR="00B9611E">
        <w:t>takes place</w:t>
      </w:r>
      <w:r w:rsidR="003D5AA5">
        <w:t xml:space="preserve"> </w:t>
      </w:r>
      <w:r>
        <w:t>for every country</w:t>
      </w:r>
      <w:r w:rsidR="00C92EB7">
        <w:t xml:space="preserve"> or every sector </w:t>
      </w:r>
      <w:r>
        <w:t xml:space="preserve">as the inherent corruption risks </w:t>
      </w:r>
      <w:r w:rsidR="009A5571">
        <w:t xml:space="preserve">may </w:t>
      </w:r>
      <w:r>
        <w:t xml:space="preserve">differ across </w:t>
      </w:r>
      <w:r w:rsidR="00C92EB7">
        <w:t xml:space="preserve">each </w:t>
      </w:r>
      <w:r w:rsidR="004C20C1">
        <w:t xml:space="preserve">country </w:t>
      </w:r>
      <w:r>
        <w:t>and sector.</w:t>
      </w:r>
    </w:p>
    <w:p w14:paraId="0E310FE8" w14:textId="1216EF4F" w:rsidR="0046202D" w:rsidRDefault="0046202D" w:rsidP="0046202D">
      <w:pPr>
        <w:spacing w:before="240"/>
      </w:pPr>
      <w:r>
        <w:t>To determine the overall risk, corporations should consider</w:t>
      </w:r>
      <w:r w:rsidR="00BE58B1">
        <w:t xml:space="preserve"> the</w:t>
      </w:r>
      <w:r>
        <w:t>:</w:t>
      </w:r>
    </w:p>
    <w:p w14:paraId="0B3BE5D1" w14:textId="77777777" w:rsidR="0046202D" w:rsidRPr="0058675B" w:rsidRDefault="0046202D" w:rsidP="0046202D">
      <w:pPr>
        <w:pStyle w:val="Bullet1"/>
        <w:ind w:left="567" w:hanging="567"/>
      </w:pPr>
      <w:r>
        <w:rPr>
          <w:b/>
        </w:rPr>
        <w:t xml:space="preserve">Likelihood or frequency of risk occurring </w:t>
      </w:r>
      <w:r>
        <w:t>– how likely is it that the risks identified will occur in business transactions – rare, possible, probable or certain.</w:t>
      </w:r>
    </w:p>
    <w:p w14:paraId="13EC2EB0" w14:textId="77777777" w:rsidR="0046202D" w:rsidRDefault="0046202D" w:rsidP="0046202D">
      <w:pPr>
        <w:pStyle w:val="Bullet1"/>
        <w:ind w:left="567" w:hanging="567"/>
        <w:rPr>
          <w:b/>
        </w:rPr>
      </w:pPr>
      <w:r w:rsidRPr="0058675B">
        <w:rPr>
          <w:b/>
        </w:rPr>
        <w:t>Impact of the risk on the business</w:t>
      </w:r>
      <w:r>
        <w:t xml:space="preserve"> – what would the impact be on the corporation if the risks did occur – minor, moderate, significant or major. </w:t>
      </w:r>
    </w:p>
    <w:p w14:paraId="66C7CC69" w14:textId="229AFAAE" w:rsidR="0046202D" w:rsidRPr="00636B0A" w:rsidRDefault="0046202D" w:rsidP="0046202D">
      <w:pPr>
        <w:spacing w:before="240"/>
      </w:pPr>
      <w:r>
        <w:t xml:space="preserve">Combining the likelihood and impact assessments for each risk will produce an assessment of the overall risk level without </w:t>
      </w:r>
      <w:r w:rsidR="00B9611E">
        <w:t>considering</w:t>
      </w:r>
      <w:r>
        <w:t xml:space="preserve"> existing controls. This is known as the inherent corruption risk and is </w:t>
      </w:r>
      <w:r w:rsidR="00B0247B">
        <w:t>a</w:t>
      </w:r>
      <w:r>
        <w:t xml:space="preserve"> priority area(s)</w:t>
      </w:r>
      <w:r w:rsidR="00273371">
        <w:t xml:space="preserve"> for consideration</w:t>
      </w:r>
      <w:r>
        <w:t xml:space="preserve"> when implementing mitigating controls.</w:t>
      </w:r>
    </w:p>
    <w:p w14:paraId="0B8DECD0" w14:textId="5657444E" w:rsidR="00105439" w:rsidRDefault="0046202D" w:rsidP="00D5016B">
      <w:pPr>
        <w:spacing w:before="240"/>
      </w:pPr>
      <w:r>
        <w:t xml:space="preserve">The result of a rating exercise of this nature is for corporations to better target the risks that are most likely to occur </w:t>
      </w:r>
      <w:r w:rsidR="00C92EB7">
        <w:t>and assess which</w:t>
      </w:r>
      <w:r>
        <w:t xml:space="preserve"> will have the greatest impact on business. In practice, this may look like a </w:t>
      </w:r>
      <w:r>
        <w:lastRenderedPageBreak/>
        <w:t xml:space="preserve">redirection of resources to prioritise regions or sectors most in need </w:t>
      </w:r>
      <w:r w:rsidR="001847C1">
        <w:t xml:space="preserve">of </w:t>
      </w:r>
      <w:r>
        <w:t xml:space="preserve">controls or conducting </w:t>
      </w:r>
      <w:r w:rsidR="009A5571">
        <w:t xml:space="preserve">further </w:t>
      </w:r>
      <w:r>
        <w:t>due diligence on a particular business relationship.</w:t>
      </w:r>
    </w:p>
    <w:p w14:paraId="4AFD1A88" w14:textId="6CE45493" w:rsidR="00105439" w:rsidRDefault="00815391" w:rsidP="00105439">
      <w:pPr>
        <w:pStyle w:val="Heading3"/>
        <w:spacing w:beforeLines="100" w:before="240"/>
      </w:pPr>
      <w:r>
        <w:t>4</w:t>
      </w:r>
      <w:r w:rsidR="00105439">
        <w:t>.2.3 Document the process and findings</w:t>
      </w:r>
    </w:p>
    <w:p w14:paraId="46DB0AFF" w14:textId="6554CEE6" w:rsidR="0046202D" w:rsidRDefault="0046202D" w:rsidP="00D5016B">
      <w:pPr>
        <w:spacing w:before="240"/>
      </w:pPr>
      <w:r>
        <w:t xml:space="preserve">Risk assessments should be documented and stored in a centralised and easily accessible location. </w:t>
      </w:r>
      <w:r w:rsidR="00CF7AAC">
        <w:t>A corporation</w:t>
      </w:r>
      <w:r>
        <w:t xml:space="preserve"> may wish to document </w:t>
      </w:r>
      <w:r w:rsidR="00CF7AAC">
        <w:t>its</w:t>
      </w:r>
      <w:r>
        <w:t xml:space="preserve"> risk assessments in a risk register that is reviewed and updated </w:t>
      </w:r>
      <w:r w:rsidR="009A5571">
        <w:t>regularly</w:t>
      </w:r>
      <w:r>
        <w:t xml:space="preserve">. A risk register could contain details on each of the risks, the rating of each risk, the controls in place to mitigate the risk and when the risk was last assessed. Periodic </w:t>
      </w:r>
      <w:r w:rsidR="00B9611E">
        <w:t>review</w:t>
      </w:r>
      <w:r>
        <w:t xml:space="preserve"> of risk is necessary as circumstances change, such as entering a new market or following turnover of relevant personnel</w:t>
      </w:r>
      <w:r w:rsidR="008D2E80">
        <w:t xml:space="preserve"> (including third parties), or where potential bribery incidents come to a corporation’s attention</w:t>
      </w:r>
      <w:r>
        <w:t xml:space="preserve">. </w:t>
      </w:r>
    </w:p>
    <w:p w14:paraId="224BFFBE" w14:textId="1C46B2C3" w:rsidR="009E3D2C" w:rsidRDefault="009E3D2C" w:rsidP="00D5016B">
      <w:pPr>
        <w:spacing w:before="240"/>
      </w:pPr>
      <w:r>
        <w:rPr>
          <w:noProof/>
        </w:rPr>
        <mc:AlternateContent>
          <mc:Choice Requires="wps">
            <w:drawing>
              <wp:anchor distT="45720" distB="45720" distL="114300" distR="114300" simplePos="0" relativeHeight="251747328" behindDoc="0" locked="0" layoutInCell="1" allowOverlap="1" wp14:anchorId="3926D659" wp14:editId="657DFDB8">
                <wp:simplePos x="0" y="0"/>
                <wp:positionH relativeFrom="margin">
                  <wp:align>right</wp:align>
                </wp:positionH>
                <wp:positionV relativeFrom="paragraph">
                  <wp:posOffset>391795</wp:posOffset>
                </wp:positionV>
                <wp:extent cx="6313805" cy="5021580"/>
                <wp:effectExtent l="0" t="0" r="1079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02158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618ADF91" w14:textId="1DCDA330" w:rsidR="00E75C3B" w:rsidRPr="00FA632F" w:rsidRDefault="00E75C3B" w:rsidP="00FA632F">
                            <w:pPr>
                              <w:rPr>
                                <w:b/>
                              </w:rPr>
                            </w:pPr>
                            <w:r>
                              <w:rPr>
                                <w:b/>
                              </w:rPr>
                              <w:t>Case Study – Risk Assessment</w:t>
                            </w:r>
                          </w:p>
                          <w:p w14:paraId="62EFF824" w14:textId="33B7687B" w:rsidR="00E75C3B" w:rsidRDefault="00E75C3B" w:rsidP="00FA632F">
                            <w:r>
                              <w:t xml:space="preserve">Herculean Henry co. is a small business based in Australia that is interested in expanding its business in a foreign market. The company has considered several foreign markets, but has no particular experience or expertise in conducting a risk assessment in relation to these markets. </w:t>
                            </w:r>
                          </w:p>
                          <w:p w14:paraId="2B0F7869" w14:textId="37B1973F" w:rsidR="00E75C3B" w:rsidRDefault="00E75C3B" w:rsidP="00FA632F">
                            <w:r>
                              <w:t xml:space="preserve">As part of the broader research to identify </w:t>
                            </w:r>
                            <w:r w:rsidR="00B9611E">
                              <w:t>a</w:t>
                            </w:r>
                            <w:r>
                              <w:t xml:space="preserve"> market for expansion, Herculean Henry co. wants to undertake a bribery risk assessment but isn’t sure how to do one. It begins by making a list of countries, and consults Transparency International’s Corruption Perceptions Index to gauge the ranking of the countries by their level of perceived corruption. In doing so, Herculean Henry co. identifies that one of the markets it is considering is considered a high-risk for corruption.</w:t>
                            </w:r>
                          </w:p>
                          <w:p w14:paraId="39D61DE1" w14:textId="7D1ECB58" w:rsidR="00E75C3B" w:rsidRDefault="00E75C3B" w:rsidP="00FA632F">
                            <w:r>
                              <w:t xml:space="preserve">Herculean Henry co. consults local chambers of commerce, relevant non-governmental organisations and sectoral organisations in relation to the type of work it wishes to conduct in the new markets. It engages with the Bribery Prevention Network as a useful source of information and resources that could be used in this process. </w:t>
                            </w:r>
                          </w:p>
                          <w:p w14:paraId="0B8B2D3D" w14:textId="01DDECE7" w:rsidR="00E75C3B" w:rsidRDefault="00E75C3B" w:rsidP="00FA632F">
                            <w:r>
                              <w:t xml:space="preserve">Whilst the company is able to identify countries with a high-level of perceived corruption and the areas in which it may be vulnerable, it is less able to identify what controls it should have in place to prevent these risks. Herculean Henry co. decides to seek advice from a risk advisory firm that assists Herculean Henry co in identifying and rating the risks to produce an assessment of the overall risk level. </w:t>
                            </w:r>
                          </w:p>
                          <w:p w14:paraId="75532F82" w14:textId="21E226DD" w:rsidR="00E75C3B" w:rsidRDefault="00E75C3B" w:rsidP="00FA632F">
                            <w:r>
                              <w:t>Herculean Henry co uses this information to create a risk register that details each of the risks and the controls it will put in place to mitigate them. The risk advisory firm recommends that the company periodically review these risks and controls, in order to prevent Herculean Henry co.’s exposure to bribery and corruption.</w:t>
                            </w:r>
                          </w:p>
                          <w:p w14:paraId="7BF99E09" w14:textId="77777777" w:rsidR="00E75C3B" w:rsidRDefault="00E75C3B" w:rsidP="00FA632F"/>
                          <w:p w14:paraId="56C5A8CA" w14:textId="77777777" w:rsidR="00E75C3B" w:rsidRDefault="00E75C3B" w:rsidP="00FA632F"/>
                          <w:p w14:paraId="6FD38DEC" w14:textId="5548BFB9" w:rsidR="00E75C3B" w:rsidRDefault="00E75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6D659" id="_x0000_s1029" type="#_x0000_t202" style="position:absolute;margin-left:445.95pt;margin-top:30.85pt;width:497.15pt;height:395.4pt;z-index:2517473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" fillcolor="#b8cce4 [1300]" strokecolor="#b8cce4 [1300]">
                <v:textbox>
                  <w:txbxContent>
                    <w:p w14:paraId="618ADF91" w14:textId="1DCDA330" w:rsidR="00E75C3B" w:rsidRPr="00FA632F" w:rsidRDefault="00E75C3B" w:rsidP="00FA632F">
                      <w:pPr>
                        <w:rPr>
                          <w:b/>
                        </w:rPr>
                      </w:pPr>
                      <w:r>
                        <w:rPr>
                          <w:b/>
                        </w:rPr>
                        <w:t>Case Study – Risk Assessment</w:t>
                      </w:r>
                    </w:p>
                    <w:p w14:paraId="62EFF824" w14:textId="33B7687B" w:rsidR="00E75C3B" w:rsidRDefault="00E75C3B" w:rsidP="00FA632F">
                      <w:r>
                        <w:t xml:space="preserve">Herculean Henry co. is a small business based in Australia that is interested in expanding its business in a foreign market. The company has considered several foreign markets, but has no particular experience or expertise in conducting a risk assessment in relation to these markets. </w:t>
                      </w:r>
                    </w:p>
                    <w:p w14:paraId="2B0F7869" w14:textId="37B1973F" w:rsidR="00E75C3B" w:rsidRDefault="00E75C3B" w:rsidP="00FA632F">
                      <w:r>
                        <w:t xml:space="preserve">As part of the broader research to identify </w:t>
                      </w:r>
                      <w:r w:rsidR="00B9611E">
                        <w:t>a</w:t>
                      </w:r>
                      <w:r>
                        <w:t xml:space="preserve"> market for expansion, Herculean Henry co. wants to undertake a bribery risk assessment but isn’t sure how to do one. It begins by making a list of countries, and consults Transparency International’s Corruption Perceptions Index to gauge the ranking of the countries by their level of perceived corruption. In doing so, Herculean Henry co. identifies that one of the markets it is considering is considered a high-risk for corruption.</w:t>
                      </w:r>
                    </w:p>
                    <w:p w14:paraId="39D61DE1" w14:textId="7D1ECB58" w:rsidR="00E75C3B" w:rsidRDefault="00E75C3B" w:rsidP="00FA632F">
                      <w:r>
                        <w:t xml:space="preserve">Herculean Henry co. consults local chambers of commerce, relevant non-governmental organisations and sectoral organisations in relation to the type of work it wishes to conduct in the new markets. It engages with the Bribery Prevention Network as a useful source of information and resources that could be used in this process. </w:t>
                      </w:r>
                    </w:p>
                    <w:p w14:paraId="0B8B2D3D" w14:textId="01DDECE7" w:rsidR="00E75C3B" w:rsidRDefault="00E75C3B" w:rsidP="00FA632F">
                      <w:r>
                        <w:t xml:space="preserve">Whilst the company is able to identify countries with a high-level of perceived corruption and the areas in which it may be vulnerable, it is less able to identify what controls it should have in place to prevent these risks. Herculean Henry co. decides to seek advice from a risk advisory firm that assists Herculean Henry co in identifying and rating the risks to produce an assessment of the overall risk level. </w:t>
                      </w:r>
                    </w:p>
                    <w:p w14:paraId="75532F82" w14:textId="21E226DD" w:rsidR="00E75C3B" w:rsidRDefault="00E75C3B" w:rsidP="00FA632F">
                      <w:r>
                        <w:t>Herculean Henry co uses this information to create a risk register that details each of the risks and the controls it will put in place to mitigate them. The risk advisory firm recommends that the company periodically review these risks and controls, in order to prevent Herculean Henry co.’s exposure to bribery and corruption.</w:t>
                      </w:r>
                    </w:p>
                    <w:p w14:paraId="7BF99E09" w14:textId="77777777" w:rsidR="00E75C3B" w:rsidRDefault="00E75C3B" w:rsidP="00FA632F"/>
                    <w:p w14:paraId="56C5A8CA" w14:textId="77777777" w:rsidR="00E75C3B" w:rsidRDefault="00E75C3B" w:rsidP="00FA632F"/>
                    <w:p w14:paraId="6FD38DEC" w14:textId="5548BFB9" w:rsidR="00E75C3B" w:rsidRDefault="00E75C3B"/>
                  </w:txbxContent>
                </v:textbox>
                <w10:wrap type="square" anchorx="margin"/>
              </v:shape>
            </w:pict>
          </mc:Fallback>
        </mc:AlternateContent>
      </w:r>
    </w:p>
    <w:p w14:paraId="77D39FE1" w14:textId="1FA51C98" w:rsidR="009E3D2C" w:rsidRDefault="009E3D2C" w:rsidP="00D5016B">
      <w:pPr>
        <w:spacing w:before="240"/>
      </w:pPr>
    </w:p>
    <w:p w14:paraId="2F66A0A4" w14:textId="01924CA3" w:rsidR="00906D29" w:rsidRPr="00E85E12" w:rsidRDefault="00815391" w:rsidP="00E85E12">
      <w:pPr>
        <w:pStyle w:val="Heading2"/>
      </w:pPr>
      <w:bookmarkStart w:id="14" w:name="_Toc163563347"/>
      <w:r>
        <w:lastRenderedPageBreak/>
        <w:t>4</w:t>
      </w:r>
      <w:r w:rsidR="00E85E12">
        <w:t xml:space="preserve">.3 </w:t>
      </w:r>
      <w:r w:rsidR="00906D29" w:rsidRPr="00E85E12">
        <w:t>Due Diligence</w:t>
      </w:r>
      <w:bookmarkStart w:id="15" w:name="_Hlk138933017"/>
      <w:bookmarkEnd w:id="14"/>
    </w:p>
    <w:p w14:paraId="45F3BF81" w14:textId="2D9A05E9" w:rsidR="00B63411" w:rsidRDefault="00900558" w:rsidP="00B63411">
      <w:pPr>
        <w:spacing w:before="240"/>
      </w:pPr>
      <w:r>
        <w:t>D</w:t>
      </w:r>
      <w:r w:rsidR="00BE58B1">
        <w:t>ue diligence</w:t>
      </w:r>
      <w:r w:rsidR="00B63411" w:rsidRPr="00FA37D9">
        <w:t xml:space="preserve"> </w:t>
      </w:r>
      <w:r>
        <w:t>involves</w:t>
      </w:r>
      <w:r w:rsidRPr="00FA37D9">
        <w:t xml:space="preserve"> </w:t>
      </w:r>
      <w:r w:rsidR="00B63411" w:rsidRPr="00FA37D9">
        <w:t xml:space="preserve">research, investigation, assessment and monitoring </w:t>
      </w:r>
      <w:r>
        <w:t>by a</w:t>
      </w:r>
      <w:r w:rsidR="00B63411" w:rsidRPr="00FA37D9">
        <w:t xml:space="preserve"> corporation </w:t>
      </w:r>
      <w:r>
        <w:t>in relation to both new and ongoing</w:t>
      </w:r>
      <w:r w:rsidR="00B63411" w:rsidRPr="00FA37D9">
        <w:t xml:space="preserve"> business relationship</w:t>
      </w:r>
      <w:r>
        <w:t>s</w:t>
      </w:r>
      <w:r w:rsidR="00B63411">
        <w:t xml:space="preserve">. Due diligence </w:t>
      </w:r>
      <w:r w:rsidR="00B63411" w:rsidRPr="00FA37D9">
        <w:t>ensure</w:t>
      </w:r>
      <w:r w:rsidR="00B63411">
        <w:t>s</w:t>
      </w:r>
      <w:r w:rsidR="00B63411" w:rsidRPr="00FA37D9">
        <w:t xml:space="preserve"> that </w:t>
      </w:r>
      <w:r w:rsidR="00B63411">
        <w:t xml:space="preserve">a corporation </w:t>
      </w:r>
      <w:r w:rsidR="00C57347">
        <w:t xml:space="preserve">associates </w:t>
      </w:r>
      <w:r w:rsidR="00B63411" w:rsidRPr="00FA37D9">
        <w:t xml:space="preserve">with </w:t>
      </w:r>
      <w:r w:rsidR="00B63411">
        <w:t>third parties</w:t>
      </w:r>
      <w:r w:rsidR="00B63411" w:rsidRPr="00FA37D9">
        <w:t xml:space="preserve"> that </w:t>
      </w:r>
      <w:r w:rsidR="00C57347">
        <w:t>act</w:t>
      </w:r>
      <w:r w:rsidR="00C57347" w:rsidRPr="00FA37D9">
        <w:t xml:space="preserve"> </w:t>
      </w:r>
      <w:r w:rsidR="00B63411" w:rsidRPr="00FA37D9">
        <w:t xml:space="preserve">in a manner consistent with the corporation’s anti-bribery compliance program. </w:t>
      </w:r>
    </w:p>
    <w:p w14:paraId="3306A2DD" w14:textId="48098FE3" w:rsidR="00B63411" w:rsidRPr="0092020A" w:rsidRDefault="00B63411" w:rsidP="00B63411">
      <w:pPr>
        <w:spacing w:before="240"/>
      </w:pPr>
      <w:r w:rsidRPr="008C4B08">
        <w:t xml:space="preserve">Corporations </w:t>
      </w:r>
      <w:r>
        <w:t>may</w:t>
      </w:r>
      <w:r w:rsidRPr="008C4B08">
        <w:t xml:space="preserve"> </w:t>
      </w:r>
      <w:r>
        <w:t>undertake d</w:t>
      </w:r>
      <w:r w:rsidRPr="008C4B08">
        <w:t>ue diligence as a risk mitigation measure.</w:t>
      </w:r>
      <w:r>
        <w:t xml:space="preserve"> </w:t>
      </w:r>
      <w:r w:rsidRPr="00574224">
        <w:t xml:space="preserve">Thorough due diligence should be </w:t>
      </w:r>
      <w:r>
        <w:t>conducted</w:t>
      </w:r>
      <w:r w:rsidRPr="00574224">
        <w:t xml:space="preserve"> </w:t>
      </w:r>
      <w:r w:rsidR="00915866">
        <w:t>before</w:t>
      </w:r>
      <w:r w:rsidRPr="00574224">
        <w:t xml:space="preserve"> entering into a business relationship and continue </w:t>
      </w:r>
      <w:r>
        <w:t>throughout</w:t>
      </w:r>
      <w:r w:rsidRPr="00574224">
        <w:t xml:space="preserve"> the relationship. </w:t>
      </w:r>
      <w:r>
        <w:t xml:space="preserve">The level of due diligence should be proportionate to the risks connected </w:t>
      </w:r>
      <w:r w:rsidR="00900558">
        <w:t xml:space="preserve">with </w:t>
      </w:r>
      <w:r>
        <w:t xml:space="preserve">the particular relationship or </w:t>
      </w:r>
      <w:r w:rsidR="00900558">
        <w:t>circumstances of that relationship</w:t>
      </w:r>
      <w:r>
        <w:t xml:space="preserve">. </w:t>
      </w:r>
      <w:r w:rsidR="00900558">
        <w:t>Business</w:t>
      </w:r>
      <w:r w:rsidRPr="0092020A">
        <w:t xml:space="preserve"> relationships that may </w:t>
      </w:r>
      <w:r w:rsidR="00915866">
        <w:t xml:space="preserve">need </w:t>
      </w:r>
      <w:r w:rsidR="00900558">
        <w:t>more</w:t>
      </w:r>
      <w:r w:rsidRPr="0092020A">
        <w:t xml:space="preserve"> </w:t>
      </w:r>
      <w:r>
        <w:t>extensive</w:t>
      </w:r>
      <w:r w:rsidRPr="0092020A">
        <w:t xml:space="preserve"> due diligence include those:</w:t>
      </w:r>
    </w:p>
    <w:p w14:paraId="20A2BA73" w14:textId="4129F7DC" w:rsidR="00B63411" w:rsidRPr="0092020A" w:rsidRDefault="00F668E8" w:rsidP="00B63411">
      <w:pPr>
        <w:pStyle w:val="Bullet1"/>
        <w:ind w:left="567" w:hanging="567"/>
      </w:pPr>
      <w:r>
        <w:t>i</w:t>
      </w:r>
      <w:r w:rsidR="00B63411" w:rsidRPr="0092020A">
        <w:t>nvolving third</w:t>
      </w:r>
      <w:r w:rsidR="00626090">
        <w:t>-</w:t>
      </w:r>
      <w:r w:rsidR="00B63411" w:rsidRPr="0092020A">
        <w:t>party intermediaries where due diligence could significantly mitigate risk</w:t>
      </w:r>
      <w:r w:rsidR="00513D66">
        <w:t>,</w:t>
      </w:r>
      <w:r w:rsidR="00B63411" w:rsidRPr="0092020A">
        <w:t xml:space="preserve"> e.g. the intermediary is assisting the corporation to establish business in a foreign market</w:t>
      </w:r>
      <w:r w:rsidR="006036A6">
        <w:t>.</w:t>
      </w:r>
    </w:p>
    <w:p w14:paraId="1DD7902B" w14:textId="0216838C" w:rsidR="00B63411" w:rsidRPr="0092020A" w:rsidRDefault="00F668E8" w:rsidP="00B63411">
      <w:pPr>
        <w:pStyle w:val="Bullet1"/>
        <w:ind w:left="567" w:hanging="567"/>
      </w:pPr>
      <w:r>
        <w:t>t</w:t>
      </w:r>
      <w:r w:rsidRPr="0092020A">
        <w:t>hat</w:t>
      </w:r>
      <w:r w:rsidR="00B63411">
        <w:t>,</w:t>
      </w:r>
      <w:r w:rsidR="00B63411" w:rsidRPr="0092020A">
        <w:t xml:space="preserve"> once established</w:t>
      </w:r>
      <w:r w:rsidR="00B63411">
        <w:t>,</w:t>
      </w:r>
      <w:r w:rsidR="00B63411" w:rsidRPr="0092020A">
        <w:t xml:space="preserve"> would be difficult to end</w:t>
      </w:r>
      <w:r w:rsidR="00513D66">
        <w:t xml:space="preserve">, </w:t>
      </w:r>
      <w:r w:rsidR="00B63411" w:rsidRPr="0092020A">
        <w:t>e.g. those in jurisdictions where it is common or necessary to engage local agents</w:t>
      </w:r>
      <w:r w:rsidR="00BE58B1">
        <w:t>.</w:t>
      </w:r>
    </w:p>
    <w:p w14:paraId="4BB15627" w14:textId="781D286D" w:rsidR="00B63411" w:rsidRDefault="00F668E8" w:rsidP="00B63411">
      <w:pPr>
        <w:pStyle w:val="Bullet1"/>
        <w:ind w:left="567" w:hanging="567"/>
      </w:pPr>
      <w:r>
        <w:t>i</w:t>
      </w:r>
      <w:r w:rsidRPr="0092020A">
        <w:t xml:space="preserve">nvolving </w:t>
      </w:r>
      <w:r w:rsidR="00B63411" w:rsidRPr="0092020A">
        <w:t>mergers, acquisitions and foreign subsidiaries.</w:t>
      </w:r>
    </w:p>
    <w:p w14:paraId="6D42E238" w14:textId="11A4E179" w:rsidR="00B63411" w:rsidRDefault="00B63411" w:rsidP="00B63411">
      <w:pPr>
        <w:spacing w:before="240"/>
      </w:pPr>
      <w:r>
        <w:t xml:space="preserve">Corporations should apply a procedure to </w:t>
      </w:r>
      <w:r w:rsidR="00F668E8">
        <w:t xml:space="preserve">determine </w:t>
      </w:r>
      <w:r>
        <w:t>the scope and depth of the due diligence for each individual business relationship. The procedure may include</w:t>
      </w:r>
      <w:r w:rsidR="00626090">
        <w:t>:</w:t>
      </w:r>
    </w:p>
    <w:p w14:paraId="39ED6632" w14:textId="094012B1" w:rsidR="00B63411" w:rsidRPr="00730886" w:rsidRDefault="00F668E8" w:rsidP="00B63411">
      <w:pPr>
        <w:pStyle w:val="Bullet1"/>
        <w:ind w:left="567" w:hanging="567"/>
      </w:pPr>
      <w:r>
        <w:t>i</w:t>
      </w:r>
      <w:r w:rsidR="00B63411" w:rsidRPr="00730886">
        <w:t>dentify</w:t>
      </w:r>
      <w:r w:rsidR="003A0309">
        <w:t>ing</w:t>
      </w:r>
      <w:r w:rsidR="00B63411" w:rsidRPr="00730886">
        <w:t xml:space="preserve"> and assess</w:t>
      </w:r>
      <w:r w:rsidR="00417EBC">
        <w:t>ing</w:t>
      </w:r>
      <w:r w:rsidR="00B63411" w:rsidRPr="00730886">
        <w:t xml:space="preserve"> </w:t>
      </w:r>
      <w:r w:rsidR="001544BD">
        <w:t>negative</w:t>
      </w:r>
      <w:r w:rsidR="001544BD" w:rsidRPr="00730886">
        <w:t xml:space="preserve"> </w:t>
      </w:r>
      <w:r w:rsidR="00B63411" w:rsidRPr="00730886">
        <w:t>impacts in operations, supply chains and business relationships</w:t>
      </w:r>
      <w:r w:rsidR="006036A6">
        <w:t>.</w:t>
      </w:r>
    </w:p>
    <w:p w14:paraId="63765CB6" w14:textId="07EEE581" w:rsidR="00B63411" w:rsidRPr="00730886" w:rsidRDefault="00F668E8" w:rsidP="00B63411">
      <w:pPr>
        <w:pStyle w:val="Bullet1"/>
        <w:ind w:left="567" w:hanging="567"/>
      </w:pPr>
      <w:r>
        <w:t>c</w:t>
      </w:r>
      <w:r w:rsidRPr="00730886">
        <w:t>eas</w:t>
      </w:r>
      <w:r>
        <w:t>ing</w:t>
      </w:r>
      <w:r w:rsidR="00B63411" w:rsidRPr="00730886">
        <w:t>, prevent</w:t>
      </w:r>
      <w:r w:rsidR="00417EBC">
        <w:t>ing</w:t>
      </w:r>
      <w:r w:rsidR="00B63411" w:rsidRPr="00730886">
        <w:t xml:space="preserve"> or mitigat</w:t>
      </w:r>
      <w:r w:rsidR="00417EBC">
        <w:t>ing</w:t>
      </w:r>
      <w:r w:rsidR="00B63411" w:rsidRPr="00730886">
        <w:t xml:space="preserve"> the adverse impacts</w:t>
      </w:r>
      <w:r w:rsidR="006036A6">
        <w:t>.</w:t>
      </w:r>
    </w:p>
    <w:p w14:paraId="4ECF9612" w14:textId="5EBC7F21" w:rsidR="00B63411" w:rsidRPr="00730886" w:rsidRDefault="00F668E8" w:rsidP="00B63411">
      <w:pPr>
        <w:pStyle w:val="Bullet1"/>
        <w:ind w:left="567" w:hanging="567"/>
      </w:pPr>
      <w:r>
        <w:t>t</w:t>
      </w:r>
      <w:r w:rsidRPr="00730886">
        <w:t>rack</w:t>
      </w:r>
      <w:r>
        <w:t>ing</w:t>
      </w:r>
      <w:r w:rsidRPr="00730886">
        <w:t xml:space="preserve"> </w:t>
      </w:r>
      <w:r w:rsidR="00B63411" w:rsidRPr="00730886">
        <w:t>the implementation of policies and their results</w:t>
      </w:r>
      <w:r w:rsidR="006036A6">
        <w:t>.</w:t>
      </w:r>
    </w:p>
    <w:p w14:paraId="0CBD1638" w14:textId="0065EB16" w:rsidR="00B63411" w:rsidRPr="00730886" w:rsidRDefault="00F668E8" w:rsidP="00B63411">
      <w:pPr>
        <w:pStyle w:val="Bullet1"/>
        <w:ind w:left="567" w:hanging="567"/>
      </w:pPr>
      <w:r>
        <w:t>r</w:t>
      </w:r>
      <w:r w:rsidR="00B63411" w:rsidRPr="00730886">
        <w:t>eport</w:t>
      </w:r>
      <w:r w:rsidR="00417EBC">
        <w:t>ing</w:t>
      </w:r>
      <w:r w:rsidR="00B63411" w:rsidRPr="00730886">
        <w:t xml:space="preserve"> and communicat</w:t>
      </w:r>
      <w:r w:rsidR="00417EBC">
        <w:t>ing</w:t>
      </w:r>
      <w:r w:rsidR="00B63411" w:rsidRPr="00730886">
        <w:t xml:space="preserve"> how impacts are addressed</w:t>
      </w:r>
      <w:r w:rsidR="00B63411">
        <w:t>.</w:t>
      </w:r>
    </w:p>
    <w:p w14:paraId="4D0A287A" w14:textId="319AE6CC" w:rsidR="00B63411" w:rsidRDefault="00B63411" w:rsidP="00B63411">
      <w:pPr>
        <w:spacing w:before="240"/>
      </w:pPr>
      <w:r w:rsidRPr="00574224">
        <w:t>In high</w:t>
      </w:r>
      <w:r w:rsidR="00157F74">
        <w:t>-</w:t>
      </w:r>
      <w:r w:rsidRPr="00574224">
        <w:t xml:space="preserve">risk situations, due diligence procedures may extend to conducting direct and indirect enquiries and background research. Corporations may request details on the background, expertise and experience of relevant individuals and seek to verify the information received through independent research </w:t>
      </w:r>
      <w:r w:rsidR="00F668E8">
        <w:t>or</w:t>
      </w:r>
      <w:r w:rsidR="00F668E8" w:rsidRPr="00574224">
        <w:t xml:space="preserve"> </w:t>
      </w:r>
      <w:r w:rsidRPr="00574224">
        <w:t xml:space="preserve">by contacting referees. </w:t>
      </w:r>
      <w:r w:rsidR="00F668E8">
        <w:t>P</w:t>
      </w:r>
      <w:r w:rsidRPr="00574224">
        <w:t>ractical measures may include a questionnaire for the associate to complete, web-searches, searches of relevant government/public databases and lists, or inquiries of third parties with knowledge of the associate’s history and reputation. These may be carried out by the corporation or an appointed expert.</w:t>
      </w:r>
    </w:p>
    <w:p w14:paraId="19BFAAC3" w14:textId="1E94E9FE" w:rsidR="00B63411" w:rsidRPr="00E85E12" w:rsidRDefault="00815391" w:rsidP="00B63411">
      <w:pPr>
        <w:pStyle w:val="Heading3"/>
        <w:spacing w:beforeLines="100" w:before="240"/>
      </w:pPr>
      <w:r>
        <w:t>4</w:t>
      </w:r>
      <w:r w:rsidR="00B63411">
        <w:t>.3.1 Non-controlled associates</w:t>
      </w:r>
    </w:p>
    <w:p w14:paraId="6906B788" w14:textId="090D4203" w:rsidR="00B63411" w:rsidRDefault="00B63411" w:rsidP="00B63411">
      <w:pPr>
        <w:spacing w:before="240"/>
      </w:pPr>
      <w:r w:rsidRPr="00E85E12">
        <w:t>Associates that are not controlled by the corporation but provide services for it</w:t>
      </w:r>
      <w:r>
        <w:t xml:space="preserve">, for example, </w:t>
      </w:r>
      <w:r w:rsidR="00826382">
        <w:t xml:space="preserve">incorporated </w:t>
      </w:r>
      <w:r>
        <w:t>joint venture partners</w:t>
      </w:r>
      <w:r w:rsidR="00166A53">
        <w:t xml:space="preserve"> or partially owned subsidiaries</w:t>
      </w:r>
      <w:r>
        <w:t>,</w:t>
      </w:r>
      <w:r w:rsidRPr="00E85E12">
        <w:t xml:space="preserve"> are still in a position to commit foreign bribery for the profit or gain of the corporation</w:t>
      </w:r>
      <w:r>
        <w:t xml:space="preserve">. </w:t>
      </w:r>
      <w:r w:rsidR="00490B34">
        <w:t>Therefore,</w:t>
      </w:r>
      <w:r>
        <w:t xml:space="preserve"> these associates </w:t>
      </w:r>
      <w:r w:rsidRPr="00E85E12">
        <w:t xml:space="preserve">should be </w:t>
      </w:r>
      <w:r>
        <w:t>included in</w:t>
      </w:r>
      <w:r w:rsidRPr="00E85E12">
        <w:t xml:space="preserve"> the risk assessment and due diligence</w:t>
      </w:r>
      <w:r>
        <w:t xml:space="preserve"> processes of the corporation</w:t>
      </w:r>
      <w:r w:rsidRPr="00E85E12">
        <w:t xml:space="preserve">. </w:t>
      </w:r>
    </w:p>
    <w:p w14:paraId="41BBBB31" w14:textId="77777777" w:rsidR="00B63411" w:rsidRDefault="00B63411" w:rsidP="00B63411">
      <w:pPr>
        <w:spacing w:before="240"/>
      </w:pPr>
      <w:r w:rsidRPr="000D1B48">
        <w:lastRenderedPageBreak/>
        <w:t>Where there is a foreign bribery risk associated with a non-controlled associate, the corporation should consider</w:t>
      </w:r>
      <w:r>
        <w:t xml:space="preserve"> </w:t>
      </w:r>
      <w:r w:rsidRPr="00E85E12">
        <w:t>whether the associate has sufficient measures in place to mitigate the risk</w:t>
      </w:r>
      <w:r>
        <w:t>. The corporation may consider control measures such as:</w:t>
      </w:r>
    </w:p>
    <w:p w14:paraId="258053DF" w14:textId="4A75BFD1" w:rsidR="00D22DC1" w:rsidRPr="005A0893" w:rsidRDefault="001544BD" w:rsidP="00B63411">
      <w:pPr>
        <w:pStyle w:val="Bullet1"/>
        <w:ind w:left="567" w:hanging="567"/>
      </w:pPr>
      <w:r>
        <w:t>P</w:t>
      </w:r>
      <w:r w:rsidR="00D22DC1" w:rsidRPr="005A0893">
        <w:t xml:space="preserve">roperly documented risk-based due diligence </w:t>
      </w:r>
      <w:r>
        <w:t>on</w:t>
      </w:r>
      <w:r w:rsidR="00D22DC1" w:rsidRPr="005A0893">
        <w:t xml:space="preserve"> the hiring or selection of the associate to provide services</w:t>
      </w:r>
      <w:r w:rsidR="005A0893" w:rsidRPr="005A0893">
        <w:t>.</w:t>
      </w:r>
    </w:p>
    <w:p w14:paraId="0484D04F" w14:textId="15BE2067" w:rsidR="00D22DC1" w:rsidRPr="005A0893" w:rsidRDefault="00D22DC1" w:rsidP="00B63411">
      <w:pPr>
        <w:pStyle w:val="Bullet1"/>
        <w:ind w:left="567" w:hanging="567"/>
      </w:pPr>
      <w:r w:rsidRPr="005A0893">
        <w:t>Informing the associate of the c</w:t>
      </w:r>
      <w:r w:rsidR="00C15162">
        <w:t>orporation</w:t>
      </w:r>
      <w:r w:rsidRPr="005A0893">
        <w:t>’s commitment to anti-bribery compliance</w:t>
      </w:r>
      <w:r w:rsidR="005A0893" w:rsidRPr="005A0893">
        <w:t>.</w:t>
      </w:r>
    </w:p>
    <w:p w14:paraId="5A091806" w14:textId="112EBE6A" w:rsidR="00B63411" w:rsidRPr="005A0893" w:rsidRDefault="00B63411" w:rsidP="00B63411">
      <w:pPr>
        <w:pStyle w:val="Bullet1"/>
        <w:ind w:left="567" w:hanging="567"/>
      </w:pPr>
      <w:r w:rsidRPr="005A0893">
        <w:t>A requirement for the associate to demonstrate its commitment to integrity</w:t>
      </w:r>
      <w:r w:rsidR="005A0893" w:rsidRPr="005A0893">
        <w:t>.</w:t>
      </w:r>
    </w:p>
    <w:p w14:paraId="29EB7420" w14:textId="224C9EA7" w:rsidR="00B63411" w:rsidRPr="005A0893" w:rsidRDefault="001544BD" w:rsidP="00B63411">
      <w:pPr>
        <w:pStyle w:val="Bullet1"/>
        <w:ind w:left="567" w:hanging="567"/>
      </w:pPr>
      <w:r>
        <w:t>I</w:t>
      </w:r>
      <w:r w:rsidR="00B63411" w:rsidRPr="005A0893">
        <w:t>mplementation of bribery</w:t>
      </w:r>
      <w:r w:rsidR="00CE1BFB" w:rsidRPr="005A0893">
        <w:t xml:space="preserve"> prevention</w:t>
      </w:r>
      <w:r w:rsidR="00B63411" w:rsidRPr="005A0893">
        <w:t xml:space="preserve"> </w:t>
      </w:r>
      <w:r w:rsidR="005A6347" w:rsidRPr="005A0893">
        <w:t>controls</w:t>
      </w:r>
      <w:r w:rsidR="00B63411" w:rsidRPr="005A0893">
        <w:t xml:space="preserve"> by the associate </w:t>
      </w:r>
      <w:r w:rsidR="005A6347" w:rsidRPr="005A0893">
        <w:t xml:space="preserve">that are </w:t>
      </w:r>
      <w:r w:rsidR="00B63411" w:rsidRPr="005A0893">
        <w:t>proportionate to the risk to address the transaction between itself and the corporation</w:t>
      </w:r>
      <w:r w:rsidR="005A0893" w:rsidRPr="005A0893">
        <w:t>.</w:t>
      </w:r>
    </w:p>
    <w:p w14:paraId="49B757B3" w14:textId="73E30995" w:rsidR="005A6347" w:rsidRPr="005A0893" w:rsidRDefault="001544BD" w:rsidP="00B63411">
      <w:pPr>
        <w:pStyle w:val="Bullet1"/>
        <w:ind w:left="567" w:hanging="567"/>
      </w:pPr>
      <w:r>
        <w:t>P</w:t>
      </w:r>
      <w:r w:rsidR="005A6347" w:rsidRPr="005A0893">
        <w:t xml:space="preserve">articipation in regular training </w:t>
      </w:r>
      <w:r w:rsidR="008D3B34">
        <w:t>in accordance with</w:t>
      </w:r>
      <w:r w:rsidR="005A6347" w:rsidRPr="005A0893">
        <w:t xml:space="preserve"> the corporation’s anti-bribery compliance program. </w:t>
      </w:r>
    </w:p>
    <w:p w14:paraId="48D2B037" w14:textId="05FAF2E4" w:rsidR="00B63411" w:rsidRPr="002566E0" w:rsidRDefault="00B63411" w:rsidP="00B63411">
      <w:pPr>
        <w:spacing w:before="240"/>
      </w:pPr>
      <w:r w:rsidRPr="00E85E12">
        <w:t xml:space="preserve">If such measures are not in place, cannot be verified, or the corporation is unable to enforce implementation, </w:t>
      </w:r>
      <w:r w:rsidR="001544BD">
        <w:t>there</w:t>
      </w:r>
      <w:r w:rsidR="00626090" w:rsidRPr="00E85E12">
        <w:t xml:space="preserve"> </w:t>
      </w:r>
      <w:r w:rsidRPr="00E85E12">
        <w:t xml:space="preserve">may </w:t>
      </w:r>
      <w:r w:rsidR="001544BD">
        <w:t xml:space="preserve">be </w:t>
      </w:r>
      <w:r w:rsidRPr="00E85E12">
        <w:t>a significant corruption risk that will need to be appropriately managed</w:t>
      </w:r>
      <w:r>
        <w:t>. Whil</w:t>
      </w:r>
      <w:r w:rsidR="00B87F20">
        <w:t>e</w:t>
      </w:r>
      <w:r>
        <w:t xml:space="preserve"> the law does not necessarily require it, termination of contracts could be considered best practice in order to adequately control the risk. </w:t>
      </w:r>
    </w:p>
    <w:p w14:paraId="4907A939" w14:textId="26B0D0DD" w:rsidR="00B63411" w:rsidRDefault="00B63411" w:rsidP="00936F96">
      <w:pPr>
        <w:spacing w:before="240"/>
      </w:pPr>
      <w:r w:rsidRPr="002566E0">
        <w:t>Corporations are not expected to verify the full implementation of anti-bribery measures by non</w:t>
      </w:r>
      <w:r w:rsidRPr="002566E0">
        <w:noBreakHyphen/>
        <w:t xml:space="preserve">controlled associates, but should be satisfied on a reasonable basis that they are complying. Where the </w:t>
      </w:r>
      <w:r w:rsidR="00626090">
        <w:t>risk of bribery</w:t>
      </w:r>
      <w:r w:rsidRPr="002566E0">
        <w:t xml:space="preserve"> is low and the required anti-bribery measures are straightforward, the associate’s relevant </w:t>
      </w:r>
      <w:r>
        <w:t>control</w:t>
      </w:r>
      <w:r w:rsidRPr="002566E0">
        <w:t xml:space="preserve"> documents may be an adequate basis for this purpose. </w:t>
      </w:r>
    </w:p>
    <w:p w14:paraId="355FF478" w14:textId="684981E7" w:rsidR="00567D26" w:rsidRDefault="00E568DC" w:rsidP="001C7E66">
      <w:pPr>
        <w:spacing w:after="0" w:line="240" w:lineRule="auto"/>
      </w:pPr>
      <w:r>
        <w:rPr>
          <w:noProof/>
        </w:rPr>
        <w:lastRenderedPageBreak/>
        <mc:AlternateContent>
          <mc:Choice Requires="wps">
            <w:drawing>
              <wp:anchor distT="45720" distB="45720" distL="114300" distR="114300" simplePos="0" relativeHeight="251749376" behindDoc="0" locked="0" layoutInCell="1" allowOverlap="1" wp14:anchorId="2E7EF46F" wp14:editId="6537BFD1">
                <wp:simplePos x="0" y="0"/>
                <wp:positionH relativeFrom="margin">
                  <wp:align>right</wp:align>
                </wp:positionH>
                <wp:positionV relativeFrom="paragraph">
                  <wp:posOffset>273290</wp:posOffset>
                </wp:positionV>
                <wp:extent cx="6322695" cy="5236210"/>
                <wp:effectExtent l="0" t="0" r="190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5236234"/>
                        </a:xfrm>
                        <a:prstGeom prst="rect">
                          <a:avLst/>
                        </a:prstGeom>
                        <a:solidFill>
                          <a:schemeClr val="accent1">
                            <a:lumMod val="60000"/>
                            <a:lumOff val="40000"/>
                          </a:schemeClr>
                        </a:solidFill>
                        <a:ln w="9525">
                          <a:noFill/>
                          <a:miter lim="800000"/>
                          <a:headEnd/>
                          <a:tailEnd/>
                        </a:ln>
                      </wps:spPr>
                      <wps:txbx>
                        <w:txbxContent>
                          <w:p w14:paraId="7AA3238D" w14:textId="19AEF43A" w:rsidR="00E75C3B" w:rsidRDefault="00E75C3B" w:rsidP="00E568DC">
                            <w:pPr>
                              <w:rPr>
                                <w:b/>
                                <w:i/>
                              </w:rPr>
                            </w:pPr>
                            <w:r>
                              <w:rPr>
                                <w:b/>
                                <w:i/>
                              </w:rPr>
                              <w:t>Case Study - Due Diligence</w:t>
                            </w:r>
                          </w:p>
                          <w:p w14:paraId="5F97E337" w14:textId="0E0C23B3" w:rsidR="00E75C3B" w:rsidRDefault="00E75C3B" w:rsidP="00E568DC">
                            <w:r>
                              <w:t xml:space="preserve">Mad Mac Materials is a medium-sized manufacturing business which has experienced success in the Australian market in recent years. The company has identified an opportunity to merge its business with TexTillie, a similar sized textiles business based in the United Kingdom that conducts business in several countries. </w:t>
                            </w:r>
                          </w:p>
                          <w:p w14:paraId="60F48CB8" w14:textId="330429B3" w:rsidR="00E75C3B" w:rsidRDefault="00E75C3B" w:rsidP="00E568DC">
                            <w:r>
                              <w:t>While conducting a due diligence review into the operations of TexTillie, Mad Mac staff notice th</w:t>
                            </w:r>
                            <w:r w:rsidR="008D3B34">
                              <w:t>at</w:t>
                            </w:r>
                            <w:r>
                              <w:t>:</w:t>
                            </w:r>
                          </w:p>
                          <w:p w14:paraId="20C76396" w14:textId="104A6A1F" w:rsidR="00E75C3B" w:rsidRDefault="008D3B34" w:rsidP="00E568DC">
                            <w:pPr>
                              <w:pStyle w:val="ListParagraph"/>
                              <w:numPr>
                                <w:ilvl w:val="0"/>
                                <w:numId w:val="30"/>
                              </w:numPr>
                              <w:tabs>
                                <w:tab w:val="num" w:pos="360"/>
                              </w:tabs>
                              <w:spacing w:after="160" w:line="259" w:lineRule="auto"/>
                              <w:contextualSpacing w:val="0"/>
                            </w:pPr>
                            <w:r>
                              <w:t xml:space="preserve">international </w:t>
                            </w:r>
                            <w:r w:rsidR="00E75C3B">
                              <w:t xml:space="preserve">contracts often refer to ‘administrative fees’ </w:t>
                            </w:r>
                            <w:r>
                              <w:t>when</w:t>
                            </w:r>
                            <w:r w:rsidR="00E75C3B">
                              <w:t xml:space="preserve"> with dealing with foreign departments without any specific detail of why these fees are incurred, and</w:t>
                            </w:r>
                          </w:p>
                          <w:p w14:paraId="1C4424D2" w14:textId="11D5E2FC" w:rsidR="00E75C3B" w:rsidRDefault="008D3B34" w:rsidP="00E568DC">
                            <w:pPr>
                              <w:pStyle w:val="ListParagraph"/>
                              <w:numPr>
                                <w:ilvl w:val="0"/>
                                <w:numId w:val="30"/>
                              </w:numPr>
                              <w:tabs>
                                <w:tab w:val="num" w:pos="360"/>
                              </w:tabs>
                              <w:spacing w:after="160" w:line="259" w:lineRule="auto"/>
                              <w:contextualSpacing w:val="0"/>
                            </w:pPr>
                            <w:r>
                              <w:t xml:space="preserve">some </w:t>
                            </w:r>
                            <w:r w:rsidR="00E75C3B">
                              <w:t>incomplete financial record keeping</w:t>
                            </w:r>
                            <w:r>
                              <w:t>.</w:t>
                            </w:r>
                          </w:p>
                          <w:p w14:paraId="7D455005" w14:textId="4D9ABBAB" w:rsidR="00E75C3B" w:rsidRDefault="00E75C3B" w:rsidP="00E568DC">
                            <w:r>
                              <w:t>At the same time, the business learns that a competitor is looking to acquire TexTillie. As a result, the identified issues are not thoroughly examined and Mad Mac decide to take TexTillie’s word that there is nothing to be concerned about.</w:t>
                            </w:r>
                          </w:p>
                          <w:p w14:paraId="671BD7CF" w14:textId="77777777" w:rsidR="00E75C3B" w:rsidRDefault="00E75C3B" w:rsidP="00E568DC">
                            <w:r>
                              <w:t xml:space="preserve">Eighteen months after the merger is complete, the newly created entity is charged with foreign bribery offences for conduct that took place before and after the merger. The newly created entity finds itself facing potential criminal proceedings and is at risk of having to pay a large fine. </w:t>
                            </w:r>
                          </w:p>
                          <w:p w14:paraId="3233141D" w14:textId="63A2C1D7" w:rsidR="00E75C3B" w:rsidRDefault="00E75C3B" w:rsidP="00E568DC">
                            <w:r>
                              <w:t xml:space="preserve">As part of its due diligence, Mad Mac should have followed up and investigated the red flags identified prior to, during and after the merger. In order to identify red flags, it is crucial that businesses understand its anti-bribery and corruption risks. Prevention is the strongest tool to reduce these risks, and due diligence is an integral part of that process. </w:t>
                            </w:r>
                          </w:p>
                          <w:p w14:paraId="48489CED" w14:textId="52B1F38F" w:rsidR="00E75C3B" w:rsidRPr="00E8056B" w:rsidRDefault="00E75C3B" w:rsidP="00E568DC">
                            <w:pPr>
                              <w:rPr>
                                <w:i/>
                              </w:rPr>
                            </w:pPr>
                            <w:r>
                              <w:rPr>
                                <w:i/>
                              </w:rPr>
                              <w:t>With thanks to the Bribery Prevention Network for its Case Study guidance.</w:t>
                            </w:r>
                          </w:p>
                          <w:p w14:paraId="6C97764C" w14:textId="77777777" w:rsidR="00E75C3B" w:rsidRDefault="00E75C3B" w:rsidP="00E56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EF46F" id="_x0000_s1030" type="#_x0000_t202" style="position:absolute;margin-left:446.65pt;margin-top:21.5pt;width:497.85pt;height:412.3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" fillcolor="#95b3d7 [1940]" stroked="f">
                <v:textbox>
                  <w:txbxContent>
                    <w:p w14:paraId="7AA3238D" w14:textId="19AEF43A" w:rsidR="00E75C3B" w:rsidRDefault="00E75C3B" w:rsidP="00E568DC">
                      <w:pPr>
                        <w:rPr>
                          <w:b/>
                          <w:i/>
                        </w:rPr>
                      </w:pPr>
                      <w:r>
                        <w:rPr>
                          <w:b/>
                          <w:i/>
                        </w:rPr>
                        <w:t>Case Study - Due Diligence</w:t>
                      </w:r>
                    </w:p>
                    <w:p w14:paraId="5F97E337" w14:textId="0E0C23B3" w:rsidR="00E75C3B" w:rsidRDefault="00E75C3B" w:rsidP="00E568DC">
                      <w:r>
                        <w:t xml:space="preserve">Mad Mac Materials is a medium-sized manufacturing business which has experienced success in the Australian market in recent years. The company has identified an opportunity to merge its business with TexTillie, a similar sized textiles business based in the United Kingdom that conducts business in several countries. </w:t>
                      </w:r>
                    </w:p>
                    <w:p w14:paraId="60F48CB8" w14:textId="330429B3" w:rsidR="00E75C3B" w:rsidRDefault="00E75C3B" w:rsidP="00E568DC">
                      <w:r>
                        <w:t>While conducting a due diligence review into the operations of TexTillie, Mad Mac staff notice th</w:t>
                      </w:r>
                      <w:r w:rsidR="008D3B34">
                        <w:t>at</w:t>
                      </w:r>
                      <w:r>
                        <w:t>:</w:t>
                      </w:r>
                    </w:p>
                    <w:p w14:paraId="20C76396" w14:textId="104A6A1F" w:rsidR="00E75C3B" w:rsidRDefault="008D3B34" w:rsidP="00E568DC">
                      <w:pPr>
                        <w:pStyle w:val="ListParagraph"/>
                        <w:numPr>
                          <w:ilvl w:val="0"/>
                          <w:numId w:val="30"/>
                        </w:numPr>
                        <w:tabs>
                          <w:tab w:val="num" w:pos="360"/>
                        </w:tabs>
                        <w:spacing w:after="160" w:line="259" w:lineRule="auto"/>
                        <w:contextualSpacing w:val="0"/>
                      </w:pPr>
                      <w:r>
                        <w:t xml:space="preserve">international </w:t>
                      </w:r>
                      <w:r w:rsidR="00E75C3B">
                        <w:t xml:space="preserve">contracts often refer to ‘administrative fees’ </w:t>
                      </w:r>
                      <w:r>
                        <w:t>when</w:t>
                      </w:r>
                      <w:r w:rsidR="00E75C3B">
                        <w:t xml:space="preserve"> with dealing with foreign departments without any specific detail of why these fees are incurred, and</w:t>
                      </w:r>
                    </w:p>
                    <w:p w14:paraId="1C4424D2" w14:textId="11D5E2FC" w:rsidR="00E75C3B" w:rsidRDefault="008D3B34" w:rsidP="00E568DC">
                      <w:pPr>
                        <w:pStyle w:val="ListParagraph"/>
                        <w:numPr>
                          <w:ilvl w:val="0"/>
                          <w:numId w:val="30"/>
                        </w:numPr>
                        <w:tabs>
                          <w:tab w:val="num" w:pos="360"/>
                        </w:tabs>
                        <w:spacing w:after="160" w:line="259" w:lineRule="auto"/>
                        <w:contextualSpacing w:val="0"/>
                      </w:pPr>
                      <w:r>
                        <w:t xml:space="preserve">some </w:t>
                      </w:r>
                      <w:r w:rsidR="00E75C3B">
                        <w:t>incomplete financial record keeping</w:t>
                      </w:r>
                      <w:r>
                        <w:t>.</w:t>
                      </w:r>
                    </w:p>
                    <w:p w14:paraId="7D455005" w14:textId="4D9ABBAB" w:rsidR="00E75C3B" w:rsidRDefault="00E75C3B" w:rsidP="00E568DC">
                      <w:r>
                        <w:t>At the same time, the business learns that a competitor is looking to acquire TexTillie. As a result, the identified issues are not thoroughly examined and Mad Mac decide to take TexTillie’s word that there is nothing to be concerned about.</w:t>
                      </w:r>
                    </w:p>
                    <w:p w14:paraId="671BD7CF" w14:textId="77777777" w:rsidR="00E75C3B" w:rsidRDefault="00E75C3B" w:rsidP="00E568DC">
                      <w:r>
                        <w:t xml:space="preserve">Eighteen months after the merger is complete, the newly created entity is charged with foreign bribery offences for conduct that took place before and after the merger. The newly created entity finds itself facing potential criminal proceedings and is at risk of having to pay a large fine. </w:t>
                      </w:r>
                    </w:p>
                    <w:p w14:paraId="3233141D" w14:textId="63A2C1D7" w:rsidR="00E75C3B" w:rsidRDefault="00E75C3B" w:rsidP="00E568DC">
                      <w:r>
                        <w:t xml:space="preserve">As part of its due diligence, Mad Mac should have followed up and investigated the red flags identified prior to, during and after the merger. In order to identify red flags, it is crucial that businesses understand its anti-bribery and corruption risks. Prevention is the strongest tool to reduce these risks, and due diligence is an integral part of that process. </w:t>
                      </w:r>
                    </w:p>
                    <w:p w14:paraId="48489CED" w14:textId="52B1F38F" w:rsidR="00E75C3B" w:rsidRPr="00E8056B" w:rsidRDefault="00E75C3B" w:rsidP="00E568DC">
                      <w:pPr>
                        <w:rPr>
                          <w:i/>
                        </w:rPr>
                      </w:pPr>
                      <w:r>
                        <w:rPr>
                          <w:i/>
                        </w:rPr>
                        <w:t>With thanks to the Bribery Prevention Network for its Case Study guidance.</w:t>
                      </w:r>
                    </w:p>
                    <w:p w14:paraId="6C97764C" w14:textId="77777777" w:rsidR="00E75C3B" w:rsidRDefault="00E75C3B" w:rsidP="00E568DC"/>
                  </w:txbxContent>
                </v:textbox>
                <w10:wrap type="square" anchorx="margin"/>
              </v:shape>
            </w:pict>
          </mc:Fallback>
        </mc:AlternateContent>
      </w:r>
      <w:r w:rsidR="00567D26">
        <w:br w:type="page"/>
      </w:r>
    </w:p>
    <w:p w14:paraId="3D252B10" w14:textId="0744C263" w:rsidR="009940EB" w:rsidRDefault="00815391" w:rsidP="00E32A66">
      <w:pPr>
        <w:pStyle w:val="Heading1"/>
        <w:spacing w:beforeLines="100" w:before="240"/>
        <w:jc w:val="left"/>
      </w:pPr>
      <w:bookmarkStart w:id="16" w:name="_Toc163563348"/>
      <w:bookmarkEnd w:id="15"/>
      <w:r>
        <w:lastRenderedPageBreak/>
        <w:t>5</w:t>
      </w:r>
      <w:r w:rsidR="00B032A9">
        <w:t>.</w:t>
      </w:r>
      <w:r w:rsidR="009940EB">
        <w:t xml:space="preserve"> Communication and training</w:t>
      </w:r>
      <w:bookmarkEnd w:id="16"/>
    </w:p>
    <w:p w14:paraId="77B7BEF6" w14:textId="3126C9AC" w:rsidR="001A1093" w:rsidRDefault="001A1093" w:rsidP="003E4A99">
      <w:pPr>
        <w:spacing w:before="240"/>
      </w:pPr>
      <w:r>
        <w:t xml:space="preserve">Communication and training should be carried out </w:t>
      </w:r>
      <w:r w:rsidR="008D3B34">
        <w:t>to</w:t>
      </w:r>
      <w:r>
        <w:t xml:space="preserve"> </w:t>
      </w:r>
      <w:r w:rsidR="008D3B34">
        <w:t xml:space="preserve">ensure </w:t>
      </w:r>
      <w:r w:rsidR="008049B7">
        <w:t xml:space="preserve">that </w:t>
      </w:r>
      <w:r w:rsidR="003A0309">
        <w:t xml:space="preserve">employees and </w:t>
      </w:r>
      <w:r w:rsidR="008049B7">
        <w:t>associates understand the corporation’s anti-bribery compliance program</w:t>
      </w:r>
      <w:r w:rsidR="00332E48">
        <w:t>,</w:t>
      </w:r>
      <w:r w:rsidR="008049B7">
        <w:t xml:space="preserve"> and the practical application of controls under the program. </w:t>
      </w:r>
      <w:r w:rsidR="00AA3B5B" w:rsidRPr="003E4A99">
        <w:t>The frequency and content of communications and training should be proportionate to the bribery risks faced.</w:t>
      </w:r>
    </w:p>
    <w:p w14:paraId="2A49CCEB" w14:textId="728D88B1" w:rsidR="003A0309" w:rsidRDefault="003A0309" w:rsidP="003E4A99">
      <w:pPr>
        <w:spacing w:before="240"/>
      </w:pPr>
      <w:r w:rsidRPr="00116B38">
        <w:t>Communication and trai</w:t>
      </w:r>
      <w:r w:rsidRPr="004066C9">
        <w:t>ning should include</w:t>
      </w:r>
      <w:r w:rsidR="00332E48">
        <w:t xml:space="preserve"> information on</w:t>
      </w:r>
      <w:r w:rsidRPr="004066C9">
        <w:t xml:space="preserve"> how employees</w:t>
      </w:r>
      <w:r>
        <w:t xml:space="preserve"> </w:t>
      </w:r>
      <w:r w:rsidRPr="004066C9">
        <w:t xml:space="preserve">are expected to respond to bribe solicitation and where to report bribery concerns. </w:t>
      </w:r>
    </w:p>
    <w:p w14:paraId="2E19C2EE" w14:textId="38138841" w:rsidR="00AA3B5B" w:rsidRDefault="00815391" w:rsidP="004066C9">
      <w:pPr>
        <w:pStyle w:val="Heading2"/>
      </w:pPr>
      <w:bookmarkStart w:id="17" w:name="_Toc163563349"/>
      <w:r>
        <w:t>5</w:t>
      </w:r>
      <w:r w:rsidR="00AA3B5B">
        <w:t>.1 Training</w:t>
      </w:r>
      <w:bookmarkEnd w:id="17"/>
    </w:p>
    <w:p w14:paraId="44F60CFD" w14:textId="18C0414C" w:rsidR="005513F9" w:rsidRDefault="008049B7" w:rsidP="003E4A99">
      <w:pPr>
        <w:spacing w:before="240"/>
      </w:pPr>
      <w:r>
        <w:t>Training should be tailored to</w:t>
      </w:r>
      <w:r w:rsidR="00EB742E">
        <w:t xml:space="preserve"> the</w:t>
      </w:r>
      <w:r>
        <w:t xml:space="preserve"> needs identified through the risk assessment process</w:t>
      </w:r>
      <w:r w:rsidR="00EB742E">
        <w:t xml:space="preserve"> and </w:t>
      </w:r>
      <w:r w:rsidR="00AA3B5B">
        <w:t xml:space="preserve">designed to mitigate the risks identified. Training should </w:t>
      </w:r>
      <w:r w:rsidR="00EB742E">
        <w:t xml:space="preserve">be offered </w:t>
      </w:r>
      <w:r w:rsidR="00AA3B5B" w:rsidRPr="00116B38">
        <w:t>i</w:t>
      </w:r>
      <w:r w:rsidR="00EB742E" w:rsidRPr="00116B38">
        <w:t xml:space="preserve">n different </w:t>
      </w:r>
      <w:r w:rsidR="00AA3B5B" w:rsidRPr="00116B38">
        <w:t>forms</w:t>
      </w:r>
      <w:r w:rsidR="00EB742E" w:rsidRPr="00116B38">
        <w:t xml:space="preserve"> including </w:t>
      </w:r>
      <w:r w:rsidR="00EB742E" w:rsidRPr="005A6347">
        <w:t>classroom teaching, external courses, seminars</w:t>
      </w:r>
      <w:r w:rsidR="00EB742E" w:rsidRPr="004066C9">
        <w:t>, online learning and conferences</w:t>
      </w:r>
      <w:r w:rsidR="00332E48">
        <w:t xml:space="preserve">, </w:t>
      </w:r>
      <w:r w:rsidR="00AA3B5B" w:rsidRPr="004066C9">
        <w:t>and be</w:t>
      </w:r>
      <w:r w:rsidR="00EB742E" w:rsidRPr="004066C9">
        <w:t xml:space="preserve"> supported by publications and training materials</w:t>
      </w:r>
      <w:r>
        <w:t>.</w:t>
      </w:r>
      <w:r w:rsidR="005513F9" w:rsidRPr="003E4A99">
        <w:t xml:space="preserve"> </w:t>
      </w:r>
    </w:p>
    <w:p w14:paraId="70C1DBF4" w14:textId="2295AE18" w:rsidR="00EB742E" w:rsidRPr="005A0893" w:rsidRDefault="00EB742E" w:rsidP="004066C9">
      <w:pPr>
        <w:spacing w:before="240"/>
      </w:pPr>
      <w:r w:rsidRPr="005A0893">
        <w:t>Training should</w:t>
      </w:r>
      <w:r w:rsidR="008D3B34">
        <w:t>:</w:t>
      </w:r>
    </w:p>
    <w:p w14:paraId="58200A6A" w14:textId="6613DFCE" w:rsidR="00EB742E" w:rsidRPr="005A0893" w:rsidRDefault="008D3B34" w:rsidP="00EB742E">
      <w:pPr>
        <w:pStyle w:val="Bullet1"/>
        <w:ind w:left="567" w:hanging="567"/>
      </w:pPr>
      <w:r>
        <w:t>b</w:t>
      </w:r>
      <w:r w:rsidRPr="005A0893">
        <w:t xml:space="preserve">e </w:t>
      </w:r>
      <w:r w:rsidR="00EB742E" w:rsidRPr="005A0893">
        <w:t>provided to the corporation’s directors, managers and employees</w:t>
      </w:r>
    </w:p>
    <w:p w14:paraId="603C5833" w14:textId="2F32ECDC" w:rsidR="00EB742E" w:rsidRPr="005A0893" w:rsidRDefault="008D3B34" w:rsidP="00EB742E">
      <w:pPr>
        <w:pStyle w:val="Bullet1"/>
        <w:ind w:left="567" w:hanging="567"/>
      </w:pPr>
      <w:r>
        <w:t>b</w:t>
      </w:r>
      <w:r w:rsidR="00EB742E" w:rsidRPr="005A0893">
        <w:t>e necessary for other associates, such as agents, contractors or suppliers considered at risk of foreign bribery</w:t>
      </w:r>
    </w:p>
    <w:p w14:paraId="5567009E" w14:textId="7EE4B35C" w:rsidR="006F7C0C" w:rsidRPr="005A0893" w:rsidRDefault="008D3B34" w:rsidP="00EB742E">
      <w:pPr>
        <w:pStyle w:val="Bullet1"/>
        <w:ind w:left="567" w:hanging="567"/>
      </w:pPr>
      <w:r>
        <w:t>b</w:t>
      </w:r>
      <w:r w:rsidR="006F7C0C" w:rsidRPr="005A0893">
        <w:t>e accessible</w:t>
      </w:r>
      <w:r w:rsidR="000F3E02" w:rsidRPr="005A0893">
        <w:t xml:space="preserve"> in different formats</w:t>
      </w:r>
      <w:r w:rsidR="006F6714" w:rsidRPr="005A0893">
        <w:t xml:space="preserve"> </w:t>
      </w:r>
      <w:r w:rsidR="00960027" w:rsidRPr="005A0893">
        <w:t>and languages as necessary</w:t>
      </w:r>
    </w:p>
    <w:p w14:paraId="45BB6AB8" w14:textId="72E66D75" w:rsidR="00EB742E" w:rsidRPr="005A0893" w:rsidRDefault="008D3B34" w:rsidP="00EB742E">
      <w:pPr>
        <w:pStyle w:val="Bullet1"/>
        <w:ind w:left="567" w:hanging="567"/>
      </w:pPr>
      <w:r>
        <w:t>c</w:t>
      </w:r>
      <w:r w:rsidR="00EB742E" w:rsidRPr="005A0893">
        <w:t xml:space="preserve">over general and sector-specific bribery risks and the corporation’s anti-bribery </w:t>
      </w:r>
      <w:r w:rsidR="00AA3B5B" w:rsidRPr="005A0893">
        <w:t>compliance program</w:t>
      </w:r>
    </w:p>
    <w:p w14:paraId="41F9EAB6" w14:textId="248F1D31" w:rsidR="00EB742E" w:rsidRPr="005A0893" w:rsidRDefault="008D3B34" w:rsidP="00EB742E">
      <w:pPr>
        <w:pStyle w:val="Bullet1"/>
        <w:ind w:left="567" w:hanging="567"/>
      </w:pPr>
      <w:r>
        <w:t>b</w:t>
      </w:r>
      <w:r w:rsidR="009460CF">
        <w:t>e t</w:t>
      </w:r>
      <w:r w:rsidR="00EB742E" w:rsidRPr="005A0893">
        <w:t>ailored to employees who face particular corruption risk</w:t>
      </w:r>
      <w:r w:rsidR="000D5926" w:rsidRPr="005A0893">
        <w:t xml:space="preserve"> or work in higher risk functions, such as purchasing and contracting</w:t>
      </w:r>
    </w:p>
    <w:p w14:paraId="2BAE281A" w14:textId="6D99B900" w:rsidR="00EB742E" w:rsidRPr="005A0893" w:rsidRDefault="008D3B34" w:rsidP="00EB742E">
      <w:pPr>
        <w:pStyle w:val="Bullet1"/>
        <w:ind w:left="567" w:hanging="567"/>
      </w:pPr>
      <w:r>
        <w:t>i</w:t>
      </w:r>
      <w:r w:rsidR="00EB742E" w:rsidRPr="005A0893">
        <w:t>nclude case studies or real-life scenarios relevant to the business</w:t>
      </w:r>
    </w:p>
    <w:p w14:paraId="53453B12" w14:textId="28181748" w:rsidR="00EB742E" w:rsidRPr="005A0893" w:rsidRDefault="008D3B34" w:rsidP="00EB742E">
      <w:pPr>
        <w:pStyle w:val="Bullet1"/>
        <w:ind w:left="567" w:hanging="567"/>
      </w:pPr>
      <w:r>
        <w:t>b</w:t>
      </w:r>
      <w:r w:rsidRPr="005A0893">
        <w:t xml:space="preserve">e </w:t>
      </w:r>
      <w:r w:rsidR="00EB742E" w:rsidRPr="005A0893">
        <w:t>included as part of induction for new employees</w:t>
      </w:r>
    </w:p>
    <w:p w14:paraId="21F80246" w14:textId="60E359B0" w:rsidR="00EB742E" w:rsidRPr="005A0893" w:rsidRDefault="008D3B34" w:rsidP="00EB742E">
      <w:pPr>
        <w:pStyle w:val="Bullet1"/>
        <w:ind w:left="567" w:hanging="567"/>
      </w:pPr>
      <w:r>
        <w:t>u</w:t>
      </w:r>
      <w:r w:rsidRPr="005A0893">
        <w:t xml:space="preserve">ndergo </w:t>
      </w:r>
      <w:r w:rsidR="00EB742E" w:rsidRPr="005A0893">
        <w:t>periodic review to ensure it addresses contemporary bribery risks</w:t>
      </w:r>
      <w:r w:rsidR="005A0893" w:rsidRPr="005A0893">
        <w:t>.</w:t>
      </w:r>
    </w:p>
    <w:p w14:paraId="6C43668B" w14:textId="1F9FDCBD" w:rsidR="00EB742E" w:rsidRPr="005A0893" w:rsidRDefault="008D3B34" w:rsidP="00EB742E">
      <w:pPr>
        <w:pStyle w:val="Bullet1"/>
        <w:ind w:left="567" w:hanging="567"/>
      </w:pPr>
      <w:r>
        <w:t>b</w:t>
      </w:r>
      <w:r w:rsidRPr="005A0893">
        <w:t xml:space="preserve">e </w:t>
      </w:r>
      <w:r w:rsidR="00EB742E" w:rsidRPr="005A0893">
        <w:t xml:space="preserve">continuous. </w:t>
      </w:r>
    </w:p>
    <w:p w14:paraId="3AB821EB" w14:textId="52E40D69" w:rsidR="00AA3B5B" w:rsidRDefault="00815391" w:rsidP="004066C9">
      <w:pPr>
        <w:pStyle w:val="Heading2"/>
      </w:pPr>
      <w:bookmarkStart w:id="18" w:name="_Toc163563350"/>
      <w:r>
        <w:t>5</w:t>
      </w:r>
      <w:r w:rsidR="00AA3B5B">
        <w:t>.2 Communication</w:t>
      </w:r>
      <w:bookmarkEnd w:id="18"/>
    </w:p>
    <w:p w14:paraId="2E5D1569" w14:textId="4F18EC2F" w:rsidR="005513F9" w:rsidRPr="004066C9" w:rsidRDefault="00FF1851" w:rsidP="004066C9">
      <w:pPr>
        <w:spacing w:before="240"/>
      </w:pPr>
      <w:r>
        <w:t xml:space="preserve">The main goal for internal communication is </w:t>
      </w:r>
      <w:r w:rsidR="001544BD">
        <w:t>for</w:t>
      </w:r>
      <w:r>
        <w:t xml:space="preserve"> the anti-bribery </w:t>
      </w:r>
      <w:r w:rsidR="00AE1465">
        <w:t xml:space="preserve">compliance </w:t>
      </w:r>
      <w:r>
        <w:t xml:space="preserve">program </w:t>
      </w:r>
      <w:r w:rsidR="001544BD">
        <w:t>to be at</w:t>
      </w:r>
      <w:r w:rsidR="00CC7D47">
        <w:t xml:space="preserve"> the forefront of </w:t>
      </w:r>
      <w:r w:rsidR="00BE58B1">
        <w:t xml:space="preserve">an </w:t>
      </w:r>
      <w:r w:rsidR="00CF7AAC">
        <w:t xml:space="preserve">employee’s </w:t>
      </w:r>
      <w:r w:rsidR="00CC7D47">
        <w:t>mind</w:t>
      </w:r>
      <w:r>
        <w:t xml:space="preserve">. </w:t>
      </w:r>
      <w:r w:rsidR="005513F9" w:rsidRPr="00116B38">
        <w:t xml:space="preserve">Internal communications need to convey managerial-level dedication to </w:t>
      </w:r>
      <w:r w:rsidR="00240E35">
        <w:t xml:space="preserve">the </w:t>
      </w:r>
      <w:r w:rsidR="005513F9" w:rsidRPr="00116B38">
        <w:t xml:space="preserve">anti-bribery </w:t>
      </w:r>
      <w:r w:rsidR="00240E35">
        <w:t>compliance program</w:t>
      </w:r>
      <w:r w:rsidR="005513F9" w:rsidRPr="00116B38">
        <w:t xml:space="preserve"> and make employees aware of how particular bribery</w:t>
      </w:r>
      <w:r w:rsidR="00CE1BFB">
        <w:t xml:space="preserve"> prevention</w:t>
      </w:r>
      <w:r w:rsidR="00240E35">
        <w:t xml:space="preserve"> controls </w:t>
      </w:r>
      <w:r w:rsidR="005513F9" w:rsidRPr="00116B38">
        <w:t>are relevant to their day-to-day work. Simply asking employees to acknowl</w:t>
      </w:r>
      <w:r w:rsidR="005513F9" w:rsidRPr="004066C9">
        <w:t>edge that they have read and understood the anti-bribery</w:t>
      </w:r>
      <w:r w:rsidR="00240E35">
        <w:t xml:space="preserve"> </w:t>
      </w:r>
      <w:r w:rsidR="00CC7D47">
        <w:t>compliance program</w:t>
      </w:r>
      <w:r w:rsidR="005513F9" w:rsidRPr="004066C9">
        <w:t xml:space="preserve"> is inadequate. </w:t>
      </w:r>
      <w:r w:rsidR="00077305">
        <w:t xml:space="preserve">Corporations could provide opportunities </w:t>
      </w:r>
      <w:r w:rsidR="009A524E">
        <w:t>for</w:t>
      </w:r>
      <w:r w:rsidR="00077305">
        <w:t xml:space="preserve"> employees to engage in</w:t>
      </w:r>
      <w:r w:rsidR="000035B4">
        <w:t xml:space="preserve"> the anti-bribery corruption program through focus groups, meetings and online training.</w:t>
      </w:r>
      <w:r w:rsidR="00077305">
        <w:t xml:space="preserve"> </w:t>
      </w:r>
      <w:r w:rsidR="005513F9" w:rsidRPr="00116B38">
        <w:t xml:space="preserve"> </w:t>
      </w:r>
    </w:p>
    <w:p w14:paraId="05CB3AD0" w14:textId="5E1378E2" w:rsidR="005F0207" w:rsidRPr="0042132D" w:rsidRDefault="005513F9" w:rsidP="0042132D">
      <w:pPr>
        <w:spacing w:before="240"/>
      </w:pPr>
      <w:r w:rsidRPr="0042132D">
        <w:lastRenderedPageBreak/>
        <w:t xml:space="preserve">The </w:t>
      </w:r>
      <w:r w:rsidR="00D44EA5" w:rsidRPr="0042132D">
        <w:t>controls</w:t>
      </w:r>
      <w:r w:rsidRPr="0042132D">
        <w:t xml:space="preserve"> themselves, or a document describing their practical implementation, may be communicated through a staff handbook, guidelines, intranet, notices and training materials</w:t>
      </w:r>
      <w:r w:rsidR="00FF1851" w:rsidRPr="0042132D">
        <w:t xml:space="preserve"> and </w:t>
      </w:r>
      <w:r w:rsidRPr="0042132D">
        <w:t xml:space="preserve">should be made accessible to all associates. </w:t>
      </w:r>
    </w:p>
    <w:p w14:paraId="0685A56E" w14:textId="0567780B" w:rsidR="009940EB" w:rsidRDefault="00AC29FE" w:rsidP="0042132D">
      <w:pPr>
        <w:spacing w:before="240"/>
      </w:pPr>
      <w:r>
        <w:rPr>
          <w:noProof/>
        </w:rPr>
        <mc:AlternateContent>
          <mc:Choice Requires="wps">
            <w:drawing>
              <wp:anchor distT="45720" distB="45720" distL="114300" distR="114300" simplePos="0" relativeHeight="251753472" behindDoc="0" locked="0" layoutInCell="1" allowOverlap="1" wp14:anchorId="7E46F1BF" wp14:editId="62F31B5C">
                <wp:simplePos x="0" y="0"/>
                <wp:positionH relativeFrom="margin">
                  <wp:align>left</wp:align>
                </wp:positionH>
                <wp:positionV relativeFrom="paragraph">
                  <wp:posOffset>1368425</wp:posOffset>
                </wp:positionV>
                <wp:extent cx="6322695" cy="59436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5943600"/>
                        </a:xfrm>
                        <a:prstGeom prst="rect">
                          <a:avLst/>
                        </a:prstGeom>
                        <a:solidFill>
                          <a:srgbClr val="4F81BD">
                            <a:lumMod val="60000"/>
                            <a:lumOff val="40000"/>
                          </a:srgbClr>
                        </a:solidFill>
                        <a:ln w="9525">
                          <a:noFill/>
                          <a:miter lim="800000"/>
                          <a:headEnd/>
                          <a:tailEnd/>
                        </a:ln>
                      </wps:spPr>
                      <wps:txbx>
                        <w:txbxContent>
                          <w:p w14:paraId="3B1A60AD" w14:textId="2330FA31" w:rsidR="00E75C3B" w:rsidRDefault="00E75C3B" w:rsidP="00AC29FE">
                            <w:pPr>
                              <w:rPr>
                                <w:b/>
                                <w:i/>
                              </w:rPr>
                            </w:pPr>
                            <w:r>
                              <w:rPr>
                                <w:b/>
                                <w:i/>
                              </w:rPr>
                              <w:t>Case Study - Communication and Training</w:t>
                            </w:r>
                          </w:p>
                          <w:p w14:paraId="2C04CA3A" w14:textId="7F053BB1" w:rsidR="00E75C3B" w:rsidRDefault="00E75C3B" w:rsidP="00AC29FE">
                            <w:r>
                              <w:t xml:space="preserve">Voyage Eloise is looking to expand its business operations to establish a presence in a foreign country. The risk of bribery in the country is assessed as high. Voyage Eloise has suitable controls in place to prevent foreign bribery, which have been amended to reflect the company’s risk assessment of the foreign country. The company wants to ensure these controls are communicated effectively and that staff receive proper training in relation to them. </w:t>
                            </w:r>
                          </w:p>
                          <w:p w14:paraId="4ECEE44B" w14:textId="39D076DC" w:rsidR="00E75C3B" w:rsidRDefault="00E75C3B" w:rsidP="00AC29FE">
                            <w:r>
                              <w:t xml:space="preserve">The company should ensure through accessible </w:t>
                            </w:r>
                            <w:r w:rsidR="00531408">
                              <w:t>ways</w:t>
                            </w:r>
                            <w:r>
                              <w:t xml:space="preserve"> such as face-to-face training, online modules and hardcopy resources that its employees are aware of, and understand, the company’s controls </w:t>
                            </w:r>
                            <w:r w:rsidR="00531408">
                              <w:t>to</w:t>
                            </w:r>
                            <w:r>
                              <w:t xml:space="preserve"> prevent</w:t>
                            </w:r>
                            <w:r w:rsidR="00531408">
                              <w:t xml:space="preserve"> </w:t>
                            </w:r>
                            <w:r>
                              <w:t xml:space="preserve">foreign bribery and any related code of conduct. The content of the communications and training should include all relevant issues such as hospitality and promotional expenditure, financial control mechanisms, disciplinary actions for any breaches of the rules and instructions on how to report concerns and seek advice. Communication and training should be designed to ensure that employees understand the risks, know what the company expects of them and how to recognise and resist any demands for bribery. Employees could be required to certify on a periodic basis that they have read, understood and agree to follow the policies and procedures. </w:t>
                            </w:r>
                          </w:p>
                          <w:p w14:paraId="406A0364" w14:textId="77777777" w:rsidR="00E75C3B" w:rsidRDefault="00E75C3B" w:rsidP="00AC29FE">
                            <w:r>
                              <w:t>Employees who have a high risk of exposure to foreign bribery could receive specialised training about the circumstances in which typical demands for bribes may occur and how to handle them. The training could focus on developing practical skills and knowledge to resist bribe demands and to detect possible instances of bribery or bribery risks. The training could include case studies, scenario and instructions about foreign bribery red flags that have been drawn from the company’s own experience and those of other companies in the same market. One of the key messages could be that employees will not be penalised for refusing to pay bribes, even if this results in delay or costs to the company.</w:t>
                            </w:r>
                          </w:p>
                          <w:p w14:paraId="3E10DCFC" w14:textId="69F15696" w:rsidR="00E75C3B" w:rsidRDefault="00E75C3B" w:rsidP="00AC29FE">
                            <w:r>
                              <w:t xml:space="preserve">Voyage Eloise could document training attendance by employees and </w:t>
                            </w:r>
                            <w:r w:rsidR="00531408">
                              <w:t>provide</w:t>
                            </w:r>
                            <w:r>
                              <w:t xml:space="preserve"> periodic refresher training. The training program and content of communications could be updated to incorporate feedback from training participants and as the company develops operational experience in the foreign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F1BF" id="_x0000_s1031" type="#_x0000_t202" style="position:absolute;margin-left:0;margin-top:107.75pt;width:497.85pt;height:468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" fillcolor="#95b3d7" stroked="f">
                <v:textbox>
                  <w:txbxContent>
                    <w:p w14:paraId="3B1A60AD" w14:textId="2330FA31" w:rsidR="00E75C3B" w:rsidRDefault="00E75C3B" w:rsidP="00AC29FE">
                      <w:pPr>
                        <w:rPr>
                          <w:b/>
                          <w:i/>
                        </w:rPr>
                      </w:pPr>
                      <w:r>
                        <w:rPr>
                          <w:b/>
                          <w:i/>
                        </w:rPr>
                        <w:t>Case Study - Communication and Training</w:t>
                      </w:r>
                    </w:p>
                    <w:p w14:paraId="2C04CA3A" w14:textId="7F053BB1" w:rsidR="00E75C3B" w:rsidRDefault="00E75C3B" w:rsidP="00AC29FE">
                      <w:r>
                        <w:t xml:space="preserve">Voyage Eloise is looking to expand its business operations to establish a presence in a foreign country. The risk of bribery in the country is assessed as high. Voyage Eloise has suitable controls in place to prevent foreign bribery, which have been amended to reflect the company’s risk assessment of the foreign country. The company wants to ensure these controls are communicated effectively and that staff receive proper training in relation to them. </w:t>
                      </w:r>
                    </w:p>
                    <w:p w14:paraId="4ECEE44B" w14:textId="39D076DC" w:rsidR="00E75C3B" w:rsidRDefault="00E75C3B" w:rsidP="00AC29FE">
                      <w:r>
                        <w:t xml:space="preserve">The company should ensure through accessible </w:t>
                      </w:r>
                      <w:r w:rsidR="00531408">
                        <w:t>ways</w:t>
                      </w:r>
                      <w:r>
                        <w:t xml:space="preserve"> such as face-to-face training, online modules and hardcopy resources that its employees are aware of, and understand, the company’s controls </w:t>
                      </w:r>
                      <w:r w:rsidR="00531408">
                        <w:t>to</w:t>
                      </w:r>
                      <w:r>
                        <w:t xml:space="preserve"> prevent</w:t>
                      </w:r>
                      <w:r w:rsidR="00531408">
                        <w:t xml:space="preserve"> </w:t>
                      </w:r>
                      <w:r>
                        <w:t xml:space="preserve">foreign bribery and any related code of conduct. The content of the communications and training should include all relevant issues such as hospitality and promotional expenditure, financial control mechanisms, disciplinary actions for any breaches of the rules and instructions on how to report concerns and seek advice. Communication and training should be designed to ensure that employees understand the risks, know what the company expects of them and how to recognise and resist any demands for bribery. Employees could be required to certify on a periodic basis that they have read, understood and agree to follow the policies and procedures. </w:t>
                      </w:r>
                    </w:p>
                    <w:p w14:paraId="406A0364" w14:textId="77777777" w:rsidR="00E75C3B" w:rsidRDefault="00E75C3B" w:rsidP="00AC29FE">
                      <w:r>
                        <w:t>Employees who have a high risk of exposure to foreign bribery could receive specialised training about the circumstances in which typical demands for bribes may occur and how to handle them. The training could focus on developing practical skills and knowledge to resist bribe demands and to detect possible instances of bribery or bribery risks. The training could include case studies, scenario and instructions about foreign bribery red flags that have been drawn from the company’s own experience and those of other companies in the same market. One of the key messages could be that employees will not be penalised for refusing to pay bribes, even if this results in delay or costs to the company.</w:t>
                      </w:r>
                    </w:p>
                    <w:p w14:paraId="3E10DCFC" w14:textId="69F15696" w:rsidR="00E75C3B" w:rsidRDefault="00E75C3B" w:rsidP="00AC29FE">
                      <w:r>
                        <w:t xml:space="preserve">Voyage Eloise could document training attendance by employees and </w:t>
                      </w:r>
                      <w:r w:rsidR="00531408">
                        <w:t>provide</w:t>
                      </w:r>
                      <w:r>
                        <w:t xml:space="preserve"> periodic refresher training. The training program and content of communications could be updated to incorporate feedback from training participants and as the company develops operational experience in the foreign country.</w:t>
                      </w:r>
                    </w:p>
                  </w:txbxContent>
                </v:textbox>
                <w10:wrap type="square" anchorx="margin"/>
              </v:shape>
            </w:pict>
          </mc:Fallback>
        </mc:AlternateContent>
      </w:r>
      <w:r w:rsidR="00531408">
        <w:t>External c</w:t>
      </w:r>
      <w:r w:rsidR="00531408" w:rsidRPr="0042132D">
        <w:t xml:space="preserve">ommunication </w:t>
      </w:r>
      <w:r w:rsidR="00E35F90" w:rsidRPr="0042132D">
        <w:t>of the anti-bribery compliance program</w:t>
      </w:r>
      <w:r w:rsidR="00FB4617" w:rsidRPr="0042132D">
        <w:t xml:space="preserve"> will convey the corporation’s tone from the top, explain how the anti-bribery compliance program operates and the expectations the corporation has </w:t>
      </w:r>
      <w:r w:rsidR="003759AF">
        <w:t>for</w:t>
      </w:r>
      <w:r w:rsidR="00FB4617" w:rsidRPr="0042132D">
        <w:t xml:space="preserve"> business relationships. A</w:t>
      </w:r>
      <w:r w:rsidR="005513F9" w:rsidRPr="0042132D">
        <w:t xml:space="preserve"> corporation may wish to make</w:t>
      </w:r>
      <w:r w:rsidR="00FB4617" w:rsidRPr="0042132D">
        <w:t xml:space="preserve"> an</w:t>
      </w:r>
      <w:r w:rsidR="005513F9" w:rsidRPr="0042132D">
        <w:t xml:space="preserve"> anti-bribery </w:t>
      </w:r>
      <w:r w:rsidR="00FB4617" w:rsidRPr="0042132D">
        <w:t>statement,</w:t>
      </w:r>
      <w:r w:rsidR="005513F9" w:rsidRPr="0042132D">
        <w:t xml:space="preserve"> or</w:t>
      </w:r>
      <w:r w:rsidR="00FB4617" w:rsidRPr="0042132D">
        <w:t xml:space="preserve"> include foreign bribery in its</w:t>
      </w:r>
      <w:r w:rsidR="005513F9" w:rsidRPr="0042132D">
        <w:t xml:space="preserve"> high-level mission statement</w:t>
      </w:r>
      <w:r w:rsidR="00FB4617" w:rsidRPr="0042132D">
        <w:t xml:space="preserve">. Corporations may choose to make this statement public to </w:t>
      </w:r>
      <w:r w:rsidR="005513F9" w:rsidRPr="0042132D">
        <w:t>help demonstrate the corporation’s dedication to compliance with anti-bribery laws and promote a culture of integrity.</w:t>
      </w:r>
    </w:p>
    <w:p w14:paraId="4032D05A" w14:textId="6D74FC69" w:rsidR="005D2264" w:rsidRPr="00431560" w:rsidRDefault="00815391" w:rsidP="00431560">
      <w:pPr>
        <w:pStyle w:val="Heading1"/>
        <w:spacing w:beforeLines="100" w:before="240"/>
        <w:jc w:val="left"/>
      </w:pPr>
      <w:bookmarkStart w:id="19" w:name="_Toc163563351"/>
      <w:r>
        <w:lastRenderedPageBreak/>
        <w:t>6</w:t>
      </w:r>
      <w:r w:rsidR="00B032A9">
        <w:t>.</w:t>
      </w:r>
      <w:r w:rsidR="009940EB">
        <w:t xml:space="preserve"> Reporting </w:t>
      </w:r>
      <w:r w:rsidR="005658C3">
        <w:t>foreign bribery</w:t>
      </w:r>
      <w:bookmarkEnd w:id="19"/>
    </w:p>
    <w:p w14:paraId="7F54FB04" w14:textId="77777777" w:rsidR="00516B63" w:rsidRDefault="005D2264" w:rsidP="00583E7D">
      <w:pPr>
        <w:spacing w:before="240"/>
      </w:pPr>
      <w:r w:rsidRPr="00431560">
        <w:t xml:space="preserve">All corporations, regardless of size, </w:t>
      </w:r>
      <w:r w:rsidR="001D4702">
        <w:t xml:space="preserve">should </w:t>
      </w:r>
      <w:r w:rsidRPr="00431560">
        <w:t xml:space="preserve">adopt a mechanism that </w:t>
      </w:r>
      <w:r w:rsidR="00CD3BAE">
        <w:t>encourages and facilitates reporting of actual or suspected</w:t>
      </w:r>
      <w:r w:rsidR="005A0893">
        <w:t xml:space="preserve"> i</w:t>
      </w:r>
      <w:r w:rsidRPr="00431560">
        <w:t xml:space="preserve">nstances of bribery or bribery </w:t>
      </w:r>
      <w:r w:rsidR="005A0893" w:rsidRPr="00431560">
        <w:t>solicitation</w:t>
      </w:r>
      <w:r w:rsidR="005A0893">
        <w:t>.</w:t>
      </w:r>
      <w:r w:rsidR="005658C3">
        <w:t xml:space="preserve"> </w:t>
      </w:r>
      <w:r w:rsidR="003C4DC9">
        <w:t xml:space="preserve">Corporations must comply with whistleblower protection provisions in the Corporations Act and should have mechanisms in place to respond to concerns. </w:t>
      </w:r>
    </w:p>
    <w:p w14:paraId="03E5B93E" w14:textId="7223839C" w:rsidR="005D2264" w:rsidRPr="00D00D1C" w:rsidRDefault="00815391" w:rsidP="00516B63">
      <w:pPr>
        <w:pStyle w:val="Heading2"/>
      </w:pPr>
      <w:bookmarkStart w:id="20" w:name="_Toc163563352"/>
      <w:r>
        <w:t>6</w:t>
      </w:r>
      <w:r w:rsidR="00480A43">
        <w:t xml:space="preserve">.1 </w:t>
      </w:r>
      <w:r w:rsidR="005D2264">
        <w:t>Whistleblower protections</w:t>
      </w:r>
      <w:bookmarkEnd w:id="20"/>
    </w:p>
    <w:p w14:paraId="1F00279D" w14:textId="1F6531FA" w:rsidR="005D2264" w:rsidRDefault="005D2264" w:rsidP="00431560">
      <w:pPr>
        <w:spacing w:before="240"/>
      </w:pPr>
      <w:r w:rsidRPr="00431560">
        <w:t xml:space="preserve">All </w:t>
      </w:r>
      <w:r w:rsidR="00810C2E" w:rsidRPr="00431560">
        <w:t>co</w:t>
      </w:r>
      <w:r w:rsidR="00810C2E">
        <w:t>rporation</w:t>
      </w:r>
      <w:r w:rsidR="00810C2E" w:rsidRPr="00431560">
        <w:t xml:space="preserve">s </w:t>
      </w:r>
      <w:r w:rsidRPr="00431560">
        <w:t xml:space="preserve">in Australia must comply with whistleblower protection provisions in the Corporations Act. The Corporations Act provides strong protections for corporate sector whistleblowers to encourage them to come forward with any concerns. </w:t>
      </w:r>
      <w:r w:rsidR="00B86553">
        <w:t xml:space="preserve">The enforcement of these protections </w:t>
      </w:r>
      <w:r w:rsidR="00B45D13">
        <w:t>is</w:t>
      </w:r>
      <w:r w:rsidR="003926D3">
        <w:t xml:space="preserve"> the responsibility of </w:t>
      </w:r>
      <w:r w:rsidR="005A0893">
        <w:t>regulators;</w:t>
      </w:r>
      <w:r w:rsidR="003926D3">
        <w:t xml:space="preserve"> however, companies have a responsibility to provide </w:t>
      </w:r>
      <w:r w:rsidR="0071634F">
        <w:t xml:space="preserve">ways </w:t>
      </w:r>
      <w:r w:rsidR="003926D3">
        <w:t>for whistleblowers to report</w:t>
      </w:r>
      <w:r w:rsidR="003C4DC9">
        <w:t xml:space="preserve"> misconduct</w:t>
      </w:r>
      <w:r w:rsidR="003926D3">
        <w:t xml:space="preserve">. </w:t>
      </w:r>
    </w:p>
    <w:p w14:paraId="248C3B61" w14:textId="083B0157" w:rsidR="00915F00" w:rsidRDefault="00915F00" w:rsidP="00915F00">
      <w:pPr>
        <w:spacing w:before="240"/>
      </w:pPr>
      <w:r>
        <w:t xml:space="preserve">The whistleblower protections </w:t>
      </w:r>
      <w:r w:rsidR="003A1902">
        <w:t xml:space="preserve">provisions </w:t>
      </w:r>
      <w:r>
        <w:t xml:space="preserve">include criminal offences and civil penalties for a person causing or threatening to cause </w:t>
      </w:r>
      <w:r w:rsidR="0071634F">
        <w:t xml:space="preserve">harm </w:t>
      </w:r>
      <w:r>
        <w:t xml:space="preserve">to a whistleblower, or breaching a whistleblower’s confidentiality, including during an investigation into the whistleblower’s concerns. </w:t>
      </w:r>
    </w:p>
    <w:p w14:paraId="566D9EA5" w14:textId="0B4340E6" w:rsidR="003C4DC9" w:rsidRDefault="003C4DC9" w:rsidP="003C4DC9">
      <w:pPr>
        <w:spacing w:before="240"/>
      </w:pPr>
      <w:r>
        <w:t xml:space="preserve">The Corporations Act requires public companies, large proprietary companies and corporate trustees of </w:t>
      </w:r>
      <w:r w:rsidR="00B53B3D" w:rsidRPr="0042132D">
        <w:t>Australian Prudential Regulation Authority</w:t>
      </w:r>
      <w:r w:rsidR="00B53B3D">
        <w:t xml:space="preserve"> (APRA) </w:t>
      </w:r>
      <w:r>
        <w:t>regulated superannuation entities to have a whistleblower policy. The Corporations Act</w:t>
      </w:r>
      <w:r w:rsidR="003A1902">
        <w:t xml:space="preserve"> also</w:t>
      </w:r>
      <w:r>
        <w:t xml:space="preserve"> sets out at a high</w:t>
      </w:r>
      <w:r w:rsidR="00A7243A">
        <w:t>-</w:t>
      </w:r>
      <w:r>
        <w:t>level what a whistleblower policy should contain, which can</w:t>
      </w:r>
      <w:r w:rsidRPr="007759E2">
        <w:t xml:space="preserve"> </w:t>
      </w:r>
      <w:r>
        <w:t xml:space="preserve">help all entities that are required to manage whistleblowing in accordance with the </w:t>
      </w:r>
      <w:r w:rsidR="003A1902">
        <w:t>legislation</w:t>
      </w:r>
      <w:r>
        <w:t xml:space="preserve">. Companies should include the following in </w:t>
      </w:r>
      <w:r w:rsidR="00E17462">
        <w:t>its</w:t>
      </w:r>
      <w:r>
        <w:t xml:space="preserve"> whistleblower policies:</w:t>
      </w:r>
    </w:p>
    <w:p w14:paraId="4A9CC7D9" w14:textId="10BDBBD5" w:rsidR="00915F00" w:rsidRPr="005A0893" w:rsidRDefault="003A1902" w:rsidP="00E17462">
      <w:pPr>
        <w:pStyle w:val="Bullet1"/>
        <w:ind w:left="567" w:hanging="567"/>
      </w:pPr>
      <w:r>
        <w:t>e</w:t>
      </w:r>
      <w:r w:rsidRPr="005A0893">
        <w:t xml:space="preserve">stablish </w:t>
      </w:r>
      <w:r w:rsidR="00915F00" w:rsidRPr="005A0893">
        <w:t>a section that addresses the purpose and scope of the whistleblower policy</w:t>
      </w:r>
      <w:r w:rsidR="006036A6">
        <w:t>.</w:t>
      </w:r>
    </w:p>
    <w:p w14:paraId="7BABA94B" w14:textId="554B6E56" w:rsidR="00915F00" w:rsidRPr="005A0893" w:rsidRDefault="003A1902" w:rsidP="00E17462">
      <w:pPr>
        <w:pStyle w:val="Bullet1"/>
        <w:ind w:left="567" w:hanging="567"/>
      </w:pPr>
      <w:r>
        <w:t>i</w:t>
      </w:r>
      <w:r w:rsidRPr="005A0893">
        <w:t xml:space="preserve">nclude </w:t>
      </w:r>
      <w:r w:rsidR="00915F00" w:rsidRPr="005A0893">
        <w:t>clear instructions on how a whistleblower can disclose misconduct</w:t>
      </w:r>
      <w:r w:rsidR="006036A6">
        <w:t>.</w:t>
      </w:r>
    </w:p>
    <w:p w14:paraId="038A9DCF" w14:textId="000F3C7F" w:rsidR="00915F00" w:rsidRPr="005A0893" w:rsidRDefault="003A1902" w:rsidP="00E17462">
      <w:pPr>
        <w:pStyle w:val="Bullet1"/>
        <w:ind w:left="567" w:hanging="567"/>
      </w:pPr>
      <w:r>
        <w:t>o</w:t>
      </w:r>
      <w:r w:rsidRPr="005A0893">
        <w:t xml:space="preserve">utline </w:t>
      </w:r>
      <w:r w:rsidR="00915F00" w:rsidRPr="005A0893">
        <w:t>how the corporation will investigate the matter disclosed and what staff should expect after an investigation has concluded</w:t>
      </w:r>
      <w:r w:rsidR="006036A6">
        <w:t>.</w:t>
      </w:r>
    </w:p>
    <w:p w14:paraId="355F3AD1" w14:textId="639073D4" w:rsidR="00915F00" w:rsidRPr="005A0893" w:rsidRDefault="003A1902" w:rsidP="00F34E95">
      <w:pPr>
        <w:pStyle w:val="Bullet1"/>
        <w:ind w:left="567" w:hanging="567"/>
      </w:pPr>
      <w:r>
        <w:t>i</w:t>
      </w:r>
      <w:r w:rsidRPr="005A0893">
        <w:t xml:space="preserve">nclude </w:t>
      </w:r>
      <w:r w:rsidR="00915F00" w:rsidRPr="005A0893">
        <w:t>assurances regarding confidentiality, support and protections for staff</w:t>
      </w:r>
      <w:r w:rsidR="00FB4770" w:rsidRPr="005A0893">
        <w:t>, including</w:t>
      </w:r>
      <w:r w:rsidR="00F34E95">
        <w:t xml:space="preserve"> </w:t>
      </w:r>
      <w:r w:rsidR="00915F00" w:rsidRPr="005A0893">
        <w:t>how the corporation will keep the identity of whistleblowers confidential and how it will protect them from consequences that they may fear, including in the workplace or legally.</w:t>
      </w:r>
    </w:p>
    <w:p w14:paraId="63FC6C54" w14:textId="1AD68E94" w:rsidR="005D2264" w:rsidRPr="0042132D" w:rsidRDefault="005D2264" w:rsidP="0042132D">
      <w:pPr>
        <w:spacing w:before="240"/>
      </w:pPr>
      <w:r w:rsidRPr="0042132D">
        <w:t>The Australian Securities and Investments Commission (ASIC) encourage</w:t>
      </w:r>
      <w:r w:rsidR="003A1902">
        <w:t>s</w:t>
      </w:r>
      <w:r w:rsidRPr="0042132D">
        <w:t xml:space="preserve"> corporations to:</w:t>
      </w:r>
    </w:p>
    <w:p w14:paraId="65D4B87E" w14:textId="515AC9B8" w:rsidR="005D2264" w:rsidRPr="00431560" w:rsidRDefault="003A1902" w:rsidP="00431560">
      <w:pPr>
        <w:pStyle w:val="Bullet1"/>
        <w:ind w:left="567" w:hanging="567"/>
      </w:pPr>
      <w:r>
        <w:t>d</w:t>
      </w:r>
      <w:r w:rsidRPr="00431560">
        <w:t xml:space="preserve">ocument </w:t>
      </w:r>
      <w:r w:rsidR="00CF7AAC">
        <w:t>its</w:t>
      </w:r>
      <w:r w:rsidR="005D2264" w:rsidRPr="00431560">
        <w:t xml:space="preserve"> whistleblower policy</w:t>
      </w:r>
    </w:p>
    <w:p w14:paraId="2CB69BC8" w14:textId="074B7B3A" w:rsidR="005D2264" w:rsidRPr="00431560" w:rsidRDefault="003A1902" w:rsidP="00431560">
      <w:pPr>
        <w:pStyle w:val="Bullet1"/>
        <w:ind w:left="567" w:hanging="567"/>
      </w:pPr>
      <w:r>
        <w:t>d</w:t>
      </w:r>
      <w:r w:rsidRPr="00431560">
        <w:t xml:space="preserve">efine </w:t>
      </w:r>
      <w:r w:rsidR="005D2264" w:rsidRPr="00431560">
        <w:t xml:space="preserve">and allocate roles and responsibilities for </w:t>
      </w:r>
      <w:r w:rsidR="00CF7AAC">
        <w:t>its</w:t>
      </w:r>
      <w:r w:rsidR="005D2264" w:rsidRPr="00431560">
        <w:t xml:space="preserve"> program</w:t>
      </w:r>
    </w:p>
    <w:p w14:paraId="7483119C" w14:textId="51805E12" w:rsidR="005D2264" w:rsidRPr="00431560" w:rsidRDefault="003A1902" w:rsidP="00431560">
      <w:pPr>
        <w:pStyle w:val="Bullet1"/>
        <w:ind w:left="567" w:hanging="567"/>
      </w:pPr>
      <w:r>
        <w:t>d</w:t>
      </w:r>
      <w:r w:rsidRPr="00431560">
        <w:t xml:space="preserve">esign </w:t>
      </w:r>
      <w:r w:rsidR="005D2264" w:rsidRPr="00431560">
        <w:t>and establish supporting procedures or guidelines</w:t>
      </w:r>
    </w:p>
    <w:p w14:paraId="63477239" w14:textId="260EEA03" w:rsidR="005D2264" w:rsidRPr="00431560" w:rsidRDefault="003A1902" w:rsidP="00431560">
      <w:pPr>
        <w:pStyle w:val="Bullet1"/>
        <w:ind w:left="567" w:hanging="567"/>
      </w:pPr>
      <w:r>
        <w:t>e</w:t>
      </w:r>
      <w:r w:rsidRPr="00431560">
        <w:t xml:space="preserve">nsure </w:t>
      </w:r>
      <w:r w:rsidR="005D2264" w:rsidRPr="00431560">
        <w:t>the program has adequate resources and measure to keep whistleblowers’ information secure.</w:t>
      </w:r>
    </w:p>
    <w:p w14:paraId="46F5EBEB" w14:textId="4BC5B158" w:rsidR="005D2264" w:rsidRDefault="005D2264" w:rsidP="0042132D">
      <w:pPr>
        <w:spacing w:before="240"/>
      </w:pPr>
      <w:r w:rsidRPr="00431560">
        <w:lastRenderedPageBreak/>
        <w:t>As per ASIC</w:t>
      </w:r>
      <w:r w:rsidR="003A1902">
        <w:t>’s</w:t>
      </w:r>
      <w:r w:rsidRPr="00431560">
        <w:t xml:space="preserve"> guidance, to foster a whistleblowing culture, </w:t>
      </w:r>
      <w:r w:rsidR="00BB520F">
        <w:t xml:space="preserve">corporations </w:t>
      </w:r>
      <w:r w:rsidRPr="00431560">
        <w:t>should uphold a whistleblower</w:t>
      </w:r>
      <w:r w:rsidR="00AE1465">
        <w:t>’</w:t>
      </w:r>
      <w:r w:rsidRPr="00431560">
        <w:t>s right to use any legally eligible channel to make</w:t>
      </w:r>
      <w:r w:rsidR="00F34E95">
        <w:t>,</w:t>
      </w:r>
      <w:r w:rsidRPr="00431560">
        <w:t xml:space="preserve"> or continue to make</w:t>
      </w:r>
      <w:r w:rsidR="00F34E95">
        <w:t>,</w:t>
      </w:r>
      <w:r w:rsidRPr="00431560">
        <w:t xml:space="preserve"> disclosures. This includes, but is not limited to</w:t>
      </w:r>
      <w:r w:rsidR="000E7A16">
        <w:t>,</w:t>
      </w:r>
      <w:r w:rsidRPr="00431560">
        <w:t xml:space="preserve"> a whistleblower’s ability to voluntarily raise any potential disclosable matters with ASIC,</w:t>
      </w:r>
      <w:r w:rsidRPr="0042132D">
        <w:t xml:space="preserve"> APRA and any prescribed Commonwealth authority or other relevant regulator or agency.</w:t>
      </w:r>
    </w:p>
    <w:p w14:paraId="4047D23F" w14:textId="673BD90C" w:rsidR="0030122A" w:rsidRDefault="006B1895" w:rsidP="0042132D">
      <w:pPr>
        <w:spacing w:before="240"/>
      </w:pPr>
      <w:r>
        <w:t xml:space="preserve">Smaller corporations that </w:t>
      </w:r>
      <w:r w:rsidR="00BB520F">
        <w:t xml:space="preserve">are not subject to Corporations Act requirements relating to whistleblower protections should ensure an appropriate reporting mechanism is in place </w:t>
      </w:r>
      <w:r w:rsidR="003A1902">
        <w:t>proportionate to</w:t>
      </w:r>
      <w:r w:rsidR="00BB520F">
        <w:t xml:space="preserve"> </w:t>
      </w:r>
      <w:r w:rsidR="0030122A">
        <w:t xml:space="preserve">the </w:t>
      </w:r>
      <w:r w:rsidR="00BB520F">
        <w:t xml:space="preserve">corporation’s </w:t>
      </w:r>
      <w:r w:rsidR="0030122A">
        <w:t>risk</w:t>
      </w:r>
      <w:r w:rsidR="00BB520F">
        <w:t xml:space="preserve">. </w:t>
      </w:r>
    </w:p>
    <w:p w14:paraId="63686FD5" w14:textId="7E02901A" w:rsidR="005D2264" w:rsidRPr="00D93FC7" w:rsidRDefault="00815391" w:rsidP="00212DB0">
      <w:pPr>
        <w:pStyle w:val="Heading2"/>
      </w:pPr>
      <w:bookmarkStart w:id="21" w:name="_Toc163563353"/>
      <w:r>
        <w:t>6</w:t>
      </w:r>
      <w:r w:rsidR="00480A43">
        <w:t xml:space="preserve">.2 </w:t>
      </w:r>
      <w:r w:rsidR="005D2264">
        <w:t>Reporting mechanisms</w:t>
      </w:r>
      <w:bookmarkEnd w:id="21"/>
      <w:r w:rsidR="005D2264">
        <w:t xml:space="preserve"> </w:t>
      </w:r>
    </w:p>
    <w:p w14:paraId="389739F0" w14:textId="222C35D8" w:rsidR="005D2264" w:rsidRPr="00212DB0" w:rsidRDefault="003A1902" w:rsidP="00212DB0">
      <w:pPr>
        <w:spacing w:before="240"/>
      </w:pPr>
      <w:r>
        <w:t>An</w:t>
      </w:r>
      <w:r w:rsidR="005D2264" w:rsidRPr="00480A43">
        <w:t xml:space="preserve"> effective reporting mechanism is visible, secure, confidential, accessible and provides adequate protections. </w:t>
      </w:r>
      <w:r w:rsidR="00BE6028">
        <w:t>Given the transnational nature of foreign bribery</w:t>
      </w:r>
      <w:r w:rsidR="00492B6D">
        <w:t>,</w:t>
      </w:r>
      <w:r w:rsidR="00BE6028">
        <w:t xml:space="preserve"> it is essential that </w:t>
      </w:r>
      <w:r w:rsidR="00BB789B">
        <w:t xml:space="preserve">a </w:t>
      </w:r>
      <w:r w:rsidR="00492B6D">
        <w:t>corporation</w:t>
      </w:r>
      <w:r w:rsidR="00BB789B">
        <w:t xml:space="preserve"> make </w:t>
      </w:r>
      <w:r w:rsidR="00BE6028">
        <w:t xml:space="preserve">mechanisms for reporting </w:t>
      </w:r>
      <w:r w:rsidR="00BB789B">
        <w:t xml:space="preserve">foreign bribery and related offences </w:t>
      </w:r>
      <w:r w:rsidR="000E4F70">
        <w:t>visible</w:t>
      </w:r>
      <w:r>
        <w:t xml:space="preserve"> and</w:t>
      </w:r>
      <w:r w:rsidR="000E4F70">
        <w:t xml:space="preserve"> </w:t>
      </w:r>
      <w:r w:rsidR="00BE6028">
        <w:t>accessible</w:t>
      </w:r>
      <w:r w:rsidR="00492B6D">
        <w:t>. Mechanisms should be</w:t>
      </w:r>
      <w:r w:rsidR="000E4F70">
        <w:t xml:space="preserve"> </w:t>
      </w:r>
      <w:r w:rsidR="00BE6028">
        <w:t xml:space="preserve">available to </w:t>
      </w:r>
      <w:r w:rsidR="00BB789B">
        <w:t xml:space="preserve">all employees, including those based </w:t>
      </w:r>
      <w:r w:rsidR="00BE6028">
        <w:t>overseas</w:t>
      </w:r>
      <w:r w:rsidR="000D14FE">
        <w:t xml:space="preserve"> and those in roles </w:t>
      </w:r>
      <w:r>
        <w:t>where</w:t>
      </w:r>
      <w:r w:rsidR="000D14FE">
        <w:t xml:space="preserve"> they would be well-placed to detect potential foreign bribery (for example, audit functions)</w:t>
      </w:r>
      <w:r w:rsidR="00BE6028">
        <w:t xml:space="preserve">. </w:t>
      </w:r>
      <w:r w:rsidR="00492B6D">
        <w:t>Corporations</w:t>
      </w:r>
      <w:r w:rsidR="009A5568">
        <w:t xml:space="preserve"> should also</w:t>
      </w:r>
      <w:r w:rsidR="000F597A">
        <w:t xml:space="preserve"> </w:t>
      </w:r>
      <w:r w:rsidR="000F597A" w:rsidRPr="002316A0">
        <w:t xml:space="preserve">provide information about protections that </w:t>
      </w:r>
      <w:r w:rsidR="008D24CD">
        <w:t>are</w:t>
      </w:r>
      <w:r w:rsidR="000F597A" w:rsidRPr="002316A0">
        <w:t xml:space="preserve"> available to </w:t>
      </w:r>
      <w:r w:rsidR="009A5568">
        <w:t>persons</w:t>
      </w:r>
      <w:r w:rsidR="009A5568" w:rsidRPr="002316A0">
        <w:t xml:space="preserve"> </w:t>
      </w:r>
      <w:r w:rsidR="000F597A" w:rsidRPr="002316A0">
        <w:t>who ma</w:t>
      </w:r>
      <w:r w:rsidR="000F597A" w:rsidRPr="00212DB0">
        <w:t xml:space="preserve">ke a report, </w:t>
      </w:r>
      <w:r>
        <w:t>and</w:t>
      </w:r>
      <w:r w:rsidR="009A5568" w:rsidRPr="00212DB0">
        <w:t xml:space="preserve"> </w:t>
      </w:r>
      <w:r w:rsidR="000F597A" w:rsidRPr="00212DB0">
        <w:t xml:space="preserve">information on </w:t>
      </w:r>
      <w:r w:rsidR="009A5568">
        <w:t xml:space="preserve">how the </w:t>
      </w:r>
      <w:r w:rsidR="00C15162">
        <w:t>corporation</w:t>
      </w:r>
      <w:r w:rsidR="009A5568">
        <w:t xml:space="preserve"> will receive, investigate or otherwise process </w:t>
      </w:r>
      <w:r w:rsidR="008D24CD">
        <w:t xml:space="preserve">the report as well as complaints of </w:t>
      </w:r>
      <w:r w:rsidR="009A5568">
        <w:t>retaliation</w:t>
      </w:r>
      <w:r w:rsidR="000F597A" w:rsidRPr="00212DB0">
        <w:t>.</w:t>
      </w:r>
      <w:r w:rsidR="000F597A">
        <w:t xml:space="preserve"> </w:t>
      </w:r>
      <w:r w:rsidR="005D2264" w:rsidRPr="00480A43">
        <w:t>Such mechanism</w:t>
      </w:r>
      <w:r w:rsidR="000F597A">
        <w:t>s</w:t>
      </w:r>
      <w:r w:rsidR="005D2264" w:rsidRPr="00480A43">
        <w:t xml:space="preserve"> should make it clear to staff that it is safe to talk about ethics, how things are done and what can be improved. It should</w:t>
      </w:r>
      <w:r w:rsidR="005D2264" w:rsidRPr="002316A0">
        <w:t xml:space="preserve"> ensure that allegations are properly analysed and assessed and that reported information is accessible to the compliance function (if appropriate)</w:t>
      </w:r>
      <w:r w:rsidR="00115918">
        <w:t xml:space="preserve"> to </w:t>
      </w:r>
      <w:r w:rsidR="00B53B3D">
        <w:t xml:space="preserve">allow </w:t>
      </w:r>
      <w:r w:rsidR="00115918">
        <w:t>further steps to be taken to prevent or mitigate bribery risk</w:t>
      </w:r>
      <w:r w:rsidR="005D2264" w:rsidRPr="002316A0">
        <w:t xml:space="preserve">. </w:t>
      </w:r>
    </w:p>
    <w:p w14:paraId="1C9673D2" w14:textId="151A58B8" w:rsidR="005D2264" w:rsidRDefault="005D2264" w:rsidP="00212DB0">
      <w:pPr>
        <w:spacing w:before="240"/>
      </w:pPr>
      <w:r w:rsidRPr="00212DB0">
        <w:t>The mechanisms should not only encourage reporting, but should provide options for reports to be made confidentially, anonymously (if required), securely and at any time. A corporation’s reporting mechanism could be provided by a third</w:t>
      </w:r>
      <w:r w:rsidR="00A7243A">
        <w:t>-</w:t>
      </w:r>
      <w:r w:rsidRPr="00212DB0">
        <w:t>party with relevant training and expertise</w:t>
      </w:r>
      <w:r w:rsidR="008D24CD">
        <w:t xml:space="preserve"> and who is authorised by the </w:t>
      </w:r>
      <w:r w:rsidR="00492B6D">
        <w:t>corporation</w:t>
      </w:r>
      <w:r w:rsidR="008D24CD">
        <w:t xml:space="preserve"> to provide a whistleblower complaints service or hotline</w:t>
      </w:r>
      <w:r w:rsidRPr="00212DB0">
        <w:t xml:space="preserve">. Providing an external option could encourage disclosure from employees who would otherwise be uncomfortable making a report internally. </w:t>
      </w:r>
    </w:p>
    <w:p w14:paraId="52E60BA4" w14:textId="1E783077" w:rsidR="005D2264" w:rsidRPr="00212DB0" w:rsidRDefault="005D2264" w:rsidP="00212DB0">
      <w:pPr>
        <w:spacing w:before="240"/>
      </w:pPr>
      <w:r w:rsidRPr="00212DB0">
        <w:t xml:space="preserve">Effective reporting mechanisms should be accompanied by </w:t>
      </w:r>
      <w:r w:rsidR="0071634F">
        <w:t>a</w:t>
      </w:r>
      <w:r w:rsidRPr="00212DB0">
        <w:t xml:space="preserve"> response system that </w:t>
      </w:r>
      <w:r w:rsidR="009A5568">
        <w:t>ensures</w:t>
      </w:r>
      <w:r w:rsidR="009A5568" w:rsidRPr="00212DB0">
        <w:t xml:space="preserve"> </w:t>
      </w:r>
      <w:r w:rsidRPr="00212DB0">
        <w:t xml:space="preserve">appropriate consideration </w:t>
      </w:r>
      <w:r w:rsidR="009A5568">
        <w:t xml:space="preserve">and </w:t>
      </w:r>
      <w:r w:rsidRPr="00212DB0">
        <w:t>investigation of</w:t>
      </w:r>
      <w:r w:rsidR="009A5568">
        <w:t xml:space="preserve"> reports that contain allegations of foreign bribery</w:t>
      </w:r>
      <w:r w:rsidRPr="00212DB0">
        <w:t>. Investigations should be:</w:t>
      </w:r>
    </w:p>
    <w:p w14:paraId="5E596FF0" w14:textId="0B23898B" w:rsidR="005D2264" w:rsidRPr="00431560" w:rsidRDefault="005D2264" w:rsidP="00431560">
      <w:pPr>
        <w:pStyle w:val="Bullet1"/>
        <w:ind w:left="567" w:hanging="567"/>
      </w:pPr>
      <w:r w:rsidRPr="00431560">
        <w:t>properly scoped</w:t>
      </w:r>
      <w:r w:rsidR="003A1902">
        <w:t>,</w:t>
      </w:r>
    </w:p>
    <w:p w14:paraId="28283077" w14:textId="6D605BF4" w:rsidR="005D2264" w:rsidRPr="00431560" w:rsidRDefault="005D2264" w:rsidP="00431560">
      <w:pPr>
        <w:pStyle w:val="Bullet1"/>
        <w:ind w:left="567" w:hanging="567"/>
      </w:pPr>
      <w:r w:rsidRPr="00431560">
        <w:t>objective</w:t>
      </w:r>
      <w:r w:rsidR="003A1902">
        <w:t>,</w:t>
      </w:r>
    </w:p>
    <w:p w14:paraId="28D81CC0" w14:textId="24B4A444" w:rsidR="005D2264" w:rsidRPr="00431560" w:rsidRDefault="005D2264" w:rsidP="00431560">
      <w:pPr>
        <w:pStyle w:val="Bullet1"/>
        <w:ind w:left="567" w:hanging="567"/>
      </w:pPr>
      <w:r w:rsidRPr="00431560">
        <w:t>timely</w:t>
      </w:r>
      <w:r w:rsidR="003A1902">
        <w:t>,</w:t>
      </w:r>
    </w:p>
    <w:p w14:paraId="05D3AB39" w14:textId="292EDCFE" w:rsidR="005D2264" w:rsidRPr="00431560" w:rsidRDefault="005D2264" w:rsidP="00431560">
      <w:pPr>
        <w:pStyle w:val="Bullet1"/>
        <w:ind w:left="567" w:hanging="567"/>
      </w:pPr>
      <w:r w:rsidRPr="00431560">
        <w:t>appropriately conducted</w:t>
      </w:r>
      <w:r w:rsidR="003A1902">
        <w:t xml:space="preserve">, and </w:t>
      </w:r>
    </w:p>
    <w:p w14:paraId="245C6966" w14:textId="77777777" w:rsidR="005D2264" w:rsidRPr="00431560" w:rsidRDefault="005D2264" w:rsidP="00431560">
      <w:pPr>
        <w:pStyle w:val="Bullet1"/>
        <w:ind w:left="567" w:hanging="567"/>
      </w:pPr>
      <w:r w:rsidRPr="00431560">
        <w:t xml:space="preserve">properly documented. </w:t>
      </w:r>
    </w:p>
    <w:p w14:paraId="084430AB" w14:textId="03E809F2" w:rsidR="005D2264" w:rsidRPr="002316A0" w:rsidRDefault="005D2264" w:rsidP="00AE39C0">
      <w:pPr>
        <w:spacing w:before="240"/>
      </w:pPr>
      <w:r w:rsidRPr="00480A43">
        <w:t>Corporations should consider the findings of the investigation reports and ensure appropriate action is taking to address issues, including by:</w:t>
      </w:r>
    </w:p>
    <w:p w14:paraId="3B0BD5F4" w14:textId="05E0D61E" w:rsidR="005D2264" w:rsidRPr="00431560" w:rsidRDefault="0013338C" w:rsidP="00431560">
      <w:pPr>
        <w:pStyle w:val="Bullet1"/>
        <w:ind w:left="567" w:hanging="567"/>
      </w:pPr>
      <w:r>
        <w:t>a</w:t>
      </w:r>
      <w:r w:rsidR="005D2264" w:rsidRPr="00431560">
        <w:t>mending existing polices</w:t>
      </w:r>
      <w:r w:rsidR="003A1902">
        <w:t>,</w:t>
      </w:r>
    </w:p>
    <w:p w14:paraId="501BD692" w14:textId="1D82E836" w:rsidR="005D2264" w:rsidRPr="00431560" w:rsidRDefault="0013338C" w:rsidP="00431560">
      <w:pPr>
        <w:pStyle w:val="Bullet1"/>
        <w:ind w:left="567" w:hanging="567"/>
      </w:pPr>
      <w:r>
        <w:lastRenderedPageBreak/>
        <w:t>t</w:t>
      </w:r>
      <w:r w:rsidR="005D2264" w:rsidRPr="00431560">
        <w:t>aking disciplinary action against wrongdoers</w:t>
      </w:r>
      <w:r w:rsidR="003A1902">
        <w:t>,</w:t>
      </w:r>
    </w:p>
    <w:p w14:paraId="57036C37" w14:textId="593DFA8B" w:rsidR="005D2264" w:rsidRPr="00431560" w:rsidRDefault="0013338C" w:rsidP="00431560">
      <w:pPr>
        <w:pStyle w:val="Bullet1"/>
        <w:ind w:left="567" w:hanging="567"/>
      </w:pPr>
      <w:r>
        <w:t>p</w:t>
      </w:r>
      <w:r w:rsidR="005D2264" w:rsidRPr="00431560">
        <w:t>utting new systems in place</w:t>
      </w:r>
      <w:r w:rsidR="003A1902">
        <w:t xml:space="preserve">, and </w:t>
      </w:r>
    </w:p>
    <w:p w14:paraId="395B5744" w14:textId="30C4756D" w:rsidR="005D2264" w:rsidRPr="00431560" w:rsidRDefault="0013338C" w:rsidP="00431560">
      <w:pPr>
        <w:pStyle w:val="Bullet1"/>
        <w:ind w:left="567" w:hanging="567"/>
      </w:pPr>
      <w:r>
        <w:t>e</w:t>
      </w:r>
      <w:r w:rsidR="005D2264" w:rsidRPr="00431560">
        <w:t>scalating matters to report any illegality that may have occurred</w:t>
      </w:r>
      <w:r w:rsidR="00535F4F">
        <w:t xml:space="preserve"> (if required)</w:t>
      </w:r>
      <w:r w:rsidR="005D2264" w:rsidRPr="00431560">
        <w:t>.</w:t>
      </w:r>
    </w:p>
    <w:p w14:paraId="0CCD075E" w14:textId="033FBD54" w:rsidR="005D2264" w:rsidRDefault="005D2264" w:rsidP="00E32A66">
      <w:pPr>
        <w:spacing w:before="240"/>
      </w:pPr>
      <w:r w:rsidRPr="00480A43">
        <w:t xml:space="preserve">Encouraging and providing positive support for the observance of </w:t>
      </w:r>
      <w:r w:rsidR="00492B6D">
        <w:t xml:space="preserve">bribery prevention </w:t>
      </w:r>
      <w:r w:rsidRPr="00480A43">
        <w:t>controls supports a strong ethi</w:t>
      </w:r>
      <w:r w:rsidRPr="00E70D0A">
        <w:t xml:space="preserve">cal culture within a corporation.  </w:t>
      </w:r>
    </w:p>
    <w:p w14:paraId="476B3301" w14:textId="77D22BAD" w:rsidR="002D1AEF" w:rsidRDefault="00815391" w:rsidP="00E406F8">
      <w:pPr>
        <w:pStyle w:val="Heading2"/>
      </w:pPr>
      <w:bookmarkStart w:id="22" w:name="_Toc163563354"/>
      <w:r>
        <w:t>6</w:t>
      </w:r>
      <w:r w:rsidR="00E406F8">
        <w:t>.3 Self-reporting</w:t>
      </w:r>
      <w:r w:rsidR="002D1AEF">
        <w:t xml:space="preserve"> </w:t>
      </w:r>
      <w:r w:rsidR="007B445A">
        <w:t xml:space="preserve">by </w:t>
      </w:r>
      <w:r w:rsidR="00BB520F">
        <w:t>c</w:t>
      </w:r>
      <w:r w:rsidR="002D1AEF">
        <w:t>orporations</w:t>
      </w:r>
      <w:bookmarkEnd w:id="22"/>
    </w:p>
    <w:p w14:paraId="2129CCDE" w14:textId="0FEDA2F1" w:rsidR="002D1AEF" w:rsidRDefault="00232EFF" w:rsidP="002D1AEF">
      <w:pPr>
        <w:spacing w:before="240"/>
      </w:pPr>
      <w:r>
        <w:t>If a corporation has</w:t>
      </w:r>
      <w:r w:rsidR="00E72533">
        <w:t xml:space="preserve"> </w:t>
      </w:r>
      <w:r>
        <w:t>identified a</w:t>
      </w:r>
      <w:r w:rsidR="00115918">
        <w:t>n actual or suspected instance of</w:t>
      </w:r>
      <w:r w:rsidR="005A0893">
        <w:t xml:space="preserve"> </w:t>
      </w:r>
      <w:r>
        <w:t xml:space="preserve">foreign bribery, </w:t>
      </w:r>
      <w:r w:rsidR="00115918">
        <w:t xml:space="preserve">it </w:t>
      </w:r>
      <w:r>
        <w:t xml:space="preserve">should consider </w:t>
      </w:r>
      <w:r w:rsidR="00E72533">
        <w:t>self-reporting</w:t>
      </w:r>
      <w:r w:rsidR="00D0707B">
        <w:t xml:space="preserve"> </w:t>
      </w:r>
      <w:r w:rsidR="009A5568">
        <w:t xml:space="preserve">the incident </w:t>
      </w:r>
      <w:r w:rsidR="00D0707B">
        <w:t>to the A</w:t>
      </w:r>
      <w:r w:rsidR="003D1513">
        <w:t xml:space="preserve">ustralian </w:t>
      </w:r>
      <w:r w:rsidR="00D0707B">
        <w:t>F</w:t>
      </w:r>
      <w:r w:rsidR="003D1513">
        <w:t xml:space="preserve">ederal </w:t>
      </w:r>
      <w:r w:rsidR="00D0707B">
        <w:t>P</w:t>
      </w:r>
      <w:r w:rsidR="003D1513">
        <w:t>olice (AFP)</w:t>
      </w:r>
      <w:r>
        <w:t xml:space="preserve">. </w:t>
      </w:r>
      <w:r w:rsidR="002D1AEF">
        <w:t>The AFP</w:t>
      </w:r>
      <w:r w:rsidR="003D1513">
        <w:t xml:space="preserve"> </w:t>
      </w:r>
      <w:r w:rsidR="002D1AEF">
        <w:t>and the C</w:t>
      </w:r>
      <w:r w:rsidR="00E72533">
        <w:t>ommonwealth Director of Public Prosecutions</w:t>
      </w:r>
      <w:r w:rsidR="002D1AEF">
        <w:t xml:space="preserve"> </w:t>
      </w:r>
      <w:r w:rsidR="000D14FE">
        <w:t xml:space="preserve">(CDPP) </w:t>
      </w:r>
      <w:r w:rsidR="002D1AEF">
        <w:t>Self-Reporting Best Practice Guidelines</w:t>
      </w:r>
      <w:r w:rsidR="000D14FE">
        <w:t xml:space="preserve"> (Self</w:t>
      </w:r>
      <w:r w:rsidR="00103B97">
        <w:t>-</w:t>
      </w:r>
      <w:r w:rsidR="000D14FE">
        <w:t>Reporting Guidelines)</w:t>
      </w:r>
      <w:r w:rsidR="002D1AEF">
        <w:t xml:space="preserve"> </w:t>
      </w:r>
      <w:r w:rsidR="002A7FEB">
        <w:t xml:space="preserve">explain the principles and processes that apply where a corporation self-reports a suspected foreign bribery offence. </w:t>
      </w:r>
      <w:r w:rsidR="0089371B">
        <w:t xml:space="preserve">The </w:t>
      </w:r>
      <w:r w:rsidR="003A1902">
        <w:t xml:space="preserve">Self-Reporting Guidelines </w:t>
      </w:r>
      <w:r w:rsidR="0089371B">
        <w:t>operates within the framework of the Prosecution Policy of the Commonwealth</w:t>
      </w:r>
      <w:r w:rsidR="003240B4">
        <w:t xml:space="preserve"> (the Prosecution Policy)</w:t>
      </w:r>
      <w:r w:rsidR="0089371B">
        <w:t>.</w:t>
      </w:r>
      <w:r w:rsidR="00C4527E">
        <w:t xml:space="preserve"> </w:t>
      </w:r>
      <w:r w:rsidR="00103B97">
        <w:t xml:space="preserve">Corporations should consider reviewing all of their reporting obligations if a foreign bribery event has been detected. The Self-Reporting Guidelines are one such obligation, but there may be others that </w:t>
      </w:r>
      <w:r w:rsidR="00947BF1">
        <w:t>c</w:t>
      </w:r>
      <w:r w:rsidR="00103B97">
        <w:t>orporations will also have to carry out.</w:t>
      </w:r>
    </w:p>
    <w:p w14:paraId="5A263E37" w14:textId="079018C0" w:rsidR="005260FB" w:rsidRDefault="007B445A" w:rsidP="002D1AEF">
      <w:pPr>
        <w:spacing w:before="240"/>
      </w:pPr>
      <w:r>
        <w:t>Consistent with the</w:t>
      </w:r>
      <w:r w:rsidR="000D14FE">
        <w:t xml:space="preserve"> Self-Reporting</w:t>
      </w:r>
      <w:r>
        <w:t xml:space="preserve"> </w:t>
      </w:r>
      <w:r w:rsidR="005260FB">
        <w:t>Guidelines, a corporation may choose to self-report for many reasons, including</w:t>
      </w:r>
      <w:r w:rsidR="00EA48DC">
        <w:t xml:space="preserve"> to</w:t>
      </w:r>
      <w:r w:rsidR="005260FB">
        <w:t>:</w:t>
      </w:r>
    </w:p>
    <w:p w14:paraId="5907026A" w14:textId="4EADCDBE" w:rsidR="005260FB" w:rsidRDefault="0013338C" w:rsidP="005260FB">
      <w:pPr>
        <w:pStyle w:val="Bullet1"/>
      </w:pPr>
      <w:r>
        <w:t>p</w:t>
      </w:r>
      <w:r w:rsidR="005260FB">
        <w:t>roactively identify and address wrongdoing within the corporation</w:t>
      </w:r>
    </w:p>
    <w:p w14:paraId="3DE32D5F" w14:textId="287E88AE" w:rsidR="005260FB" w:rsidRDefault="0013338C" w:rsidP="005260FB">
      <w:pPr>
        <w:pStyle w:val="Bullet1"/>
      </w:pPr>
      <w:r>
        <w:t>c</w:t>
      </w:r>
      <w:r w:rsidR="005260FB">
        <w:t>omply with director</w:t>
      </w:r>
      <w:r w:rsidR="003240B4">
        <w:t>’</w:t>
      </w:r>
      <w:r w:rsidR="005260FB">
        <w:t>s duties to act in the best interests of the corporation</w:t>
      </w:r>
    </w:p>
    <w:p w14:paraId="67D90296" w14:textId="68815AAD" w:rsidR="005260FB" w:rsidRDefault="0013338C" w:rsidP="005260FB">
      <w:pPr>
        <w:pStyle w:val="Bullet1"/>
      </w:pPr>
      <w:r>
        <w:t>l</w:t>
      </w:r>
      <w:r w:rsidR="005260FB">
        <w:t>imit corporate criminal liability</w:t>
      </w:r>
    </w:p>
    <w:p w14:paraId="232C14B7" w14:textId="6E0CF950" w:rsidR="005260FB" w:rsidRDefault="0013338C" w:rsidP="005260FB">
      <w:pPr>
        <w:pStyle w:val="Bullet1"/>
      </w:pPr>
      <w:r>
        <w:t>m</w:t>
      </w:r>
      <w:r w:rsidR="005260FB">
        <w:t>inimise reputational damage</w:t>
      </w:r>
    </w:p>
    <w:p w14:paraId="67058A5D" w14:textId="689890A9" w:rsidR="00EA48DC" w:rsidRDefault="0013338C" w:rsidP="005260FB">
      <w:pPr>
        <w:pStyle w:val="Bullet1"/>
      </w:pPr>
      <w:r>
        <w:t>d</w:t>
      </w:r>
      <w:r w:rsidR="00EA48DC">
        <w:t xml:space="preserve">emonstrate a cooperative intent </w:t>
      </w:r>
    </w:p>
    <w:p w14:paraId="79542FD9" w14:textId="2A909EAA" w:rsidR="00EA48DC" w:rsidRDefault="0013338C" w:rsidP="005260FB">
      <w:pPr>
        <w:pStyle w:val="Bullet1"/>
      </w:pPr>
      <w:r>
        <w:t>m</w:t>
      </w:r>
      <w:r w:rsidR="00EA48DC">
        <w:t>aximise the sentencing discount that will be available to the corporation in any relevant prosecution of the corporation</w:t>
      </w:r>
      <w:r w:rsidR="007B445A">
        <w:t xml:space="preserve">, </w:t>
      </w:r>
      <w:r w:rsidR="003A1902">
        <w:t>or</w:t>
      </w:r>
    </w:p>
    <w:p w14:paraId="2D6FC5A7" w14:textId="718153F4" w:rsidR="00EA48DC" w:rsidRDefault="0013338C" w:rsidP="005260FB">
      <w:pPr>
        <w:pStyle w:val="Bullet1"/>
      </w:pPr>
      <w:r>
        <w:t>b</w:t>
      </w:r>
      <w:r w:rsidR="00EA48DC">
        <w:t>e a good corporate citizen.</w:t>
      </w:r>
    </w:p>
    <w:p w14:paraId="0EFC3F94" w14:textId="238C8E61" w:rsidR="007B445A" w:rsidRDefault="007B445A" w:rsidP="0089371B">
      <w:pPr>
        <w:pStyle w:val="Bullet1"/>
        <w:numPr>
          <w:ilvl w:val="0"/>
          <w:numId w:val="0"/>
        </w:numPr>
      </w:pPr>
    </w:p>
    <w:p w14:paraId="67D0C64B" w14:textId="5B335947" w:rsidR="007B445A" w:rsidRPr="00212DB0" w:rsidRDefault="007B445A" w:rsidP="007B445A">
      <w:pPr>
        <w:pStyle w:val="Bullet1"/>
        <w:numPr>
          <w:ilvl w:val="0"/>
          <w:numId w:val="0"/>
        </w:numPr>
      </w:pPr>
      <w:r>
        <w:t xml:space="preserve">Although self-reporting is not </w:t>
      </w:r>
      <w:r w:rsidR="009A630E">
        <w:t xml:space="preserve">needed </w:t>
      </w:r>
      <w:r>
        <w:t>for a co</w:t>
      </w:r>
      <w:r w:rsidR="000D14FE">
        <w:t>rporation</w:t>
      </w:r>
      <w:r>
        <w:t xml:space="preserve"> to </w:t>
      </w:r>
      <w:r w:rsidR="009A630E">
        <w:t>make use of</w:t>
      </w:r>
      <w:r>
        <w:t xml:space="preserve"> the ‘adequate procedures’ defence, a decision to self-report will be </w:t>
      </w:r>
      <w:r w:rsidR="005A0893">
        <w:t>considered</w:t>
      </w:r>
      <w:r>
        <w:t xml:space="preserve"> </w:t>
      </w:r>
      <w:r w:rsidR="000D14FE">
        <w:t xml:space="preserve">by the CDPP </w:t>
      </w:r>
      <w:r>
        <w:t>in determining whether a prosecution of a self-reporting corporation is in the public interest</w:t>
      </w:r>
      <w:r w:rsidR="000D14FE" w:rsidRPr="000D14FE">
        <w:t xml:space="preserve"> </w:t>
      </w:r>
      <w:r w:rsidR="000D14FE">
        <w:t>consistent with the Self-Reporting Guidelines and Prosecution Policy.</w:t>
      </w:r>
      <w:r>
        <w:t xml:space="preserve"> </w:t>
      </w:r>
    </w:p>
    <w:p w14:paraId="693681EA" w14:textId="77777777" w:rsidR="007B445A" w:rsidRDefault="007B445A" w:rsidP="0089371B">
      <w:pPr>
        <w:pStyle w:val="Bullet1"/>
        <w:numPr>
          <w:ilvl w:val="0"/>
          <w:numId w:val="0"/>
        </w:numPr>
      </w:pPr>
    </w:p>
    <w:p w14:paraId="26F5EEC3" w14:textId="7953E3A2" w:rsidR="0020374E" w:rsidRDefault="0020374E">
      <w:pPr>
        <w:spacing w:after="0" w:line="240" w:lineRule="auto"/>
      </w:pPr>
      <w:r>
        <w:br w:type="page"/>
      </w:r>
    </w:p>
    <w:p w14:paraId="145AFF6F" w14:textId="6D963F16" w:rsidR="009940EB" w:rsidRDefault="00815391" w:rsidP="00E32A66">
      <w:pPr>
        <w:pStyle w:val="Heading1"/>
        <w:spacing w:beforeLines="100" w:before="240"/>
        <w:jc w:val="left"/>
      </w:pPr>
      <w:bookmarkStart w:id="23" w:name="_Toc163563355"/>
      <w:r>
        <w:lastRenderedPageBreak/>
        <w:t>7</w:t>
      </w:r>
      <w:r w:rsidR="00B032A9">
        <w:t>.</w:t>
      </w:r>
      <w:r w:rsidR="009940EB">
        <w:t xml:space="preserve"> Monitoring and Review</w:t>
      </w:r>
      <w:bookmarkEnd w:id="23"/>
    </w:p>
    <w:p w14:paraId="55CFA3E3" w14:textId="6D8FCDB9" w:rsidR="00B65F37" w:rsidRPr="009940EB" w:rsidRDefault="00F67ECD" w:rsidP="00B65F37">
      <w:pPr>
        <w:spacing w:before="240"/>
      </w:pPr>
      <w:r w:rsidRPr="00C475EE">
        <w:t xml:space="preserve">Monitoring the anti-bribery </w:t>
      </w:r>
      <w:r w:rsidR="00DC1D62">
        <w:t xml:space="preserve">compliance </w:t>
      </w:r>
      <w:r w:rsidRPr="00C475EE">
        <w:t xml:space="preserve">program establishes the </w:t>
      </w:r>
      <w:r w:rsidR="00F0038D">
        <w:t xml:space="preserve">level </w:t>
      </w:r>
      <w:r w:rsidRPr="00C475EE">
        <w:t xml:space="preserve">of effectiveness over time. </w:t>
      </w:r>
      <w:r w:rsidR="00260331" w:rsidRPr="00C475EE">
        <w:t>A c</w:t>
      </w:r>
      <w:r w:rsidR="00B31038" w:rsidRPr="00C475EE">
        <w:t xml:space="preserve">orporation should </w:t>
      </w:r>
      <w:r w:rsidR="00DC1D62">
        <w:t xml:space="preserve">regularly </w:t>
      </w:r>
      <w:r w:rsidR="00B31038" w:rsidRPr="00C475EE">
        <w:t xml:space="preserve">monitor, review and adjust </w:t>
      </w:r>
      <w:r w:rsidR="002436A8" w:rsidRPr="00C475EE">
        <w:t>its</w:t>
      </w:r>
      <w:r w:rsidR="00B31038" w:rsidRPr="00C475EE">
        <w:t xml:space="preserve"> programs to test the effectiveness and to adapt the </w:t>
      </w:r>
      <w:r w:rsidR="00CB533B" w:rsidRPr="00C475EE">
        <w:t>controls</w:t>
      </w:r>
      <w:r w:rsidR="00B31038" w:rsidRPr="00C475EE">
        <w:t xml:space="preserve"> to changes in the business environment. </w:t>
      </w:r>
      <w:r w:rsidR="00F0038D">
        <w:t>Ways</w:t>
      </w:r>
      <w:r w:rsidR="00B65F37">
        <w:t xml:space="preserve"> to improve the </w:t>
      </w:r>
      <w:r w:rsidR="00CB533B">
        <w:t xml:space="preserve">anti-bribery </w:t>
      </w:r>
      <w:r w:rsidR="00B65F37">
        <w:t xml:space="preserve">compliance program can be learned through the documentation and analysis of incidents and violations. </w:t>
      </w:r>
    </w:p>
    <w:p w14:paraId="60561BDC" w14:textId="06CDA448" w:rsidR="00B31038" w:rsidRDefault="00B31038" w:rsidP="00C475EE">
      <w:pPr>
        <w:spacing w:before="240"/>
        <w:rPr>
          <w:rFonts w:cstheme="minorHAnsi"/>
        </w:rPr>
      </w:pPr>
      <w:r w:rsidRPr="00C475EE">
        <w:t>Events that m</w:t>
      </w:r>
      <w:r w:rsidR="00CB533B" w:rsidRPr="00C475EE">
        <w:t>a</w:t>
      </w:r>
      <w:r w:rsidRPr="00C475EE">
        <w:t>y prompt a review and evaluation process</w:t>
      </w:r>
      <w:r w:rsidR="00DC1D62">
        <w:t xml:space="preserve"> outside a scheduled review</w:t>
      </w:r>
      <w:r w:rsidRPr="00C475EE">
        <w:t xml:space="preserve"> </w:t>
      </w:r>
      <w:r w:rsidR="009C7B35">
        <w:t>could</w:t>
      </w:r>
      <w:r w:rsidR="009C7B35" w:rsidRPr="00C475EE">
        <w:t xml:space="preserve"> </w:t>
      </w:r>
      <w:r w:rsidRPr="00C475EE">
        <w:t>include</w:t>
      </w:r>
      <w:r w:rsidR="00DC1D62">
        <w:t xml:space="preserve">, </w:t>
      </w:r>
      <w:r w:rsidRPr="00C475EE">
        <w:t>but are not limited to:</w:t>
      </w:r>
    </w:p>
    <w:p w14:paraId="6277BE81" w14:textId="325E72DF" w:rsidR="00B31038" w:rsidRPr="00F67ECD" w:rsidRDefault="0013338C" w:rsidP="00F67ECD">
      <w:pPr>
        <w:pStyle w:val="Bullet1"/>
        <w:ind w:left="567" w:hanging="567"/>
      </w:pPr>
      <w:r>
        <w:t>e</w:t>
      </w:r>
      <w:r w:rsidR="00B31038" w:rsidRPr="00F67ECD">
        <w:t>ntering new markets</w:t>
      </w:r>
    </w:p>
    <w:p w14:paraId="26D4572C" w14:textId="1487F6CE" w:rsidR="00B31038" w:rsidRPr="00F67ECD" w:rsidRDefault="0013338C" w:rsidP="00F67ECD">
      <w:pPr>
        <w:pStyle w:val="Bullet1"/>
        <w:ind w:left="567" w:hanging="567"/>
      </w:pPr>
      <w:r>
        <w:t>c</w:t>
      </w:r>
      <w:r w:rsidR="00B31038" w:rsidRPr="00F67ECD">
        <w:t>hanges to the corporation’s activities</w:t>
      </w:r>
    </w:p>
    <w:p w14:paraId="3B20F393" w14:textId="60865F6D" w:rsidR="00B31038" w:rsidRPr="002A357E" w:rsidRDefault="0013338C" w:rsidP="00F67ECD">
      <w:pPr>
        <w:pStyle w:val="Bullet1"/>
        <w:ind w:left="567" w:hanging="567"/>
      </w:pPr>
      <w:r>
        <w:t>a</w:t>
      </w:r>
      <w:r w:rsidR="00B31038" w:rsidRPr="00F67ECD">
        <w:t xml:space="preserve"> bribery incident</w:t>
      </w:r>
    </w:p>
    <w:p w14:paraId="7A2D17E7" w14:textId="40D416B0" w:rsidR="00B31038" w:rsidRDefault="0013338C" w:rsidP="00F67ECD">
      <w:pPr>
        <w:pStyle w:val="Bullet1"/>
        <w:ind w:left="567" w:hanging="567"/>
      </w:pPr>
      <w:r>
        <w:t>c</w:t>
      </w:r>
      <w:r w:rsidR="00B31038" w:rsidRPr="002A357E">
        <w:t xml:space="preserve">hanges in the </w:t>
      </w:r>
      <w:r w:rsidR="00F0038D">
        <w:t xml:space="preserve">corporation’s </w:t>
      </w:r>
      <w:r w:rsidR="00D37627">
        <w:t>governance</w:t>
      </w:r>
      <w:r w:rsidR="00B31038" w:rsidRPr="002A357E">
        <w:t xml:space="preserve"> or regulatory environment </w:t>
      </w:r>
    </w:p>
    <w:p w14:paraId="0BA2044C" w14:textId="1EB19B2D" w:rsidR="0008153C" w:rsidRDefault="0013338C" w:rsidP="00F67ECD">
      <w:pPr>
        <w:pStyle w:val="Bullet1"/>
        <w:ind w:left="567" w:hanging="567"/>
      </w:pPr>
      <w:r>
        <w:t>e</w:t>
      </w:r>
      <w:r w:rsidR="0008153C">
        <w:t xml:space="preserve">mployee or associate feedback from surveys or training. </w:t>
      </w:r>
    </w:p>
    <w:p w14:paraId="2EFB0064" w14:textId="237727BE" w:rsidR="00B31038" w:rsidRPr="00C475EE" w:rsidRDefault="00B31038" w:rsidP="00C475EE">
      <w:pPr>
        <w:spacing w:before="240"/>
      </w:pPr>
      <w:r w:rsidRPr="00C475EE">
        <w:t xml:space="preserve">Corporations may wish to consider the following mechanisms for monitoring and reviewing </w:t>
      </w:r>
      <w:r w:rsidR="00F67ECD" w:rsidRPr="00C475EE">
        <w:t>its</w:t>
      </w:r>
      <w:r w:rsidRPr="00C475EE">
        <w:t xml:space="preserve"> compliance program:</w:t>
      </w:r>
    </w:p>
    <w:p w14:paraId="6E4ABF63" w14:textId="364EBF19" w:rsidR="00B31038" w:rsidRPr="00F67ECD" w:rsidRDefault="003A1902" w:rsidP="00F67ECD">
      <w:pPr>
        <w:pStyle w:val="Bullet1"/>
        <w:ind w:left="567" w:hanging="567"/>
      </w:pPr>
      <w:r>
        <w:t xml:space="preserve">adequate </w:t>
      </w:r>
      <w:r w:rsidR="00907F7C">
        <w:t>i</w:t>
      </w:r>
      <w:r w:rsidR="00B31038" w:rsidRPr="00F67ECD">
        <w:t xml:space="preserve">nternal audit and financial control mechanisms </w:t>
      </w:r>
      <w:r w:rsidR="00F17404">
        <w:t xml:space="preserve">to ensure the maintenance of accurate records and accounts </w:t>
      </w:r>
      <w:r w:rsidR="00B31038" w:rsidRPr="00F67ECD">
        <w:t>to detect and deter foreign bribery and monitor transactions.</w:t>
      </w:r>
    </w:p>
    <w:p w14:paraId="449D289C" w14:textId="0605E034" w:rsidR="00B31038" w:rsidRPr="00F67ECD" w:rsidRDefault="003A1902" w:rsidP="00F67ECD">
      <w:pPr>
        <w:pStyle w:val="Bullet1"/>
        <w:ind w:left="567" w:hanging="567"/>
      </w:pPr>
      <w:r>
        <w:t>s</w:t>
      </w:r>
      <w:r w:rsidRPr="00F67ECD">
        <w:t xml:space="preserve">taff </w:t>
      </w:r>
      <w:r w:rsidR="00B31038" w:rsidRPr="00F67ECD">
        <w:t>and associate surveys to test the level of awareness of the corporation’s</w:t>
      </w:r>
      <w:r w:rsidR="002A357E">
        <w:t xml:space="preserve"> anti-bribery</w:t>
      </w:r>
      <w:r w:rsidR="00B31038" w:rsidRPr="00F67ECD">
        <w:t xml:space="preserve"> compliance program.</w:t>
      </w:r>
    </w:p>
    <w:p w14:paraId="5C2BB506" w14:textId="10539C30" w:rsidR="00B31038" w:rsidRPr="00F67ECD" w:rsidRDefault="003A1902" w:rsidP="00F67ECD">
      <w:pPr>
        <w:pStyle w:val="Bullet1"/>
        <w:ind w:left="567" w:hanging="567"/>
      </w:pPr>
      <w:r>
        <w:t>c</w:t>
      </w:r>
      <w:r w:rsidRPr="00F67ECD">
        <w:t xml:space="preserve">onfidential </w:t>
      </w:r>
      <w:r w:rsidR="00B31038" w:rsidRPr="00F67ECD">
        <w:t xml:space="preserve">and anonymous reporting channels </w:t>
      </w:r>
      <w:r w:rsidR="002A357E">
        <w:t>for staff and associates</w:t>
      </w:r>
      <w:r w:rsidR="00B31038" w:rsidRPr="00F67ECD">
        <w:t xml:space="preserve"> to raise concerns about bribery risks.</w:t>
      </w:r>
    </w:p>
    <w:p w14:paraId="13CC848B" w14:textId="729BA7D7" w:rsidR="00B31038" w:rsidRPr="002A357E" w:rsidRDefault="003A1902" w:rsidP="00F67ECD">
      <w:pPr>
        <w:pStyle w:val="Bullet1"/>
        <w:ind w:left="567" w:hanging="567"/>
      </w:pPr>
      <w:r>
        <w:t>f</w:t>
      </w:r>
      <w:r w:rsidRPr="002A357E">
        <w:t xml:space="preserve">eedback </w:t>
      </w:r>
      <w:r w:rsidR="00B31038" w:rsidRPr="002A357E">
        <w:t xml:space="preserve">from training (and other general feedback mechanisms) about the effectiveness of </w:t>
      </w:r>
      <w:r w:rsidR="002A357E">
        <w:t xml:space="preserve">the </w:t>
      </w:r>
      <w:r w:rsidR="00B31038" w:rsidRPr="002A357E">
        <w:t>anti-bribery compliance program.</w:t>
      </w:r>
    </w:p>
    <w:p w14:paraId="28058869" w14:textId="7683BE37" w:rsidR="00B31038" w:rsidRPr="004E7298" w:rsidRDefault="003A1902" w:rsidP="00F67ECD">
      <w:pPr>
        <w:pStyle w:val="Bullet1"/>
        <w:ind w:left="567" w:hanging="567"/>
      </w:pPr>
      <w:r>
        <w:t>p</w:t>
      </w:r>
      <w:r w:rsidRPr="00E77CE4">
        <w:t xml:space="preserve">eriodic </w:t>
      </w:r>
      <w:r w:rsidR="00B31038" w:rsidRPr="00E77CE4">
        <w:t xml:space="preserve">reviews conducted by suitable </w:t>
      </w:r>
      <w:r>
        <w:t xml:space="preserve">experts </w:t>
      </w:r>
      <w:r w:rsidR="00B31038" w:rsidRPr="00E77CE4">
        <w:t>(internal or external) that are provided to top-level management for consideration.</w:t>
      </w:r>
    </w:p>
    <w:p w14:paraId="774EFBA8" w14:textId="2914EF16" w:rsidR="00B31038" w:rsidRPr="004307B3" w:rsidRDefault="003A1902" w:rsidP="00F67ECD">
      <w:pPr>
        <w:pStyle w:val="Bullet1"/>
        <w:ind w:left="567" w:hanging="567"/>
      </w:pPr>
      <w:r>
        <w:t>r</w:t>
      </w:r>
      <w:r w:rsidRPr="004307B3">
        <w:t xml:space="preserve">elevant </w:t>
      </w:r>
      <w:r w:rsidR="00B31038" w:rsidRPr="004307B3">
        <w:t xml:space="preserve">information </w:t>
      </w:r>
      <w:r w:rsidR="00F0038D">
        <w:t>from</w:t>
      </w:r>
      <w:r w:rsidR="00B31038" w:rsidRPr="004307B3">
        <w:t xml:space="preserve"> industry bodies.</w:t>
      </w:r>
    </w:p>
    <w:p w14:paraId="2C19623B" w14:textId="586E62F6" w:rsidR="00B31038" w:rsidRPr="00066EEC" w:rsidRDefault="003A1902" w:rsidP="00F67ECD">
      <w:pPr>
        <w:pStyle w:val="Bullet1"/>
        <w:ind w:left="567" w:hanging="567"/>
      </w:pPr>
      <w:r>
        <w:t>v</w:t>
      </w:r>
      <w:r w:rsidRPr="00ED4957">
        <w:t xml:space="preserve">erification </w:t>
      </w:r>
      <w:r w:rsidR="00B31038" w:rsidRPr="00ED4957">
        <w:t>or certification of the effectiveness of</w:t>
      </w:r>
      <w:r w:rsidR="002A357E">
        <w:t xml:space="preserve"> the</w:t>
      </w:r>
      <w:r w:rsidR="00B31038" w:rsidRPr="002A357E">
        <w:t xml:space="preserve"> anti-bribery compliance program provided by an external provider</w:t>
      </w:r>
      <w:r w:rsidR="00066EEC">
        <w:t>, noting</w:t>
      </w:r>
      <w:r w:rsidR="00B31038" w:rsidRPr="002A357E">
        <w:t xml:space="preserve"> </w:t>
      </w:r>
      <w:r w:rsidR="00F0038D">
        <w:t>this</w:t>
      </w:r>
      <w:r w:rsidR="00B31038" w:rsidRPr="002A357E">
        <w:t xml:space="preserve"> does not necessarily mean that adequate procedures are in place for the purpose of subsection 70.5A(5) of the </w:t>
      </w:r>
      <w:r w:rsidR="00B31038" w:rsidRPr="00066EEC">
        <w:t>Criminal Code</w:t>
      </w:r>
      <w:r w:rsidR="00066EEC">
        <w:t>.</w:t>
      </w:r>
      <w:r w:rsidR="00B31038" w:rsidRPr="00066EEC">
        <w:t xml:space="preserve"> </w:t>
      </w:r>
    </w:p>
    <w:p w14:paraId="089D4489" w14:textId="690847C7" w:rsidR="009940EB" w:rsidRDefault="00C005D0" w:rsidP="00E32A66">
      <w:pPr>
        <w:spacing w:before="240"/>
      </w:pPr>
      <w:r>
        <w:t>The scope and frequency of the review process will depend on the assessment of risks and the effectiveness of monitoring procedures.</w:t>
      </w:r>
    </w:p>
    <w:p w14:paraId="27F9B0D3" w14:textId="618EAE46" w:rsidR="0020374E" w:rsidRDefault="0020374E">
      <w:pPr>
        <w:spacing w:after="0" w:line="240" w:lineRule="auto"/>
        <w:rPr>
          <w:rFonts w:eastAsia="SimSun" w:cstheme="minorHAnsi"/>
          <w:b/>
          <w:bCs/>
          <w:color w:val="404040"/>
          <w:kern w:val="32"/>
          <w:sz w:val="52"/>
          <w:szCs w:val="52"/>
        </w:rPr>
      </w:pPr>
      <w:bookmarkStart w:id="24" w:name="_10._Resources"/>
      <w:bookmarkEnd w:id="24"/>
      <w:r>
        <w:rPr>
          <w:rFonts w:cstheme="minorHAnsi"/>
        </w:rPr>
        <w:br w:type="page"/>
      </w:r>
    </w:p>
    <w:p w14:paraId="644BCCFA" w14:textId="4588DF09" w:rsidR="0020374E" w:rsidRDefault="0020374E" w:rsidP="0020374E">
      <w:pPr>
        <w:pStyle w:val="Heading1"/>
        <w:spacing w:beforeLines="100" w:before="240"/>
        <w:jc w:val="left"/>
      </w:pPr>
      <w:bookmarkStart w:id="25" w:name="_Appendix_A:_Australia’s"/>
      <w:bookmarkStart w:id="26" w:name="_Toc163563356"/>
      <w:bookmarkEnd w:id="25"/>
      <w:r>
        <w:lastRenderedPageBreak/>
        <w:t>Appendix A: Australia’s foreign bribery laws</w:t>
      </w:r>
      <w:bookmarkEnd w:id="26"/>
    </w:p>
    <w:p w14:paraId="1D5436B2" w14:textId="77777777" w:rsidR="0020374E" w:rsidRDefault="0020374E" w:rsidP="0020374E">
      <w:pPr>
        <w:pStyle w:val="Heading2"/>
      </w:pPr>
      <w:bookmarkStart w:id="27" w:name="_Toc162430463"/>
      <w:bookmarkStart w:id="28" w:name="_Toc163563357"/>
      <w:r>
        <w:t>Overview</w:t>
      </w:r>
      <w:bookmarkEnd w:id="27"/>
      <w:bookmarkEnd w:id="28"/>
    </w:p>
    <w:p w14:paraId="42C30D33" w14:textId="77777777" w:rsidR="0020374E" w:rsidRDefault="0020374E" w:rsidP="0020374E">
      <w:pPr>
        <w:spacing w:before="240"/>
      </w:pPr>
      <w:r>
        <w:t xml:space="preserve">Bribing, or attempting to bribe, a foreign public official is a serious crime in Australia. Australian individuals and corporations can be prosecuted under Australian law and the laws of foreign countries for bribing foreign officials. The offences for foreign bribery carry significant penalties for individuals and companies. </w:t>
      </w:r>
    </w:p>
    <w:p w14:paraId="4FDE42C1" w14:textId="77777777" w:rsidR="0020374E" w:rsidRDefault="0020374E" w:rsidP="0020374E">
      <w:pPr>
        <w:pStyle w:val="Heading2"/>
      </w:pPr>
      <w:bookmarkStart w:id="29" w:name="_Toc162430464"/>
      <w:bookmarkStart w:id="30" w:name="_Toc163563358"/>
      <w:r>
        <w:t>The offences</w:t>
      </w:r>
      <w:bookmarkEnd w:id="29"/>
      <w:bookmarkEnd w:id="30"/>
      <w:r>
        <w:t xml:space="preserve"> </w:t>
      </w:r>
    </w:p>
    <w:p w14:paraId="1CB3CF2A" w14:textId="77777777" w:rsidR="0020374E" w:rsidRDefault="0020374E" w:rsidP="0020374E">
      <w:pPr>
        <w:pStyle w:val="Heading3"/>
        <w:spacing w:beforeLines="100" w:before="240"/>
      </w:pPr>
      <w:bookmarkStart w:id="31" w:name="_Toc162430465"/>
      <w:r>
        <w:t>For an individual</w:t>
      </w:r>
      <w:bookmarkEnd w:id="31"/>
      <w:r>
        <w:t xml:space="preserve"> </w:t>
      </w:r>
    </w:p>
    <w:p w14:paraId="391F4B0F" w14:textId="77777777" w:rsidR="0020374E" w:rsidRDefault="0020374E" w:rsidP="0020374E">
      <w:pPr>
        <w:spacing w:before="240"/>
      </w:pPr>
      <w:r>
        <w:t xml:space="preserve">The offence of bribing a foreign public official is contained in section 70.2 of the Criminal Code. The offence has a number of elements, all of which must be present for the offence to apply. A person is guilty of the offence if the person: </w:t>
      </w:r>
    </w:p>
    <w:p w14:paraId="008F5F43" w14:textId="77777777" w:rsidR="0020374E" w:rsidRDefault="0020374E" w:rsidP="0020374E">
      <w:pPr>
        <w:pStyle w:val="Bullet1"/>
        <w:ind w:left="567" w:hanging="567"/>
      </w:pPr>
      <w:r>
        <w:t>Intentionally provides, offers or promises a benefit to another person.</w:t>
      </w:r>
    </w:p>
    <w:p w14:paraId="17463488" w14:textId="77777777" w:rsidR="0020374E" w:rsidRDefault="0020374E" w:rsidP="0020374E">
      <w:pPr>
        <w:pStyle w:val="Bullet1"/>
        <w:ind w:left="567" w:hanging="567"/>
      </w:pPr>
      <w:r>
        <w:t>Intentionally causes a benefit to be provided, offered or promised to another person.</w:t>
      </w:r>
    </w:p>
    <w:p w14:paraId="7B59F8CE" w14:textId="77777777" w:rsidR="0020374E" w:rsidRDefault="0020374E" w:rsidP="0020374E">
      <w:pPr>
        <w:spacing w:before="240"/>
      </w:pPr>
      <w:r>
        <w:t xml:space="preserve">The person must act with the intention of improperly influencing a foreign public official in order to obtain or retain business or a business or personal advantage (whether or not for the person). </w:t>
      </w:r>
    </w:p>
    <w:p w14:paraId="45AAF367" w14:textId="77777777" w:rsidR="0020374E" w:rsidRDefault="0020374E" w:rsidP="0020374E">
      <w:pPr>
        <w:spacing w:before="240"/>
      </w:pPr>
      <w:r>
        <w:t xml:space="preserve">The offence applies regardless of: </w:t>
      </w:r>
    </w:p>
    <w:p w14:paraId="4A48A2B0" w14:textId="77777777" w:rsidR="0020374E" w:rsidRDefault="0020374E" w:rsidP="0020374E">
      <w:pPr>
        <w:pStyle w:val="Bullet1"/>
        <w:ind w:left="567" w:hanging="567"/>
      </w:pPr>
      <w:r>
        <w:t>Whether or not the person intended to influence a particular foreign public official.</w:t>
      </w:r>
    </w:p>
    <w:p w14:paraId="5F9625D5" w14:textId="77777777" w:rsidR="0020374E" w:rsidRDefault="0020374E" w:rsidP="0020374E">
      <w:pPr>
        <w:pStyle w:val="Bullet1"/>
        <w:ind w:left="567" w:hanging="567"/>
      </w:pPr>
      <w:r>
        <w:t>Whether or not the person intended to obtain or retain the particular advantage.</w:t>
      </w:r>
    </w:p>
    <w:p w14:paraId="1E364BCD" w14:textId="77777777" w:rsidR="0020374E" w:rsidRPr="00455710" w:rsidRDefault="0020374E" w:rsidP="0020374E">
      <w:pPr>
        <w:pStyle w:val="Bullet1"/>
        <w:ind w:left="567" w:hanging="567"/>
      </w:pPr>
      <w:r>
        <w:t>Whether or not the person was successful in obtaining or retaining the advantages sought.</w:t>
      </w:r>
    </w:p>
    <w:p w14:paraId="2406AEC6" w14:textId="77777777" w:rsidR="0020374E" w:rsidRDefault="0020374E" w:rsidP="0020374E">
      <w:pPr>
        <w:pStyle w:val="Heading3"/>
        <w:spacing w:beforeLines="100" w:before="240"/>
      </w:pPr>
      <w:bookmarkStart w:id="32" w:name="_Toc162430466"/>
      <w:r>
        <w:t>For a corporation</w:t>
      </w:r>
      <w:bookmarkEnd w:id="32"/>
    </w:p>
    <w:p w14:paraId="2F6B975B" w14:textId="77777777" w:rsidR="0020374E" w:rsidRDefault="0020374E" w:rsidP="0020374E">
      <w:pPr>
        <w:spacing w:before="240"/>
      </w:pPr>
      <w:r>
        <w:t>Under Division 12 of the Criminal Code, corporations can be liable for Commonwealth offences. This means that a corporation can be found guilty of foreign bribery as a result of the actions of its employees and agents. This can occur where:</w:t>
      </w:r>
    </w:p>
    <w:p w14:paraId="4D9A4517" w14:textId="77777777" w:rsidR="0020374E" w:rsidRDefault="0020374E" w:rsidP="0020374E">
      <w:pPr>
        <w:pStyle w:val="Bullet1"/>
        <w:ind w:left="567" w:hanging="567"/>
      </w:pPr>
      <w:r>
        <w:t>The corporation’s top-level management or board of directors intentionally, knowingly or recklessly committed the foreign bribery offence.</w:t>
      </w:r>
    </w:p>
    <w:p w14:paraId="325964B0" w14:textId="77777777" w:rsidR="0020374E" w:rsidRDefault="0020374E" w:rsidP="0020374E">
      <w:pPr>
        <w:pStyle w:val="Bullet1"/>
        <w:ind w:left="567" w:hanging="567"/>
      </w:pPr>
      <w:r>
        <w:t>The corporation’s top-level management or board of directors expressly, tacitly or impliedly authorised, or permitted the commission of, the foreign bribery offence by an agent of the corporation.</w:t>
      </w:r>
    </w:p>
    <w:p w14:paraId="2A788BE8" w14:textId="77777777" w:rsidR="0020374E" w:rsidRDefault="0020374E" w:rsidP="0020374E">
      <w:pPr>
        <w:pStyle w:val="Bullet1"/>
        <w:ind w:left="567" w:hanging="567"/>
      </w:pPr>
      <w:r>
        <w:lastRenderedPageBreak/>
        <w:t>An agent of the corporation offered a bribe and it is shown that a corporate culture existed within the corporation that directed, encouraged, tolerated or led to, the commission of the foreign bribery offence.</w:t>
      </w:r>
    </w:p>
    <w:p w14:paraId="6D9C0032" w14:textId="77777777" w:rsidR="0020374E" w:rsidRDefault="0020374E" w:rsidP="0020374E">
      <w:pPr>
        <w:pStyle w:val="Bullet1"/>
        <w:ind w:left="567" w:hanging="567"/>
      </w:pPr>
      <w:r>
        <w:t xml:space="preserve">An agent of the corporation offered a bribe and it is shown that the corporation failed to create and maintain a corporate culture that required compliance with the laws against bribing foreign public officials. </w:t>
      </w:r>
    </w:p>
    <w:p w14:paraId="14C071DB" w14:textId="77777777" w:rsidR="0020374E" w:rsidRDefault="0020374E" w:rsidP="0020374E">
      <w:pPr>
        <w:spacing w:before="240"/>
      </w:pPr>
      <w:r>
        <w:t xml:space="preserve">The offence above is separate from, and in addition to, the ‘failure to prevent’ offence contained in section 70.5A of the Criminal Code. Corporations prosecuted under the substantive bribery offence would be unable to rely on the section 70.5A(5) defence of ‘adequate procedures’. </w:t>
      </w:r>
    </w:p>
    <w:p w14:paraId="35DCA36B" w14:textId="77777777" w:rsidR="0020374E" w:rsidRDefault="0020374E" w:rsidP="0020374E">
      <w:pPr>
        <w:spacing w:before="240"/>
      </w:pPr>
      <w:r>
        <w:t>The ‘failure to prevent’ offence applies to a body corporate that is:</w:t>
      </w:r>
    </w:p>
    <w:p w14:paraId="6C7616EF" w14:textId="77777777" w:rsidR="0020374E" w:rsidRDefault="0020374E" w:rsidP="0020374E">
      <w:pPr>
        <w:pStyle w:val="Bullet1"/>
        <w:ind w:left="567" w:hanging="567"/>
      </w:pPr>
      <w:r>
        <w:t xml:space="preserve">a constitutional corporation (a financial or trading corporation formed in Australia or a foreign corporation) </w:t>
      </w:r>
    </w:p>
    <w:p w14:paraId="095AD194" w14:textId="77777777" w:rsidR="0020374E" w:rsidRDefault="0020374E" w:rsidP="0020374E">
      <w:pPr>
        <w:pStyle w:val="Bullet1"/>
        <w:ind w:left="567" w:hanging="567"/>
      </w:pPr>
      <w:r>
        <w:t>incorporated in a Territory, or</w:t>
      </w:r>
    </w:p>
    <w:p w14:paraId="7C26CCE4" w14:textId="77777777" w:rsidR="0020374E" w:rsidRDefault="0020374E" w:rsidP="0020374E">
      <w:pPr>
        <w:pStyle w:val="Bullet1"/>
        <w:ind w:left="567" w:hanging="567"/>
      </w:pPr>
      <w:r>
        <w:t xml:space="preserve">taken to be registered in a Territory under section 119A of the </w:t>
      </w:r>
      <w:r w:rsidRPr="00EF5E1D">
        <w:rPr>
          <w:i/>
        </w:rPr>
        <w:t xml:space="preserve">Corporations Act 2001 </w:t>
      </w:r>
      <w:r>
        <w:t>(Cth) (the Corporations Act).</w:t>
      </w:r>
    </w:p>
    <w:p w14:paraId="778F3485" w14:textId="77777777" w:rsidR="0020374E" w:rsidRDefault="0020374E" w:rsidP="0020374E">
      <w:pPr>
        <w:spacing w:before="240"/>
      </w:pPr>
      <w:r>
        <w:t xml:space="preserve">The offence applies to an associate of the corporation that commits an offence under section 70.2 for the profit or gain of the corporation. A corporation may still be convicted of the ‘failure to prevent’ offence even if the associate has not been convicted of an offence under section 70.2 of the Criminal Code.  </w:t>
      </w:r>
    </w:p>
    <w:p w14:paraId="4BDECF85" w14:textId="77777777" w:rsidR="0020374E" w:rsidRDefault="0020374E" w:rsidP="0020374E">
      <w:pPr>
        <w:pStyle w:val="Heading2"/>
      </w:pPr>
      <w:bookmarkStart w:id="33" w:name="_Toc162430467"/>
      <w:bookmarkStart w:id="34" w:name="_Toc163563359"/>
      <w:r>
        <w:t>Associate</w:t>
      </w:r>
      <w:bookmarkEnd w:id="33"/>
      <w:bookmarkEnd w:id="34"/>
    </w:p>
    <w:p w14:paraId="3DCC0F3D" w14:textId="77777777" w:rsidR="0020374E" w:rsidRDefault="0020374E" w:rsidP="0020374E">
      <w:pPr>
        <w:spacing w:before="240"/>
      </w:pPr>
      <w:r>
        <w:t>Section 70.1 of the Criminal Code defines ‘associate’. A person is an ‘associate’ if the first-mentioned person:</w:t>
      </w:r>
    </w:p>
    <w:p w14:paraId="58715C8B" w14:textId="77777777" w:rsidR="0020374E" w:rsidRDefault="0020374E" w:rsidP="0020374E">
      <w:pPr>
        <w:pStyle w:val="Bullet1"/>
      </w:pPr>
      <w:r>
        <w:t>is an officer, employee, agent or contractor of the other person</w:t>
      </w:r>
    </w:p>
    <w:p w14:paraId="0FF821FB" w14:textId="77777777" w:rsidR="0020374E" w:rsidRDefault="0020374E" w:rsidP="0020374E">
      <w:pPr>
        <w:pStyle w:val="Bullet1"/>
      </w:pPr>
      <w:r>
        <w:t xml:space="preserve">is a subsidiary (within the meaning of the </w:t>
      </w:r>
      <w:r>
        <w:rPr>
          <w:i/>
        </w:rPr>
        <w:t>Corporations Act 2001</w:t>
      </w:r>
      <w:r>
        <w:t>) of the other person</w:t>
      </w:r>
    </w:p>
    <w:p w14:paraId="3D3C59B9" w14:textId="77777777" w:rsidR="0020374E" w:rsidRDefault="0020374E" w:rsidP="0020374E">
      <w:pPr>
        <w:pStyle w:val="Bullet1"/>
      </w:pPr>
      <w:r>
        <w:t xml:space="preserve">is controlled (within the meaning of the </w:t>
      </w:r>
      <w:r>
        <w:rPr>
          <w:i/>
        </w:rPr>
        <w:t>Corporations Act 2001</w:t>
      </w:r>
      <w:r>
        <w:t>) by the other person, or</w:t>
      </w:r>
    </w:p>
    <w:p w14:paraId="4F4AE93F" w14:textId="77777777" w:rsidR="0020374E" w:rsidRDefault="0020374E" w:rsidP="0020374E">
      <w:pPr>
        <w:pStyle w:val="Bullet1"/>
      </w:pPr>
      <w:r>
        <w:t>otherwise performs services for or on behalf of the other person.</w:t>
      </w:r>
    </w:p>
    <w:p w14:paraId="07E2E3F7" w14:textId="77777777" w:rsidR="0020374E" w:rsidRPr="00F72C44" w:rsidRDefault="0020374E" w:rsidP="0020374E">
      <w:pPr>
        <w:pStyle w:val="Heading2"/>
      </w:pPr>
      <w:bookmarkStart w:id="35" w:name="_Toc162430468"/>
      <w:bookmarkStart w:id="36" w:name="_Toc163563360"/>
      <w:r>
        <w:t>Foreign public officials</w:t>
      </w:r>
      <w:bookmarkEnd w:id="35"/>
      <w:bookmarkEnd w:id="36"/>
    </w:p>
    <w:p w14:paraId="2650388C" w14:textId="77777777" w:rsidR="0020374E" w:rsidRDefault="0020374E" w:rsidP="0020374E">
      <w:pPr>
        <w:spacing w:before="240"/>
      </w:pPr>
      <w:r>
        <w:t xml:space="preserve">Section 70.1 of the Criminal Code defines ‘foreign public official’. The definition is broad and includes: </w:t>
      </w:r>
    </w:p>
    <w:p w14:paraId="6E962714" w14:textId="77777777" w:rsidR="0020374E" w:rsidRPr="00674013" w:rsidRDefault="0020374E" w:rsidP="0020374E">
      <w:pPr>
        <w:pStyle w:val="Bullet1"/>
        <w:ind w:left="567" w:hanging="567"/>
      </w:pPr>
      <w:r w:rsidRPr="00674013">
        <w:t>A</w:t>
      </w:r>
      <w:r>
        <w:t xml:space="preserve">n individual </w:t>
      </w:r>
      <w:r w:rsidRPr="00674013">
        <w:t>who performs official duties under a foreign law</w:t>
      </w:r>
      <w:r>
        <w:t>.</w:t>
      </w:r>
    </w:p>
    <w:p w14:paraId="11660A67" w14:textId="77777777" w:rsidR="0020374E" w:rsidRPr="00674013" w:rsidRDefault="0020374E" w:rsidP="0020374E">
      <w:pPr>
        <w:pStyle w:val="Bullet1"/>
        <w:ind w:left="567" w:hanging="567"/>
      </w:pPr>
      <w:r w:rsidRPr="00674013">
        <w:t xml:space="preserve">An employee of a </w:t>
      </w:r>
      <w:r>
        <w:t xml:space="preserve">foreign public enterprise. </w:t>
      </w:r>
    </w:p>
    <w:p w14:paraId="12A9C6B2" w14:textId="77777777" w:rsidR="0020374E" w:rsidRPr="00674013" w:rsidRDefault="0020374E" w:rsidP="0020374E">
      <w:pPr>
        <w:pStyle w:val="Bullet1"/>
        <w:ind w:left="567" w:hanging="567"/>
      </w:pPr>
      <w:r w:rsidRPr="00674013">
        <w:t>An employee or official of a public international organisation</w:t>
      </w:r>
      <w:r>
        <w:t>.</w:t>
      </w:r>
    </w:p>
    <w:p w14:paraId="163853C3" w14:textId="77777777" w:rsidR="0020374E" w:rsidRPr="00674013" w:rsidRDefault="0020374E" w:rsidP="0020374E">
      <w:pPr>
        <w:pStyle w:val="Bullet1"/>
        <w:ind w:left="567" w:hanging="567"/>
      </w:pPr>
      <w:r w:rsidRPr="00674013">
        <w:t>An employee or official of a foreign government</w:t>
      </w:r>
      <w:r>
        <w:t>.</w:t>
      </w:r>
      <w:r w:rsidRPr="00674013">
        <w:t xml:space="preserve"> </w:t>
      </w:r>
    </w:p>
    <w:p w14:paraId="09F2230E" w14:textId="77777777" w:rsidR="0020374E" w:rsidRPr="00674013" w:rsidRDefault="0020374E" w:rsidP="0020374E">
      <w:pPr>
        <w:pStyle w:val="Bullet1"/>
        <w:ind w:left="567" w:hanging="567"/>
      </w:pPr>
      <w:r w:rsidRPr="00674013">
        <w:t xml:space="preserve">An authorised intermediary of a public official (or a person who represents </w:t>
      </w:r>
      <w:r>
        <w:t>themselves</w:t>
      </w:r>
      <w:r w:rsidRPr="00674013">
        <w:t xml:space="preserve"> to be so)</w:t>
      </w:r>
      <w:r>
        <w:t>.</w:t>
      </w:r>
    </w:p>
    <w:p w14:paraId="293780F1" w14:textId="77777777" w:rsidR="0020374E" w:rsidRPr="00674013" w:rsidRDefault="0020374E" w:rsidP="0020374E">
      <w:pPr>
        <w:pStyle w:val="Bullet1"/>
        <w:ind w:left="567" w:hanging="567"/>
      </w:pPr>
      <w:r w:rsidRPr="00674013">
        <w:lastRenderedPageBreak/>
        <w:t>A member of the executive, legislature or judiciary of a foreign country, including heads of state, ministers and their staff</w:t>
      </w:r>
      <w:r>
        <w:t>.</w:t>
      </w:r>
    </w:p>
    <w:p w14:paraId="515A6183" w14:textId="77777777" w:rsidR="0020374E" w:rsidRPr="00674013" w:rsidRDefault="0020374E" w:rsidP="0020374E">
      <w:pPr>
        <w:pStyle w:val="Bullet1"/>
        <w:ind w:left="567" w:hanging="567"/>
      </w:pPr>
      <w:r w:rsidRPr="00674013">
        <w:t>A</w:t>
      </w:r>
      <w:r>
        <w:t xml:space="preserve">n individual </w:t>
      </w:r>
      <w:r w:rsidRPr="00674013">
        <w:t>holding an official post as a result of a local custom</w:t>
      </w:r>
      <w:r>
        <w:t>.</w:t>
      </w:r>
    </w:p>
    <w:p w14:paraId="135BAEC4" w14:textId="77777777" w:rsidR="0020374E" w:rsidRPr="00674013" w:rsidRDefault="0020374E" w:rsidP="0020374E">
      <w:pPr>
        <w:pStyle w:val="Bullet1"/>
        <w:ind w:left="567" w:hanging="567"/>
      </w:pPr>
      <w:r w:rsidRPr="00674013">
        <w:t>A</w:t>
      </w:r>
      <w:r>
        <w:t>n individual</w:t>
      </w:r>
      <w:r w:rsidRPr="00674013">
        <w:t xml:space="preserve"> standing or nominated as a candidate </w:t>
      </w:r>
      <w:r>
        <w:t>to be a foreign public official.</w:t>
      </w:r>
    </w:p>
    <w:p w14:paraId="3F4C5651" w14:textId="77777777" w:rsidR="0020374E" w:rsidRPr="005C4EEB" w:rsidRDefault="0020374E" w:rsidP="0020374E">
      <w:pPr>
        <w:pStyle w:val="Bullet1"/>
        <w:ind w:left="567" w:hanging="567"/>
      </w:pPr>
      <w:r w:rsidRPr="00674013">
        <w:t>A</w:t>
      </w:r>
      <w:r>
        <w:t>n individual</w:t>
      </w:r>
      <w:r w:rsidRPr="00674013">
        <w:t xml:space="preserve"> providing a public service as defined in the foreign country’s domestic law. </w:t>
      </w:r>
    </w:p>
    <w:p w14:paraId="6E983558" w14:textId="77777777" w:rsidR="0020374E" w:rsidRDefault="0020374E" w:rsidP="0020374E">
      <w:pPr>
        <w:pStyle w:val="Heading2"/>
      </w:pPr>
      <w:bookmarkStart w:id="37" w:name="_Toc162430469"/>
      <w:bookmarkStart w:id="38" w:name="_Toc163563361"/>
      <w:r>
        <w:t>Jurisdictional reach</w:t>
      </w:r>
      <w:bookmarkEnd w:id="37"/>
      <w:bookmarkEnd w:id="38"/>
      <w:r>
        <w:t xml:space="preserve"> </w:t>
      </w:r>
    </w:p>
    <w:p w14:paraId="60435B97" w14:textId="77777777" w:rsidR="0020374E" w:rsidRDefault="0020374E" w:rsidP="0020374E">
      <w:pPr>
        <w:spacing w:before="240"/>
      </w:pPr>
      <w:r>
        <w:t xml:space="preserve">Australia’s foreign bribery laws have extra-territorial effect and apply to conduct not only occurring in Australia, but outside Australia where the offence is committed by an Australian citizen or resident, or by an Australian corporation (incorporated by or under a law of the Commonwealth or of a state or territory). </w:t>
      </w:r>
    </w:p>
    <w:p w14:paraId="131D9BFB" w14:textId="77777777" w:rsidR="0020374E" w:rsidRDefault="0020374E" w:rsidP="0020374E">
      <w:pPr>
        <w:spacing w:before="240"/>
      </w:pPr>
      <w:r>
        <w:t>The corporate ’failure to prevent’ offence will therefore apply to Australian corporations for conduct:</w:t>
      </w:r>
    </w:p>
    <w:p w14:paraId="71F5A3C7" w14:textId="77777777" w:rsidR="0020374E" w:rsidRDefault="0020374E" w:rsidP="0020374E">
      <w:pPr>
        <w:pStyle w:val="Bullet1"/>
        <w:ind w:left="567" w:hanging="567"/>
      </w:pPr>
      <w:r>
        <w:t xml:space="preserve">committed inside Australia by an associate (whether or not the associate is an Australian individual or other person) that constitutes an offence against 70.2 of the Criminal Code, or </w:t>
      </w:r>
    </w:p>
    <w:p w14:paraId="779900F3" w14:textId="77777777" w:rsidR="0020374E" w:rsidRDefault="0020374E" w:rsidP="0020374E">
      <w:pPr>
        <w:pStyle w:val="Bullet1"/>
        <w:ind w:left="567" w:hanging="567"/>
      </w:pPr>
      <w:r>
        <w:t>committed outside Australia by an associate (whether or not the associate is an Australian individual or other person) that would constitute an offence against 70.2 of the Criminal Code if it had been engaged in in Australia.</w:t>
      </w:r>
    </w:p>
    <w:p w14:paraId="43C66DA0" w14:textId="77777777" w:rsidR="0020374E" w:rsidRDefault="0020374E" w:rsidP="0020374E">
      <w:pPr>
        <w:spacing w:before="240"/>
      </w:pPr>
      <w:r>
        <w:t>The corporate ‘failure to prevent’ offence will apply to foreign corporations for conduct:</w:t>
      </w:r>
    </w:p>
    <w:p w14:paraId="2E687D00" w14:textId="77777777" w:rsidR="0020374E" w:rsidRDefault="0020374E" w:rsidP="0020374E">
      <w:pPr>
        <w:pStyle w:val="Bullet1"/>
        <w:ind w:left="567" w:hanging="567"/>
      </w:pPr>
      <w:r>
        <w:t xml:space="preserve">committed inside Australia by an associate (whether or not the associate is an Australian individual or other person) that constitutes an offence against 70.2 of the Criminal Code. </w:t>
      </w:r>
    </w:p>
    <w:p w14:paraId="799035B9" w14:textId="77777777" w:rsidR="0020374E" w:rsidRDefault="0020374E" w:rsidP="0020374E">
      <w:pPr>
        <w:pStyle w:val="Heading2"/>
      </w:pPr>
      <w:bookmarkStart w:id="39" w:name="_Toc162430470"/>
      <w:bookmarkStart w:id="40" w:name="_Toc163563362"/>
      <w:r>
        <w:t>Penalties</w:t>
      </w:r>
      <w:bookmarkEnd w:id="39"/>
      <w:bookmarkEnd w:id="40"/>
      <w:r>
        <w:t xml:space="preserve"> </w:t>
      </w:r>
    </w:p>
    <w:p w14:paraId="2C69FA69" w14:textId="77777777" w:rsidR="0020374E" w:rsidRDefault="0020374E" w:rsidP="0020374E">
      <w:pPr>
        <w:spacing w:before="240"/>
      </w:pPr>
      <w:r>
        <w:t xml:space="preserve">The penalty for foreign bribery offences are found in section 70.2 of the Criminal Code. For an individual, the penalty is imprisonment for a maximum of 10 years, a maximum fine of 10,000 penalty units, or both. For a corporation, the maximum penalty is whichever is greater of the following:    </w:t>
      </w:r>
    </w:p>
    <w:p w14:paraId="78B85FE3" w14:textId="77777777" w:rsidR="0020374E" w:rsidRDefault="0020374E" w:rsidP="0020374E">
      <w:pPr>
        <w:pStyle w:val="Bullet1"/>
      </w:pPr>
      <w:r>
        <w:t>100,000 penalty units</w:t>
      </w:r>
    </w:p>
    <w:p w14:paraId="54438E2F" w14:textId="77777777" w:rsidR="0020374E" w:rsidRDefault="0020374E" w:rsidP="0020374E">
      <w:pPr>
        <w:pStyle w:val="Bullet1"/>
      </w:pPr>
      <w:r>
        <w:t>if the value of the benefit can be determined – three times the value of the benefit obtained, or</w:t>
      </w:r>
    </w:p>
    <w:p w14:paraId="3EB291B1" w14:textId="77777777" w:rsidR="0020374E" w:rsidRDefault="0020374E" w:rsidP="0020374E">
      <w:pPr>
        <w:pStyle w:val="Bullet1"/>
      </w:pPr>
      <w:r>
        <w:t xml:space="preserve">if the value of the benefit cannot be determined – 10% of the company’s annual turnover. </w:t>
      </w:r>
    </w:p>
    <w:p w14:paraId="638C0D5D" w14:textId="77777777" w:rsidR="0020374E" w:rsidRDefault="0020374E" w:rsidP="0020374E">
      <w:pPr>
        <w:spacing w:before="240"/>
      </w:pPr>
      <w:r>
        <w:t xml:space="preserve">Profits obtained through foreign bribery can be seized and forfeited as proceeds of crime under the </w:t>
      </w:r>
      <w:r w:rsidRPr="0042132D">
        <w:rPr>
          <w:i/>
        </w:rPr>
        <w:t>Proceeds of Crime Act 2002</w:t>
      </w:r>
      <w:r>
        <w:t xml:space="preserve"> (Cth). </w:t>
      </w:r>
    </w:p>
    <w:p w14:paraId="0EE98F5E" w14:textId="77777777" w:rsidR="0020374E" w:rsidRDefault="0020374E" w:rsidP="0020374E">
      <w:pPr>
        <w:pStyle w:val="Heading2"/>
      </w:pPr>
      <w:bookmarkStart w:id="41" w:name="_Toc162430471"/>
      <w:bookmarkStart w:id="42" w:name="_Toc163563363"/>
      <w:r>
        <w:t>Defences</w:t>
      </w:r>
      <w:bookmarkEnd w:id="41"/>
      <w:bookmarkEnd w:id="42"/>
      <w:r>
        <w:t xml:space="preserve"> </w:t>
      </w:r>
    </w:p>
    <w:p w14:paraId="312DAFD0" w14:textId="77777777" w:rsidR="0020374E" w:rsidRDefault="0020374E" w:rsidP="0020374E">
      <w:pPr>
        <w:spacing w:before="240"/>
      </w:pPr>
      <w:r>
        <w:t>Under Australian law, there are two offence-specific defences available in relation to the foreign bribery offence at section 70.2 of the Criminal Code:</w:t>
      </w:r>
    </w:p>
    <w:p w14:paraId="40BE8DE9" w14:textId="77777777" w:rsidR="0020374E" w:rsidRDefault="0020374E" w:rsidP="0020374E">
      <w:pPr>
        <w:pStyle w:val="Bullet1"/>
        <w:ind w:left="567" w:hanging="567"/>
      </w:pPr>
      <w:r>
        <w:lastRenderedPageBreak/>
        <w:t>conduct lawful in foreign public official’s country (Section 70.3 of the Criminal Code), and</w:t>
      </w:r>
    </w:p>
    <w:p w14:paraId="69570B31" w14:textId="77777777" w:rsidR="0020374E" w:rsidRDefault="0020374E" w:rsidP="0020374E">
      <w:pPr>
        <w:pStyle w:val="Bullet1"/>
        <w:ind w:left="567" w:hanging="567"/>
      </w:pPr>
      <w:r>
        <w:t>facilitation payments (Section 70.4 of the Criminal Code).</w:t>
      </w:r>
    </w:p>
    <w:p w14:paraId="4B55580D" w14:textId="77777777" w:rsidR="0020374E" w:rsidRDefault="0020374E" w:rsidP="0020374E">
      <w:pPr>
        <w:spacing w:before="240"/>
      </w:pPr>
      <w:r>
        <w:t>There is one offence-specific defence available in relation to the corporate ‘failure to prevent’ offence at section 70.5A of the Criminal Code:</w:t>
      </w:r>
    </w:p>
    <w:p w14:paraId="241FD13A" w14:textId="77777777" w:rsidR="0020374E" w:rsidRDefault="0020374E" w:rsidP="0020374E">
      <w:pPr>
        <w:pStyle w:val="ListParagraph"/>
        <w:numPr>
          <w:ilvl w:val="0"/>
          <w:numId w:val="34"/>
        </w:numPr>
        <w:spacing w:before="240"/>
      </w:pPr>
      <w:r>
        <w:t>Adequate procedures (Subsection 70.5A(5) of the Criminal Code).</w:t>
      </w:r>
    </w:p>
    <w:p w14:paraId="73AA6420" w14:textId="77777777" w:rsidR="0020374E" w:rsidRDefault="0020374E" w:rsidP="0020374E">
      <w:pPr>
        <w:spacing w:before="240"/>
      </w:pPr>
      <w:r>
        <w:t>Other standard criminal law defences in Chapter 2 of the Criminal Code, including duress, may also apply as a defence to the foreign bribery offence. Ignorance of the law is not a defence.</w:t>
      </w:r>
    </w:p>
    <w:p w14:paraId="6AD01975" w14:textId="77777777" w:rsidR="0020374E" w:rsidRDefault="0020374E" w:rsidP="0020374E">
      <w:pPr>
        <w:pStyle w:val="Heading3"/>
        <w:spacing w:beforeLines="100" w:before="240"/>
      </w:pPr>
      <w:bookmarkStart w:id="43" w:name="_Toc162430472"/>
      <w:r>
        <w:t>Conduct lawful in foreign public official’s country</w:t>
      </w:r>
      <w:bookmarkEnd w:id="43"/>
    </w:p>
    <w:p w14:paraId="4C6D84D4" w14:textId="77777777" w:rsidR="0020374E" w:rsidRDefault="0020374E" w:rsidP="0020374E">
      <w:pPr>
        <w:spacing w:before="240"/>
      </w:pPr>
      <w:r>
        <w:t xml:space="preserve">The defence applies where </w:t>
      </w:r>
      <w:r w:rsidRPr="00A23780">
        <w:t xml:space="preserve">a written law in force in the </w:t>
      </w:r>
      <w:r>
        <w:t>foreign public official’s country</w:t>
      </w:r>
      <w:r w:rsidRPr="00A23780">
        <w:t xml:space="preserve"> permits </w:t>
      </w:r>
      <w:r>
        <w:t xml:space="preserve">or requires </w:t>
      </w:r>
      <w:r w:rsidRPr="00A23780">
        <w:t xml:space="preserve">the benefit to </w:t>
      </w:r>
      <w:r>
        <w:t xml:space="preserve">be given. </w:t>
      </w:r>
      <w:r w:rsidRPr="00A23780">
        <w:t xml:space="preserve">For example, the defence would be available to a person who provides </w:t>
      </w:r>
      <w:r>
        <w:t>payment to a foreign border official in exchange for a service whereby that payment is required under</w:t>
      </w:r>
      <w:r w:rsidRPr="00A23780">
        <w:t xml:space="preserve"> </w:t>
      </w:r>
      <w:r>
        <w:t>the</w:t>
      </w:r>
      <w:r w:rsidRPr="00A23780">
        <w:t xml:space="preserve"> written law in force in th</w:t>
      </w:r>
      <w:r>
        <w:t xml:space="preserve">at </w:t>
      </w:r>
      <w:r w:rsidRPr="00A23780">
        <w:t xml:space="preserve">foreign </w:t>
      </w:r>
      <w:r>
        <w:t>official’s country.</w:t>
      </w:r>
    </w:p>
    <w:p w14:paraId="208DA570" w14:textId="77777777" w:rsidR="0020374E" w:rsidRDefault="0020374E" w:rsidP="0020374E">
      <w:pPr>
        <w:spacing w:before="240"/>
      </w:pPr>
      <w:r>
        <w:t xml:space="preserve">This defence does not apply in relation to local customs that are not evidenced by a written law. </w:t>
      </w:r>
    </w:p>
    <w:p w14:paraId="75108D28" w14:textId="77777777" w:rsidR="0020374E" w:rsidRDefault="0020374E" w:rsidP="0020374E">
      <w:pPr>
        <w:spacing w:before="240"/>
      </w:pPr>
      <w:r>
        <w:t xml:space="preserve">This defence is appropriate as the </w:t>
      </w:r>
      <w:r w:rsidRPr="00A23780">
        <w:t>defendant would be in a better position to adduce evidence of the written foreign law he or she relied on when offering or providing the benefit. The defendant could readily provide evidence of the existence of the foreign law and their reliance on it to support their case</w:t>
      </w:r>
      <w:r>
        <w:t>.</w:t>
      </w:r>
    </w:p>
    <w:p w14:paraId="17041EB6" w14:textId="77777777" w:rsidR="0020374E" w:rsidRDefault="0020374E" w:rsidP="0020374E">
      <w:pPr>
        <w:pStyle w:val="Heading3"/>
        <w:spacing w:beforeLines="100" w:before="240"/>
      </w:pPr>
      <w:bookmarkStart w:id="44" w:name="_Toc162430473"/>
      <w:r>
        <w:t>Facilitation payments</w:t>
      </w:r>
      <w:bookmarkEnd w:id="44"/>
    </w:p>
    <w:p w14:paraId="141AE43E" w14:textId="77777777" w:rsidR="0020374E" w:rsidRDefault="0020374E" w:rsidP="0020374E">
      <w:pPr>
        <w:spacing w:before="240"/>
      </w:pPr>
      <w:r>
        <w:t xml:space="preserve">The Australian Government strongly discourages Australian companies from making facilitation payments. While permissible under Australian law, such payments may be illegal under the laws of foreign countries. Payments of this nature can also represent a serious business risk by exposing companies to bribe requests.  </w:t>
      </w:r>
    </w:p>
    <w:p w14:paraId="66B2D3DF" w14:textId="77777777" w:rsidR="0020374E" w:rsidRDefault="0020374E" w:rsidP="0020374E">
      <w:pPr>
        <w:spacing w:before="240"/>
      </w:pPr>
      <w:r>
        <w:t>The facilitation payment defence is available where:</w:t>
      </w:r>
    </w:p>
    <w:p w14:paraId="7576F870" w14:textId="77777777" w:rsidR="0020374E" w:rsidRDefault="0020374E" w:rsidP="0020374E">
      <w:pPr>
        <w:pStyle w:val="Bullet1"/>
        <w:ind w:left="567" w:hanging="567"/>
      </w:pPr>
      <w:r>
        <w:t>The value of the benefit is of minor value.</w:t>
      </w:r>
    </w:p>
    <w:p w14:paraId="7025C623" w14:textId="77777777" w:rsidR="0020374E" w:rsidRDefault="0020374E" w:rsidP="0020374E">
      <w:pPr>
        <w:pStyle w:val="Bullet1"/>
        <w:ind w:left="567" w:hanging="567"/>
      </w:pPr>
      <w:r>
        <w:t xml:space="preserve">The relevant conduct was ‘for the sole or dominant purpose of expediting or securing performance of a routine government action of a minor nature’. </w:t>
      </w:r>
    </w:p>
    <w:p w14:paraId="742F2AD1" w14:textId="77777777" w:rsidR="0020374E" w:rsidRDefault="0020374E" w:rsidP="0020374E">
      <w:pPr>
        <w:pStyle w:val="Bullet1"/>
        <w:ind w:left="567" w:hanging="567"/>
      </w:pPr>
      <w:r>
        <w:t>The person engaging in the conduct made a record of the payment as soon as practicable afterwards.</w:t>
      </w:r>
    </w:p>
    <w:p w14:paraId="508A88BD" w14:textId="77777777" w:rsidR="0020374E" w:rsidRDefault="0020374E" w:rsidP="0020374E">
      <w:pPr>
        <w:spacing w:before="240"/>
      </w:pPr>
      <w:r>
        <w:t xml:space="preserve">A routine government action does not include any decision to award or continue business or any decision related to the terms of new or existing businesses. </w:t>
      </w:r>
      <w:r w:rsidRPr="00EF2A03">
        <w:t>If a payment is to qualify as a legitimate facilitation payment, detailed records must be kept</w:t>
      </w:r>
      <w:r>
        <w:t>.</w:t>
      </w:r>
    </w:p>
    <w:p w14:paraId="6DAC9B64" w14:textId="77777777" w:rsidR="0020374E" w:rsidRDefault="0020374E" w:rsidP="0020374E">
      <w:pPr>
        <w:pStyle w:val="Heading3"/>
        <w:spacing w:beforeLines="100" w:before="240"/>
      </w:pPr>
      <w:bookmarkStart w:id="45" w:name="_Toc162430474"/>
      <w:r>
        <w:lastRenderedPageBreak/>
        <w:t>Adequate procedures</w:t>
      </w:r>
      <w:bookmarkEnd w:id="45"/>
    </w:p>
    <w:p w14:paraId="11D23847" w14:textId="77777777" w:rsidR="0020374E" w:rsidRDefault="0020374E" w:rsidP="0020374E">
      <w:pPr>
        <w:spacing w:before="240"/>
      </w:pPr>
      <w:r w:rsidRPr="00DC2435">
        <w:t>Th</w:t>
      </w:r>
      <w:r>
        <w:t xml:space="preserve">e </w:t>
      </w:r>
      <w:r w:rsidRPr="00DC2435">
        <w:t>defence</w:t>
      </w:r>
      <w:r>
        <w:t xml:space="preserve"> of adequate procedures</w:t>
      </w:r>
      <w:r w:rsidRPr="00DC2435">
        <w:t xml:space="preserve"> applies in response to the corporate offence of failing to prevent foreign bribery under section 70.5A of the Criminal Code.</w:t>
      </w:r>
    </w:p>
    <w:p w14:paraId="48C5B377" w14:textId="77777777" w:rsidR="0020374E" w:rsidRDefault="0020374E" w:rsidP="0020374E">
      <w:pPr>
        <w:spacing w:before="240"/>
      </w:pPr>
      <w:r w:rsidRPr="00DC2435">
        <w:t>Corporations that have adequate procedures in place designed to prevent its ‘associates’ from committing foreign bribery have this defence available</w:t>
      </w:r>
      <w:r>
        <w:t xml:space="preserve"> to them.</w:t>
      </w:r>
    </w:p>
    <w:p w14:paraId="6382B47F" w14:textId="77777777" w:rsidR="0020374E" w:rsidRDefault="0020374E" w:rsidP="0020374E">
      <w:pPr>
        <w:spacing w:before="240"/>
      </w:pPr>
      <w:r w:rsidRPr="00A23780">
        <w:t>What constitutes ‘adequate procedures’ would be determined by the courts on a case</w:t>
      </w:r>
      <w:r>
        <w:t>-</w:t>
      </w:r>
      <w:r w:rsidRPr="00A23780">
        <w:t>by</w:t>
      </w:r>
      <w:r>
        <w:t>-</w:t>
      </w:r>
      <w:r w:rsidRPr="00A23780">
        <w:t xml:space="preserve">case basis. It is envisaged that this concept would be scalable – its requirements would depend on the circumstances, including the nature of the </w:t>
      </w:r>
      <w:r>
        <w:t>corporation</w:t>
      </w:r>
      <w:r w:rsidRPr="00A23780">
        <w:t xml:space="preserve"> concerned and the relevant sector and geographical sector</w:t>
      </w:r>
      <w:r>
        <w:t>s</w:t>
      </w:r>
      <w:r w:rsidRPr="00A23780">
        <w:t xml:space="preserve"> in which it operates.</w:t>
      </w:r>
    </w:p>
    <w:p w14:paraId="285344EE" w14:textId="77777777" w:rsidR="0020374E" w:rsidRDefault="0020374E" w:rsidP="0020374E">
      <w:pPr>
        <w:spacing w:before="240"/>
      </w:pPr>
      <w:r>
        <w:t xml:space="preserve">The defendant (in this case, a corporation) bears the legal burden for this defence. This creates a strong, positive incentive for corporations to adopt measures to prevent foreign bribery. </w:t>
      </w:r>
      <w:r w:rsidRPr="00A23780">
        <w:t>The standard of proof the defendant would need to discharge in order to prove the defence is the balance of probabilities</w:t>
      </w:r>
      <w:r>
        <w:t>.</w:t>
      </w:r>
    </w:p>
    <w:p w14:paraId="1D881B4E" w14:textId="77777777" w:rsidR="0020374E" w:rsidRPr="00192F33" w:rsidRDefault="0020374E" w:rsidP="0020374E">
      <w:pPr>
        <w:ind w:hanging="284"/>
        <w:rPr>
          <w:b/>
        </w:rPr>
      </w:pPr>
    </w:p>
    <w:p w14:paraId="39C0942A" w14:textId="77777777" w:rsidR="004F7FFC" w:rsidRPr="00021F75" w:rsidRDefault="004F7FFC" w:rsidP="00E6683B">
      <w:pPr>
        <w:pStyle w:val="Heading1"/>
        <w:spacing w:beforeLines="100" w:before="240"/>
        <w:jc w:val="left"/>
        <w:rPr>
          <w:rFonts w:cstheme="minorHAnsi"/>
        </w:rPr>
      </w:pPr>
    </w:p>
    <w:sectPr w:rsidR="004F7FFC" w:rsidRPr="00021F75" w:rsidSect="00C92EB7">
      <w:footerReference w:type="default" r:id="rId8"/>
      <w:type w:val="continuous"/>
      <w:pgSz w:w="11907" w:h="16839" w:code="9"/>
      <w:pgMar w:top="535" w:right="964" w:bottom="964" w:left="964" w:header="142"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94961" w14:textId="77777777" w:rsidR="00CF15C1" w:rsidRDefault="00CF15C1" w:rsidP="006150CB">
      <w:r>
        <w:separator/>
      </w:r>
    </w:p>
    <w:p w14:paraId="3A30E861" w14:textId="77777777" w:rsidR="00CF15C1" w:rsidRDefault="00CF15C1"/>
    <w:p w14:paraId="014F986D" w14:textId="77777777" w:rsidR="00CF15C1" w:rsidRDefault="00CF15C1"/>
    <w:p w14:paraId="65973023" w14:textId="77777777" w:rsidR="00CF15C1" w:rsidRDefault="00CF15C1"/>
    <w:p w14:paraId="741EA4CD" w14:textId="77777777" w:rsidR="00CF15C1" w:rsidRDefault="00CF15C1"/>
  </w:endnote>
  <w:endnote w:type="continuationSeparator" w:id="0">
    <w:p w14:paraId="1BFA575D" w14:textId="77777777" w:rsidR="00CF15C1" w:rsidRDefault="00CF15C1" w:rsidP="006150CB">
      <w:r>
        <w:continuationSeparator/>
      </w:r>
    </w:p>
    <w:p w14:paraId="6DF63C16" w14:textId="77777777" w:rsidR="00CF15C1" w:rsidRDefault="00CF15C1"/>
    <w:p w14:paraId="1A6C05C4" w14:textId="77777777" w:rsidR="00CF15C1" w:rsidRDefault="00CF15C1"/>
    <w:p w14:paraId="3D25E7BA" w14:textId="77777777" w:rsidR="00CF15C1" w:rsidRDefault="00CF15C1"/>
    <w:p w14:paraId="723794E5" w14:textId="77777777" w:rsidR="00CF15C1" w:rsidRDefault="00CF1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409745"/>
      <w:docPartObj>
        <w:docPartGallery w:val="Page Numbers (Bottom of Page)"/>
        <w:docPartUnique/>
      </w:docPartObj>
    </w:sdtPr>
    <w:sdtEndPr>
      <w:rPr>
        <w:color w:val="7F7F7F" w:themeColor="background1" w:themeShade="7F"/>
        <w:spacing w:val="60"/>
      </w:rPr>
    </w:sdtEndPr>
    <w:sdtContent>
      <w:p w14:paraId="1B69F2F6" w14:textId="24C6325D" w:rsidR="00E75C3B" w:rsidRDefault="00E75C3B" w:rsidP="005C3270">
        <w:pPr>
          <w:pStyle w:val="Footer"/>
          <w:pBdr>
            <w:top w:val="single" w:sz="4" w:space="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14FB14" w14:textId="77777777" w:rsidR="00E75C3B" w:rsidRDefault="00E75C3B">
    <w:pPr>
      <w:pStyle w:val="Footer"/>
    </w:pPr>
  </w:p>
  <w:p w14:paraId="1B5C0BC2" w14:textId="77777777" w:rsidR="00E75C3B" w:rsidRDefault="00E75C3B"/>
  <w:p w14:paraId="620406D6" w14:textId="77777777" w:rsidR="00E75C3B" w:rsidRDefault="00E75C3B"/>
  <w:p w14:paraId="5A0ABFDC" w14:textId="77777777" w:rsidR="00E75C3B" w:rsidRDefault="00E75C3B"/>
  <w:p w14:paraId="1D59A225" w14:textId="77777777" w:rsidR="00E75C3B" w:rsidRDefault="00E75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75ACF" w14:textId="77777777" w:rsidR="00CF15C1" w:rsidRDefault="00CF15C1" w:rsidP="006150CB">
      <w:r>
        <w:separator/>
      </w:r>
    </w:p>
    <w:p w14:paraId="33237B0C" w14:textId="77777777" w:rsidR="00CF15C1" w:rsidRDefault="00CF15C1"/>
    <w:p w14:paraId="73345439" w14:textId="77777777" w:rsidR="00CF15C1" w:rsidRDefault="00CF15C1"/>
    <w:p w14:paraId="398FF8E2" w14:textId="77777777" w:rsidR="00CF15C1" w:rsidRDefault="00CF15C1"/>
    <w:p w14:paraId="634BB869" w14:textId="77777777" w:rsidR="00CF15C1" w:rsidRDefault="00CF15C1"/>
  </w:footnote>
  <w:footnote w:type="continuationSeparator" w:id="0">
    <w:p w14:paraId="5C50DC6D" w14:textId="77777777" w:rsidR="00CF15C1" w:rsidRDefault="00CF15C1" w:rsidP="006150CB">
      <w:r>
        <w:continuationSeparator/>
      </w:r>
    </w:p>
    <w:p w14:paraId="252533B7" w14:textId="77777777" w:rsidR="00CF15C1" w:rsidRDefault="00CF15C1"/>
    <w:p w14:paraId="1F3DBF76" w14:textId="77777777" w:rsidR="00CF15C1" w:rsidRDefault="00CF15C1"/>
    <w:p w14:paraId="1EE6CC63" w14:textId="77777777" w:rsidR="00CF15C1" w:rsidRDefault="00CF15C1"/>
    <w:p w14:paraId="173BC67D" w14:textId="77777777" w:rsidR="00CF15C1" w:rsidRDefault="00CF15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0F2F"/>
    <w:multiLevelType w:val="hybridMultilevel"/>
    <w:tmpl w:val="C5BA16D4"/>
    <w:lvl w:ilvl="0" w:tplc="123852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23B1FDD"/>
    <w:multiLevelType w:val="hybridMultilevel"/>
    <w:tmpl w:val="2DF6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16EC4"/>
    <w:multiLevelType w:val="hybridMultilevel"/>
    <w:tmpl w:val="A2ECD1B8"/>
    <w:lvl w:ilvl="0" w:tplc="394C7982">
      <w:start w:val="1"/>
      <w:numFmt w:val="decimal"/>
      <w:lvlText w:val="%1."/>
      <w:lvlJc w:val="left"/>
      <w:pPr>
        <w:ind w:left="360" w:hanging="360"/>
      </w:pPr>
      <w:rPr>
        <w:rFonts w:hint="default"/>
        <w:color w:val="auto"/>
      </w:rPr>
    </w:lvl>
    <w:lvl w:ilvl="1" w:tplc="627EEBB8">
      <w:start w:val="1"/>
      <w:numFmt w:val="bullet"/>
      <w:lvlText w:val=""/>
      <w:lvlJc w:val="left"/>
      <w:pPr>
        <w:ind w:left="928" w:hanging="360"/>
      </w:pPr>
      <w:rPr>
        <w:rFonts w:ascii="Symbol" w:hAnsi="Symbol" w:hint="default"/>
        <w:color w:val="4D738A"/>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932166"/>
    <w:multiLevelType w:val="multilevel"/>
    <w:tmpl w:val="EFDC8A06"/>
    <w:styleLink w:val="Bulle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E1B04"/>
    <w:multiLevelType w:val="hybridMultilevel"/>
    <w:tmpl w:val="ABAA4494"/>
    <w:lvl w:ilvl="0" w:tplc="ACDA95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651947"/>
    <w:multiLevelType w:val="hybridMultilevel"/>
    <w:tmpl w:val="5B2E5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C73812"/>
    <w:multiLevelType w:val="hybridMultilevel"/>
    <w:tmpl w:val="A0E03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51AB"/>
    <w:multiLevelType w:val="hybridMultilevel"/>
    <w:tmpl w:val="8C366ADA"/>
    <w:lvl w:ilvl="0" w:tplc="E8102A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4928EB"/>
    <w:multiLevelType w:val="hybridMultilevel"/>
    <w:tmpl w:val="6B5E768E"/>
    <w:lvl w:ilvl="0" w:tplc="752EF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7D147C"/>
    <w:multiLevelType w:val="hybridMultilevel"/>
    <w:tmpl w:val="CB2AC9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44C54"/>
    <w:multiLevelType w:val="hybridMultilevel"/>
    <w:tmpl w:val="8EA82D32"/>
    <w:lvl w:ilvl="0" w:tplc="67A23CC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3632B73"/>
    <w:multiLevelType w:val="hybridMultilevel"/>
    <w:tmpl w:val="97005E00"/>
    <w:lvl w:ilvl="0" w:tplc="56E038C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1A6C64"/>
    <w:multiLevelType w:val="hybridMultilevel"/>
    <w:tmpl w:val="A52066F4"/>
    <w:lvl w:ilvl="0" w:tplc="57665B8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C827C13"/>
    <w:multiLevelType w:val="hybridMultilevel"/>
    <w:tmpl w:val="AAF62082"/>
    <w:lvl w:ilvl="0" w:tplc="4B86B9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824F6"/>
    <w:multiLevelType w:val="hybridMultilevel"/>
    <w:tmpl w:val="FEF463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9F599F"/>
    <w:multiLevelType w:val="hybridMultilevel"/>
    <w:tmpl w:val="44F86E70"/>
    <w:lvl w:ilvl="0" w:tplc="0C090017">
      <w:start w:val="1"/>
      <w:numFmt w:val="lowerLetter"/>
      <w:lvlText w:val="%1)"/>
      <w:lvlJc w:val="left"/>
      <w:pPr>
        <w:ind w:left="720" w:hanging="360"/>
      </w:pPr>
      <w:rPr>
        <w:rFonts w:hint="default"/>
      </w:rPr>
    </w:lvl>
    <w:lvl w:ilvl="1" w:tplc="398C26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A047E0"/>
    <w:multiLevelType w:val="hybridMultilevel"/>
    <w:tmpl w:val="5128D21A"/>
    <w:lvl w:ilvl="0" w:tplc="4A4EF1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8614D"/>
    <w:multiLevelType w:val="hybridMultilevel"/>
    <w:tmpl w:val="09D44A06"/>
    <w:lvl w:ilvl="0" w:tplc="0C09001B">
      <w:start w:val="1"/>
      <w:numFmt w:val="lowerRoman"/>
      <w:lvlText w:val="%1."/>
      <w:lvlJc w:val="right"/>
      <w:pPr>
        <w:ind w:left="720" w:hanging="360"/>
      </w:pPr>
    </w:lvl>
    <w:lvl w:ilvl="1" w:tplc="12385288">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0755E3"/>
    <w:multiLevelType w:val="hybridMultilevel"/>
    <w:tmpl w:val="7DD25E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BED4A38"/>
    <w:multiLevelType w:val="hybridMultilevel"/>
    <w:tmpl w:val="251E3166"/>
    <w:lvl w:ilvl="0" w:tplc="0C09000F">
      <w:start w:val="1"/>
      <w:numFmt w:val="decimal"/>
      <w:lvlText w:val="%1."/>
      <w:lvlJc w:val="left"/>
      <w:pPr>
        <w:ind w:left="360" w:hanging="360"/>
      </w:pPr>
      <w:rPr>
        <w:rFonts w:hint="default"/>
      </w:rPr>
    </w:lvl>
    <w:lvl w:ilvl="1" w:tplc="4A4EF18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0239AE"/>
    <w:multiLevelType w:val="hybridMultilevel"/>
    <w:tmpl w:val="F44A50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E03AFD"/>
    <w:multiLevelType w:val="hybridMultilevel"/>
    <w:tmpl w:val="6D829CF8"/>
    <w:lvl w:ilvl="0" w:tplc="161CA58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0D2312"/>
    <w:multiLevelType w:val="hybridMultilevel"/>
    <w:tmpl w:val="248A05DE"/>
    <w:lvl w:ilvl="0" w:tplc="0C09000F">
      <w:start w:val="1"/>
      <w:numFmt w:val="decimal"/>
      <w:lvlText w:val="%1."/>
      <w:lvlJc w:val="left"/>
      <w:pPr>
        <w:ind w:left="360" w:hanging="360"/>
      </w:pPr>
      <w:rPr>
        <w:rFonts w:hint="default"/>
        <w:color w:val="5C5C5C"/>
      </w:rPr>
    </w:lvl>
    <w:lvl w:ilvl="1" w:tplc="627EEBB8">
      <w:start w:val="1"/>
      <w:numFmt w:val="bullet"/>
      <w:lvlText w:val=""/>
      <w:lvlJc w:val="left"/>
      <w:pPr>
        <w:ind w:left="928" w:hanging="360"/>
      </w:pPr>
      <w:rPr>
        <w:rFonts w:ascii="Symbol" w:hAnsi="Symbol" w:hint="default"/>
        <w:color w:val="4D738A"/>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A15FB9"/>
    <w:multiLevelType w:val="hybridMultilevel"/>
    <w:tmpl w:val="9BC0A988"/>
    <w:lvl w:ilvl="0" w:tplc="3484F224">
      <w:start w:val="1"/>
      <w:numFmt w:val="bullet"/>
      <w:pStyle w:val="Bullet1"/>
      <w:lvlText w:val=""/>
      <w:lvlJc w:val="left"/>
      <w:pPr>
        <w:ind w:left="360" w:hanging="360"/>
      </w:pPr>
      <w:rPr>
        <w:rFonts w:ascii="Symbol" w:hAnsi="Symbol" w:hint="default"/>
        <w:color w:val="5C5C5C"/>
      </w:rPr>
    </w:lvl>
    <w:lvl w:ilvl="1" w:tplc="627EEBB8">
      <w:start w:val="1"/>
      <w:numFmt w:val="bullet"/>
      <w:pStyle w:val="ListBullet"/>
      <w:lvlText w:val=""/>
      <w:lvlJc w:val="left"/>
      <w:pPr>
        <w:ind w:left="928" w:hanging="360"/>
      </w:pPr>
      <w:rPr>
        <w:rFonts w:ascii="Symbol" w:hAnsi="Symbol" w:hint="default"/>
        <w:color w:val="4D738A"/>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9D6D11"/>
    <w:multiLevelType w:val="hybridMultilevel"/>
    <w:tmpl w:val="19EA8DB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D552E2"/>
    <w:multiLevelType w:val="hybridMultilevel"/>
    <w:tmpl w:val="DA56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BD26E2"/>
    <w:multiLevelType w:val="hybridMultilevel"/>
    <w:tmpl w:val="E1982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1C7714"/>
    <w:multiLevelType w:val="hybridMultilevel"/>
    <w:tmpl w:val="A1EC82E4"/>
    <w:lvl w:ilvl="0" w:tplc="4F6C482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E284703"/>
    <w:multiLevelType w:val="hybridMultilevel"/>
    <w:tmpl w:val="DECCD6CE"/>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5B2A81"/>
    <w:multiLevelType w:val="hybridMultilevel"/>
    <w:tmpl w:val="D4C2B0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BA5C10"/>
    <w:multiLevelType w:val="hybridMultilevel"/>
    <w:tmpl w:val="5B1A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E9249D"/>
    <w:multiLevelType w:val="hybridMultilevel"/>
    <w:tmpl w:val="9FE2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3F0898"/>
    <w:multiLevelType w:val="hybridMultilevel"/>
    <w:tmpl w:val="CC0EDD5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
  </w:num>
  <w:num w:numId="3">
    <w:abstractNumId w:val="5"/>
  </w:num>
  <w:num w:numId="4">
    <w:abstractNumId w:val="14"/>
  </w:num>
  <w:num w:numId="5">
    <w:abstractNumId w:val="9"/>
  </w:num>
  <w:num w:numId="6">
    <w:abstractNumId w:val="0"/>
  </w:num>
  <w:num w:numId="7">
    <w:abstractNumId w:val="8"/>
  </w:num>
  <w:num w:numId="8">
    <w:abstractNumId w:val="21"/>
  </w:num>
  <w:num w:numId="9">
    <w:abstractNumId w:val="29"/>
  </w:num>
  <w:num w:numId="10">
    <w:abstractNumId w:val="10"/>
  </w:num>
  <w:num w:numId="11">
    <w:abstractNumId w:val="15"/>
  </w:num>
  <w:num w:numId="12">
    <w:abstractNumId w:val="4"/>
  </w:num>
  <w:num w:numId="13">
    <w:abstractNumId w:val="12"/>
  </w:num>
  <w:num w:numId="14">
    <w:abstractNumId w:val="27"/>
  </w:num>
  <w:num w:numId="15">
    <w:abstractNumId w:val="16"/>
  </w:num>
  <w:num w:numId="16">
    <w:abstractNumId w:val="24"/>
  </w:num>
  <w:num w:numId="17">
    <w:abstractNumId w:val="1"/>
  </w:num>
  <w:num w:numId="18">
    <w:abstractNumId w:val="2"/>
  </w:num>
  <w:num w:numId="19">
    <w:abstractNumId w:val="22"/>
  </w:num>
  <w:num w:numId="20">
    <w:abstractNumId w:val="20"/>
  </w:num>
  <w:num w:numId="21">
    <w:abstractNumId w:val="32"/>
  </w:num>
  <w:num w:numId="22">
    <w:abstractNumId w:val="11"/>
  </w:num>
  <w:num w:numId="23">
    <w:abstractNumId w:val="6"/>
  </w:num>
  <w:num w:numId="24">
    <w:abstractNumId w:val="28"/>
  </w:num>
  <w:num w:numId="25">
    <w:abstractNumId w:val="17"/>
  </w:num>
  <w:num w:numId="26">
    <w:abstractNumId w:val="26"/>
  </w:num>
  <w:num w:numId="27">
    <w:abstractNumId w:val="7"/>
  </w:num>
  <w:num w:numId="28">
    <w:abstractNumId w:val="23"/>
  </w:num>
  <w:num w:numId="29">
    <w:abstractNumId w:val="19"/>
  </w:num>
  <w:num w:numId="30">
    <w:abstractNumId w:val="13"/>
  </w:num>
  <w:num w:numId="31">
    <w:abstractNumId w:val="31"/>
  </w:num>
  <w:num w:numId="32">
    <w:abstractNumId w:val="18"/>
  </w:num>
  <w:num w:numId="33">
    <w:abstractNumId w:val="25"/>
  </w:num>
  <w:num w:numId="34">
    <w:abstractNumId w:val="30"/>
  </w:num>
  <w:num w:numId="35">
    <w:abstractNumId w:val="23"/>
  </w:num>
  <w:num w:numId="36">
    <w:abstractNumId w:val="23"/>
  </w:num>
  <w:num w:numId="37">
    <w:abstractNumId w:val="23"/>
  </w:num>
  <w:num w:numId="38">
    <w:abstractNumId w:val="23"/>
  </w:num>
  <w:num w:numId="3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8"/>
    <w:rsid w:val="0000164F"/>
    <w:rsid w:val="000035B4"/>
    <w:rsid w:val="0000764F"/>
    <w:rsid w:val="00011883"/>
    <w:rsid w:val="0001745B"/>
    <w:rsid w:val="000201A1"/>
    <w:rsid w:val="000219B4"/>
    <w:rsid w:val="00021F75"/>
    <w:rsid w:val="00025431"/>
    <w:rsid w:val="000256CD"/>
    <w:rsid w:val="000302B0"/>
    <w:rsid w:val="00041006"/>
    <w:rsid w:val="0004332C"/>
    <w:rsid w:val="00045B84"/>
    <w:rsid w:val="00053071"/>
    <w:rsid w:val="00060353"/>
    <w:rsid w:val="000633BD"/>
    <w:rsid w:val="00065B79"/>
    <w:rsid w:val="00066EEC"/>
    <w:rsid w:val="00066FF1"/>
    <w:rsid w:val="00075493"/>
    <w:rsid w:val="00075BC2"/>
    <w:rsid w:val="0007615A"/>
    <w:rsid w:val="00077305"/>
    <w:rsid w:val="000779BE"/>
    <w:rsid w:val="00080E88"/>
    <w:rsid w:val="0008153C"/>
    <w:rsid w:val="000819E3"/>
    <w:rsid w:val="00095401"/>
    <w:rsid w:val="000962FD"/>
    <w:rsid w:val="00096C34"/>
    <w:rsid w:val="00097710"/>
    <w:rsid w:val="000A1325"/>
    <w:rsid w:val="000A1A10"/>
    <w:rsid w:val="000A22A1"/>
    <w:rsid w:val="000A412E"/>
    <w:rsid w:val="000A4830"/>
    <w:rsid w:val="000A75C3"/>
    <w:rsid w:val="000B2EA7"/>
    <w:rsid w:val="000B4BB5"/>
    <w:rsid w:val="000B621F"/>
    <w:rsid w:val="000C02F3"/>
    <w:rsid w:val="000C4B08"/>
    <w:rsid w:val="000C53E4"/>
    <w:rsid w:val="000D14FE"/>
    <w:rsid w:val="000D19FB"/>
    <w:rsid w:val="000D1EE8"/>
    <w:rsid w:val="000D2631"/>
    <w:rsid w:val="000D2B59"/>
    <w:rsid w:val="000D2E3C"/>
    <w:rsid w:val="000D3887"/>
    <w:rsid w:val="000D5926"/>
    <w:rsid w:val="000D5E7D"/>
    <w:rsid w:val="000D5F36"/>
    <w:rsid w:val="000E4F70"/>
    <w:rsid w:val="000E7A16"/>
    <w:rsid w:val="000F3E02"/>
    <w:rsid w:val="000F597A"/>
    <w:rsid w:val="000F6665"/>
    <w:rsid w:val="0010184B"/>
    <w:rsid w:val="00101BB9"/>
    <w:rsid w:val="00103B97"/>
    <w:rsid w:val="00104C59"/>
    <w:rsid w:val="00104FB4"/>
    <w:rsid w:val="00105439"/>
    <w:rsid w:val="00107411"/>
    <w:rsid w:val="0011430B"/>
    <w:rsid w:val="001149D7"/>
    <w:rsid w:val="00115918"/>
    <w:rsid w:val="00116B38"/>
    <w:rsid w:val="001208A8"/>
    <w:rsid w:val="00122178"/>
    <w:rsid w:val="00122AD6"/>
    <w:rsid w:val="00130E61"/>
    <w:rsid w:val="00131AA7"/>
    <w:rsid w:val="00131BE2"/>
    <w:rsid w:val="0013338C"/>
    <w:rsid w:val="001366AD"/>
    <w:rsid w:val="001376D7"/>
    <w:rsid w:val="00137FD3"/>
    <w:rsid w:val="00140202"/>
    <w:rsid w:val="0014553D"/>
    <w:rsid w:val="00147551"/>
    <w:rsid w:val="00147FA6"/>
    <w:rsid w:val="001521E9"/>
    <w:rsid w:val="00152FAF"/>
    <w:rsid w:val="001544BD"/>
    <w:rsid w:val="00155A10"/>
    <w:rsid w:val="00157F74"/>
    <w:rsid w:val="00166A53"/>
    <w:rsid w:val="00170897"/>
    <w:rsid w:val="00171ABC"/>
    <w:rsid w:val="00172FC1"/>
    <w:rsid w:val="00173549"/>
    <w:rsid w:val="001757BD"/>
    <w:rsid w:val="00176BB1"/>
    <w:rsid w:val="00182CBA"/>
    <w:rsid w:val="001847C1"/>
    <w:rsid w:val="0018517A"/>
    <w:rsid w:val="00185E7F"/>
    <w:rsid w:val="0018704E"/>
    <w:rsid w:val="00192F33"/>
    <w:rsid w:val="001A1093"/>
    <w:rsid w:val="001B57F2"/>
    <w:rsid w:val="001B6C6A"/>
    <w:rsid w:val="001C3C98"/>
    <w:rsid w:val="001C5281"/>
    <w:rsid w:val="001C647F"/>
    <w:rsid w:val="001C6E39"/>
    <w:rsid w:val="001C7E66"/>
    <w:rsid w:val="001D4229"/>
    <w:rsid w:val="001D4702"/>
    <w:rsid w:val="001D5F05"/>
    <w:rsid w:val="001E466A"/>
    <w:rsid w:val="001E79BC"/>
    <w:rsid w:val="001F1D90"/>
    <w:rsid w:val="001F3C3E"/>
    <w:rsid w:val="001F5BA6"/>
    <w:rsid w:val="00201407"/>
    <w:rsid w:val="0020298F"/>
    <w:rsid w:val="0020336D"/>
    <w:rsid w:val="00203575"/>
    <w:rsid w:val="0020374E"/>
    <w:rsid w:val="00203993"/>
    <w:rsid w:val="00203EE3"/>
    <w:rsid w:val="00205D69"/>
    <w:rsid w:val="00210312"/>
    <w:rsid w:val="00212A22"/>
    <w:rsid w:val="00212DB0"/>
    <w:rsid w:val="0021366A"/>
    <w:rsid w:val="002146BF"/>
    <w:rsid w:val="002175AF"/>
    <w:rsid w:val="002222E3"/>
    <w:rsid w:val="00223F04"/>
    <w:rsid w:val="00227E09"/>
    <w:rsid w:val="002316A0"/>
    <w:rsid w:val="002329F8"/>
    <w:rsid w:val="00232EFF"/>
    <w:rsid w:val="0023468B"/>
    <w:rsid w:val="00236E1E"/>
    <w:rsid w:val="00237268"/>
    <w:rsid w:val="00240E35"/>
    <w:rsid w:val="002413A7"/>
    <w:rsid w:val="0024185D"/>
    <w:rsid w:val="002436A8"/>
    <w:rsid w:val="002444C6"/>
    <w:rsid w:val="00245BF5"/>
    <w:rsid w:val="00246A1F"/>
    <w:rsid w:val="002501A1"/>
    <w:rsid w:val="002536B8"/>
    <w:rsid w:val="00253977"/>
    <w:rsid w:val="00260331"/>
    <w:rsid w:val="0026041F"/>
    <w:rsid w:val="00264B35"/>
    <w:rsid w:val="00266F6F"/>
    <w:rsid w:val="00271857"/>
    <w:rsid w:val="00273371"/>
    <w:rsid w:val="0027384A"/>
    <w:rsid w:val="002750C1"/>
    <w:rsid w:val="00275A96"/>
    <w:rsid w:val="00277FC1"/>
    <w:rsid w:val="002805B3"/>
    <w:rsid w:val="00281C09"/>
    <w:rsid w:val="002836A2"/>
    <w:rsid w:val="00284B53"/>
    <w:rsid w:val="00285E6E"/>
    <w:rsid w:val="00287B18"/>
    <w:rsid w:val="00287D82"/>
    <w:rsid w:val="0029038E"/>
    <w:rsid w:val="002A007B"/>
    <w:rsid w:val="002A0994"/>
    <w:rsid w:val="002A2E66"/>
    <w:rsid w:val="002A357E"/>
    <w:rsid w:val="002A7B13"/>
    <w:rsid w:val="002A7FEB"/>
    <w:rsid w:val="002B0DFC"/>
    <w:rsid w:val="002B2CB3"/>
    <w:rsid w:val="002B4072"/>
    <w:rsid w:val="002B4470"/>
    <w:rsid w:val="002B6C5C"/>
    <w:rsid w:val="002B7F07"/>
    <w:rsid w:val="002C056F"/>
    <w:rsid w:val="002C1E95"/>
    <w:rsid w:val="002C36D2"/>
    <w:rsid w:val="002C630E"/>
    <w:rsid w:val="002D0C4E"/>
    <w:rsid w:val="002D0ECE"/>
    <w:rsid w:val="002D1AEF"/>
    <w:rsid w:val="002D69C1"/>
    <w:rsid w:val="002E191F"/>
    <w:rsid w:val="002F1094"/>
    <w:rsid w:val="002F1E7E"/>
    <w:rsid w:val="002F4F33"/>
    <w:rsid w:val="00300A9A"/>
    <w:rsid w:val="0030122A"/>
    <w:rsid w:val="0030435E"/>
    <w:rsid w:val="0030756D"/>
    <w:rsid w:val="00311D38"/>
    <w:rsid w:val="003150A4"/>
    <w:rsid w:val="00315B13"/>
    <w:rsid w:val="00316E6B"/>
    <w:rsid w:val="003171CF"/>
    <w:rsid w:val="00320256"/>
    <w:rsid w:val="003215CF"/>
    <w:rsid w:val="00322F0B"/>
    <w:rsid w:val="003240B4"/>
    <w:rsid w:val="00326DA0"/>
    <w:rsid w:val="00332E48"/>
    <w:rsid w:val="0033334A"/>
    <w:rsid w:val="00334D68"/>
    <w:rsid w:val="00337180"/>
    <w:rsid w:val="00341062"/>
    <w:rsid w:val="003421A0"/>
    <w:rsid w:val="00345BA2"/>
    <w:rsid w:val="00350627"/>
    <w:rsid w:val="00352578"/>
    <w:rsid w:val="0035534F"/>
    <w:rsid w:val="003563FE"/>
    <w:rsid w:val="003615AA"/>
    <w:rsid w:val="00363574"/>
    <w:rsid w:val="00366E32"/>
    <w:rsid w:val="0037029C"/>
    <w:rsid w:val="00370F12"/>
    <w:rsid w:val="003759AF"/>
    <w:rsid w:val="00377895"/>
    <w:rsid w:val="003778A9"/>
    <w:rsid w:val="0038123A"/>
    <w:rsid w:val="0038143A"/>
    <w:rsid w:val="0038224B"/>
    <w:rsid w:val="00387AE1"/>
    <w:rsid w:val="00390C7F"/>
    <w:rsid w:val="003926D3"/>
    <w:rsid w:val="0039302D"/>
    <w:rsid w:val="003937A5"/>
    <w:rsid w:val="00393D1D"/>
    <w:rsid w:val="00395615"/>
    <w:rsid w:val="00396CD6"/>
    <w:rsid w:val="003A0309"/>
    <w:rsid w:val="003A1902"/>
    <w:rsid w:val="003A1916"/>
    <w:rsid w:val="003A4E25"/>
    <w:rsid w:val="003B2860"/>
    <w:rsid w:val="003B28B8"/>
    <w:rsid w:val="003B3004"/>
    <w:rsid w:val="003C02F3"/>
    <w:rsid w:val="003C1E3C"/>
    <w:rsid w:val="003C4DC9"/>
    <w:rsid w:val="003C7A4C"/>
    <w:rsid w:val="003D1513"/>
    <w:rsid w:val="003D37E1"/>
    <w:rsid w:val="003D5887"/>
    <w:rsid w:val="003D5AA5"/>
    <w:rsid w:val="003D7050"/>
    <w:rsid w:val="003E4A99"/>
    <w:rsid w:val="003E611C"/>
    <w:rsid w:val="003E7335"/>
    <w:rsid w:val="003F3BE1"/>
    <w:rsid w:val="003F4122"/>
    <w:rsid w:val="003F58BD"/>
    <w:rsid w:val="004004E9"/>
    <w:rsid w:val="00403C73"/>
    <w:rsid w:val="004066C9"/>
    <w:rsid w:val="004070DB"/>
    <w:rsid w:val="00407557"/>
    <w:rsid w:val="00417C18"/>
    <w:rsid w:val="00417EBC"/>
    <w:rsid w:val="0042132D"/>
    <w:rsid w:val="00423FA7"/>
    <w:rsid w:val="00425C1F"/>
    <w:rsid w:val="00426238"/>
    <w:rsid w:val="004307B3"/>
    <w:rsid w:val="00431560"/>
    <w:rsid w:val="004374D6"/>
    <w:rsid w:val="00437801"/>
    <w:rsid w:val="00437CD4"/>
    <w:rsid w:val="004451DB"/>
    <w:rsid w:val="00452488"/>
    <w:rsid w:val="00455663"/>
    <w:rsid w:val="00455710"/>
    <w:rsid w:val="004578A3"/>
    <w:rsid w:val="0046202D"/>
    <w:rsid w:val="004623EE"/>
    <w:rsid w:val="00466DAE"/>
    <w:rsid w:val="00480831"/>
    <w:rsid w:val="00480A43"/>
    <w:rsid w:val="00485F95"/>
    <w:rsid w:val="00490B34"/>
    <w:rsid w:val="00492B6D"/>
    <w:rsid w:val="00492B81"/>
    <w:rsid w:val="00493AB5"/>
    <w:rsid w:val="004A01F1"/>
    <w:rsid w:val="004A24DA"/>
    <w:rsid w:val="004A3CC6"/>
    <w:rsid w:val="004A60A9"/>
    <w:rsid w:val="004A7F8B"/>
    <w:rsid w:val="004B028E"/>
    <w:rsid w:val="004C05E8"/>
    <w:rsid w:val="004C1733"/>
    <w:rsid w:val="004C20C1"/>
    <w:rsid w:val="004C4070"/>
    <w:rsid w:val="004C4114"/>
    <w:rsid w:val="004D2211"/>
    <w:rsid w:val="004D246E"/>
    <w:rsid w:val="004D2A7D"/>
    <w:rsid w:val="004D3ED2"/>
    <w:rsid w:val="004D6C75"/>
    <w:rsid w:val="004D72C4"/>
    <w:rsid w:val="004E04D2"/>
    <w:rsid w:val="004E104F"/>
    <w:rsid w:val="004E2804"/>
    <w:rsid w:val="004E5FFB"/>
    <w:rsid w:val="004E7298"/>
    <w:rsid w:val="004E7FD4"/>
    <w:rsid w:val="004F2616"/>
    <w:rsid w:val="004F7143"/>
    <w:rsid w:val="004F7FFC"/>
    <w:rsid w:val="00500342"/>
    <w:rsid w:val="00501EE3"/>
    <w:rsid w:val="00505561"/>
    <w:rsid w:val="00507386"/>
    <w:rsid w:val="00507C79"/>
    <w:rsid w:val="00510E75"/>
    <w:rsid w:val="00511472"/>
    <w:rsid w:val="00511D67"/>
    <w:rsid w:val="00512617"/>
    <w:rsid w:val="00513D66"/>
    <w:rsid w:val="00513DB4"/>
    <w:rsid w:val="005145A5"/>
    <w:rsid w:val="00515FA7"/>
    <w:rsid w:val="00516565"/>
    <w:rsid w:val="00516B63"/>
    <w:rsid w:val="005222FC"/>
    <w:rsid w:val="00523FF1"/>
    <w:rsid w:val="00524F35"/>
    <w:rsid w:val="00525E32"/>
    <w:rsid w:val="005260FB"/>
    <w:rsid w:val="00527CED"/>
    <w:rsid w:val="005310F5"/>
    <w:rsid w:val="00531408"/>
    <w:rsid w:val="00531DF3"/>
    <w:rsid w:val="00533EDF"/>
    <w:rsid w:val="00534FFE"/>
    <w:rsid w:val="005352C0"/>
    <w:rsid w:val="00535F4F"/>
    <w:rsid w:val="0054099A"/>
    <w:rsid w:val="00546366"/>
    <w:rsid w:val="00546E88"/>
    <w:rsid w:val="00547D6C"/>
    <w:rsid w:val="00550F1F"/>
    <w:rsid w:val="005513F9"/>
    <w:rsid w:val="00551A20"/>
    <w:rsid w:val="005560A3"/>
    <w:rsid w:val="005608A8"/>
    <w:rsid w:val="00560BD1"/>
    <w:rsid w:val="0056193B"/>
    <w:rsid w:val="00564D32"/>
    <w:rsid w:val="005658C3"/>
    <w:rsid w:val="00566392"/>
    <w:rsid w:val="0056707A"/>
    <w:rsid w:val="00567D26"/>
    <w:rsid w:val="00573BB3"/>
    <w:rsid w:val="00575719"/>
    <w:rsid w:val="005823F7"/>
    <w:rsid w:val="00583E7D"/>
    <w:rsid w:val="00585531"/>
    <w:rsid w:val="005877A8"/>
    <w:rsid w:val="0059143F"/>
    <w:rsid w:val="00592409"/>
    <w:rsid w:val="005948BC"/>
    <w:rsid w:val="00596CBF"/>
    <w:rsid w:val="005970E3"/>
    <w:rsid w:val="005A061D"/>
    <w:rsid w:val="005A0893"/>
    <w:rsid w:val="005A3488"/>
    <w:rsid w:val="005A4C58"/>
    <w:rsid w:val="005A6347"/>
    <w:rsid w:val="005B1ADE"/>
    <w:rsid w:val="005B4671"/>
    <w:rsid w:val="005B54CA"/>
    <w:rsid w:val="005C0E12"/>
    <w:rsid w:val="005C1BB3"/>
    <w:rsid w:val="005C3270"/>
    <w:rsid w:val="005C4EEB"/>
    <w:rsid w:val="005C5180"/>
    <w:rsid w:val="005D0648"/>
    <w:rsid w:val="005D197F"/>
    <w:rsid w:val="005D1E62"/>
    <w:rsid w:val="005D2264"/>
    <w:rsid w:val="005D2D17"/>
    <w:rsid w:val="005E1D1D"/>
    <w:rsid w:val="005E5700"/>
    <w:rsid w:val="005F0207"/>
    <w:rsid w:val="005F3893"/>
    <w:rsid w:val="005F5349"/>
    <w:rsid w:val="005F78FB"/>
    <w:rsid w:val="00601382"/>
    <w:rsid w:val="0060220A"/>
    <w:rsid w:val="00603219"/>
    <w:rsid w:val="006036A6"/>
    <w:rsid w:val="006037C7"/>
    <w:rsid w:val="00604773"/>
    <w:rsid w:val="00606A98"/>
    <w:rsid w:val="00612CAB"/>
    <w:rsid w:val="006150CB"/>
    <w:rsid w:val="0061699D"/>
    <w:rsid w:val="00623B87"/>
    <w:rsid w:val="00623F67"/>
    <w:rsid w:val="00626090"/>
    <w:rsid w:val="00632C5C"/>
    <w:rsid w:val="00632E8A"/>
    <w:rsid w:val="00635B61"/>
    <w:rsid w:val="00640A3E"/>
    <w:rsid w:val="00643DA7"/>
    <w:rsid w:val="00646866"/>
    <w:rsid w:val="00651DA4"/>
    <w:rsid w:val="00651E43"/>
    <w:rsid w:val="00656EA9"/>
    <w:rsid w:val="00660F42"/>
    <w:rsid w:val="00661C57"/>
    <w:rsid w:val="006622BE"/>
    <w:rsid w:val="00663313"/>
    <w:rsid w:val="00663E00"/>
    <w:rsid w:val="0066474B"/>
    <w:rsid w:val="00664AF8"/>
    <w:rsid w:val="00667874"/>
    <w:rsid w:val="006678D9"/>
    <w:rsid w:val="0067012B"/>
    <w:rsid w:val="00672437"/>
    <w:rsid w:val="00674013"/>
    <w:rsid w:val="00674E86"/>
    <w:rsid w:val="00676FC8"/>
    <w:rsid w:val="00677133"/>
    <w:rsid w:val="00677E9B"/>
    <w:rsid w:val="0068509E"/>
    <w:rsid w:val="00686238"/>
    <w:rsid w:val="006876DD"/>
    <w:rsid w:val="006903D2"/>
    <w:rsid w:val="00691AC7"/>
    <w:rsid w:val="00695803"/>
    <w:rsid w:val="006A1A61"/>
    <w:rsid w:val="006B00DA"/>
    <w:rsid w:val="006B033D"/>
    <w:rsid w:val="006B1895"/>
    <w:rsid w:val="006B2BE6"/>
    <w:rsid w:val="006B4CCE"/>
    <w:rsid w:val="006B4E64"/>
    <w:rsid w:val="006B53DE"/>
    <w:rsid w:val="006B6711"/>
    <w:rsid w:val="006C2873"/>
    <w:rsid w:val="006C4662"/>
    <w:rsid w:val="006D056A"/>
    <w:rsid w:val="006D2D8D"/>
    <w:rsid w:val="006D3920"/>
    <w:rsid w:val="006D550F"/>
    <w:rsid w:val="006D6C1A"/>
    <w:rsid w:val="006D7EA8"/>
    <w:rsid w:val="006E55FE"/>
    <w:rsid w:val="006E58C2"/>
    <w:rsid w:val="006E77C1"/>
    <w:rsid w:val="006F3185"/>
    <w:rsid w:val="006F3245"/>
    <w:rsid w:val="006F4DA3"/>
    <w:rsid w:val="006F6714"/>
    <w:rsid w:val="006F7C0C"/>
    <w:rsid w:val="00701864"/>
    <w:rsid w:val="0070337B"/>
    <w:rsid w:val="00703573"/>
    <w:rsid w:val="00703B8A"/>
    <w:rsid w:val="007064B3"/>
    <w:rsid w:val="007146EB"/>
    <w:rsid w:val="0071634F"/>
    <w:rsid w:val="00716CE0"/>
    <w:rsid w:val="0072000F"/>
    <w:rsid w:val="0072053E"/>
    <w:rsid w:val="00721F0C"/>
    <w:rsid w:val="007223AC"/>
    <w:rsid w:val="0072556F"/>
    <w:rsid w:val="007263BB"/>
    <w:rsid w:val="00733242"/>
    <w:rsid w:val="00733434"/>
    <w:rsid w:val="00734F4B"/>
    <w:rsid w:val="0074022F"/>
    <w:rsid w:val="007433D7"/>
    <w:rsid w:val="00743D0E"/>
    <w:rsid w:val="00743FB5"/>
    <w:rsid w:val="0074674C"/>
    <w:rsid w:val="0074765C"/>
    <w:rsid w:val="00752056"/>
    <w:rsid w:val="0075257F"/>
    <w:rsid w:val="00755E2A"/>
    <w:rsid w:val="00760931"/>
    <w:rsid w:val="00762B18"/>
    <w:rsid w:val="00763829"/>
    <w:rsid w:val="00772BB9"/>
    <w:rsid w:val="0077398C"/>
    <w:rsid w:val="00776351"/>
    <w:rsid w:val="00777449"/>
    <w:rsid w:val="00781D87"/>
    <w:rsid w:val="00783871"/>
    <w:rsid w:val="00783D79"/>
    <w:rsid w:val="007861AF"/>
    <w:rsid w:val="00791771"/>
    <w:rsid w:val="00792211"/>
    <w:rsid w:val="007A065A"/>
    <w:rsid w:val="007A3488"/>
    <w:rsid w:val="007A3D65"/>
    <w:rsid w:val="007B0031"/>
    <w:rsid w:val="007B05E0"/>
    <w:rsid w:val="007B1F99"/>
    <w:rsid w:val="007B205D"/>
    <w:rsid w:val="007B26EC"/>
    <w:rsid w:val="007B36A3"/>
    <w:rsid w:val="007B445A"/>
    <w:rsid w:val="007C01BA"/>
    <w:rsid w:val="007C50B0"/>
    <w:rsid w:val="007C559E"/>
    <w:rsid w:val="007C676D"/>
    <w:rsid w:val="007C6D70"/>
    <w:rsid w:val="007C754F"/>
    <w:rsid w:val="007D07AF"/>
    <w:rsid w:val="007D1C16"/>
    <w:rsid w:val="007D1FDA"/>
    <w:rsid w:val="007D6D15"/>
    <w:rsid w:val="007D6FC7"/>
    <w:rsid w:val="007E5C30"/>
    <w:rsid w:val="007E5E07"/>
    <w:rsid w:val="007F1481"/>
    <w:rsid w:val="007F28AA"/>
    <w:rsid w:val="007F6C5E"/>
    <w:rsid w:val="008009AE"/>
    <w:rsid w:val="008049B7"/>
    <w:rsid w:val="00810C2E"/>
    <w:rsid w:val="00814111"/>
    <w:rsid w:val="00815391"/>
    <w:rsid w:val="008175C5"/>
    <w:rsid w:val="00821D63"/>
    <w:rsid w:val="008230B4"/>
    <w:rsid w:val="00826382"/>
    <w:rsid w:val="00827E78"/>
    <w:rsid w:val="008318A3"/>
    <w:rsid w:val="008367B8"/>
    <w:rsid w:val="008449CA"/>
    <w:rsid w:val="008465F8"/>
    <w:rsid w:val="00850475"/>
    <w:rsid w:val="00853C85"/>
    <w:rsid w:val="00855947"/>
    <w:rsid w:val="0085638A"/>
    <w:rsid w:val="00863BB8"/>
    <w:rsid w:val="00864F23"/>
    <w:rsid w:val="008731DD"/>
    <w:rsid w:val="00873BBF"/>
    <w:rsid w:val="008749C4"/>
    <w:rsid w:val="00875ABC"/>
    <w:rsid w:val="0087660E"/>
    <w:rsid w:val="008852A7"/>
    <w:rsid w:val="0089371B"/>
    <w:rsid w:val="008A4707"/>
    <w:rsid w:val="008A4EFE"/>
    <w:rsid w:val="008B226B"/>
    <w:rsid w:val="008B61C7"/>
    <w:rsid w:val="008B6E5E"/>
    <w:rsid w:val="008B70CE"/>
    <w:rsid w:val="008B7EDE"/>
    <w:rsid w:val="008C080D"/>
    <w:rsid w:val="008C2F3D"/>
    <w:rsid w:val="008C34A0"/>
    <w:rsid w:val="008C3CC5"/>
    <w:rsid w:val="008C6C60"/>
    <w:rsid w:val="008D24CD"/>
    <w:rsid w:val="008D2E80"/>
    <w:rsid w:val="008D3B34"/>
    <w:rsid w:val="008D5367"/>
    <w:rsid w:val="008D5572"/>
    <w:rsid w:val="008E01A2"/>
    <w:rsid w:val="008E0E00"/>
    <w:rsid w:val="008E14F5"/>
    <w:rsid w:val="008E322E"/>
    <w:rsid w:val="008E3EDA"/>
    <w:rsid w:val="008F312F"/>
    <w:rsid w:val="008F5056"/>
    <w:rsid w:val="008F6C72"/>
    <w:rsid w:val="00900558"/>
    <w:rsid w:val="00906D29"/>
    <w:rsid w:val="00907EDF"/>
    <w:rsid w:val="00907F7C"/>
    <w:rsid w:val="009143BD"/>
    <w:rsid w:val="00915866"/>
    <w:rsid w:val="00915F00"/>
    <w:rsid w:val="00916F94"/>
    <w:rsid w:val="0091760F"/>
    <w:rsid w:val="009207B4"/>
    <w:rsid w:val="00920E28"/>
    <w:rsid w:val="00921159"/>
    <w:rsid w:val="00921756"/>
    <w:rsid w:val="00921F76"/>
    <w:rsid w:val="009220E3"/>
    <w:rsid w:val="00924A8A"/>
    <w:rsid w:val="00924F77"/>
    <w:rsid w:val="009346BE"/>
    <w:rsid w:val="00936F96"/>
    <w:rsid w:val="00940793"/>
    <w:rsid w:val="00941CB7"/>
    <w:rsid w:val="00942A33"/>
    <w:rsid w:val="0094353D"/>
    <w:rsid w:val="009438CD"/>
    <w:rsid w:val="00944CF5"/>
    <w:rsid w:val="00945355"/>
    <w:rsid w:val="009460CF"/>
    <w:rsid w:val="00946A59"/>
    <w:rsid w:val="00947BF1"/>
    <w:rsid w:val="00947DB9"/>
    <w:rsid w:val="00952B64"/>
    <w:rsid w:val="0095462F"/>
    <w:rsid w:val="00955AE2"/>
    <w:rsid w:val="0095637C"/>
    <w:rsid w:val="00960027"/>
    <w:rsid w:val="00960095"/>
    <w:rsid w:val="009649C0"/>
    <w:rsid w:val="00970035"/>
    <w:rsid w:val="00970491"/>
    <w:rsid w:val="009752E2"/>
    <w:rsid w:val="00975BAF"/>
    <w:rsid w:val="009764F3"/>
    <w:rsid w:val="00981C92"/>
    <w:rsid w:val="00985135"/>
    <w:rsid w:val="0098538A"/>
    <w:rsid w:val="0098671E"/>
    <w:rsid w:val="00990B19"/>
    <w:rsid w:val="00991AED"/>
    <w:rsid w:val="00991E29"/>
    <w:rsid w:val="009923BA"/>
    <w:rsid w:val="009940EB"/>
    <w:rsid w:val="009942F9"/>
    <w:rsid w:val="00995B10"/>
    <w:rsid w:val="00997A04"/>
    <w:rsid w:val="009A0B3A"/>
    <w:rsid w:val="009A2185"/>
    <w:rsid w:val="009A2FF5"/>
    <w:rsid w:val="009A524E"/>
    <w:rsid w:val="009A52E3"/>
    <w:rsid w:val="009A53E4"/>
    <w:rsid w:val="009A5568"/>
    <w:rsid w:val="009A5571"/>
    <w:rsid w:val="009A630E"/>
    <w:rsid w:val="009B0375"/>
    <w:rsid w:val="009B197E"/>
    <w:rsid w:val="009B533A"/>
    <w:rsid w:val="009C1E5B"/>
    <w:rsid w:val="009C5BA1"/>
    <w:rsid w:val="009C660C"/>
    <w:rsid w:val="009C6BDF"/>
    <w:rsid w:val="009C7B35"/>
    <w:rsid w:val="009D058E"/>
    <w:rsid w:val="009D1B26"/>
    <w:rsid w:val="009D68C3"/>
    <w:rsid w:val="009E00CA"/>
    <w:rsid w:val="009E04F3"/>
    <w:rsid w:val="009E1283"/>
    <w:rsid w:val="009E285B"/>
    <w:rsid w:val="009E37A8"/>
    <w:rsid w:val="009E3D2C"/>
    <w:rsid w:val="009F010A"/>
    <w:rsid w:val="009F13B0"/>
    <w:rsid w:val="009F1644"/>
    <w:rsid w:val="009F2AC4"/>
    <w:rsid w:val="009F51BE"/>
    <w:rsid w:val="009F5478"/>
    <w:rsid w:val="009F5A0B"/>
    <w:rsid w:val="00A00754"/>
    <w:rsid w:val="00A17A86"/>
    <w:rsid w:val="00A21698"/>
    <w:rsid w:val="00A230A5"/>
    <w:rsid w:val="00A23DAB"/>
    <w:rsid w:val="00A2735C"/>
    <w:rsid w:val="00A27A59"/>
    <w:rsid w:val="00A31D02"/>
    <w:rsid w:val="00A35CC4"/>
    <w:rsid w:val="00A3682F"/>
    <w:rsid w:val="00A3689A"/>
    <w:rsid w:val="00A37049"/>
    <w:rsid w:val="00A442D4"/>
    <w:rsid w:val="00A55DE5"/>
    <w:rsid w:val="00A602E5"/>
    <w:rsid w:val="00A60E11"/>
    <w:rsid w:val="00A63136"/>
    <w:rsid w:val="00A64F54"/>
    <w:rsid w:val="00A67448"/>
    <w:rsid w:val="00A70902"/>
    <w:rsid w:val="00A72112"/>
    <w:rsid w:val="00A72259"/>
    <w:rsid w:val="00A7243A"/>
    <w:rsid w:val="00A7253F"/>
    <w:rsid w:val="00A73354"/>
    <w:rsid w:val="00A75944"/>
    <w:rsid w:val="00A864AA"/>
    <w:rsid w:val="00A864AC"/>
    <w:rsid w:val="00A86E7C"/>
    <w:rsid w:val="00A90065"/>
    <w:rsid w:val="00A905CB"/>
    <w:rsid w:val="00A94B11"/>
    <w:rsid w:val="00A97F34"/>
    <w:rsid w:val="00AA0D46"/>
    <w:rsid w:val="00AA1E5B"/>
    <w:rsid w:val="00AA3B5B"/>
    <w:rsid w:val="00AA6263"/>
    <w:rsid w:val="00AB10A3"/>
    <w:rsid w:val="00AB2106"/>
    <w:rsid w:val="00AB4D3D"/>
    <w:rsid w:val="00AB6422"/>
    <w:rsid w:val="00AC0F92"/>
    <w:rsid w:val="00AC1581"/>
    <w:rsid w:val="00AC29FE"/>
    <w:rsid w:val="00AC5100"/>
    <w:rsid w:val="00AC6CAD"/>
    <w:rsid w:val="00AD0421"/>
    <w:rsid w:val="00AD1803"/>
    <w:rsid w:val="00AD5FB8"/>
    <w:rsid w:val="00AD72FA"/>
    <w:rsid w:val="00AE0910"/>
    <w:rsid w:val="00AE1465"/>
    <w:rsid w:val="00AE2BEB"/>
    <w:rsid w:val="00AE30FD"/>
    <w:rsid w:val="00AE39C0"/>
    <w:rsid w:val="00AE5308"/>
    <w:rsid w:val="00AE55C1"/>
    <w:rsid w:val="00AF086F"/>
    <w:rsid w:val="00AF4D5B"/>
    <w:rsid w:val="00AF5218"/>
    <w:rsid w:val="00B0247B"/>
    <w:rsid w:val="00B032A9"/>
    <w:rsid w:val="00B0412A"/>
    <w:rsid w:val="00B04E05"/>
    <w:rsid w:val="00B059D0"/>
    <w:rsid w:val="00B06916"/>
    <w:rsid w:val="00B1159A"/>
    <w:rsid w:val="00B1273C"/>
    <w:rsid w:val="00B12810"/>
    <w:rsid w:val="00B21B9E"/>
    <w:rsid w:val="00B31038"/>
    <w:rsid w:val="00B31E74"/>
    <w:rsid w:val="00B3239E"/>
    <w:rsid w:val="00B342D4"/>
    <w:rsid w:val="00B4496C"/>
    <w:rsid w:val="00B45D13"/>
    <w:rsid w:val="00B5117E"/>
    <w:rsid w:val="00B53B3D"/>
    <w:rsid w:val="00B54A0D"/>
    <w:rsid w:val="00B5718A"/>
    <w:rsid w:val="00B63395"/>
    <w:rsid w:val="00B63411"/>
    <w:rsid w:val="00B63985"/>
    <w:rsid w:val="00B6417B"/>
    <w:rsid w:val="00B65F37"/>
    <w:rsid w:val="00B707B1"/>
    <w:rsid w:val="00B70B6C"/>
    <w:rsid w:val="00B70F0A"/>
    <w:rsid w:val="00B71287"/>
    <w:rsid w:val="00B72D71"/>
    <w:rsid w:val="00B73B39"/>
    <w:rsid w:val="00B74535"/>
    <w:rsid w:val="00B74730"/>
    <w:rsid w:val="00B74E9D"/>
    <w:rsid w:val="00B8084E"/>
    <w:rsid w:val="00B841FA"/>
    <w:rsid w:val="00B86553"/>
    <w:rsid w:val="00B87F20"/>
    <w:rsid w:val="00B90B91"/>
    <w:rsid w:val="00B9611E"/>
    <w:rsid w:val="00BA2888"/>
    <w:rsid w:val="00BA3AE9"/>
    <w:rsid w:val="00BA5028"/>
    <w:rsid w:val="00BA7EBB"/>
    <w:rsid w:val="00BB0F3B"/>
    <w:rsid w:val="00BB1E8B"/>
    <w:rsid w:val="00BB304D"/>
    <w:rsid w:val="00BB31D8"/>
    <w:rsid w:val="00BB520F"/>
    <w:rsid w:val="00BB75EF"/>
    <w:rsid w:val="00BB789B"/>
    <w:rsid w:val="00BC2C40"/>
    <w:rsid w:val="00BC3F07"/>
    <w:rsid w:val="00BC598B"/>
    <w:rsid w:val="00BC5DBE"/>
    <w:rsid w:val="00BC73DE"/>
    <w:rsid w:val="00BC76D4"/>
    <w:rsid w:val="00BD0D1E"/>
    <w:rsid w:val="00BD501C"/>
    <w:rsid w:val="00BD59AF"/>
    <w:rsid w:val="00BD6BA0"/>
    <w:rsid w:val="00BD7B8E"/>
    <w:rsid w:val="00BE072B"/>
    <w:rsid w:val="00BE3754"/>
    <w:rsid w:val="00BE440C"/>
    <w:rsid w:val="00BE4A9C"/>
    <w:rsid w:val="00BE4BD3"/>
    <w:rsid w:val="00BE58B1"/>
    <w:rsid w:val="00BE59FD"/>
    <w:rsid w:val="00BE6028"/>
    <w:rsid w:val="00BE6741"/>
    <w:rsid w:val="00BF004D"/>
    <w:rsid w:val="00BF580E"/>
    <w:rsid w:val="00BF6E08"/>
    <w:rsid w:val="00C005D0"/>
    <w:rsid w:val="00C0376A"/>
    <w:rsid w:val="00C044EA"/>
    <w:rsid w:val="00C071D5"/>
    <w:rsid w:val="00C07B01"/>
    <w:rsid w:val="00C122DD"/>
    <w:rsid w:val="00C125BB"/>
    <w:rsid w:val="00C15162"/>
    <w:rsid w:val="00C30E57"/>
    <w:rsid w:val="00C31589"/>
    <w:rsid w:val="00C315DD"/>
    <w:rsid w:val="00C31F10"/>
    <w:rsid w:val="00C32DA0"/>
    <w:rsid w:val="00C366C8"/>
    <w:rsid w:val="00C4186C"/>
    <w:rsid w:val="00C4527E"/>
    <w:rsid w:val="00C46152"/>
    <w:rsid w:val="00C465A9"/>
    <w:rsid w:val="00C475EE"/>
    <w:rsid w:val="00C50644"/>
    <w:rsid w:val="00C514D5"/>
    <w:rsid w:val="00C52C44"/>
    <w:rsid w:val="00C532F2"/>
    <w:rsid w:val="00C53B46"/>
    <w:rsid w:val="00C53F1C"/>
    <w:rsid w:val="00C552C6"/>
    <w:rsid w:val="00C555B4"/>
    <w:rsid w:val="00C57216"/>
    <w:rsid w:val="00C57347"/>
    <w:rsid w:val="00C60983"/>
    <w:rsid w:val="00C67FE6"/>
    <w:rsid w:val="00C72752"/>
    <w:rsid w:val="00C729F7"/>
    <w:rsid w:val="00C73753"/>
    <w:rsid w:val="00C73C73"/>
    <w:rsid w:val="00C77EA4"/>
    <w:rsid w:val="00C85C38"/>
    <w:rsid w:val="00C9299E"/>
    <w:rsid w:val="00C92EB7"/>
    <w:rsid w:val="00CA2E94"/>
    <w:rsid w:val="00CA730F"/>
    <w:rsid w:val="00CA7B4C"/>
    <w:rsid w:val="00CB04CD"/>
    <w:rsid w:val="00CB0FB4"/>
    <w:rsid w:val="00CB1F1B"/>
    <w:rsid w:val="00CB533B"/>
    <w:rsid w:val="00CB6573"/>
    <w:rsid w:val="00CB7BC5"/>
    <w:rsid w:val="00CC2BD9"/>
    <w:rsid w:val="00CC3039"/>
    <w:rsid w:val="00CC7D47"/>
    <w:rsid w:val="00CD0C83"/>
    <w:rsid w:val="00CD3BAE"/>
    <w:rsid w:val="00CE1BFB"/>
    <w:rsid w:val="00CE3A65"/>
    <w:rsid w:val="00CF15C1"/>
    <w:rsid w:val="00CF2688"/>
    <w:rsid w:val="00CF4A47"/>
    <w:rsid w:val="00CF68C7"/>
    <w:rsid w:val="00CF7AAC"/>
    <w:rsid w:val="00D029D2"/>
    <w:rsid w:val="00D0318E"/>
    <w:rsid w:val="00D0707B"/>
    <w:rsid w:val="00D07E95"/>
    <w:rsid w:val="00D128CD"/>
    <w:rsid w:val="00D13059"/>
    <w:rsid w:val="00D13131"/>
    <w:rsid w:val="00D14482"/>
    <w:rsid w:val="00D17589"/>
    <w:rsid w:val="00D21EAE"/>
    <w:rsid w:val="00D22B1D"/>
    <w:rsid w:val="00D22BD6"/>
    <w:rsid w:val="00D22DC1"/>
    <w:rsid w:val="00D260FF"/>
    <w:rsid w:val="00D26939"/>
    <w:rsid w:val="00D3419A"/>
    <w:rsid w:val="00D3633B"/>
    <w:rsid w:val="00D37627"/>
    <w:rsid w:val="00D431B8"/>
    <w:rsid w:val="00D44EA5"/>
    <w:rsid w:val="00D47CB5"/>
    <w:rsid w:val="00D5016B"/>
    <w:rsid w:val="00D511E7"/>
    <w:rsid w:val="00D5476D"/>
    <w:rsid w:val="00D54ADB"/>
    <w:rsid w:val="00D55A57"/>
    <w:rsid w:val="00D55D40"/>
    <w:rsid w:val="00D5655A"/>
    <w:rsid w:val="00D573F0"/>
    <w:rsid w:val="00D61908"/>
    <w:rsid w:val="00D64ABD"/>
    <w:rsid w:val="00D6707D"/>
    <w:rsid w:val="00D727E7"/>
    <w:rsid w:val="00D73C19"/>
    <w:rsid w:val="00D76D40"/>
    <w:rsid w:val="00D779F3"/>
    <w:rsid w:val="00D80864"/>
    <w:rsid w:val="00D93703"/>
    <w:rsid w:val="00D94EF7"/>
    <w:rsid w:val="00DA0C25"/>
    <w:rsid w:val="00DA1500"/>
    <w:rsid w:val="00DA296F"/>
    <w:rsid w:val="00DA453E"/>
    <w:rsid w:val="00DB794E"/>
    <w:rsid w:val="00DC1433"/>
    <w:rsid w:val="00DC1D62"/>
    <w:rsid w:val="00DC2435"/>
    <w:rsid w:val="00DC34BB"/>
    <w:rsid w:val="00DD1346"/>
    <w:rsid w:val="00DD71EE"/>
    <w:rsid w:val="00DE368A"/>
    <w:rsid w:val="00DE4B96"/>
    <w:rsid w:val="00DE7EC1"/>
    <w:rsid w:val="00DF14B5"/>
    <w:rsid w:val="00DF3A90"/>
    <w:rsid w:val="00DF3F1B"/>
    <w:rsid w:val="00DF421A"/>
    <w:rsid w:val="00DF5129"/>
    <w:rsid w:val="00E00DDC"/>
    <w:rsid w:val="00E010C4"/>
    <w:rsid w:val="00E01656"/>
    <w:rsid w:val="00E05E5A"/>
    <w:rsid w:val="00E06398"/>
    <w:rsid w:val="00E11C13"/>
    <w:rsid w:val="00E17462"/>
    <w:rsid w:val="00E21214"/>
    <w:rsid w:val="00E22CF7"/>
    <w:rsid w:val="00E233B2"/>
    <w:rsid w:val="00E23C56"/>
    <w:rsid w:val="00E24E53"/>
    <w:rsid w:val="00E260F6"/>
    <w:rsid w:val="00E276EE"/>
    <w:rsid w:val="00E306EA"/>
    <w:rsid w:val="00E31A06"/>
    <w:rsid w:val="00E31A30"/>
    <w:rsid w:val="00E32A66"/>
    <w:rsid w:val="00E33047"/>
    <w:rsid w:val="00E35F90"/>
    <w:rsid w:val="00E406F8"/>
    <w:rsid w:val="00E4557E"/>
    <w:rsid w:val="00E53487"/>
    <w:rsid w:val="00E568DC"/>
    <w:rsid w:val="00E57ED8"/>
    <w:rsid w:val="00E60C58"/>
    <w:rsid w:val="00E64EE4"/>
    <w:rsid w:val="00E6683B"/>
    <w:rsid w:val="00E701B5"/>
    <w:rsid w:val="00E70D0A"/>
    <w:rsid w:val="00E72533"/>
    <w:rsid w:val="00E734B7"/>
    <w:rsid w:val="00E74121"/>
    <w:rsid w:val="00E74AD0"/>
    <w:rsid w:val="00E75C3B"/>
    <w:rsid w:val="00E77CE4"/>
    <w:rsid w:val="00E8056B"/>
    <w:rsid w:val="00E8159E"/>
    <w:rsid w:val="00E81EC0"/>
    <w:rsid w:val="00E85AB6"/>
    <w:rsid w:val="00E85E12"/>
    <w:rsid w:val="00EA3549"/>
    <w:rsid w:val="00EA48DC"/>
    <w:rsid w:val="00EA50D7"/>
    <w:rsid w:val="00EB0093"/>
    <w:rsid w:val="00EB3C63"/>
    <w:rsid w:val="00EB742E"/>
    <w:rsid w:val="00EC3401"/>
    <w:rsid w:val="00EC5093"/>
    <w:rsid w:val="00EC53F9"/>
    <w:rsid w:val="00EC7EED"/>
    <w:rsid w:val="00ED4057"/>
    <w:rsid w:val="00ED4957"/>
    <w:rsid w:val="00ED7E0B"/>
    <w:rsid w:val="00ED7EA0"/>
    <w:rsid w:val="00EE0C31"/>
    <w:rsid w:val="00EE1991"/>
    <w:rsid w:val="00EE380B"/>
    <w:rsid w:val="00EE6696"/>
    <w:rsid w:val="00EE6D5E"/>
    <w:rsid w:val="00EF255B"/>
    <w:rsid w:val="00EF2A03"/>
    <w:rsid w:val="00EF30DD"/>
    <w:rsid w:val="00EF3192"/>
    <w:rsid w:val="00EF3CEB"/>
    <w:rsid w:val="00EF5E1D"/>
    <w:rsid w:val="00EF65D4"/>
    <w:rsid w:val="00EF7288"/>
    <w:rsid w:val="00EF7CBF"/>
    <w:rsid w:val="00F0026C"/>
    <w:rsid w:val="00F0038D"/>
    <w:rsid w:val="00F0692C"/>
    <w:rsid w:val="00F11F5A"/>
    <w:rsid w:val="00F1214F"/>
    <w:rsid w:val="00F129BB"/>
    <w:rsid w:val="00F163B6"/>
    <w:rsid w:val="00F16A3A"/>
    <w:rsid w:val="00F17404"/>
    <w:rsid w:val="00F17934"/>
    <w:rsid w:val="00F20961"/>
    <w:rsid w:val="00F20BD8"/>
    <w:rsid w:val="00F223B8"/>
    <w:rsid w:val="00F260DF"/>
    <w:rsid w:val="00F30CF9"/>
    <w:rsid w:val="00F31232"/>
    <w:rsid w:val="00F332DC"/>
    <w:rsid w:val="00F34E95"/>
    <w:rsid w:val="00F3616F"/>
    <w:rsid w:val="00F3635E"/>
    <w:rsid w:val="00F44403"/>
    <w:rsid w:val="00F50B6A"/>
    <w:rsid w:val="00F50C7D"/>
    <w:rsid w:val="00F54E0B"/>
    <w:rsid w:val="00F5645B"/>
    <w:rsid w:val="00F5704A"/>
    <w:rsid w:val="00F61B59"/>
    <w:rsid w:val="00F61C86"/>
    <w:rsid w:val="00F62E22"/>
    <w:rsid w:val="00F64336"/>
    <w:rsid w:val="00F6523E"/>
    <w:rsid w:val="00F6526D"/>
    <w:rsid w:val="00F668C0"/>
    <w:rsid w:val="00F668E8"/>
    <w:rsid w:val="00F67212"/>
    <w:rsid w:val="00F67ECD"/>
    <w:rsid w:val="00F7066B"/>
    <w:rsid w:val="00F71381"/>
    <w:rsid w:val="00F7190A"/>
    <w:rsid w:val="00F726C9"/>
    <w:rsid w:val="00F72C44"/>
    <w:rsid w:val="00F73747"/>
    <w:rsid w:val="00F813EA"/>
    <w:rsid w:val="00F82E33"/>
    <w:rsid w:val="00F83127"/>
    <w:rsid w:val="00F84875"/>
    <w:rsid w:val="00F909C0"/>
    <w:rsid w:val="00F90B81"/>
    <w:rsid w:val="00F9499E"/>
    <w:rsid w:val="00F94AFA"/>
    <w:rsid w:val="00F95265"/>
    <w:rsid w:val="00F97498"/>
    <w:rsid w:val="00F97664"/>
    <w:rsid w:val="00FA632F"/>
    <w:rsid w:val="00FB288C"/>
    <w:rsid w:val="00FB4617"/>
    <w:rsid w:val="00FB4770"/>
    <w:rsid w:val="00FB6914"/>
    <w:rsid w:val="00FB7641"/>
    <w:rsid w:val="00FC3D05"/>
    <w:rsid w:val="00FD0D7A"/>
    <w:rsid w:val="00FD220F"/>
    <w:rsid w:val="00FD60E3"/>
    <w:rsid w:val="00FE432B"/>
    <w:rsid w:val="00FE55B3"/>
    <w:rsid w:val="00FE5B31"/>
    <w:rsid w:val="00FF066C"/>
    <w:rsid w:val="00FF1851"/>
    <w:rsid w:val="00FF1F52"/>
    <w:rsid w:val="00FF2452"/>
    <w:rsid w:val="00FF36E5"/>
    <w:rsid w:val="00FF52C5"/>
    <w:rsid w:val="00FF56E5"/>
    <w:rsid w:val="00FF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F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CB"/>
    <w:pPr>
      <w:spacing w:after="200" w:line="276" w:lineRule="auto"/>
    </w:pPr>
    <w:rPr>
      <w:rFonts w:cs="Calibri"/>
      <w:w w:val="105"/>
      <w:kern w:val="40"/>
      <w:sz w:val="22"/>
      <w:szCs w:val="22"/>
      <w:lang w:eastAsia="en-US"/>
    </w:rPr>
  </w:style>
  <w:style w:type="paragraph" w:styleId="Heading1">
    <w:name w:val="heading 1"/>
    <w:basedOn w:val="Normal"/>
    <w:next w:val="Normal"/>
    <w:link w:val="Heading1Char"/>
    <w:uiPriority w:val="9"/>
    <w:qFormat/>
    <w:rsid w:val="006150CB"/>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564D32"/>
    <w:pPr>
      <w:keepNext/>
      <w:spacing w:before="240" w:after="60" w:line="240" w:lineRule="auto"/>
      <w:outlineLvl w:val="1"/>
    </w:pPr>
    <w:rPr>
      <w:rFonts w:eastAsia="SimSun" w:cs="Angsana New"/>
      <w:b/>
      <w:bCs/>
      <w:iCs/>
      <w:color w:val="4D738A"/>
      <w:sz w:val="40"/>
      <w:szCs w:val="48"/>
    </w:rPr>
  </w:style>
  <w:style w:type="paragraph" w:styleId="Heading3">
    <w:name w:val="heading 3"/>
    <w:basedOn w:val="Normal"/>
    <w:next w:val="Normal"/>
    <w:link w:val="Heading3Char"/>
    <w:uiPriority w:val="9"/>
    <w:unhideWhenUsed/>
    <w:qFormat/>
    <w:rsid w:val="006150CB"/>
    <w:pPr>
      <w:keepNext/>
      <w:spacing w:after="60" w:line="240" w:lineRule="auto"/>
      <w:outlineLvl w:val="2"/>
    </w:pPr>
    <w:rPr>
      <w:rFonts w:eastAsia="SimSun" w:cs="Angsana New"/>
      <w:b/>
      <w:bCs/>
      <w:color w:val="404040"/>
      <w:sz w:val="32"/>
      <w:szCs w:val="32"/>
    </w:rPr>
  </w:style>
  <w:style w:type="paragraph" w:styleId="Heading4">
    <w:name w:val="heading 4"/>
    <w:basedOn w:val="Heading3"/>
    <w:next w:val="Normal"/>
    <w:link w:val="Heading4Char"/>
    <w:uiPriority w:val="9"/>
    <w:unhideWhenUsed/>
    <w:qFormat/>
    <w:rsid w:val="0098671E"/>
    <w:pPr>
      <w:outlineLvl w:val="3"/>
    </w:pPr>
    <w:rPr>
      <w:color w:val="595959" w:themeColor="text1" w:themeTint="A6"/>
      <w:sz w:val="26"/>
      <w:szCs w:val="26"/>
    </w:rPr>
  </w:style>
  <w:style w:type="paragraph" w:styleId="Heading5">
    <w:name w:val="heading 5"/>
    <w:basedOn w:val="Normal"/>
    <w:next w:val="Normal"/>
    <w:link w:val="Heading5Char"/>
    <w:uiPriority w:val="9"/>
    <w:unhideWhenUsed/>
    <w:qFormat/>
    <w:rsid w:val="005114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150CB"/>
    <w:rPr>
      <w:rFonts w:eastAsia="SimSun" w:cs="Angsana New"/>
      <w:b/>
      <w:bCs/>
      <w:color w:val="404040"/>
      <w:w w:val="105"/>
      <w:kern w:val="32"/>
      <w:sz w:val="52"/>
      <w:szCs w:val="52"/>
      <w:lang w:eastAsia="en-US"/>
    </w:rPr>
  </w:style>
  <w:style w:type="paragraph" w:styleId="Title">
    <w:name w:val="Title"/>
    <w:basedOn w:val="Normal"/>
    <w:next w:val="Normal"/>
    <w:link w:val="TitleChar"/>
    <w:uiPriority w:val="10"/>
    <w:qFormat/>
    <w:rsid w:val="006150CB"/>
    <w:pPr>
      <w:spacing w:before="240" w:after="60" w:line="240" w:lineRule="auto"/>
      <w:outlineLvl w:val="0"/>
    </w:pPr>
    <w:rPr>
      <w:rFonts w:eastAsia="SimSun" w:cs="Angsana New"/>
      <w:b/>
      <w:bCs/>
      <w:noProof/>
      <w:kern w:val="28"/>
      <w:sz w:val="56"/>
      <w:szCs w:val="32"/>
    </w:rPr>
  </w:style>
  <w:style w:type="character" w:customStyle="1" w:styleId="TitleChar">
    <w:name w:val="Title Char"/>
    <w:link w:val="Title"/>
    <w:uiPriority w:val="10"/>
    <w:rsid w:val="006150CB"/>
    <w:rPr>
      <w:rFonts w:eastAsia="SimSun" w:cs="Angsana New"/>
      <w:b/>
      <w:bCs/>
      <w:noProof/>
      <w:w w:val="105"/>
      <w:kern w:val="28"/>
      <w:sz w:val="56"/>
      <w:szCs w:val="32"/>
      <w:lang w:eastAsia="en-US"/>
    </w:rPr>
  </w:style>
  <w:style w:type="character" w:customStyle="1" w:styleId="Heading2Char">
    <w:name w:val="Heading 2 Char"/>
    <w:link w:val="Heading2"/>
    <w:uiPriority w:val="9"/>
    <w:rsid w:val="00564D32"/>
    <w:rPr>
      <w:rFonts w:eastAsia="SimSun" w:cs="Angsana New"/>
      <w:b/>
      <w:bCs/>
      <w:iCs/>
      <w:color w:val="4D738A"/>
      <w:w w:val="105"/>
      <w:kern w:val="40"/>
      <w:sz w:val="40"/>
      <w:szCs w:val="48"/>
      <w:lang w:eastAsia="en-US"/>
    </w:rPr>
  </w:style>
  <w:style w:type="paragraph" w:styleId="Subtitle">
    <w:name w:val="Subtitle"/>
    <w:basedOn w:val="Title"/>
    <w:next w:val="Normal"/>
    <w:link w:val="SubtitleChar"/>
    <w:uiPriority w:val="11"/>
    <w:qFormat/>
    <w:rsid w:val="006150CB"/>
    <w:pPr>
      <w:jc w:val="right"/>
    </w:pPr>
    <w:rPr>
      <w:sz w:val="28"/>
      <w:szCs w:val="28"/>
    </w:rPr>
  </w:style>
  <w:style w:type="character" w:customStyle="1" w:styleId="SubtitleChar">
    <w:name w:val="Subtitle Char"/>
    <w:link w:val="Subtitle"/>
    <w:uiPriority w:val="11"/>
    <w:rsid w:val="006150CB"/>
    <w:rPr>
      <w:rFonts w:eastAsia="SimSun" w:cs="Angsana New"/>
      <w:b/>
      <w:bCs/>
      <w:noProof/>
      <w:w w:val="105"/>
      <w:kern w:val="28"/>
      <w:sz w:val="28"/>
      <w:szCs w:val="28"/>
      <w:lang w:eastAsia="en-US"/>
    </w:rPr>
  </w:style>
  <w:style w:type="character" w:customStyle="1" w:styleId="Heading3Char">
    <w:name w:val="Heading 3 Char"/>
    <w:link w:val="Heading3"/>
    <w:uiPriority w:val="9"/>
    <w:rsid w:val="006150CB"/>
    <w:rPr>
      <w:rFonts w:eastAsia="SimSun" w:cs="Angsana New"/>
      <w:b/>
      <w:bCs/>
      <w:color w:val="404040"/>
      <w:w w:val="105"/>
      <w:kern w:val="40"/>
      <w:sz w:val="32"/>
      <w:szCs w:val="32"/>
      <w:lang w:eastAsia="en-US"/>
    </w:rPr>
  </w:style>
  <w:style w:type="paragraph" w:styleId="Header">
    <w:name w:val="header"/>
    <w:basedOn w:val="Normal"/>
    <w:link w:val="HeaderChar"/>
    <w:uiPriority w:val="99"/>
    <w:unhideWhenUsed/>
    <w:rsid w:val="006150CB"/>
    <w:pPr>
      <w:tabs>
        <w:tab w:val="center" w:pos="4513"/>
        <w:tab w:val="right" w:pos="9026"/>
      </w:tabs>
    </w:pPr>
  </w:style>
  <w:style w:type="character" w:customStyle="1" w:styleId="HeaderChar">
    <w:name w:val="Header Char"/>
    <w:link w:val="Header"/>
    <w:uiPriority w:val="99"/>
    <w:rsid w:val="006150CB"/>
    <w:rPr>
      <w:sz w:val="22"/>
      <w:szCs w:val="22"/>
      <w:lang w:eastAsia="en-US"/>
    </w:rPr>
  </w:style>
  <w:style w:type="paragraph" w:styleId="Footer">
    <w:name w:val="footer"/>
    <w:basedOn w:val="Normal"/>
    <w:link w:val="FooterChar"/>
    <w:uiPriority w:val="99"/>
    <w:unhideWhenUsed/>
    <w:rsid w:val="006150CB"/>
    <w:pPr>
      <w:tabs>
        <w:tab w:val="center" w:pos="4513"/>
        <w:tab w:val="right" w:pos="9026"/>
      </w:tabs>
    </w:pPr>
  </w:style>
  <w:style w:type="character" w:customStyle="1" w:styleId="FooterChar">
    <w:name w:val="Footer Char"/>
    <w:link w:val="Footer"/>
    <w:uiPriority w:val="99"/>
    <w:rsid w:val="006150CB"/>
    <w:rPr>
      <w:sz w:val="22"/>
      <w:szCs w:val="22"/>
      <w:lang w:eastAsia="en-US"/>
    </w:rPr>
  </w:style>
  <w:style w:type="paragraph" w:styleId="BalloonText">
    <w:name w:val="Balloon Text"/>
    <w:basedOn w:val="Normal"/>
    <w:link w:val="BalloonTextChar"/>
    <w:uiPriority w:val="99"/>
    <w:semiHidden/>
    <w:unhideWhenUsed/>
    <w:rsid w:val="005C1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BB3"/>
    <w:rPr>
      <w:rFonts w:ascii="Tahoma" w:hAnsi="Tahoma" w:cs="Tahoma"/>
      <w:w w:val="105"/>
      <w:kern w:val="40"/>
      <w:sz w:val="16"/>
      <w:szCs w:val="16"/>
      <w:lang w:eastAsia="en-US"/>
    </w:rPr>
  </w:style>
  <w:style w:type="paragraph" w:customStyle="1" w:styleId="Bullet1">
    <w:name w:val="Bullet 1"/>
    <w:basedOn w:val="ListBullet2"/>
    <w:qFormat/>
    <w:rsid w:val="00511472"/>
    <w:pPr>
      <w:numPr>
        <w:ilvl w:val="0"/>
      </w:numPr>
    </w:pPr>
  </w:style>
  <w:style w:type="numbering" w:customStyle="1" w:styleId="Bullet2">
    <w:name w:val="Bullet 2"/>
    <w:basedOn w:val="NoList"/>
    <w:uiPriority w:val="99"/>
    <w:rsid w:val="0011430B"/>
    <w:pPr>
      <w:numPr>
        <w:numId w:val="2"/>
      </w:numPr>
    </w:pPr>
  </w:style>
  <w:style w:type="paragraph" w:styleId="ListBullet2">
    <w:name w:val="List Bullet 2"/>
    <w:basedOn w:val="ListBullet"/>
    <w:uiPriority w:val="99"/>
    <w:unhideWhenUsed/>
    <w:qFormat/>
    <w:rsid w:val="00511472"/>
  </w:style>
  <w:style w:type="character" w:customStyle="1" w:styleId="Heading4Char">
    <w:name w:val="Heading 4 Char"/>
    <w:basedOn w:val="DefaultParagraphFont"/>
    <w:link w:val="Heading4"/>
    <w:uiPriority w:val="9"/>
    <w:rsid w:val="0098671E"/>
    <w:rPr>
      <w:rFonts w:eastAsia="SimSun" w:cs="Angsana New"/>
      <w:b/>
      <w:bCs/>
      <w:color w:val="595959" w:themeColor="text1" w:themeTint="A6"/>
      <w:w w:val="105"/>
      <w:kern w:val="40"/>
      <w:sz w:val="26"/>
      <w:szCs w:val="26"/>
      <w:lang w:eastAsia="en-US"/>
    </w:rPr>
  </w:style>
  <w:style w:type="paragraph" w:styleId="ListBullet">
    <w:name w:val="List Bullet"/>
    <w:aliases w:val="List Bullet 1"/>
    <w:basedOn w:val="Normal"/>
    <w:uiPriority w:val="99"/>
    <w:unhideWhenUsed/>
    <w:rsid w:val="0011430B"/>
    <w:pPr>
      <w:numPr>
        <w:ilvl w:val="1"/>
        <w:numId w:val="1"/>
      </w:numPr>
      <w:contextualSpacing/>
    </w:pPr>
  </w:style>
  <w:style w:type="character" w:styleId="Strong">
    <w:name w:val="Strong"/>
    <w:basedOn w:val="DefaultParagraphFont"/>
    <w:uiPriority w:val="22"/>
    <w:rsid w:val="0011430B"/>
    <w:rPr>
      <w:b/>
      <w:bCs/>
    </w:rPr>
  </w:style>
  <w:style w:type="character" w:styleId="SubtleEmphasis">
    <w:name w:val="Subtle Emphasis"/>
    <w:basedOn w:val="DefaultParagraphFont"/>
    <w:uiPriority w:val="19"/>
    <w:rsid w:val="0011430B"/>
    <w:rPr>
      <w:i/>
      <w:iCs/>
      <w:color w:val="808080" w:themeColor="text1" w:themeTint="7F"/>
    </w:rPr>
  </w:style>
  <w:style w:type="character" w:customStyle="1" w:styleId="Heading5Char">
    <w:name w:val="Heading 5 Char"/>
    <w:basedOn w:val="DefaultParagraphFont"/>
    <w:link w:val="Heading5"/>
    <w:uiPriority w:val="9"/>
    <w:rsid w:val="00511472"/>
    <w:rPr>
      <w:rFonts w:asciiTheme="majorHAnsi" w:eastAsiaTheme="majorEastAsia" w:hAnsiTheme="majorHAnsi" w:cstheme="majorBidi"/>
      <w:color w:val="243F60" w:themeColor="accent1" w:themeShade="7F"/>
      <w:w w:val="105"/>
      <w:kern w:val="40"/>
      <w:sz w:val="22"/>
      <w:szCs w:val="22"/>
      <w:lang w:eastAsia="en-US"/>
    </w:rPr>
  </w:style>
  <w:style w:type="paragraph" w:styleId="NoSpacing">
    <w:name w:val="No Spacing"/>
    <w:link w:val="NoSpacingChar"/>
    <w:uiPriority w:val="1"/>
    <w:qFormat/>
    <w:rsid w:val="00A86E7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86E7C"/>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unhideWhenUsed/>
    <w:qFormat/>
    <w:rsid w:val="00F72C44"/>
    <w:pPr>
      <w:keepLines/>
      <w:spacing w:before="240" w:line="259" w:lineRule="auto"/>
      <w:jc w:val="left"/>
      <w:outlineLvl w:val="9"/>
    </w:pPr>
    <w:rPr>
      <w:rFonts w:asciiTheme="majorHAnsi" w:eastAsiaTheme="majorEastAsia" w:hAnsiTheme="majorHAnsi" w:cstheme="majorBidi"/>
      <w:b w:val="0"/>
      <w:bCs w:val="0"/>
      <w:color w:val="365F91" w:themeColor="accent1" w:themeShade="BF"/>
      <w:w w:val="100"/>
      <w:kern w:val="0"/>
      <w:sz w:val="32"/>
      <w:szCs w:val="32"/>
      <w:lang w:val="en-US"/>
    </w:rPr>
  </w:style>
  <w:style w:type="paragraph" w:styleId="TOC1">
    <w:name w:val="toc 1"/>
    <w:basedOn w:val="Normal"/>
    <w:next w:val="Normal"/>
    <w:autoRedefine/>
    <w:uiPriority w:val="39"/>
    <w:unhideWhenUsed/>
    <w:rsid w:val="00E74AD0"/>
    <w:pPr>
      <w:tabs>
        <w:tab w:val="right" w:leader="dot" w:pos="9969"/>
      </w:tabs>
      <w:spacing w:after="100"/>
    </w:pPr>
  </w:style>
  <w:style w:type="paragraph" w:styleId="TOC2">
    <w:name w:val="toc 2"/>
    <w:basedOn w:val="Normal"/>
    <w:next w:val="Normal"/>
    <w:autoRedefine/>
    <w:uiPriority w:val="39"/>
    <w:unhideWhenUsed/>
    <w:rsid w:val="00F72C44"/>
    <w:pPr>
      <w:spacing w:after="100"/>
      <w:ind w:left="220"/>
    </w:pPr>
  </w:style>
  <w:style w:type="paragraph" w:styleId="TOC3">
    <w:name w:val="toc 3"/>
    <w:basedOn w:val="Normal"/>
    <w:next w:val="Normal"/>
    <w:autoRedefine/>
    <w:uiPriority w:val="39"/>
    <w:unhideWhenUsed/>
    <w:rsid w:val="00F72C44"/>
    <w:pPr>
      <w:spacing w:after="100"/>
      <w:ind w:left="440"/>
    </w:pPr>
  </w:style>
  <w:style w:type="character" w:styleId="Hyperlink">
    <w:name w:val="Hyperlink"/>
    <w:basedOn w:val="DefaultParagraphFont"/>
    <w:uiPriority w:val="99"/>
    <w:unhideWhenUsed/>
    <w:rsid w:val="00F72C44"/>
    <w:rPr>
      <w:color w:val="0000FF" w:themeColor="hyperlink"/>
      <w:u w:val="single"/>
    </w:rPr>
  </w:style>
  <w:style w:type="paragraph" w:styleId="ListParagraph">
    <w:name w:val="List Paragraph"/>
    <w:basedOn w:val="Normal"/>
    <w:uiPriority w:val="34"/>
    <w:qFormat/>
    <w:rsid w:val="009940EB"/>
    <w:pPr>
      <w:ind w:left="720"/>
      <w:contextualSpacing/>
    </w:pPr>
  </w:style>
  <w:style w:type="character" w:styleId="CommentReference">
    <w:name w:val="annotation reference"/>
    <w:basedOn w:val="DefaultParagraphFont"/>
    <w:uiPriority w:val="99"/>
    <w:semiHidden/>
    <w:unhideWhenUsed/>
    <w:rsid w:val="009940EB"/>
    <w:rPr>
      <w:sz w:val="16"/>
      <w:szCs w:val="16"/>
    </w:rPr>
  </w:style>
  <w:style w:type="paragraph" w:styleId="CommentText">
    <w:name w:val="annotation text"/>
    <w:basedOn w:val="Normal"/>
    <w:link w:val="CommentTextChar"/>
    <w:uiPriority w:val="99"/>
    <w:unhideWhenUsed/>
    <w:rsid w:val="009940EB"/>
    <w:pPr>
      <w:spacing w:after="160" w:line="240" w:lineRule="auto"/>
    </w:pPr>
    <w:rPr>
      <w:rFonts w:asciiTheme="minorHAnsi" w:eastAsiaTheme="minorHAnsi" w:hAnsiTheme="minorHAnsi" w:cstheme="minorBidi"/>
      <w:w w:val="100"/>
      <w:kern w:val="0"/>
      <w:sz w:val="20"/>
      <w:szCs w:val="20"/>
    </w:rPr>
  </w:style>
  <w:style w:type="character" w:customStyle="1" w:styleId="CommentTextChar">
    <w:name w:val="Comment Text Char"/>
    <w:basedOn w:val="DefaultParagraphFont"/>
    <w:link w:val="CommentText"/>
    <w:uiPriority w:val="99"/>
    <w:rsid w:val="009940E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366C8"/>
    <w:pPr>
      <w:spacing w:after="200"/>
    </w:pPr>
    <w:rPr>
      <w:rFonts w:ascii="Calibri" w:eastAsia="Calibri" w:hAnsi="Calibri" w:cs="Calibri"/>
      <w:b/>
      <w:bCs/>
      <w:w w:val="105"/>
      <w:kern w:val="40"/>
    </w:rPr>
  </w:style>
  <w:style w:type="character" w:customStyle="1" w:styleId="CommentSubjectChar">
    <w:name w:val="Comment Subject Char"/>
    <w:basedOn w:val="CommentTextChar"/>
    <w:link w:val="CommentSubject"/>
    <w:uiPriority w:val="99"/>
    <w:semiHidden/>
    <w:rsid w:val="00C366C8"/>
    <w:rPr>
      <w:rFonts w:asciiTheme="minorHAnsi" w:eastAsiaTheme="minorHAnsi" w:hAnsiTheme="minorHAnsi" w:cs="Calibri"/>
      <w:b/>
      <w:bCs/>
      <w:w w:val="105"/>
      <w:kern w:val="40"/>
      <w:lang w:eastAsia="en-US"/>
    </w:rPr>
  </w:style>
  <w:style w:type="paragraph" w:styleId="NormalWeb">
    <w:name w:val="Normal (Web)"/>
    <w:basedOn w:val="Normal"/>
    <w:uiPriority w:val="99"/>
    <w:semiHidden/>
    <w:unhideWhenUsed/>
    <w:rsid w:val="006876DD"/>
    <w:pPr>
      <w:spacing w:before="100" w:beforeAutospacing="1" w:after="100" w:afterAutospacing="1" w:line="240" w:lineRule="auto"/>
    </w:pPr>
    <w:rPr>
      <w:rFonts w:ascii="Times New Roman" w:eastAsia="Times New Roman" w:hAnsi="Times New Roman" w:cs="Times New Roman"/>
      <w:w w:val="100"/>
      <w:kern w:val="0"/>
      <w:sz w:val="24"/>
      <w:szCs w:val="24"/>
      <w:lang w:eastAsia="en-AU"/>
    </w:rPr>
  </w:style>
  <w:style w:type="paragraph" w:styleId="FootnoteText">
    <w:name w:val="footnote text"/>
    <w:basedOn w:val="Normal"/>
    <w:link w:val="FootnoteTextChar"/>
    <w:uiPriority w:val="99"/>
    <w:semiHidden/>
    <w:unhideWhenUsed/>
    <w:rsid w:val="001F5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BA6"/>
    <w:rPr>
      <w:rFonts w:cs="Calibri"/>
      <w:w w:val="105"/>
      <w:kern w:val="40"/>
      <w:lang w:eastAsia="en-US"/>
    </w:rPr>
  </w:style>
  <w:style w:type="character" w:styleId="FootnoteReference">
    <w:name w:val="footnote reference"/>
    <w:basedOn w:val="DefaultParagraphFont"/>
    <w:uiPriority w:val="99"/>
    <w:semiHidden/>
    <w:unhideWhenUsed/>
    <w:rsid w:val="001F5BA6"/>
    <w:rPr>
      <w:vertAlign w:val="superscript"/>
    </w:rPr>
  </w:style>
  <w:style w:type="paragraph" w:customStyle="1" w:styleId="Paragraphnumbered">
    <w:name w:val="Paragraph (numbered)"/>
    <w:basedOn w:val="Normal"/>
    <w:uiPriority w:val="99"/>
    <w:rsid w:val="007E5C30"/>
    <w:pPr>
      <w:spacing w:before="240" w:after="0" w:line="240" w:lineRule="auto"/>
    </w:pPr>
    <w:rPr>
      <w:rFonts w:ascii="Times New Roman" w:eastAsia="Times New Roman" w:hAnsi="Times New Roman" w:cs="Times New Roman"/>
      <w:w w:val="100"/>
      <w:kern w:val="0"/>
      <w:sz w:val="24"/>
      <w:szCs w:val="20"/>
      <w:lang w:eastAsia="en-AU"/>
    </w:rPr>
  </w:style>
  <w:style w:type="character" w:styleId="UnresolvedMention">
    <w:name w:val="Unresolved Mention"/>
    <w:basedOn w:val="DefaultParagraphFont"/>
    <w:uiPriority w:val="99"/>
    <w:semiHidden/>
    <w:unhideWhenUsed/>
    <w:rsid w:val="00176BB1"/>
    <w:rPr>
      <w:color w:val="605E5C"/>
      <w:shd w:val="clear" w:color="auto" w:fill="E1DFDD"/>
    </w:rPr>
  </w:style>
  <w:style w:type="paragraph" w:styleId="Revision">
    <w:name w:val="Revision"/>
    <w:hidden/>
    <w:uiPriority w:val="99"/>
    <w:semiHidden/>
    <w:rsid w:val="004066C9"/>
    <w:rPr>
      <w:rFonts w:cs="Calibri"/>
      <w:w w:val="105"/>
      <w:kern w:val="40"/>
      <w:sz w:val="22"/>
      <w:szCs w:val="22"/>
      <w:lang w:eastAsia="en-US"/>
    </w:rPr>
  </w:style>
  <w:style w:type="character" w:styleId="FollowedHyperlink">
    <w:name w:val="FollowedHyperlink"/>
    <w:basedOn w:val="DefaultParagraphFont"/>
    <w:uiPriority w:val="99"/>
    <w:semiHidden/>
    <w:unhideWhenUsed/>
    <w:rsid w:val="00316E6B"/>
    <w:rPr>
      <w:color w:val="800080" w:themeColor="followedHyperlink"/>
      <w:u w:val="single"/>
    </w:rPr>
  </w:style>
  <w:style w:type="table" w:styleId="TableGrid">
    <w:name w:val="Table Grid"/>
    <w:basedOn w:val="TableNormal"/>
    <w:uiPriority w:val="39"/>
    <w:rsid w:val="00F61C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551">
      <w:bodyDiv w:val="1"/>
      <w:marLeft w:val="0"/>
      <w:marRight w:val="0"/>
      <w:marTop w:val="0"/>
      <w:marBottom w:val="0"/>
      <w:divBdr>
        <w:top w:val="none" w:sz="0" w:space="0" w:color="auto"/>
        <w:left w:val="none" w:sz="0" w:space="0" w:color="auto"/>
        <w:bottom w:val="none" w:sz="0" w:space="0" w:color="auto"/>
        <w:right w:val="none" w:sz="0" w:space="0" w:color="auto"/>
      </w:divBdr>
    </w:div>
    <w:div w:id="793838831">
      <w:bodyDiv w:val="1"/>
      <w:marLeft w:val="0"/>
      <w:marRight w:val="0"/>
      <w:marTop w:val="0"/>
      <w:marBottom w:val="0"/>
      <w:divBdr>
        <w:top w:val="none" w:sz="0" w:space="0" w:color="auto"/>
        <w:left w:val="none" w:sz="0" w:space="0" w:color="auto"/>
        <w:bottom w:val="none" w:sz="0" w:space="0" w:color="auto"/>
        <w:right w:val="none" w:sz="0" w:space="0" w:color="auto"/>
      </w:divBdr>
    </w:div>
    <w:div w:id="858008208">
      <w:bodyDiv w:val="1"/>
      <w:marLeft w:val="0"/>
      <w:marRight w:val="0"/>
      <w:marTop w:val="0"/>
      <w:marBottom w:val="0"/>
      <w:divBdr>
        <w:top w:val="none" w:sz="0" w:space="0" w:color="auto"/>
        <w:left w:val="none" w:sz="0" w:space="0" w:color="auto"/>
        <w:bottom w:val="none" w:sz="0" w:space="0" w:color="auto"/>
        <w:right w:val="none" w:sz="0" w:space="0" w:color="auto"/>
      </w:divBdr>
    </w:div>
    <w:div w:id="1137147194">
      <w:bodyDiv w:val="1"/>
      <w:marLeft w:val="0"/>
      <w:marRight w:val="0"/>
      <w:marTop w:val="0"/>
      <w:marBottom w:val="0"/>
      <w:divBdr>
        <w:top w:val="none" w:sz="0" w:space="0" w:color="auto"/>
        <w:left w:val="none" w:sz="0" w:space="0" w:color="auto"/>
        <w:bottom w:val="none" w:sz="0" w:space="0" w:color="auto"/>
        <w:right w:val="none" w:sz="0" w:space="0" w:color="auto"/>
      </w:divBdr>
    </w:div>
    <w:div w:id="1645814117">
      <w:bodyDiv w:val="1"/>
      <w:marLeft w:val="0"/>
      <w:marRight w:val="0"/>
      <w:marTop w:val="0"/>
      <w:marBottom w:val="0"/>
      <w:divBdr>
        <w:top w:val="none" w:sz="0" w:space="0" w:color="auto"/>
        <w:left w:val="none" w:sz="0" w:space="0" w:color="auto"/>
        <w:bottom w:val="none" w:sz="0" w:space="0" w:color="auto"/>
        <w:right w:val="none" w:sz="0" w:space="0" w:color="auto"/>
      </w:divBdr>
    </w:div>
    <w:div w:id="16946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7201</Words>
  <Characters>41046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adequate procedures to prevent the commission of foreign bribery</dc:title>
  <dc:creator/>
  <cp:lastModifiedBy/>
  <cp:revision>1</cp:revision>
  <dcterms:created xsi:type="dcterms:W3CDTF">2024-04-12T04:38:00Z</dcterms:created>
  <dcterms:modified xsi:type="dcterms:W3CDTF">2024-04-12T04:40:00Z</dcterms:modified>
</cp:coreProperties>
</file>