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16F66" w14:textId="77777777" w:rsidR="00564D32" w:rsidRDefault="00BF004D" w:rsidP="00511472">
      <w:pPr>
        <w:pStyle w:val="Heading5"/>
        <w:sectPr w:rsidR="00564D32" w:rsidSect="00564D32">
          <w:footerReference w:type="default" r:id="rId7"/>
          <w:pgSz w:w="12240" w:h="15840"/>
          <w:pgMar w:top="535" w:right="964" w:bottom="964" w:left="964" w:header="142" w:footer="163" w:gutter="0"/>
          <w:cols w:space="708"/>
          <w:docGrid w:linePitch="360"/>
        </w:sectPr>
      </w:pPr>
      <w:bookmarkStart w:id="0" w:name="_GoBack"/>
      <w:bookmarkEnd w:id="0"/>
      <w:r w:rsidRPr="00025431">
        <w:rPr>
          <w:noProof/>
          <w:lang w:eastAsia="en-AU"/>
        </w:rPr>
        <w:drawing>
          <wp:inline distT="0" distB="0" distL="0" distR="0" wp14:anchorId="3C216F6B" wp14:editId="3C216F6C">
            <wp:extent cx="7011561" cy="1360500"/>
            <wp:effectExtent l="0" t="0" r="0" b="0"/>
            <wp:docPr id="5" name="Picture 5" descr="Australian Government | Attorney-General's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11561" cy="1360500"/>
                    </a:xfrm>
                    <a:prstGeom prst="rect">
                      <a:avLst/>
                    </a:prstGeom>
                  </pic:spPr>
                </pic:pic>
              </a:graphicData>
            </a:graphic>
          </wp:inline>
        </w:drawing>
      </w:r>
    </w:p>
    <w:p w14:paraId="3C216F67" w14:textId="77777777" w:rsidR="00BF004D" w:rsidRPr="00025431" w:rsidRDefault="00BF004D" w:rsidP="00564D32"/>
    <w:p w14:paraId="3C216F69" w14:textId="6FB6473A" w:rsidR="001208A8" w:rsidRPr="00025431" w:rsidRDefault="00B10678" w:rsidP="001208A8">
      <w:pPr>
        <w:pStyle w:val="Heading1"/>
        <w:spacing w:before="4000"/>
        <w:jc w:val="center"/>
      </w:pPr>
      <w:r>
        <w:t>National Firearms Register</w:t>
      </w:r>
    </w:p>
    <w:p w14:paraId="13BF2328" w14:textId="66D41686" w:rsidR="00B10678" w:rsidRDefault="0045127A" w:rsidP="00B10678">
      <w:pPr>
        <w:pStyle w:val="Heading2"/>
        <w:spacing w:before="0"/>
        <w:jc w:val="center"/>
      </w:pPr>
      <w:r>
        <w:t>Public Consultation Paper</w:t>
      </w:r>
    </w:p>
    <w:p w14:paraId="784B8B22" w14:textId="77777777" w:rsidR="009A0E7A" w:rsidRDefault="009A0E7A" w:rsidP="00740F4F"/>
    <w:p w14:paraId="594627D0" w14:textId="77777777" w:rsidR="009A0E7A" w:rsidRDefault="009A0E7A" w:rsidP="00740F4F"/>
    <w:p w14:paraId="5A06AC5B" w14:textId="77777777" w:rsidR="00740F4F" w:rsidRDefault="00740F4F">
      <w:pPr>
        <w:spacing w:after="0" w:line="240" w:lineRule="auto"/>
        <w:rPr>
          <w:rFonts w:eastAsia="SimSun" w:cs="Angsana New"/>
          <w:b/>
          <w:bCs/>
          <w:color w:val="404040"/>
          <w:kern w:val="32"/>
          <w:sz w:val="52"/>
          <w:szCs w:val="52"/>
        </w:rPr>
      </w:pPr>
      <w:r>
        <w:br w:type="page"/>
      </w:r>
    </w:p>
    <w:p w14:paraId="1CD3EFE0" w14:textId="7C9778EA" w:rsidR="007B0C95" w:rsidRDefault="00D81AC3" w:rsidP="007B0C95">
      <w:pPr>
        <w:pStyle w:val="Heading1"/>
        <w:spacing w:beforeLines="100" w:before="240"/>
        <w:jc w:val="left"/>
      </w:pPr>
      <w:r>
        <w:lastRenderedPageBreak/>
        <w:t>National Firearms Register</w:t>
      </w:r>
    </w:p>
    <w:p w14:paraId="610EC5A7" w14:textId="4DCF17E1" w:rsidR="009A0E7A" w:rsidRPr="007B0C95" w:rsidRDefault="009A0E7A" w:rsidP="007B0C95">
      <w:pPr>
        <w:pStyle w:val="Heading2"/>
        <w:rPr>
          <w:color w:val="404040"/>
          <w:kern w:val="32"/>
          <w:sz w:val="52"/>
          <w:szCs w:val="52"/>
        </w:rPr>
      </w:pPr>
      <w:r>
        <w:t>Overvie</w:t>
      </w:r>
      <w:r w:rsidR="007B0C95">
        <w:t>w</w:t>
      </w:r>
    </w:p>
    <w:p w14:paraId="3C0763C5" w14:textId="65B30A55" w:rsidR="00D2664F" w:rsidRDefault="00D2664F" w:rsidP="00D2664F">
      <w:r>
        <w:t xml:space="preserve">On 3 February 2023, </w:t>
      </w:r>
      <w:r w:rsidRPr="007C33A4">
        <w:t xml:space="preserve">National Cabinet </w:t>
      </w:r>
      <w:r w:rsidR="00743558" w:rsidRPr="007C33A4">
        <w:t xml:space="preserve">tasked Police Ministers to report back to National Cabinet in mid-2023 with options </w:t>
      </w:r>
      <w:r w:rsidRPr="007C33A4">
        <w:t>to implement a National Firearms Register (Register)</w:t>
      </w:r>
      <w:r w:rsidR="007C33A4" w:rsidRPr="00E128DD">
        <w:t>. Options for a Register will be developed</w:t>
      </w:r>
      <w:r w:rsidRPr="00B74033">
        <w:t xml:space="preserve"> in line with the following principles</w:t>
      </w:r>
      <w:r w:rsidR="007C33A4">
        <w:t xml:space="preserve"> of operation</w:t>
      </w:r>
      <w:r w:rsidRPr="00B74033">
        <w:t xml:space="preserve">: </w:t>
      </w:r>
    </w:p>
    <w:p w14:paraId="0C7414F4" w14:textId="77777777" w:rsidR="00FE0233" w:rsidRDefault="00D2664F" w:rsidP="00FE0233">
      <w:pPr>
        <w:pStyle w:val="ListParagraph"/>
        <w:numPr>
          <w:ilvl w:val="0"/>
          <w:numId w:val="21"/>
        </w:numPr>
        <w:ind w:left="714" w:hanging="357"/>
        <w:contextualSpacing w:val="0"/>
      </w:pPr>
      <w:r>
        <w:t xml:space="preserve">Operate in near real-time </w:t>
      </w:r>
    </w:p>
    <w:p w14:paraId="33B45772" w14:textId="77777777" w:rsidR="00FE0233" w:rsidRDefault="00D2664F" w:rsidP="00FE0233">
      <w:pPr>
        <w:pStyle w:val="ListParagraph"/>
        <w:numPr>
          <w:ilvl w:val="0"/>
          <w:numId w:val="21"/>
        </w:numPr>
        <w:ind w:left="714" w:hanging="357"/>
        <w:contextualSpacing w:val="0"/>
      </w:pPr>
      <w:r>
        <w:t xml:space="preserve">Provide details of licence holders </w:t>
      </w:r>
    </w:p>
    <w:p w14:paraId="1C42145A" w14:textId="77777777" w:rsidR="00FE0233" w:rsidRDefault="00D2664F" w:rsidP="00FE0233">
      <w:pPr>
        <w:pStyle w:val="ListParagraph"/>
        <w:numPr>
          <w:ilvl w:val="0"/>
          <w:numId w:val="21"/>
        </w:numPr>
        <w:ind w:left="714" w:hanging="357"/>
        <w:contextualSpacing w:val="0"/>
      </w:pPr>
      <w:r>
        <w:t xml:space="preserve">Provide a single firearm record (technical details, identity and history) </w:t>
      </w:r>
    </w:p>
    <w:p w14:paraId="347CDB65" w14:textId="77777777" w:rsidR="00FE0233" w:rsidRDefault="00D2664F" w:rsidP="00FE0233">
      <w:pPr>
        <w:pStyle w:val="ListParagraph"/>
        <w:numPr>
          <w:ilvl w:val="0"/>
          <w:numId w:val="21"/>
        </w:numPr>
        <w:ind w:left="714" w:hanging="357"/>
        <w:contextualSpacing w:val="0"/>
      </w:pPr>
      <w:r>
        <w:t>Be interoperable between jurisdictions</w:t>
      </w:r>
    </w:p>
    <w:p w14:paraId="475DF9D7" w14:textId="77777777" w:rsidR="00FE0233" w:rsidRDefault="00D2664F" w:rsidP="00FE0233">
      <w:pPr>
        <w:pStyle w:val="ListParagraph"/>
        <w:numPr>
          <w:ilvl w:val="0"/>
          <w:numId w:val="21"/>
        </w:numPr>
        <w:ind w:left="714" w:hanging="357"/>
        <w:contextualSpacing w:val="0"/>
      </w:pPr>
      <w:r>
        <w:t xml:space="preserve">Link firearms and individuals </w:t>
      </w:r>
    </w:p>
    <w:p w14:paraId="4125ABB5" w14:textId="4D86AD88" w:rsidR="00FE0233" w:rsidRDefault="00D2664F" w:rsidP="00FE0233">
      <w:pPr>
        <w:pStyle w:val="ListParagraph"/>
        <w:numPr>
          <w:ilvl w:val="0"/>
          <w:numId w:val="21"/>
        </w:numPr>
        <w:ind w:left="714" w:hanging="357"/>
        <w:contextualSpacing w:val="0"/>
      </w:pPr>
      <w:r>
        <w:t>Leverage existing systems where possible</w:t>
      </w:r>
      <w:r w:rsidR="00C43443">
        <w:t>, and</w:t>
      </w:r>
    </w:p>
    <w:p w14:paraId="55AD73F9" w14:textId="78759AC5" w:rsidR="00D2664F" w:rsidRDefault="00D2664F" w:rsidP="00FE0233">
      <w:pPr>
        <w:pStyle w:val="ListParagraph"/>
        <w:numPr>
          <w:ilvl w:val="0"/>
          <w:numId w:val="21"/>
        </w:numPr>
        <w:ind w:left="714" w:hanging="357"/>
        <w:contextualSpacing w:val="0"/>
      </w:pPr>
      <w:r>
        <w:t>Provide notification of cross-jurisdictional movement of firearms.</w:t>
      </w:r>
    </w:p>
    <w:p w14:paraId="52BF7E10" w14:textId="15535A09" w:rsidR="00D005AE" w:rsidRDefault="00D005AE" w:rsidP="00D005AE">
      <w:r>
        <w:t>The purpose of this paper is to obtain public input on the key capabilities</w:t>
      </w:r>
      <w:r w:rsidR="00BD6815">
        <w:t xml:space="preserve"> and benefits</w:t>
      </w:r>
      <w:r>
        <w:t xml:space="preserve"> a Register could provide for law enforcement</w:t>
      </w:r>
      <w:r w:rsidR="006057E1">
        <w:t xml:space="preserve">, </w:t>
      </w:r>
      <w:r>
        <w:t>government regulators</w:t>
      </w:r>
      <w:r w:rsidR="006A5FC2">
        <w:t>,</w:t>
      </w:r>
      <w:r>
        <w:t xml:space="preserve"> and the </w:t>
      </w:r>
      <w:r w:rsidR="006057E1">
        <w:t>public</w:t>
      </w:r>
      <w:r>
        <w:t xml:space="preserve">. Input will be used to inform the development of Register </w:t>
      </w:r>
      <w:r w:rsidR="00B74033">
        <w:t xml:space="preserve">options </w:t>
      </w:r>
      <w:r>
        <w:t xml:space="preserve">for National Cabinet consideration. </w:t>
      </w:r>
    </w:p>
    <w:p w14:paraId="0928FF6B" w14:textId="72E3F793" w:rsidR="00276D95" w:rsidRPr="00832499" w:rsidRDefault="00FE0233" w:rsidP="00E128DD">
      <w:pPr>
        <w:pStyle w:val="Heading3"/>
        <w:rPr>
          <w:rFonts w:cs="Arial"/>
          <w:iCs/>
          <w:szCs w:val="24"/>
        </w:rPr>
      </w:pPr>
      <w:r>
        <w:rPr>
          <w:w w:val="100"/>
          <w:lang w:eastAsia="en-AU"/>
        </w:rPr>
        <w:t>T</w:t>
      </w:r>
      <w:r w:rsidR="00D2664F">
        <w:rPr>
          <w:w w:val="100"/>
          <w:lang w:eastAsia="en-AU"/>
        </w:rPr>
        <w:t xml:space="preserve">he </w:t>
      </w:r>
      <w:r>
        <w:rPr>
          <w:w w:val="100"/>
          <w:lang w:eastAsia="en-AU"/>
        </w:rPr>
        <w:t>objective</w:t>
      </w:r>
      <w:r w:rsidR="00D2664F">
        <w:rPr>
          <w:w w:val="100"/>
          <w:lang w:eastAsia="en-AU"/>
        </w:rPr>
        <w:t xml:space="preserve"> of a National Firearms Register </w:t>
      </w:r>
    </w:p>
    <w:p w14:paraId="7B218DBA" w14:textId="173AB608" w:rsidR="006A5E92" w:rsidRDefault="006A5E92" w:rsidP="00E128DD">
      <w:pPr>
        <w:spacing w:line="240" w:lineRule="auto"/>
      </w:pPr>
      <w:r>
        <w:rPr>
          <w:rFonts w:cs="Arial"/>
          <w:iCs/>
          <w:szCs w:val="24"/>
        </w:rPr>
        <w:t>The primary objective</w:t>
      </w:r>
      <w:r w:rsidR="00251331">
        <w:rPr>
          <w:rFonts w:cs="Arial"/>
          <w:iCs/>
          <w:szCs w:val="24"/>
        </w:rPr>
        <w:t xml:space="preserve"> of a</w:t>
      </w:r>
      <w:r>
        <w:rPr>
          <w:rFonts w:cs="Arial"/>
          <w:iCs/>
          <w:szCs w:val="24"/>
        </w:rPr>
        <w:t xml:space="preserve"> </w:t>
      </w:r>
      <w:r w:rsidR="00276D95">
        <w:rPr>
          <w:rFonts w:cs="Arial"/>
          <w:iCs/>
          <w:szCs w:val="24"/>
        </w:rPr>
        <w:t>Register</w:t>
      </w:r>
      <w:r w:rsidR="00276D95" w:rsidRPr="00150005">
        <w:rPr>
          <w:rFonts w:cs="Arial"/>
          <w:iCs/>
          <w:szCs w:val="24"/>
        </w:rPr>
        <w:t xml:space="preserve"> </w:t>
      </w:r>
      <w:r>
        <w:t xml:space="preserve">is to preserve community and police safety, </w:t>
      </w:r>
      <w:r w:rsidR="00276D95" w:rsidRPr="00980058">
        <w:rPr>
          <w:rFonts w:cs="Arial"/>
          <w:iCs/>
          <w:szCs w:val="24"/>
        </w:rPr>
        <w:t>by ensuring police</w:t>
      </w:r>
      <w:r w:rsidR="00276D95">
        <w:rPr>
          <w:rFonts w:cs="Arial"/>
          <w:iCs/>
          <w:szCs w:val="24"/>
        </w:rPr>
        <w:t xml:space="preserve"> </w:t>
      </w:r>
      <w:r w:rsidR="00276D95" w:rsidRPr="00980058">
        <w:rPr>
          <w:rFonts w:cs="Arial"/>
          <w:iCs/>
          <w:szCs w:val="24"/>
        </w:rPr>
        <w:t>have</w:t>
      </w:r>
      <w:r w:rsidR="00276D95">
        <w:rPr>
          <w:rFonts w:cs="Arial"/>
          <w:iCs/>
          <w:szCs w:val="24"/>
        </w:rPr>
        <w:t xml:space="preserve"> </w:t>
      </w:r>
      <w:r w:rsidR="00276D95" w:rsidRPr="006129CE">
        <w:t xml:space="preserve">timely and accurate information </w:t>
      </w:r>
      <w:r w:rsidRPr="00FE0233">
        <w:t>required to accurately assess the firearms risk posed by an individual</w:t>
      </w:r>
      <w:r w:rsidR="00251331">
        <w:t>,</w:t>
      </w:r>
      <w:r w:rsidRPr="00FE0233">
        <w:t xml:space="preserve"> and protect the community from harm</w:t>
      </w:r>
      <w:r>
        <w:t>.</w:t>
      </w:r>
    </w:p>
    <w:p w14:paraId="39103B65" w14:textId="2B7A33B3" w:rsidR="00405D71" w:rsidRDefault="006057E1" w:rsidP="00991023">
      <w:r>
        <w:t xml:space="preserve">The proposed Register is intended to improve </w:t>
      </w:r>
      <w:r w:rsidR="00C00383">
        <w:t xml:space="preserve">the way firearms ownership </w:t>
      </w:r>
      <w:r w:rsidR="00405D71" w:rsidRPr="00405D71">
        <w:t xml:space="preserve">information </w:t>
      </w:r>
      <w:r w:rsidR="00C00383">
        <w:t xml:space="preserve">is shared </w:t>
      </w:r>
      <w:r w:rsidR="00405D71" w:rsidRPr="00405D71">
        <w:t>between jurisdictions</w:t>
      </w:r>
      <w:r w:rsidR="00730D3E">
        <w:t xml:space="preserve"> to support public safety outcomes</w:t>
      </w:r>
      <w:r w:rsidR="00BE252E">
        <w:t xml:space="preserve">. </w:t>
      </w:r>
      <w:r w:rsidR="00375084">
        <w:t xml:space="preserve">Equipping law enforcement and regulatory agencies </w:t>
      </w:r>
      <w:r w:rsidR="00B74033">
        <w:t xml:space="preserve">across the country </w:t>
      </w:r>
      <w:r w:rsidR="00375084">
        <w:t xml:space="preserve">with information </w:t>
      </w:r>
      <w:r w:rsidR="00B74033">
        <w:t>on</w:t>
      </w:r>
      <w:r w:rsidR="008D697A">
        <w:t xml:space="preserve"> the movement of</w:t>
      </w:r>
      <w:r w:rsidR="00375084">
        <w:t xml:space="preserve"> </w:t>
      </w:r>
      <w:r w:rsidR="008D697A">
        <w:t xml:space="preserve">firearms and individuals in possession of firearms will </w:t>
      </w:r>
      <w:r w:rsidR="00251331">
        <w:t>better enable</w:t>
      </w:r>
      <w:r w:rsidR="008D697A">
        <w:t xml:space="preserve"> </w:t>
      </w:r>
      <w:r w:rsidR="00B74033">
        <w:t>police</w:t>
      </w:r>
      <w:r w:rsidR="008D697A">
        <w:t xml:space="preserve"> to appropriately respond to firearms-related matters and incidents.</w:t>
      </w:r>
    </w:p>
    <w:p w14:paraId="758FB43E" w14:textId="48180067" w:rsidR="00FE0233" w:rsidRDefault="00FE0233" w:rsidP="00FE0233">
      <w:r>
        <w:t xml:space="preserve">In providing better information on firearms movements </w:t>
      </w:r>
      <w:r w:rsidRPr="00FE0233">
        <w:t>(import, export, interstate transfer</w:t>
      </w:r>
      <w:r>
        <w:t xml:space="preserve"> and </w:t>
      </w:r>
      <w:r w:rsidRPr="00FE0233">
        <w:t xml:space="preserve">ownership), </w:t>
      </w:r>
      <w:r>
        <w:t xml:space="preserve">the Register would also aim to </w:t>
      </w:r>
      <w:r w:rsidRPr="00FE0233">
        <w:t>increas</w:t>
      </w:r>
      <w:r>
        <w:t>e</w:t>
      </w:r>
      <w:r w:rsidRPr="00FE0233">
        <w:t xml:space="preserve"> the identif</w:t>
      </w:r>
      <w:r w:rsidR="00BD6815">
        <w:t>ication of</w:t>
      </w:r>
      <w:r w:rsidRPr="00FE0233">
        <w:t xml:space="preserve"> the movement of firearms to the illicit market</w:t>
      </w:r>
      <w:r>
        <w:t xml:space="preserve">, allowing law enforcement to take decisive and timely action to locate and seize these firearms. </w:t>
      </w:r>
    </w:p>
    <w:p w14:paraId="0F7D5B0D" w14:textId="794D832E" w:rsidR="00405D71" w:rsidRDefault="00FE0233" w:rsidP="00FE0233">
      <w:r>
        <w:t xml:space="preserve">The sharing of information between jurisdictions could also facilitate the </w:t>
      </w:r>
      <w:r w:rsidR="00515DF6">
        <w:t xml:space="preserve">efficient </w:t>
      </w:r>
      <w:r>
        <w:t xml:space="preserve">administration of licensing, permit and registration systems, </w:t>
      </w:r>
      <w:r w:rsidR="00375084">
        <w:t xml:space="preserve">decreasing </w:t>
      </w:r>
      <w:r>
        <w:t xml:space="preserve">regulatory impost on the firearms community through reducing </w:t>
      </w:r>
      <w:r w:rsidRPr="00B64BD3">
        <w:t>duplication</w:t>
      </w:r>
      <w:r w:rsidR="00375084">
        <w:t>,</w:t>
      </w:r>
      <w:r>
        <w:t xml:space="preserve"> while ensuring that vital information can be shared between registries</w:t>
      </w:r>
      <w:r w:rsidR="006A5E92">
        <w:t>.</w:t>
      </w:r>
    </w:p>
    <w:p w14:paraId="58BAC2CD" w14:textId="6B9A2305" w:rsidR="006A5E92" w:rsidRPr="00FE0233" w:rsidRDefault="006A5E92" w:rsidP="00FE0233">
      <w:r>
        <w:t xml:space="preserve">Firearms would continue to be managed as they are now, with the Commonwealth retaining responsibility for firearms import and export management, while the states and territories would continue to have responsibility for firearms possession laws and licensing systems. </w:t>
      </w:r>
      <w:r w:rsidR="00251331">
        <w:t xml:space="preserve">The Register </w:t>
      </w:r>
      <w:r>
        <w:t>would not change the way</w:t>
      </w:r>
      <w:r w:rsidRPr="00405D71">
        <w:t xml:space="preserve"> </w:t>
      </w:r>
      <w:r w:rsidR="00A06EC2">
        <w:t xml:space="preserve">that </w:t>
      </w:r>
      <w:r w:rsidRPr="00405D71">
        <w:t>firearms regulation</w:t>
      </w:r>
      <w:r>
        <w:t xml:space="preserve"> is managed</w:t>
      </w:r>
      <w:r w:rsidRPr="00405D71">
        <w:t>.</w:t>
      </w:r>
    </w:p>
    <w:p w14:paraId="62F6A409" w14:textId="1B735751" w:rsidR="00991023" w:rsidRPr="006301E9" w:rsidRDefault="00893B61" w:rsidP="00991023">
      <w:pPr>
        <w:pStyle w:val="Heading3"/>
        <w:rPr>
          <w:w w:val="100"/>
          <w:sz w:val="22"/>
          <w:szCs w:val="22"/>
          <w:lang w:eastAsia="en-AU"/>
        </w:rPr>
      </w:pPr>
      <w:r>
        <w:rPr>
          <w:w w:val="100"/>
          <w:lang w:eastAsia="en-AU"/>
        </w:rPr>
        <w:lastRenderedPageBreak/>
        <w:t xml:space="preserve">Key capabilities </w:t>
      </w:r>
      <w:r w:rsidR="00F661BB">
        <w:rPr>
          <w:w w:val="100"/>
          <w:lang w:eastAsia="en-AU"/>
        </w:rPr>
        <w:t>for law enforcement</w:t>
      </w:r>
      <w:r w:rsidR="00D005AE">
        <w:rPr>
          <w:w w:val="100"/>
          <w:lang w:eastAsia="en-AU"/>
        </w:rPr>
        <w:t xml:space="preserve"> and regulatory agencies</w:t>
      </w:r>
    </w:p>
    <w:p w14:paraId="7249461C" w14:textId="1A478C96" w:rsidR="004049B1" w:rsidRDefault="004049B1" w:rsidP="004049B1">
      <w:pPr>
        <w:rPr>
          <w:rFonts w:cs="Arial"/>
        </w:rPr>
      </w:pPr>
      <w:r>
        <w:rPr>
          <w:rFonts w:cs="Arial"/>
        </w:rPr>
        <w:t>Law enforcement and regulatory agencies that issue firearms permits and licences could benefit significantly from the development of a Register, particularly if the Register is able to operate in near real</w:t>
      </w:r>
      <w:r w:rsidR="00C43443">
        <w:rPr>
          <w:rFonts w:cs="Arial"/>
        </w:rPr>
        <w:t>-</w:t>
      </w:r>
      <w:r>
        <w:rPr>
          <w:rFonts w:cs="Arial"/>
        </w:rPr>
        <w:t xml:space="preserve">time to produce the following capabilities: </w:t>
      </w:r>
    </w:p>
    <w:p w14:paraId="7D1BB58B" w14:textId="45E90519" w:rsidR="00C45042" w:rsidRPr="00C45042" w:rsidRDefault="00C45042" w:rsidP="004049B1">
      <w:pPr>
        <w:pStyle w:val="ListParagraph"/>
        <w:numPr>
          <w:ilvl w:val="0"/>
          <w:numId w:val="21"/>
        </w:numPr>
        <w:ind w:left="714" w:hanging="357"/>
        <w:contextualSpacing w:val="0"/>
        <w:rPr>
          <w:rFonts w:cs="Arial"/>
        </w:rPr>
      </w:pPr>
      <w:r>
        <w:rPr>
          <w:rFonts w:cs="Arial"/>
        </w:rPr>
        <w:t xml:space="preserve">Provide a single shared record that uniquely identifies each </w:t>
      </w:r>
      <w:r w:rsidRPr="004C5E8E">
        <w:rPr>
          <w:rFonts w:cs="Arial"/>
        </w:rPr>
        <w:t>firearm</w:t>
      </w:r>
      <w:r>
        <w:rPr>
          <w:rFonts w:cs="Arial"/>
        </w:rPr>
        <w:t xml:space="preserve"> in Australia, as well as each non</w:t>
      </w:r>
      <w:r w:rsidR="00BE252E">
        <w:rPr>
          <w:rFonts w:cs="Arial"/>
        </w:rPr>
        <w:noBreakHyphen/>
      </w:r>
      <w:r>
        <w:rPr>
          <w:rFonts w:cs="Arial"/>
        </w:rPr>
        <w:t>government individual or entity authorised to possess a firearm</w:t>
      </w:r>
      <w:r w:rsidR="00C43443">
        <w:rPr>
          <w:rFonts w:cs="Arial"/>
        </w:rPr>
        <w:t>,</w:t>
      </w:r>
      <w:r>
        <w:rPr>
          <w:rFonts w:cs="Arial"/>
        </w:rPr>
        <w:t xml:space="preserve"> </w:t>
      </w:r>
    </w:p>
    <w:p w14:paraId="40AD9AC0" w14:textId="1775692D" w:rsidR="00C45042" w:rsidRPr="004C5E8E" w:rsidRDefault="00C45042" w:rsidP="00C45042">
      <w:pPr>
        <w:pStyle w:val="ListParagraph"/>
        <w:numPr>
          <w:ilvl w:val="0"/>
          <w:numId w:val="21"/>
        </w:numPr>
        <w:ind w:left="714" w:hanging="357"/>
        <w:contextualSpacing w:val="0"/>
        <w:rPr>
          <w:rFonts w:cs="Arial"/>
        </w:rPr>
      </w:pPr>
      <w:r>
        <w:rPr>
          <w:rFonts w:cs="Arial"/>
        </w:rPr>
        <w:t xml:space="preserve">Provide a view of firearms in Australia, with an ability to track </w:t>
      </w:r>
      <w:r w:rsidR="004049B1">
        <w:rPr>
          <w:rFonts w:cs="Arial"/>
        </w:rPr>
        <w:t xml:space="preserve">the </w:t>
      </w:r>
      <w:r>
        <w:rPr>
          <w:rFonts w:cs="Arial"/>
        </w:rPr>
        <w:t>movement of firearms</w:t>
      </w:r>
      <w:r w:rsidR="004049B1">
        <w:rPr>
          <w:rFonts w:cs="Arial"/>
        </w:rPr>
        <w:t xml:space="preserve"> between entities </w:t>
      </w:r>
      <w:r>
        <w:rPr>
          <w:rFonts w:cs="Arial"/>
        </w:rPr>
        <w:t>from import or manufacture to export or destruction</w:t>
      </w:r>
      <w:r w:rsidR="00C43443">
        <w:rPr>
          <w:rFonts w:cs="Arial"/>
        </w:rPr>
        <w:t>, and</w:t>
      </w:r>
    </w:p>
    <w:p w14:paraId="50907A12" w14:textId="38047E09" w:rsidR="00223F30" w:rsidRDefault="00223F30" w:rsidP="00223F30">
      <w:pPr>
        <w:pStyle w:val="ListParagraph"/>
        <w:numPr>
          <w:ilvl w:val="0"/>
          <w:numId w:val="21"/>
        </w:numPr>
        <w:ind w:left="714" w:hanging="357"/>
        <w:contextualSpacing w:val="0"/>
      </w:pPr>
      <w:r w:rsidRPr="00223F30">
        <w:t>A</w:t>
      </w:r>
      <w:r w:rsidR="00FE0233" w:rsidRPr="00223F30">
        <w:t xml:space="preserve">n alert or notification function for prescribed high risk information or events, </w:t>
      </w:r>
      <w:r w:rsidR="00DC6CB1">
        <w:t>for example</w:t>
      </w:r>
      <w:r w:rsidR="00DC6CB1" w:rsidRPr="00223F30">
        <w:t xml:space="preserve"> </w:t>
      </w:r>
      <w:r w:rsidR="00FE0233" w:rsidRPr="00223F30">
        <w:t xml:space="preserve">alerts for </w:t>
      </w:r>
      <w:r w:rsidR="005F4C14">
        <w:t>rejected, suspended or cancelled</w:t>
      </w:r>
      <w:r w:rsidR="00FE0233" w:rsidRPr="00223F30">
        <w:t xml:space="preserve"> licence</w:t>
      </w:r>
      <w:r w:rsidR="005F4C14">
        <w:t>s</w:t>
      </w:r>
      <w:r w:rsidR="00FE0233" w:rsidRPr="00223F30">
        <w:t>, interstate transfers, detected non-compliance with licence conditions</w:t>
      </w:r>
      <w:r>
        <w:t xml:space="preserve">, </w:t>
      </w:r>
      <w:r w:rsidR="00FE0233" w:rsidRPr="00223F30">
        <w:t>stolen firearms</w:t>
      </w:r>
      <w:r w:rsidR="00D005AE">
        <w:t xml:space="preserve"> and ongoing probity checks</w:t>
      </w:r>
      <w:r>
        <w:t xml:space="preserve">. </w:t>
      </w:r>
    </w:p>
    <w:p w14:paraId="5FC2E606" w14:textId="02EB5D41" w:rsidR="004049B1" w:rsidRDefault="004049B1" w:rsidP="00C45042">
      <w:r>
        <w:t xml:space="preserve">These key capabilities would ensure that government regulators and law enforcement are aware of the key inter-jurisdictional information required to assess a person’s suitability to hold a relevant firearms </w:t>
      </w:r>
      <w:r w:rsidR="00276FC5">
        <w:t>licence or permit, identify the movement of firearms between jurisdictions and allow operational law enforcement to appropriately respond to firearms-related incidents.</w:t>
      </w:r>
    </w:p>
    <w:p w14:paraId="11D48494" w14:textId="77777777" w:rsidR="00730D3E" w:rsidRDefault="00730D3E" w:rsidP="00730D3E">
      <w:pPr>
        <w:pBdr>
          <w:top w:val="single" w:sz="4" w:space="1" w:color="auto"/>
          <w:left w:val="single" w:sz="4" w:space="4" w:color="auto"/>
          <w:bottom w:val="single" w:sz="4" w:space="1" w:color="auto"/>
          <w:right w:val="single" w:sz="4" w:space="4" w:color="auto"/>
        </w:pBdr>
        <w:rPr>
          <w:rFonts w:cs="Arial"/>
        </w:rPr>
      </w:pPr>
      <w:r w:rsidRPr="00D92D16">
        <w:rPr>
          <w:rFonts w:cs="Arial"/>
          <w:b/>
        </w:rPr>
        <w:t>Question 1:</w:t>
      </w:r>
      <w:r>
        <w:rPr>
          <w:rFonts w:cs="Arial"/>
        </w:rPr>
        <w:t xml:space="preserve"> What capabilities should a National Firearms Register provide to government regulators and law enforcement?</w:t>
      </w:r>
    </w:p>
    <w:p w14:paraId="20EEDA7D" w14:textId="6AE1AE90" w:rsidR="00730D3E" w:rsidRDefault="00730D3E" w:rsidP="00730D3E">
      <w:pPr>
        <w:pBdr>
          <w:top w:val="single" w:sz="4" w:space="1" w:color="auto"/>
          <w:left w:val="single" w:sz="4" w:space="4" w:color="auto"/>
          <w:bottom w:val="single" w:sz="4" w:space="1" w:color="auto"/>
          <w:right w:val="single" w:sz="4" w:space="4" w:color="auto"/>
        </w:pBdr>
        <w:rPr>
          <w:rFonts w:cs="Arial"/>
        </w:rPr>
      </w:pPr>
      <w:r w:rsidRPr="00D92D16">
        <w:rPr>
          <w:rFonts w:cs="Arial"/>
          <w:b/>
        </w:rPr>
        <w:t xml:space="preserve">Question 2: </w:t>
      </w:r>
      <w:r w:rsidRPr="004049B1">
        <w:rPr>
          <w:rFonts w:cs="Arial"/>
        </w:rPr>
        <w:t xml:space="preserve">Should a National Firearms Register </w:t>
      </w:r>
      <w:r>
        <w:rPr>
          <w:rFonts w:cs="Arial"/>
        </w:rPr>
        <w:t>trace</w:t>
      </w:r>
      <w:r w:rsidRPr="004049B1">
        <w:rPr>
          <w:rFonts w:cs="Arial"/>
        </w:rPr>
        <w:t xml:space="preserve"> </w:t>
      </w:r>
      <w:r>
        <w:rPr>
          <w:rFonts w:cs="Arial"/>
        </w:rPr>
        <w:t>more than firearms</w:t>
      </w:r>
      <w:r w:rsidRPr="001056C6">
        <w:rPr>
          <w:rFonts w:cs="Arial"/>
        </w:rPr>
        <w:t xml:space="preserve">, </w:t>
      </w:r>
      <w:r>
        <w:rPr>
          <w:rFonts w:cs="Arial"/>
        </w:rPr>
        <w:t>for example firearms accessories, magazines</w:t>
      </w:r>
      <w:r w:rsidR="002A0E26">
        <w:rPr>
          <w:rFonts w:cs="Arial"/>
        </w:rPr>
        <w:t xml:space="preserve">, </w:t>
      </w:r>
      <w:r>
        <w:rPr>
          <w:rFonts w:cs="Arial"/>
        </w:rPr>
        <w:t>parts</w:t>
      </w:r>
      <w:r w:rsidR="002A0E26">
        <w:rPr>
          <w:rFonts w:cs="Arial"/>
        </w:rPr>
        <w:t xml:space="preserve"> and ammunition</w:t>
      </w:r>
      <w:r>
        <w:rPr>
          <w:rFonts w:cs="Arial"/>
        </w:rPr>
        <w:t>?</w:t>
      </w:r>
    </w:p>
    <w:p w14:paraId="0640B425" w14:textId="77777777" w:rsidR="00730D3E" w:rsidRDefault="00730D3E" w:rsidP="00730D3E">
      <w:pPr>
        <w:pBdr>
          <w:top w:val="single" w:sz="4" w:space="1" w:color="auto"/>
          <w:left w:val="single" w:sz="4" w:space="4" w:color="auto"/>
          <w:bottom w:val="single" w:sz="4" w:space="1" w:color="auto"/>
          <w:right w:val="single" w:sz="4" w:space="4" w:color="auto"/>
        </w:pBdr>
        <w:rPr>
          <w:rFonts w:cs="Arial"/>
        </w:rPr>
      </w:pPr>
      <w:r w:rsidRPr="001056C6">
        <w:rPr>
          <w:rFonts w:cs="Arial"/>
          <w:b/>
        </w:rPr>
        <w:t xml:space="preserve">Question </w:t>
      </w:r>
      <w:r>
        <w:rPr>
          <w:rFonts w:cs="Arial"/>
          <w:b/>
        </w:rPr>
        <w:t>3</w:t>
      </w:r>
      <w:r w:rsidRPr="001056C6">
        <w:rPr>
          <w:rFonts w:cs="Arial"/>
          <w:b/>
        </w:rPr>
        <w:t>:</w:t>
      </w:r>
      <w:r>
        <w:rPr>
          <w:rFonts w:cs="Arial"/>
        </w:rPr>
        <w:t xml:space="preserve"> Do you have any comments on the benefits a National Firearms Register will offer to law enforcement and community safety, including any broader benefits that should be explored?</w:t>
      </w:r>
    </w:p>
    <w:p w14:paraId="4001BBE2" w14:textId="6ADFC280" w:rsidR="00F57BFF" w:rsidRPr="00EF2368" w:rsidRDefault="00F57BFF" w:rsidP="00EF2368">
      <w:pPr>
        <w:pStyle w:val="Heading3"/>
        <w:rPr>
          <w:w w:val="100"/>
          <w:lang w:eastAsia="en-AU"/>
        </w:rPr>
      </w:pPr>
      <w:r w:rsidRPr="00EF2368">
        <w:rPr>
          <w:w w:val="100"/>
          <w:lang w:eastAsia="en-AU"/>
        </w:rPr>
        <w:t>Other capabilities</w:t>
      </w:r>
    </w:p>
    <w:p w14:paraId="20D46DF9" w14:textId="71D13BAD" w:rsidR="004A1BA5" w:rsidRDefault="006F3B13" w:rsidP="004A1BA5">
      <w:pPr>
        <w:rPr>
          <w:rFonts w:cs="Arial"/>
        </w:rPr>
      </w:pPr>
      <w:r>
        <w:rPr>
          <w:rFonts w:cs="Arial"/>
        </w:rPr>
        <w:t xml:space="preserve">Trusted non-government entities, such as </w:t>
      </w:r>
      <w:r w:rsidR="009124FA">
        <w:rPr>
          <w:rFonts w:cs="Arial"/>
        </w:rPr>
        <w:t>authorised</w:t>
      </w:r>
      <w:r>
        <w:rPr>
          <w:rFonts w:cs="Arial"/>
        </w:rPr>
        <w:t xml:space="preserve"> firearms dealers</w:t>
      </w:r>
      <w:r w:rsidR="00730D3E">
        <w:rPr>
          <w:rFonts w:cs="Arial"/>
        </w:rPr>
        <w:t>,</w:t>
      </w:r>
      <w:r w:rsidR="00F57BFF">
        <w:rPr>
          <w:rFonts w:cs="Arial"/>
        </w:rPr>
        <w:t xml:space="preserve"> contribute to the safety of the Australian community</w:t>
      </w:r>
      <w:r>
        <w:rPr>
          <w:rFonts w:cs="Arial"/>
        </w:rPr>
        <w:t xml:space="preserve"> by complying with regulations and codes of practice </w:t>
      </w:r>
      <w:r w:rsidR="009124FA">
        <w:rPr>
          <w:rFonts w:cs="Arial"/>
        </w:rPr>
        <w:t>and</w:t>
      </w:r>
      <w:r>
        <w:rPr>
          <w:rFonts w:cs="Arial"/>
        </w:rPr>
        <w:t xml:space="preserve"> </w:t>
      </w:r>
      <w:r w:rsidR="009124FA">
        <w:rPr>
          <w:rFonts w:cs="Arial"/>
        </w:rPr>
        <w:t>ensuring that firearms are only being sold to purchasers who are eligible to own them.</w:t>
      </w:r>
      <w:r>
        <w:rPr>
          <w:rFonts w:cs="Arial"/>
        </w:rPr>
        <w:t xml:space="preserve"> The contribution that </w:t>
      </w:r>
      <w:r w:rsidR="009124FA">
        <w:rPr>
          <w:rFonts w:cs="Arial"/>
        </w:rPr>
        <w:t>authorised firearms dealers make</w:t>
      </w:r>
      <w:r>
        <w:rPr>
          <w:rFonts w:cs="Arial"/>
        </w:rPr>
        <w:t xml:space="preserve"> </w:t>
      </w:r>
      <w:r w:rsidR="009124FA">
        <w:rPr>
          <w:rFonts w:cs="Arial"/>
        </w:rPr>
        <w:t xml:space="preserve">to community safety could be strengthened as part of a Register. </w:t>
      </w:r>
      <w:r w:rsidR="00C8571E">
        <w:rPr>
          <w:rFonts w:cs="Arial"/>
        </w:rPr>
        <w:t xml:space="preserve">Specifically, a </w:t>
      </w:r>
      <w:r w:rsidR="004A1BA5">
        <w:rPr>
          <w:rFonts w:cs="Arial"/>
        </w:rPr>
        <w:t>Register could improve how trusted entities</w:t>
      </w:r>
      <w:r w:rsidR="00C8571E">
        <w:rPr>
          <w:rFonts w:cs="Arial"/>
        </w:rPr>
        <w:t xml:space="preserve"> </w:t>
      </w:r>
      <w:r w:rsidR="004A1BA5">
        <w:rPr>
          <w:rFonts w:cs="Arial"/>
        </w:rPr>
        <w:t xml:space="preserve">engage with firearms registries by providing: </w:t>
      </w:r>
    </w:p>
    <w:p w14:paraId="108BAADF" w14:textId="6EF2B9CE" w:rsidR="004A1BA5" w:rsidRDefault="004A1BA5" w:rsidP="00E128DD">
      <w:pPr>
        <w:pStyle w:val="ListParagraph"/>
        <w:numPr>
          <w:ilvl w:val="0"/>
          <w:numId w:val="21"/>
        </w:numPr>
        <w:ind w:left="714" w:hanging="357"/>
        <w:contextualSpacing w:val="0"/>
        <w:rPr>
          <w:rFonts w:cs="Arial"/>
        </w:rPr>
      </w:pPr>
      <w:r>
        <w:rPr>
          <w:rFonts w:cs="Arial"/>
        </w:rPr>
        <w:t xml:space="preserve">A </w:t>
      </w:r>
      <w:r w:rsidR="002A0E26">
        <w:rPr>
          <w:rFonts w:cs="Arial"/>
        </w:rPr>
        <w:t xml:space="preserve">verification service to support licensing and permit systems </w:t>
      </w:r>
      <w:r>
        <w:rPr>
          <w:rFonts w:cs="Arial"/>
        </w:rPr>
        <w:t>– capable of electronically verifying any firearms licence or permit issued in Australia</w:t>
      </w:r>
      <w:r w:rsidR="00C43443">
        <w:rPr>
          <w:rFonts w:cs="Arial"/>
        </w:rPr>
        <w:t>, and</w:t>
      </w:r>
      <w:r>
        <w:rPr>
          <w:rFonts w:cs="Arial"/>
        </w:rPr>
        <w:t xml:space="preserve"> </w:t>
      </w:r>
    </w:p>
    <w:p w14:paraId="5926F671" w14:textId="234CB047" w:rsidR="004A1BA5" w:rsidRPr="00B64BD3" w:rsidRDefault="00F84868" w:rsidP="00E128DD">
      <w:pPr>
        <w:pStyle w:val="ListParagraph"/>
        <w:numPr>
          <w:ilvl w:val="0"/>
          <w:numId w:val="21"/>
        </w:numPr>
        <w:ind w:left="714" w:hanging="357"/>
        <w:contextualSpacing w:val="0"/>
        <w:rPr>
          <w:rFonts w:cs="Arial"/>
        </w:rPr>
      </w:pPr>
      <w:r>
        <w:rPr>
          <w:rFonts w:cs="Arial"/>
        </w:rPr>
        <w:t>The ability for</w:t>
      </w:r>
      <w:r w:rsidR="004A1BA5">
        <w:rPr>
          <w:rFonts w:cs="Arial"/>
        </w:rPr>
        <w:t xml:space="preserve"> firearms dealers to electronically submit and manage information regarding their </w:t>
      </w:r>
      <w:r w:rsidR="004A1BA5" w:rsidRPr="00B64BD3">
        <w:rPr>
          <w:rFonts w:cs="Arial"/>
        </w:rPr>
        <w:t xml:space="preserve">dealer stock and make relevant reports to registries. </w:t>
      </w:r>
    </w:p>
    <w:p w14:paraId="2F404B50" w14:textId="63602A50" w:rsidR="003A6548" w:rsidRPr="00B64BD3" w:rsidRDefault="00CD0942" w:rsidP="005F4C14">
      <w:pPr>
        <w:pBdr>
          <w:top w:val="single" w:sz="4" w:space="1" w:color="auto"/>
          <w:left w:val="single" w:sz="4" w:space="4" w:color="auto"/>
          <w:bottom w:val="single" w:sz="4" w:space="1" w:color="auto"/>
          <w:right w:val="single" w:sz="4" w:space="4" w:color="auto"/>
        </w:pBdr>
        <w:rPr>
          <w:rFonts w:cs="Arial"/>
        </w:rPr>
      </w:pPr>
      <w:r w:rsidRPr="00B64BD3">
        <w:rPr>
          <w:rFonts w:cs="Arial"/>
          <w:b/>
        </w:rPr>
        <w:t>Question 4:</w:t>
      </w:r>
      <w:r w:rsidRPr="00B64BD3">
        <w:rPr>
          <w:rFonts w:cs="Arial"/>
        </w:rPr>
        <w:t xml:space="preserve"> </w:t>
      </w:r>
      <w:r w:rsidR="001056C6" w:rsidRPr="00B64BD3">
        <w:rPr>
          <w:rFonts w:cs="Arial"/>
        </w:rPr>
        <w:t>What</w:t>
      </w:r>
      <w:r w:rsidR="00A06EC2" w:rsidRPr="00B64BD3">
        <w:rPr>
          <w:rFonts w:cs="Arial"/>
        </w:rPr>
        <w:t xml:space="preserve"> other</w:t>
      </w:r>
      <w:r w:rsidR="001056C6" w:rsidRPr="00B64BD3">
        <w:rPr>
          <w:rFonts w:cs="Arial"/>
        </w:rPr>
        <w:t xml:space="preserve"> </w:t>
      </w:r>
      <w:r w:rsidR="003A6548" w:rsidRPr="00B64BD3">
        <w:rPr>
          <w:rFonts w:cs="Arial"/>
        </w:rPr>
        <w:t>capabilities could a National Firearms Regist</w:t>
      </w:r>
      <w:r w:rsidR="008C016D" w:rsidRPr="00B64BD3">
        <w:rPr>
          <w:rFonts w:cs="Arial"/>
        </w:rPr>
        <w:t>e</w:t>
      </w:r>
      <w:r w:rsidR="003A6548" w:rsidRPr="00B64BD3">
        <w:rPr>
          <w:rFonts w:cs="Arial"/>
        </w:rPr>
        <w:t xml:space="preserve">r </w:t>
      </w:r>
      <w:r w:rsidR="00C8571E" w:rsidRPr="00B64BD3">
        <w:rPr>
          <w:rFonts w:cs="Arial"/>
        </w:rPr>
        <w:t xml:space="preserve">have </w:t>
      </w:r>
      <w:r w:rsidR="003A6548" w:rsidRPr="00B64BD3">
        <w:rPr>
          <w:rFonts w:cs="Arial"/>
        </w:rPr>
        <w:t>that would be of benefit to the community</w:t>
      </w:r>
      <w:r w:rsidR="00DF060D" w:rsidRPr="00B64BD3">
        <w:rPr>
          <w:rFonts w:cs="Arial"/>
        </w:rPr>
        <w:t>, including to lawful firearms owners</w:t>
      </w:r>
      <w:r w:rsidR="003A6548" w:rsidRPr="00B64BD3">
        <w:rPr>
          <w:rFonts w:cs="Arial"/>
        </w:rPr>
        <w:t>?</w:t>
      </w:r>
    </w:p>
    <w:p w14:paraId="4D4F8D1B" w14:textId="70CEF876" w:rsidR="005B7BC4" w:rsidRPr="00B64BD3" w:rsidRDefault="003A6548" w:rsidP="005F4C14">
      <w:pPr>
        <w:pBdr>
          <w:top w:val="single" w:sz="4" w:space="1" w:color="auto"/>
          <w:left w:val="single" w:sz="4" w:space="4" w:color="auto"/>
          <w:bottom w:val="single" w:sz="4" w:space="1" w:color="auto"/>
          <w:right w:val="single" w:sz="4" w:space="4" w:color="auto"/>
        </w:pBdr>
        <w:rPr>
          <w:rFonts w:cs="Arial"/>
        </w:rPr>
      </w:pPr>
      <w:bookmarkStart w:id="1" w:name="_Hlk129934675"/>
      <w:r w:rsidRPr="00B64BD3">
        <w:rPr>
          <w:rFonts w:cs="Arial"/>
          <w:b/>
        </w:rPr>
        <w:t xml:space="preserve">Question </w:t>
      </w:r>
      <w:r w:rsidR="00B64BD3" w:rsidRPr="00E128DD">
        <w:rPr>
          <w:rFonts w:cs="Arial"/>
          <w:b/>
        </w:rPr>
        <w:t>5</w:t>
      </w:r>
      <w:r w:rsidRPr="00B64BD3">
        <w:rPr>
          <w:rFonts w:cs="Arial"/>
          <w:b/>
        </w:rPr>
        <w:t>:</w:t>
      </w:r>
      <w:r w:rsidRPr="00B64BD3">
        <w:rPr>
          <w:rFonts w:cs="Arial"/>
        </w:rPr>
        <w:t xml:space="preserve"> Do you </w:t>
      </w:r>
      <w:r w:rsidR="00D419F6" w:rsidRPr="00B64BD3">
        <w:rPr>
          <w:rFonts w:cs="Arial"/>
        </w:rPr>
        <w:t xml:space="preserve">have any comments on </w:t>
      </w:r>
      <w:r w:rsidRPr="00B64BD3">
        <w:rPr>
          <w:rFonts w:cs="Arial"/>
        </w:rPr>
        <w:t xml:space="preserve">the creation of a </w:t>
      </w:r>
      <w:r w:rsidR="002A0E26">
        <w:t>verification service to support licensing and permit systems</w:t>
      </w:r>
      <w:r w:rsidRPr="00B64BD3">
        <w:rPr>
          <w:rFonts w:cs="Arial"/>
        </w:rPr>
        <w:t>?</w:t>
      </w:r>
      <w:bookmarkEnd w:id="1"/>
    </w:p>
    <w:p w14:paraId="26FB57D8" w14:textId="321B7683" w:rsidR="00893B61" w:rsidRDefault="003A6548" w:rsidP="005F4C14">
      <w:pPr>
        <w:pBdr>
          <w:top w:val="single" w:sz="4" w:space="1" w:color="auto"/>
          <w:left w:val="single" w:sz="4" w:space="4" w:color="auto"/>
          <w:bottom w:val="single" w:sz="4" w:space="1" w:color="auto"/>
          <w:right w:val="single" w:sz="4" w:space="4" w:color="auto"/>
        </w:pBdr>
        <w:rPr>
          <w:rFonts w:cs="Arial"/>
        </w:rPr>
      </w:pPr>
      <w:r w:rsidRPr="00B64BD3">
        <w:rPr>
          <w:rFonts w:cs="Arial"/>
          <w:b/>
        </w:rPr>
        <w:lastRenderedPageBreak/>
        <w:t xml:space="preserve">Question </w:t>
      </w:r>
      <w:r w:rsidR="00B64BD3" w:rsidRPr="00B64BD3">
        <w:rPr>
          <w:rFonts w:cs="Arial"/>
          <w:b/>
        </w:rPr>
        <w:t>6</w:t>
      </w:r>
      <w:r w:rsidRPr="00B64BD3">
        <w:rPr>
          <w:rFonts w:cs="Arial"/>
          <w:b/>
        </w:rPr>
        <w:t>:</w:t>
      </w:r>
      <w:r w:rsidRPr="00B64BD3">
        <w:rPr>
          <w:rFonts w:cs="Arial"/>
        </w:rPr>
        <w:t xml:space="preserve"> Do you </w:t>
      </w:r>
      <w:r w:rsidR="00F84868" w:rsidRPr="00B64BD3">
        <w:rPr>
          <w:rFonts w:cs="Arial"/>
        </w:rPr>
        <w:t>think</w:t>
      </w:r>
      <w:r w:rsidR="00187E5B" w:rsidRPr="00B64BD3">
        <w:rPr>
          <w:rFonts w:cs="Arial"/>
        </w:rPr>
        <w:t xml:space="preserve"> trusted entities </w:t>
      </w:r>
      <w:r w:rsidR="00F84868" w:rsidRPr="00B64BD3">
        <w:rPr>
          <w:rFonts w:cs="Arial"/>
        </w:rPr>
        <w:t>should be able to</w:t>
      </w:r>
      <w:r w:rsidR="00F84868">
        <w:rPr>
          <w:rFonts w:cs="Arial"/>
        </w:rPr>
        <w:t xml:space="preserve"> </w:t>
      </w:r>
      <w:r w:rsidR="00187E5B">
        <w:rPr>
          <w:rFonts w:cs="Arial"/>
        </w:rPr>
        <w:t>electronically communicate with firearms registries</w:t>
      </w:r>
      <w:r>
        <w:rPr>
          <w:rFonts w:cs="Arial"/>
        </w:rPr>
        <w:t xml:space="preserve">, if so, what capabilities should </w:t>
      </w:r>
      <w:r w:rsidR="00187E5B">
        <w:rPr>
          <w:rFonts w:cs="Arial"/>
        </w:rPr>
        <w:t>be available to trusted entities such as firearms dealers</w:t>
      </w:r>
      <w:r>
        <w:rPr>
          <w:rFonts w:cs="Arial"/>
        </w:rPr>
        <w:t>?</w:t>
      </w:r>
    </w:p>
    <w:p w14:paraId="530AAA6A" w14:textId="13781C09" w:rsidR="00DE092D" w:rsidRPr="006301E9" w:rsidRDefault="00355EAE" w:rsidP="00DE092D">
      <w:pPr>
        <w:pStyle w:val="Heading3"/>
        <w:rPr>
          <w:w w:val="100"/>
          <w:sz w:val="22"/>
          <w:szCs w:val="22"/>
          <w:lang w:eastAsia="en-AU"/>
        </w:rPr>
      </w:pPr>
      <w:r>
        <w:rPr>
          <w:w w:val="100"/>
          <w:lang w:eastAsia="en-AU"/>
        </w:rPr>
        <w:t>I</w:t>
      </w:r>
      <w:r w:rsidR="00DE092D">
        <w:rPr>
          <w:w w:val="100"/>
          <w:lang w:eastAsia="en-AU"/>
        </w:rPr>
        <w:t xml:space="preserve">nformation </w:t>
      </w:r>
      <w:r>
        <w:rPr>
          <w:w w:val="100"/>
          <w:lang w:eastAsia="en-AU"/>
        </w:rPr>
        <w:t xml:space="preserve">held by </w:t>
      </w:r>
      <w:r w:rsidR="000158B9">
        <w:rPr>
          <w:w w:val="100"/>
          <w:lang w:eastAsia="en-AU"/>
        </w:rPr>
        <w:t>a</w:t>
      </w:r>
      <w:r w:rsidR="00DE092D">
        <w:rPr>
          <w:w w:val="100"/>
          <w:lang w:eastAsia="en-AU"/>
        </w:rPr>
        <w:t xml:space="preserve"> National Firearms Register</w:t>
      </w:r>
    </w:p>
    <w:p w14:paraId="664E64E2" w14:textId="5E9E4DB6" w:rsidR="00DE092D" w:rsidRDefault="005B7BC4" w:rsidP="00DE092D">
      <w:r>
        <w:t>To fulfil its primary objective of preserving community and police safety, t</w:t>
      </w:r>
      <w:r w:rsidR="00024119">
        <w:t>he</w:t>
      </w:r>
      <w:r w:rsidR="007F6F55">
        <w:t xml:space="preserve"> Register </w:t>
      </w:r>
      <w:r w:rsidR="00D9525D">
        <w:t xml:space="preserve">will </w:t>
      </w:r>
      <w:r w:rsidR="007F6F55">
        <w:t xml:space="preserve">need to hold a range of information, </w:t>
      </w:r>
      <w:r w:rsidR="00D9525D">
        <w:t>which could include</w:t>
      </w:r>
      <w:r w:rsidR="007F6F55">
        <w:t xml:space="preserve">: </w:t>
      </w:r>
    </w:p>
    <w:p w14:paraId="7AB5398F" w14:textId="7A1839C6" w:rsidR="007F6F55" w:rsidRPr="004F5B5B" w:rsidRDefault="007F6F55" w:rsidP="004F5B5B">
      <w:pPr>
        <w:pStyle w:val="ListParagraph"/>
        <w:numPr>
          <w:ilvl w:val="0"/>
          <w:numId w:val="25"/>
        </w:numPr>
        <w:rPr>
          <w:rFonts w:cs="Arial"/>
        </w:rPr>
      </w:pPr>
      <w:r w:rsidRPr="004F5B5B">
        <w:rPr>
          <w:rFonts w:cs="Arial"/>
        </w:rPr>
        <w:t xml:space="preserve">Firearms information – </w:t>
      </w:r>
      <w:r w:rsidR="00024119">
        <w:rPr>
          <w:rFonts w:cs="Arial"/>
        </w:rPr>
        <w:t>e</w:t>
      </w:r>
      <w:r w:rsidRPr="004F5B5B">
        <w:rPr>
          <w:rFonts w:cs="Arial"/>
        </w:rPr>
        <w:t>nough information to uniquely identify firearms and related articles, and track their movement (through import, export or domestic transfer) and notable events (such as surrender, destruction, loss or theft and use in criminal activity)</w:t>
      </w:r>
      <w:r w:rsidR="00C43443">
        <w:rPr>
          <w:rFonts w:cs="Arial"/>
        </w:rPr>
        <w:t>,</w:t>
      </w:r>
    </w:p>
    <w:p w14:paraId="48E6F26F" w14:textId="0E6D5F0A" w:rsidR="007F6F55" w:rsidRPr="004F5B5B" w:rsidRDefault="007F6F55" w:rsidP="004F5B5B">
      <w:pPr>
        <w:pStyle w:val="ListParagraph"/>
        <w:numPr>
          <w:ilvl w:val="0"/>
          <w:numId w:val="25"/>
        </w:numPr>
        <w:rPr>
          <w:rFonts w:cs="Arial"/>
        </w:rPr>
      </w:pPr>
      <w:r w:rsidRPr="004F5B5B">
        <w:rPr>
          <w:rFonts w:cs="Arial"/>
        </w:rPr>
        <w:t xml:space="preserve">Licence holder information – </w:t>
      </w:r>
      <w:r w:rsidR="00024119">
        <w:rPr>
          <w:rFonts w:cs="Arial"/>
        </w:rPr>
        <w:t>i</w:t>
      </w:r>
      <w:r w:rsidRPr="004F5B5B">
        <w:rPr>
          <w:rFonts w:cs="Arial"/>
        </w:rPr>
        <w:t>ncluding identification details, licence/authorisation information and relevant information that may affect a person’s eligibility to hold a licence</w:t>
      </w:r>
      <w:r w:rsidR="00C43443">
        <w:rPr>
          <w:rFonts w:cs="Arial"/>
        </w:rPr>
        <w:t>, and</w:t>
      </w:r>
    </w:p>
    <w:p w14:paraId="5DD0E334" w14:textId="648C0DDA" w:rsidR="007F6F55" w:rsidRPr="004F5B5B" w:rsidRDefault="007F6F55" w:rsidP="004F5B5B">
      <w:pPr>
        <w:pStyle w:val="ListParagraph"/>
        <w:numPr>
          <w:ilvl w:val="0"/>
          <w:numId w:val="25"/>
        </w:numPr>
        <w:rPr>
          <w:rFonts w:cs="Arial"/>
        </w:rPr>
      </w:pPr>
      <w:r w:rsidRPr="004F5B5B">
        <w:rPr>
          <w:rFonts w:cs="Arial"/>
        </w:rPr>
        <w:t xml:space="preserve">Firearms/licence holder link information – </w:t>
      </w:r>
      <w:r w:rsidR="00024119">
        <w:rPr>
          <w:rFonts w:cs="Arial"/>
        </w:rPr>
        <w:t>i</w:t>
      </w:r>
      <w:r w:rsidRPr="004F5B5B">
        <w:rPr>
          <w:rFonts w:cs="Arial"/>
        </w:rPr>
        <w:t xml:space="preserve">nformation required to link a licensed firearms owner to the articles in their possession, including </w:t>
      </w:r>
      <w:r w:rsidR="000158B9" w:rsidRPr="004F5B5B">
        <w:rPr>
          <w:rFonts w:cs="Arial"/>
        </w:rPr>
        <w:t xml:space="preserve">details of firearms registered to a person and details of articles transferred to and from the person. </w:t>
      </w:r>
    </w:p>
    <w:p w14:paraId="0550D7A5" w14:textId="3B1BBA80" w:rsidR="003A6548" w:rsidRPr="003A6548" w:rsidRDefault="003A6548" w:rsidP="004F5B5B">
      <w:pPr>
        <w:pBdr>
          <w:top w:val="single" w:sz="4" w:space="1" w:color="auto"/>
          <w:left w:val="single" w:sz="4" w:space="4" w:color="auto"/>
          <w:bottom w:val="single" w:sz="4" w:space="1" w:color="auto"/>
          <w:right w:val="single" w:sz="4" w:space="4" w:color="auto"/>
        </w:pBdr>
        <w:rPr>
          <w:rFonts w:cs="Arial"/>
        </w:rPr>
      </w:pPr>
      <w:r w:rsidRPr="003A6548">
        <w:rPr>
          <w:rFonts w:cs="Arial"/>
          <w:b/>
        </w:rPr>
        <w:t xml:space="preserve">Question </w:t>
      </w:r>
      <w:r w:rsidR="00107C73">
        <w:rPr>
          <w:rFonts w:cs="Arial"/>
          <w:b/>
        </w:rPr>
        <w:t>7</w:t>
      </w:r>
      <w:r w:rsidRPr="003A6548">
        <w:rPr>
          <w:rFonts w:cs="Arial"/>
          <w:b/>
        </w:rPr>
        <w:t>:</w:t>
      </w:r>
      <w:r w:rsidRPr="003A6548">
        <w:rPr>
          <w:rFonts w:cs="Arial"/>
        </w:rPr>
        <w:t xml:space="preserve"> </w:t>
      </w:r>
      <w:r w:rsidR="00DF060D">
        <w:rPr>
          <w:rFonts w:cs="Arial"/>
        </w:rPr>
        <w:t xml:space="preserve">Do you have any comments </w:t>
      </w:r>
      <w:r w:rsidR="00AA6F12">
        <w:rPr>
          <w:rFonts w:cs="Arial"/>
        </w:rPr>
        <w:t xml:space="preserve">on the information </w:t>
      </w:r>
      <w:r w:rsidR="003F1A24">
        <w:rPr>
          <w:rFonts w:cs="Arial"/>
        </w:rPr>
        <w:t xml:space="preserve">proposed </w:t>
      </w:r>
      <w:r w:rsidR="00AA6F12">
        <w:rPr>
          <w:rFonts w:cs="Arial"/>
        </w:rPr>
        <w:t>to be held by a</w:t>
      </w:r>
      <w:r>
        <w:rPr>
          <w:rFonts w:cs="Arial"/>
        </w:rPr>
        <w:t xml:space="preserve"> National Firearms Register?</w:t>
      </w:r>
    </w:p>
    <w:p w14:paraId="2FC24ED4" w14:textId="578CBA00" w:rsidR="000158B9" w:rsidRPr="006301E9" w:rsidRDefault="000158B9" w:rsidP="000158B9">
      <w:pPr>
        <w:pStyle w:val="Heading3"/>
        <w:rPr>
          <w:w w:val="100"/>
          <w:sz w:val="22"/>
          <w:szCs w:val="22"/>
          <w:lang w:eastAsia="en-AU"/>
        </w:rPr>
      </w:pPr>
      <w:r>
        <w:rPr>
          <w:w w:val="100"/>
          <w:lang w:eastAsia="en-AU"/>
        </w:rPr>
        <w:t>Submissions</w:t>
      </w:r>
    </w:p>
    <w:p w14:paraId="11C123B0" w14:textId="6CF7DFDA" w:rsidR="003C04AD" w:rsidRDefault="000158B9" w:rsidP="000158B9">
      <w:r>
        <w:t xml:space="preserve">The Attorney-General’s Department is seeking public submissions on the questions outlined above. Please </w:t>
      </w:r>
      <w:r w:rsidR="003C04AD">
        <w:t xml:space="preserve">lodge </w:t>
      </w:r>
      <w:r>
        <w:t>submissions on these questions</w:t>
      </w:r>
      <w:r w:rsidR="0050348E">
        <w:t xml:space="preserve"> and </w:t>
      </w:r>
      <w:r w:rsidR="003C04AD">
        <w:t xml:space="preserve">provide </w:t>
      </w:r>
      <w:r w:rsidR="0050348E">
        <w:t>any related comments</w:t>
      </w:r>
      <w:r>
        <w:t xml:space="preserve"> </w:t>
      </w:r>
      <w:r w:rsidR="003C04AD">
        <w:t xml:space="preserve">at </w:t>
      </w:r>
      <w:hyperlink r:id="rId9" w:history="1">
        <w:r w:rsidR="003C04AD">
          <w:rPr>
            <w:rStyle w:val="Hyperlink"/>
          </w:rPr>
          <w:t>https://consultations.ag.gov.au/crime/national-firearms-register-consultation</w:t>
        </w:r>
      </w:hyperlink>
      <w:r w:rsidR="003C04AD">
        <w:t xml:space="preserve">. </w:t>
      </w:r>
    </w:p>
    <w:p w14:paraId="21677326" w14:textId="3982C458" w:rsidR="00B12188" w:rsidRPr="000158B9" w:rsidRDefault="000158B9" w:rsidP="000158B9">
      <w:r>
        <w:t xml:space="preserve">Public submissions will be accepted until </w:t>
      </w:r>
      <w:r w:rsidR="00D04579" w:rsidRPr="00D04579">
        <w:rPr>
          <w:b/>
        </w:rPr>
        <w:t>11:59PM 25 April 2023</w:t>
      </w:r>
      <w:r w:rsidR="00D04579">
        <w:t>.</w:t>
      </w:r>
    </w:p>
    <w:p w14:paraId="013BE0DE" w14:textId="37670E1B" w:rsidR="00B12188" w:rsidRPr="000158B9" w:rsidRDefault="00B12188" w:rsidP="00B12188">
      <w:pPr>
        <w:shd w:val="clear" w:color="auto" w:fill="FFFFFF"/>
        <w:spacing w:before="100" w:beforeAutospacing="1" w:after="100" w:afterAutospacing="1" w:line="240" w:lineRule="auto"/>
        <w:rPr>
          <w:rFonts w:asciiTheme="minorHAnsi" w:eastAsia="Times New Roman" w:hAnsiTheme="minorHAnsi" w:cstheme="minorHAnsi"/>
          <w:color w:val="222222"/>
          <w:w w:val="100"/>
          <w:kern w:val="0"/>
          <w:lang w:eastAsia="en-AU"/>
        </w:rPr>
      </w:pPr>
      <w:r w:rsidRPr="000158B9">
        <w:rPr>
          <w:rFonts w:asciiTheme="minorHAnsi" w:eastAsia="Times New Roman" w:hAnsiTheme="minorHAnsi" w:cstheme="minorHAnsi"/>
          <w:b/>
          <w:bCs/>
          <w:color w:val="222222"/>
          <w:w w:val="100"/>
          <w:kern w:val="0"/>
          <w:lang w:eastAsia="en-AU"/>
        </w:rPr>
        <w:t>Note:</w:t>
      </w:r>
      <w:r w:rsidRPr="000158B9">
        <w:rPr>
          <w:rFonts w:asciiTheme="minorHAnsi" w:eastAsia="Times New Roman" w:hAnsiTheme="minorHAnsi" w:cstheme="minorHAnsi"/>
          <w:color w:val="222222"/>
          <w:w w:val="100"/>
          <w:kern w:val="0"/>
          <w:lang w:eastAsia="en-AU"/>
        </w:rPr>
        <w:t> Submissions are invited on a public basis. Tell us at the time of lodgement if you wish for your submission to be treated as confidential. Any submission provided on a confidential basis remains subject to the </w:t>
      </w:r>
      <w:r w:rsidRPr="000158B9">
        <w:rPr>
          <w:rFonts w:asciiTheme="minorHAnsi" w:eastAsia="Times New Roman" w:hAnsiTheme="minorHAnsi" w:cstheme="minorHAnsi"/>
          <w:i/>
          <w:iCs/>
          <w:color w:val="222222"/>
          <w:w w:val="100"/>
          <w:kern w:val="0"/>
          <w:lang w:eastAsia="en-AU"/>
        </w:rPr>
        <w:t>Freedom of Information Act 1982</w:t>
      </w:r>
      <w:r w:rsidRPr="000158B9">
        <w:rPr>
          <w:rFonts w:asciiTheme="minorHAnsi" w:eastAsia="Times New Roman" w:hAnsiTheme="minorHAnsi" w:cstheme="minorHAnsi"/>
          <w:color w:val="222222"/>
          <w:w w:val="100"/>
          <w:kern w:val="0"/>
          <w:lang w:eastAsia="en-AU"/>
        </w:rPr>
        <w:t>.</w:t>
      </w:r>
    </w:p>
    <w:p w14:paraId="712E677B" w14:textId="0794F5E2" w:rsidR="00B12188" w:rsidRPr="000158B9" w:rsidRDefault="00B12188" w:rsidP="00B12188">
      <w:pPr>
        <w:shd w:val="clear" w:color="auto" w:fill="FFFFFF"/>
        <w:spacing w:before="100" w:beforeAutospacing="1" w:after="100" w:afterAutospacing="1" w:line="240" w:lineRule="auto"/>
        <w:rPr>
          <w:rFonts w:asciiTheme="minorHAnsi" w:eastAsia="Times New Roman" w:hAnsiTheme="minorHAnsi" w:cstheme="minorHAnsi"/>
          <w:color w:val="222222"/>
          <w:w w:val="100"/>
          <w:kern w:val="0"/>
          <w:lang w:eastAsia="en-AU"/>
        </w:rPr>
      </w:pPr>
      <w:r w:rsidRPr="000158B9">
        <w:rPr>
          <w:rFonts w:asciiTheme="minorHAnsi" w:eastAsia="Times New Roman" w:hAnsiTheme="minorHAnsi" w:cstheme="minorHAnsi"/>
          <w:color w:val="222222"/>
          <w:w w:val="100"/>
          <w:kern w:val="0"/>
          <w:lang w:eastAsia="en-AU"/>
        </w:rPr>
        <w:t xml:space="preserve">The Attorney-General’s </w:t>
      </w:r>
      <w:r w:rsidR="006A5FC2">
        <w:rPr>
          <w:rFonts w:asciiTheme="minorHAnsi" w:eastAsia="Times New Roman" w:hAnsiTheme="minorHAnsi" w:cstheme="minorHAnsi"/>
          <w:color w:val="222222"/>
          <w:w w:val="100"/>
          <w:kern w:val="0"/>
          <w:lang w:eastAsia="en-AU"/>
        </w:rPr>
        <w:t>D</w:t>
      </w:r>
      <w:r w:rsidRPr="000158B9">
        <w:rPr>
          <w:rFonts w:asciiTheme="minorHAnsi" w:eastAsia="Times New Roman" w:hAnsiTheme="minorHAnsi" w:cstheme="minorHAnsi"/>
          <w:color w:val="222222"/>
          <w:w w:val="100"/>
          <w:kern w:val="0"/>
          <w:lang w:eastAsia="en-AU"/>
        </w:rPr>
        <w:t xml:space="preserve">epartment (the </w:t>
      </w:r>
      <w:r w:rsidR="00024119">
        <w:rPr>
          <w:rFonts w:asciiTheme="minorHAnsi" w:eastAsia="Times New Roman" w:hAnsiTheme="minorHAnsi" w:cstheme="minorHAnsi"/>
          <w:color w:val="222222"/>
          <w:w w:val="100"/>
          <w:kern w:val="0"/>
          <w:lang w:eastAsia="en-AU"/>
        </w:rPr>
        <w:t>d</w:t>
      </w:r>
      <w:r w:rsidRPr="000158B9">
        <w:rPr>
          <w:rFonts w:asciiTheme="minorHAnsi" w:eastAsia="Times New Roman" w:hAnsiTheme="minorHAnsi" w:cstheme="minorHAnsi"/>
          <w:color w:val="222222"/>
          <w:w w:val="100"/>
          <w:kern w:val="0"/>
          <w:lang w:eastAsia="en-AU"/>
        </w:rPr>
        <w:t xml:space="preserve">epartment) retains discretion about publishing and sharing submissions. Submissions provided without a confidentiality request may be published on the </w:t>
      </w:r>
      <w:r w:rsidR="00024119">
        <w:rPr>
          <w:rFonts w:asciiTheme="minorHAnsi" w:eastAsia="Times New Roman" w:hAnsiTheme="minorHAnsi" w:cstheme="minorHAnsi"/>
          <w:color w:val="222222"/>
          <w:w w:val="100"/>
          <w:kern w:val="0"/>
          <w:lang w:eastAsia="en-AU"/>
        </w:rPr>
        <w:t>d</w:t>
      </w:r>
      <w:r w:rsidRPr="000158B9">
        <w:rPr>
          <w:rFonts w:asciiTheme="minorHAnsi" w:eastAsia="Times New Roman" w:hAnsiTheme="minorHAnsi" w:cstheme="minorHAnsi"/>
          <w:color w:val="222222"/>
          <w:w w:val="100"/>
          <w:kern w:val="0"/>
          <w:lang w:eastAsia="en-AU"/>
        </w:rPr>
        <w:t xml:space="preserve">epartment’s website. The </w:t>
      </w:r>
      <w:r w:rsidR="00024119">
        <w:rPr>
          <w:rFonts w:asciiTheme="minorHAnsi" w:eastAsia="Times New Roman" w:hAnsiTheme="minorHAnsi" w:cstheme="minorHAnsi"/>
          <w:color w:val="222222"/>
          <w:w w:val="100"/>
          <w:kern w:val="0"/>
          <w:lang w:eastAsia="en-AU"/>
        </w:rPr>
        <w:t>d</w:t>
      </w:r>
      <w:r w:rsidRPr="000158B9">
        <w:rPr>
          <w:rFonts w:asciiTheme="minorHAnsi" w:eastAsia="Times New Roman" w:hAnsiTheme="minorHAnsi" w:cstheme="minorHAnsi"/>
          <w:color w:val="222222"/>
          <w:w w:val="100"/>
          <w:kern w:val="0"/>
          <w:lang w:eastAsia="en-AU"/>
        </w:rPr>
        <w:t>epartment retains the right to share your submission with other parties such as state and territory governments or other Commonwealth agencies.</w:t>
      </w:r>
    </w:p>
    <w:p w14:paraId="15DB5555" w14:textId="77777777" w:rsidR="00B12188" w:rsidRPr="00D81AC3" w:rsidRDefault="00B12188" w:rsidP="00D81AC3">
      <w:pPr>
        <w:spacing w:after="0" w:line="240" w:lineRule="auto"/>
        <w:ind w:left="540"/>
        <w:rPr>
          <w:rFonts w:eastAsia="Times New Roman"/>
          <w:w w:val="100"/>
          <w:kern w:val="0"/>
          <w:lang w:eastAsia="en-AU"/>
        </w:rPr>
      </w:pPr>
    </w:p>
    <w:sectPr w:rsidR="00B12188" w:rsidRPr="00D81AC3" w:rsidSect="00564D32">
      <w:type w:val="continuous"/>
      <w:pgSz w:w="12240" w:h="15840"/>
      <w:pgMar w:top="535" w:right="964" w:bottom="964" w:left="964" w:header="142"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570AB" w14:textId="77777777" w:rsidR="00854227" w:rsidRDefault="00854227" w:rsidP="006150CB">
      <w:r>
        <w:separator/>
      </w:r>
    </w:p>
  </w:endnote>
  <w:endnote w:type="continuationSeparator" w:id="0">
    <w:p w14:paraId="7573782D" w14:textId="77777777" w:rsidR="00854227" w:rsidRDefault="00854227" w:rsidP="0061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16F71" w14:textId="77777777" w:rsidR="006150CB" w:rsidRDefault="002C36D2" w:rsidP="006150CB">
    <w:pPr>
      <w:pStyle w:val="Footer"/>
    </w:pPr>
    <w:r>
      <w:rPr>
        <w:noProof/>
        <w:lang w:eastAsia="en-AU"/>
      </w:rPr>
      <w:drawing>
        <wp:inline distT="0" distB="0" distL="0" distR="0" wp14:anchorId="3C216F72" wp14:editId="3C216F73">
          <wp:extent cx="6840000" cy="72862"/>
          <wp:effectExtent l="0" t="0" r="0" b="3810"/>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dc01fs01p\user_folder$\jonesj\Desktop\strip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40000" cy="7286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68419" w14:textId="77777777" w:rsidR="00854227" w:rsidRDefault="00854227" w:rsidP="006150CB">
      <w:r>
        <w:separator/>
      </w:r>
    </w:p>
  </w:footnote>
  <w:footnote w:type="continuationSeparator" w:id="0">
    <w:p w14:paraId="54EED14C" w14:textId="77777777" w:rsidR="00854227" w:rsidRDefault="00854227" w:rsidP="00615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55E6B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18EAD9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D2721E"/>
    <w:multiLevelType w:val="multilevel"/>
    <w:tmpl w:val="EFDC8A06"/>
    <w:numStyleLink w:val="Bullet2"/>
  </w:abstractNum>
  <w:abstractNum w:abstractNumId="3" w15:restartNumberingAfterBreak="0">
    <w:nsid w:val="156D39CB"/>
    <w:multiLevelType w:val="hybridMultilevel"/>
    <w:tmpl w:val="DA301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C11FB4"/>
    <w:multiLevelType w:val="hybridMultilevel"/>
    <w:tmpl w:val="F8708D62"/>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5" w15:restartNumberingAfterBreak="0">
    <w:nsid w:val="17932166"/>
    <w:multiLevelType w:val="multilevel"/>
    <w:tmpl w:val="EFDC8A06"/>
    <w:styleLink w:val="Bulle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4911B4"/>
    <w:multiLevelType w:val="hybridMultilevel"/>
    <w:tmpl w:val="B52E4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47494D"/>
    <w:multiLevelType w:val="hybridMultilevel"/>
    <w:tmpl w:val="C74AEFB6"/>
    <w:lvl w:ilvl="0" w:tplc="BDAE72EC">
      <w:start w:val="1"/>
      <w:numFmt w:val="lowerLetter"/>
      <w:lvlText w:val="(%1)"/>
      <w:lvlJc w:val="left"/>
      <w:pPr>
        <w:ind w:left="1080" w:hanging="72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163E9C"/>
    <w:multiLevelType w:val="hybridMultilevel"/>
    <w:tmpl w:val="58A06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9C00EB"/>
    <w:multiLevelType w:val="hybridMultilevel"/>
    <w:tmpl w:val="EE302E3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0" w15:restartNumberingAfterBreak="0">
    <w:nsid w:val="368436D5"/>
    <w:multiLevelType w:val="multilevel"/>
    <w:tmpl w:val="9384CC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B7094B"/>
    <w:multiLevelType w:val="multilevel"/>
    <w:tmpl w:val="742C4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552196"/>
    <w:multiLevelType w:val="multilevel"/>
    <w:tmpl w:val="7124F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813EB2"/>
    <w:multiLevelType w:val="multilevel"/>
    <w:tmpl w:val="CA94101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32F1F0E"/>
    <w:multiLevelType w:val="hybridMultilevel"/>
    <w:tmpl w:val="15A84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DE6623"/>
    <w:multiLevelType w:val="hybridMultilevel"/>
    <w:tmpl w:val="2D7695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9B4F19"/>
    <w:multiLevelType w:val="hybridMultilevel"/>
    <w:tmpl w:val="8B3AB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CD2243"/>
    <w:multiLevelType w:val="hybridMultilevel"/>
    <w:tmpl w:val="36FE21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D46995"/>
    <w:multiLevelType w:val="hybridMultilevel"/>
    <w:tmpl w:val="9EEC40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CE0556"/>
    <w:multiLevelType w:val="multilevel"/>
    <w:tmpl w:val="AF7E0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A15FB9"/>
    <w:multiLevelType w:val="hybridMultilevel"/>
    <w:tmpl w:val="21308D16"/>
    <w:lvl w:ilvl="0" w:tplc="3484F224">
      <w:start w:val="1"/>
      <w:numFmt w:val="bullet"/>
      <w:pStyle w:val="Bullet1"/>
      <w:lvlText w:val=""/>
      <w:lvlJc w:val="left"/>
      <w:pPr>
        <w:ind w:left="720" w:hanging="360"/>
      </w:pPr>
      <w:rPr>
        <w:rFonts w:ascii="Symbol" w:hAnsi="Symbol" w:hint="default"/>
        <w:color w:val="5C5C5C"/>
      </w:rPr>
    </w:lvl>
    <w:lvl w:ilvl="1" w:tplc="F1ACFA4C">
      <w:start w:val="1"/>
      <w:numFmt w:val="bullet"/>
      <w:pStyle w:val="ListBullet"/>
      <w:lvlText w:val=""/>
      <w:lvlJc w:val="left"/>
      <w:pPr>
        <w:ind w:left="1440" w:hanging="360"/>
      </w:pPr>
      <w:rPr>
        <w:rFonts w:ascii="Symbol" w:hAnsi="Symbol" w:hint="default"/>
        <w:color w:val="897005"/>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5300E1"/>
    <w:multiLevelType w:val="hybridMultilevel"/>
    <w:tmpl w:val="1BB4524A"/>
    <w:lvl w:ilvl="0" w:tplc="5DAC1C7A">
      <w:start w:val="1"/>
      <w:numFmt w:val="bullet"/>
      <w:lvlText w:val=""/>
      <w:lvlJc w:val="left"/>
      <w:pPr>
        <w:ind w:left="2880" w:hanging="360"/>
      </w:pPr>
      <w:rPr>
        <w:rFonts w:ascii="Symbol" w:hAnsi="Symbol" w:hint="default"/>
        <w:color w:val="auto"/>
      </w:rPr>
    </w:lvl>
    <w:lvl w:ilvl="1" w:tplc="0C090003">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2" w15:restartNumberingAfterBreak="0">
    <w:nsid w:val="712D20BA"/>
    <w:multiLevelType w:val="hybridMultilevel"/>
    <w:tmpl w:val="775A52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
  </w:num>
  <w:num w:numId="4">
    <w:abstractNumId w:val="0"/>
  </w:num>
  <w:num w:numId="5">
    <w:abstractNumId w:val="1"/>
  </w:num>
  <w:num w:numId="6">
    <w:abstractNumId w:val="10"/>
    <w:lvlOverride w:ilvl="0">
      <w:startOverride w:val="1"/>
    </w:lvlOverride>
  </w:num>
  <w:num w:numId="7">
    <w:abstractNumId w:val="10"/>
    <w:lvlOverride w:ilvl="0"/>
    <w:lvlOverride w:ilvl="1">
      <w:startOverride w:val="1"/>
    </w:lvlOverride>
  </w:num>
  <w:num w:numId="8">
    <w:abstractNumId w:val="12"/>
    <w:lvlOverride w:ilvl="0">
      <w:startOverride w:val="2"/>
    </w:lvlOverride>
  </w:num>
  <w:num w:numId="9">
    <w:abstractNumId w:val="13"/>
    <w:lvlOverride w:ilvl="0">
      <w:startOverride w:val="1"/>
    </w:lvlOverride>
  </w:num>
  <w:num w:numId="10">
    <w:abstractNumId w:val="13"/>
    <w:lvlOverride w:ilvl="0"/>
    <w:lvlOverride w:ilvl="1">
      <w:startOverride w:val="1"/>
    </w:lvlOverride>
  </w:num>
  <w:num w:numId="11">
    <w:abstractNumId w:val="19"/>
    <w:lvlOverride w:ilvl="0">
      <w:startOverride w:val="3"/>
    </w:lvlOverride>
  </w:num>
  <w:num w:numId="12">
    <w:abstractNumId w:val="11"/>
    <w:lvlOverride w:ilvl="0">
      <w:startOverride w:val="4"/>
    </w:lvlOverride>
  </w:num>
  <w:num w:numId="13">
    <w:abstractNumId w:val="9"/>
  </w:num>
  <w:num w:numId="14">
    <w:abstractNumId w:val="21"/>
  </w:num>
  <w:num w:numId="15">
    <w:abstractNumId w:val="7"/>
  </w:num>
  <w:num w:numId="16">
    <w:abstractNumId w:val="17"/>
  </w:num>
  <w:num w:numId="17">
    <w:abstractNumId w:val="3"/>
  </w:num>
  <w:num w:numId="18">
    <w:abstractNumId w:val="16"/>
  </w:num>
  <w:num w:numId="19">
    <w:abstractNumId w:val="15"/>
  </w:num>
  <w:num w:numId="20">
    <w:abstractNumId w:val="14"/>
  </w:num>
  <w:num w:numId="21">
    <w:abstractNumId w:val="22"/>
  </w:num>
  <w:num w:numId="22">
    <w:abstractNumId w:val="8"/>
  </w:num>
  <w:num w:numId="23">
    <w:abstractNumId w:val="4"/>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B8"/>
    <w:rsid w:val="000158B9"/>
    <w:rsid w:val="00015BD5"/>
    <w:rsid w:val="0001798F"/>
    <w:rsid w:val="00024119"/>
    <w:rsid w:val="00025431"/>
    <w:rsid w:val="00034577"/>
    <w:rsid w:val="0006585E"/>
    <w:rsid w:val="000672CD"/>
    <w:rsid w:val="000779BE"/>
    <w:rsid w:val="000A7E99"/>
    <w:rsid w:val="000C0F6D"/>
    <w:rsid w:val="000D6944"/>
    <w:rsid w:val="00102E5D"/>
    <w:rsid w:val="001056C6"/>
    <w:rsid w:val="00107C73"/>
    <w:rsid w:val="0011430B"/>
    <w:rsid w:val="001208A8"/>
    <w:rsid w:val="00120DF7"/>
    <w:rsid w:val="001272C4"/>
    <w:rsid w:val="00144F7D"/>
    <w:rsid w:val="00160577"/>
    <w:rsid w:val="00180A86"/>
    <w:rsid w:val="00187E5B"/>
    <w:rsid w:val="00190EA0"/>
    <w:rsid w:val="00191E08"/>
    <w:rsid w:val="00192F33"/>
    <w:rsid w:val="001A2631"/>
    <w:rsid w:val="00223F30"/>
    <w:rsid w:val="0024063B"/>
    <w:rsid w:val="00251331"/>
    <w:rsid w:val="00276D95"/>
    <w:rsid w:val="00276FC5"/>
    <w:rsid w:val="00295F4A"/>
    <w:rsid w:val="002A0994"/>
    <w:rsid w:val="002A0E26"/>
    <w:rsid w:val="002C36D2"/>
    <w:rsid w:val="002C7ECA"/>
    <w:rsid w:val="002D2EBC"/>
    <w:rsid w:val="002E0917"/>
    <w:rsid w:val="002E5C30"/>
    <w:rsid w:val="00322F0B"/>
    <w:rsid w:val="00342408"/>
    <w:rsid w:val="00355EAE"/>
    <w:rsid w:val="00375084"/>
    <w:rsid w:val="00395615"/>
    <w:rsid w:val="003A44C6"/>
    <w:rsid w:val="003A6548"/>
    <w:rsid w:val="003A6B02"/>
    <w:rsid w:val="003B28B8"/>
    <w:rsid w:val="003C04AD"/>
    <w:rsid w:val="003E611C"/>
    <w:rsid w:val="003F0FEE"/>
    <w:rsid w:val="003F1A24"/>
    <w:rsid w:val="004049B1"/>
    <w:rsid w:val="00405D71"/>
    <w:rsid w:val="0045127A"/>
    <w:rsid w:val="004A1BA5"/>
    <w:rsid w:val="004F2FA8"/>
    <w:rsid w:val="004F5B5B"/>
    <w:rsid w:val="0050348E"/>
    <w:rsid w:val="00511472"/>
    <w:rsid w:val="00515DF6"/>
    <w:rsid w:val="00530B3D"/>
    <w:rsid w:val="00564D32"/>
    <w:rsid w:val="005B7BC4"/>
    <w:rsid w:val="005C1BB3"/>
    <w:rsid w:val="005F4C14"/>
    <w:rsid w:val="00603E66"/>
    <w:rsid w:val="006057E1"/>
    <w:rsid w:val="006150CB"/>
    <w:rsid w:val="006244FD"/>
    <w:rsid w:val="006301E9"/>
    <w:rsid w:val="0064007B"/>
    <w:rsid w:val="00667A7A"/>
    <w:rsid w:val="006959D6"/>
    <w:rsid w:val="006A4E6A"/>
    <w:rsid w:val="006A54E5"/>
    <w:rsid w:val="006A5E92"/>
    <w:rsid w:val="006A5FC2"/>
    <w:rsid w:val="006B47CE"/>
    <w:rsid w:val="006C5417"/>
    <w:rsid w:val="006D4522"/>
    <w:rsid w:val="006F2EE5"/>
    <w:rsid w:val="006F3542"/>
    <w:rsid w:val="006F3B13"/>
    <w:rsid w:val="006F4DA3"/>
    <w:rsid w:val="00703377"/>
    <w:rsid w:val="00730D3E"/>
    <w:rsid w:val="00740F4F"/>
    <w:rsid w:val="00743558"/>
    <w:rsid w:val="00744D82"/>
    <w:rsid w:val="00746283"/>
    <w:rsid w:val="00751C9A"/>
    <w:rsid w:val="007622D4"/>
    <w:rsid w:val="00765684"/>
    <w:rsid w:val="007A6C4D"/>
    <w:rsid w:val="007B0031"/>
    <w:rsid w:val="007B0C95"/>
    <w:rsid w:val="007C33A4"/>
    <w:rsid w:val="007D59C9"/>
    <w:rsid w:val="007D70D2"/>
    <w:rsid w:val="007E06EB"/>
    <w:rsid w:val="007F0CBF"/>
    <w:rsid w:val="007F24A9"/>
    <w:rsid w:val="007F6F55"/>
    <w:rsid w:val="00847475"/>
    <w:rsid w:val="00854227"/>
    <w:rsid w:val="008548C2"/>
    <w:rsid w:val="008600A6"/>
    <w:rsid w:val="008603D4"/>
    <w:rsid w:val="00862330"/>
    <w:rsid w:val="00866010"/>
    <w:rsid w:val="00893B61"/>
    <w:rsid w:val="008964E9"/>
    <w:rsid w:val="008B4B2F"/>
    <w:rsid w:val="008C016D"/>
    <w:rsid w:val="008D3519"/>
    <w:rsid w:val="008D697A"/>
    <w:rsid w:val="008E01A2"/>
    <w:rsid w:val="008E4128"/>
    <w:rsid w:val="009079A8"/>
    <w:rsid w:val="009124FA"/>
    <w:rsid w:val="0098671E"/>
    <w:rsid w:val="00991023"/>
    <w:rsid w:val="009A0E7A"/>
    <w:rsid w:val="009C3AA2"/>
    <w:rsid w:val="009D7BAD"/>
    <w:rsid w:val="009E746A"/>
    <w:rsid w:val="00A06EC2"/>
    <w:rsid w:val="00A12B2E"/>
    <w:rsid w:val="00A30EA2"/>
    <w:rsid w:val="00A74A1C"/>
    <w:rsid w:val="00A77C7E"/>
    <w:rsid w:val="00A930B0"/>
    <w:rsid w:val="00AA6F12"/>
    <w:rsid w:val="00AB0807"/>
    <w:rsid w:val="00AB0998"/>
    <w:rsid w:val="00AB570C"/>
    <w:rsid w:val="00AF592E"/>
    <w:rsid w:val="00B10678"/>
    <w:rsid w:val="00B12188"/>
    <w:rsid w:val="00B14AB2"/>
    <w:rsid w:val="00B50C37"/>
    <w:rsid w:val="00B61F9E"/>
    <w:rsid w:val="00B64BD3"/>
    <w:rsid w:val="00B74033"/>
    <w:rsid w:val="00B74535"/>
    <w:rsid w:val="00B74DA0"/>
    <w:rsid w:val="00B841FD"/>
    <w:rsid w:val="00BA1614"/>
    <w:rsid w:val="00BD6815"/>
    <w:rsid w:val="00BE252E"/>
    <w:rsid w:val="00BF004D"/>
    <w:rsid w:val="00C00383"/>
    <w:rsid w:val="00C01AEC"/>
    <w:rsid w:val="00C26C8A"/>
    <w:rsid w:val="00C43443"/>
    <w:rsid w:val="00C45042"/>
    <w:rsid w:val="00C5355D"/>
    <w:rsid w:val="00C57E10"/>
    <w:rsid w:val="00C64D90"/>
    <w:rsid w:val="00C77884"/>
    <w:rsid w:val="00C8571E"/>
    <w:rsid w:val="00C959ED"/>
    <w:rsid w:val="00CB06BF"/>
    <w:rsid w:val="00CC3D4B"/>
    <w:rsid w:val="00CD0942"/>
    <w:rsid w:val="00CD4071"/>
    <w:rsid w:val="00D005AE"/>
    <w:rsid w:val="00D04579"/>
    <w:rsid w:val="00D11405"/>
    <w:rsid w:val="00D22B45"/>
    <w:rsid w:val="00D22BD6"/>
    <w:rsid w:val="00D2664F"/>
    <w:rsid w:val="00D32B03"/>
    <w:rsid w:val="00D419F6"/>
    <w:rsid w:val="00D81AC3"/>
    <w:rsid w:val="00D9041D"/>
    <w:rsid w:val="00D92D16"/>
    <w:rsid w:val="00D9525D"/>
    <w:rsid w:val="00DC6CB1"/>
    <w:rsid w:val="00DD1258"/>
    <w:rsid w:val="00DE092D"/>
    <w:rsid w:val="00DF060D"/>
    <w:rsid w:val="00E0085E"/>
    <w:rsid w:val="00E04DBF"/>
    <w:rsid w:val="00E07BD3"/>
    <w:rsid w:val="00E128DD"/>
    <w:rsid w:val="00E16409"/>
    <w:rsid w:val="00E24E53"/>
    <w:rsid w:val="00E67ACA"/>
    <w:rsid w:val="00E67CC8"/>
    <w:rsid w:val="00E701B5"/>
    <w:rsid w:val="00E86A57"/>
    <w:rsid w:val="00EE16AF"/>
    <w:rsid w:val="00EF2368"/>
    <w:rsid w:val="00EF3CEB"/>
    <w:rsid w:val="00F239BE"/>
    <w:rsid w:val="00F34742"/>
    <w:rsid w:val="00F5790D"/>
    <w:rsid w:val="00F57BFF"/>
    <w:rsid w:val="00F661BB"/>
    <w:rsid w:val="00F73FD1"/>
    <w:rsid w:val="00F84868"/>
    <w:rsid w:val="00F84F15"/>
    <w:rsid w:val="00F96FDF"/>
    <w:rsid w:val="00FB1AF2"/>
    <w:rsid w:val="00FB55C0"/>
    <w:rsid w:val="00FC3704"/>
    <w:rsid w:val="00FC6149"/>
    <w:rsid w:val="00FC79D7"/>
    <w:rsid w:val="00FD02D8"/>
    <w:rsid w:val="00FE0233"/>
    <w:rsid w:val="00FE1C7A"/>
    <w:rsid w:val="00FE4FC4"/>
    <w:rsid w:val="00FF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1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0CB"/>
    <w:pPr>
      <w:spacing w:after="200" w:line="276" w:lineRule="auto"/>
    </w:pPr>
    <w:rPr>
      <w:rFonts w:cs="Calibri"/>
      <w:w w:val="105"/>
      <w:kern w:val="40"/>
      <w:sz w:val="22"/>
      <w:szCs w:val="22"/>
      <w:lang w:eastAsia="en-US"/>
    </w:rPr>
  </w:style>
  <w:style w:type="paragraph" w:styleId="Heading1">
    <w:name w:val="heading 1"/>
    <w:basedOn w:val="Normal"/>
    <w:next w:val="Normal"/>
    <w:link w:val="Heading1Char"/>
    <w:uiPriority w:val="9"/>
    <w:qFormat/>
    <w:rsid w:val="006150CB"/>
    <w:pPr>
      <w:keepNext/>
      <w:spacing w:after="0" w:line="240" w:lineRule="auto"/>
      <w:jc w:val="right"/>
      <w:outlineLvl w:val="0"/>
    </w:pPr>
    <w:rPr>
      <w:rFonts w:eastAsia="SimSun" w:cs="Angsana New"/>
      <w:b/>
      <w:bCs/>
      <w:color w:val="404040"/>
      <w:kern w:val="32"/>
      <w:sz w:val="52"/>
      <w:szCs w:val="52"/>
    </w:rPr>
  </w:style>
  <w:style w:type="paragraph" w:styleId="Heading2">
    <w:name w:val="heading 2"/>
    <w:basedOn w:val="Normal"/>
    <w:next w:val="Normal"/>
    <w:link w:val="Heading2Char"/>
    <w:uiPriority w:val="9"/>
    <w:unhideWhenUsed/>
    <w:qFormat/>
    <w:rsid w:val="00564D32"/>
    <w:pPr>
      <w:keepNext/>
      <w:spacing w:before="240" w:after="60" w:line="240" w:lineRule="auto"/>
      <w:outlineLvl w:val="1"/>
    </w:pPr>
    <w:rPr>
      <w:rFonts w:eastAsia="SimSun" w:cs="Angsana New"/>
      <w:b/>
      <w:bCs/>
      <w:iCs/>
      <w:color w:val="4D738A"/>
      <w:sz w:val="40"/>
      <w:szCs w:val="48"/>
    </w:rPr>
  </w:style>
  <w:style w:type="paragraph" w:styleId="Heading3">
    <w:name w:val="heading 3"/>
    <w:basedOn w:val="Normal"/>
    <w:next w:val="Normal"/>
    <w:link w:val="Heading3Char"/>
    <w:uiPriority w:val="9"/>
    <w:unhideWhenUsed/>
    <w:qFormat/>
    <w:rsid w:val="006150CB"/>
    <w:pPr>
      <w:keepNext/>
      <w:spacing w:after="60" w:line="240" w:lineRule="auto"/>
      <w:outlineLvl w:val="2"/>
    </w:pPr>
    <w:rPr>
      <w:rFonts w:eastAsia="SimSun" w:cs="Angsana New"/>
      <w:b/>
      <w:bCs/>
      <w:color w:val="404040"/>
      <w:sz w:val="32"/>
      <w:szCs w:val="32"/>
    </w:rPr>
  </w:style>
  <w:style w:type="paragraph" w:styleId="Heading4">
    <w:name w:val="heading 4"/>
    <w:basedOn w:val="Heading3"/>
    <w:next w:val="Normal"/>
    <w:link w:val="Heading4Char"/>
    <w:uiPriority w:val="9"/>
    <w:unhideWhenUsed/>
    <w:qFormat/>
    <w:rsid w:val="0098671E"/>
    <w:pPr>
      <w:outlineLvl w:val="3"/>
    </w:pPr>
    <w:rPr>
      <w:color w:val="595959" w:themeColor="text1" w:themeTint="A6"/>
      <w:sz w:val="26"/>
      <w:szCs w:val="26"/>
    </w:rPr>
  </w:style>
  <w:style w:type="paragraph" w:styleId="Heading5">
    <w:name w:val="heading 5"/>
    <w:basedOn w:val="Normal"/>
    <w:next w:val="Normal"/>
    <w:link w:val="Heading5Char"/>
    <w:uiPriority w:val="9"/>
    <w:unhideWhenUsed/>
    <w:qFormat/>
    <w:rsid w:val="005114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50CB"/>
    <w:rPr>
      <w:rFonts w:eastAsia="SimSun" w:cs="Angsana New"/>
      <w:b/>
      <w:bCs/>
      <w:color w:val="404040"/>
      <w:w w:val="105"/>
      <w:kern w:val="32"/>
      <w:sz w:val="52"/>
      <w:szCs w:val="52"/>
      <w:lang w:eastAsia="en-US"/>
    </w:rPr>
  </w:style>
  <w:style w:type="paragraph" w:styleId="Title">
    <w:name w:val="Title"/>
    <w:basedOn w:val="Normal"/>
    <w:next w:val="Normal"/>
    <w:link w:val="TitleChar"/>
    <w:uiPriority w:val="10"/>
    <w:qFormat/>
    <w:rsid w:val="006150CB"/>
    <w:pPr>
      <w:spacing w:before="240" w:after="60" w:line="240" w:lineRule="auto"/>
      <w:outlineLvl w:val="0"/>
    </w:pPr>
    <w:rPr>
      <w:rFonts w:eastAsia="SimSun" w:cs="Angsana New"/>
      <w:b/>
      <w:bCs/>
      <w:noProof/>
      <w:kern w:val="28"/>
      <w:sz w:val="56"/>
      <w:szCs w:val="32"/>
    </w:rPr>
  </w:style>
  <w:style w:type="character" w:customStyle="1" w:styleId="TitleChar">
    <w:name w:val="Title Char"/>
    <w:link w:val="Title"/>
    <w:uiPriority w:val="10"/>
    <w:rsid w:val="006150CB"/>
    <w:rPr>
      <w:rFonts w:eastAsia="SimSun" w:cs="Angsana New"/>
      <w:b/>
      <w:bCs/>
      <w:noProof/>
      <w:w w:val="105"/>
      <w:kern w:val="28"/>
      <w:sz w:val="56"/>
      <w:szCs w:val="32"/>
      <w:lang w:eastAsia="en-US"/>
    </w:rPr>
  </w:style>
  <w:style w:type="character" w:customStyle="1" w:styleId="Heading2Char">
    <w:name w:val="Heading 2 Char"/>
    <w:link w:val="Heading2"/>
    <w:uiPriority w:val="9"/>
    <w:rsid w:val="00564D32"/>
    <w:rPr>
      <w:rFonts w:eastAsia="SimSun" w:cs="Angsana New"/>
      <w:b/>
      <w:bCs/>
      <w:iCs/>
      <w:color w:val="4D738A"/>
      <w:w w:val="105"/>
      <w:kern w:val="40"/>
      <w:sz w:val="40"/>
      <w:szCs w:val="48"/>
      <w:lang w:eastAsia="en-US"/>
    </w:rPr>
  </w:style>
  <w:style w:type="paragraph" w:styleId="Subtitle">
    <w:name w:val="Subtitle"/>
    <w:basedOn w:val="Title"/>
    <w:next w:val="Normal"/>
    <w:link w:val="SubtitleChar"/>
    <w:uiPriority w:val="11"/>
    <w:qFormat/>
    <w:rsid w:val="006150CB"/>
    <w:pPr>
      <w:jc w:val="right"/>
    </w:pPr>
    <w:rPr>
      <w:sz w:val="28"/>
      <w:szCs w:val="28"/>
    </w:rPr>
  </w:style>
  <w:style w:type="character" w:customStyle="1" w:styleId="SubtitleChar">
    <w:name w:val="Subtitle Char"/>
    <w:link w:val="Subtitle"/>
    <w:uiPriority w:val="11"/>
    <w:rsid w:val="006150CB"/>
    <w:rPr>
      <w:rFonts w:eastAsia="SimSun" w:cs="Angsana New"/>
      <w:b/>
      <w:bCs/>
      <w:noProof/>
      <w:w w:val="105"/>
      <w:kern w:val="28"/>
      <w:sz w:val="28"/>
      <w:szCs w:val="28"/>
      <w:lang w:eastAsia="en-US"/>
    </w:rPr>
  </w:style>
  <w:style w:type="character" w:customStyle="1" w:styleId="Heading3Char">
    <w:name w:val="Heading 3 Char"/>
    <w:link w:val="Heading3"/>
    <w:uiPriority w:val="9"/>
    <w:rsid w:val="006150CB"/>
    <w:rPr>
      <w:rFonts w:eastAsia="SimSun" w:cs="Angsana New"/>
      <w:b/>
      <w:bCs/>
      <w:color w:val="404040"/>
      <w:w w:val="105"/>
      <w:kern w:val="40"/>
      <w:sz w:val="32"/>
      <w:szCs w:val="32"/>
      <w:lang w:eastAsia="en-US"/>
    </w:rPr>
  </w:style>
  <w:style w:type="paragraph" w:styleId="Header">
    <w:name w:val="header"/>
    <w:basedOn w:val="Normal"/>
    <w:link w:val="HeaderChar"/>
    <w:uiPriority w:val="99"/>
    <w:unhideWhenUsed/>
    <w:rsid w:val="006150CB"/>
    <w:pPr>
      <w:tabs>
        <w:tab w:val="center" w:pos="4513"/>
        <w:tab w:val="right" w:pos="9026"/>
      </w:tabs>
    </w:pPr>
  </w:style>
  <w:style w:type="character" w:customStyle="1" w:styleId="HeaderChar">
    <w:name w:val="Header Char"/>
    <w:link w:val="Header"/>
    <w:uiPriority w:val="99"/>
    <w:rsid w:val="006150CB"/>
    <w:rPr>
      <w:sz w:val="22"/>
      <w:szCs w:val="22"/>
      <w:lang w:eastAsia="en-US"/>
    </w:rPr>
  </w:style>
  <w:style w:type="paragraph" w:styleId="Footer">
    <w:name w:val="footer"/>
    <w:basedOn w:val="Normal"/>
    <w:link w:val="FooterChar"/>
    <w:uiPriority w:val="99"/>
    <w:unhideWhenUsed/>
    <w:rsid w:val="006150CB"/>
    <w:pPr>
      <w:tabs>
        <w:tab w:val="center" w:pos="4513"/>
        <w:tab w:val="right" w:pos="9026"/>
      </w:tabs>
    </w:pPr>
  </w:style>
  <w:style w:type="character" w:customStyle="1" w:styleId="FooterChar">
    <w:name w:val="Footer Char"/>
    <w:link w:val="Footer"/>
    <w:uiPriority w:val="99"/>
    <w:rsid w:val="006150CB"/>
    <w:rPr>
      <w:sz w:val="22"/>
      <w:szCs w:val="22"/>
      <w:lang w:eastAsia="en-US"/>
    </w:rPr>
  </w:style>
  <w:style w:type="paragraph" w:styleId="BalloonText">
    <w:name w:val="Balloon Text"/>
    <w:basedOn w:val="Normal"/>
    <w:link w:val="BalloonTextChar"/>
    <w:uiPriority w:val="99"/>
    <w:semiHidden/>
    <w:unhideWhenUsed/>
    <w:rsid w:val="005C1B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C1BB3"/>
    <w:rPr>
      <w:rFonts w:ascii="Tahoma" w:hAnsi="Tahoma" w:cs="Tahoma"/>
      <w:w w:val="105"/>
      <w:kern w:val="40"/>
      <w:sz w:val="16"/>
      <w:szCs w:val="16"/>
      <w:lang w:eastAsia="en-US"/>
    </w:rPr>
  </w:style>
  <w:style w:type="paragraph" w:customStyle="1" w:styleId="Bullet1">
    <w:name w:val="Bullet 1"/>
    <w:basedOn w:val="ListBullet2"/>
    <w:qFormat/>
    <w:rsid w:val="00511472"/>
    <w:pPr>
      <w:numPr>
        <w:ilvl w:val="0"/>
      </w:numPr>
      <w:ind w:left="567" w:hanging="567"/>
    </w:pPr>
  </w:style>
  <w:style w:type="numbering" w:customStyle="1" w:styleId="Bullet2">
    <w:name w:val="Bullet 2"/>
    <w:basedOn w:val="NoList"/>
    <w:uiPriority w:val="99"/>
    <w:rsid w:val="0011430B"/>
    <w:pPr>
      <w:numPr>
        <w:numId w:val="2"/>
      </w:numPr>
    </w:pPr>
  </w:style>
  <w:style w:type="paragraph" w:styleId="ListBullet2">
    <w:name w:val="List Bullet 2"/>
    <w:basedOn w:val="ListBullet"/>
    <w:uiPriority w:val="99"/>
    <w:unhideWhenUsed/>
    <w:qFormat/>
    <w:rsid w:val="00511472"/>
    <w:pPr>
      <w:ind w:left="1134" w:hanging="567"/>
    </w:pPr>
  </w:style>
  <w:style w:type="character" w:customStyle="1" w:styleId="Heading4Char">
    <w:name w:val="Heading 4 Char"/>
    <w:basedOn w:val="DefaultParagraphFont"/>
    <w:link w:val="Heading4"/>
    <w:uiPriority w:val="9"/>
    <w:rsid w:val="0098671E"/>
    <w:rPr>
      <w:rFonts w:eastAsia="SimSun" w:cs="Angsana New"/>
      <w:b/>
      <w:bCs/>
      <w:color w:val="595959" w:themeColor="text1" w:themeTint="A6"/>
      <w:w w:val="105"/>
      <w:kern w:val="40"/>
      <w:sz w:val="26"/>
      <w:szCs w:val="26"/>
      <w:lang w:eastAsia="en-US"/>
    </w:rPr>
  </w:style>
  <w:style w:type="paragraph" w:styleId="ListBullet">
    <w:name w:val="List Bullet"/>
    <w:aliases w:val="List Bullet 1"/>
    <w:basedOn w:val="Normal"/>
    <w:uiPriority w:val="99"/>
    <w:unhideWhenUsed/>
    <w:rsid w:val="0011430B"/>
    <w:pPr>
      <w:numPr>
        <w:ilvl w:val="1"/>
        <w:numId w:val="1"/>
      </w:numPr>
      <w:contextualSpacing/>
    </w:pPr>
  </w:style>
  <w:style w:type="character" w:styleId="Strong">
    <w:name w:val="Strong"/>
    <w:basedOn w:val="DefaultParagraphFont"/>
    <w:uiPriority w:val="22"/>
    <w:qFormat/>
    <w:rsid w:val="0011430B"/>
    <w:rPr>
      <w:b/>
      <w:bCs/>
    </w:rPr>
  </w:style>
  <w:style w:type="character" w:styleId="SubtleEmphasis">
    <w:name w:val="Subtle Emphasis"/>
    <w:basedOn w:val="DefaultParagraphFont"/>
    <w:uiPriority w:val="19"/>
    <w:rsid w:val="0011430B"/>
    <w:rPr>
      <w:i/>
      <w:iCs/>
      <w:color w:val="808080" w:themeColor="text1" w:themeTint="7F"/>
    </w:rPr>
  </w:style>
  <w:style w:type="character" w:customStyle="1" w:styleId="Heading5Char">
    <w:name w:val="Heading 5 Char"/>
    <w:basedOn w:val="DefaultParagraphFont"/>
    <w:link w:val="Heading5"/>
    <w:uiPriority w:val="9"/>
    <w:rsid w:val="00511472"/>
    <w:rPr>
      <w:rFonts w:asciiTheme="majorHAnsi" w:eastAsiaTheme="majorEastAsia" w:hAnsiTheme="majorHAnsi" w:cstheme="majorBidi"/>
      <w:color w:val="243F60" w:themeColor="accent1" w:themeShade="7F"/>
      <w:w w:val="105"/>
      <w:kern w:val="40"/>
      <w:sz w:val="22"/>
      <w:szCs w:val="22"/>
      <w:lang w:eastAsia="en-US"/>
    </w:rPr>
  </w:style>
  <w:style w:type="paragraph" w:styleId="NormalWeb">
    <w:name w:val="Normal (Web)"/>
    <w:basedOn w:val="Normal"/>
    <w:uiPriority w:val="99"/>
    <w:unhideWhenUsed/>
    <w:rsid w:val="00B10678"/>
    <w:pPr>
      <w:spacing w:before="100" w:beforeAutospacing="1" w:after="100" w:afterAutospacing="1" w:line="240" w:lineRule="auto"/>
    </w:pPr>
    <w:rPr>
      <w:rFonts w:ascii="Times New Roman" w:eastAsia="Times New Roman" w:hAnsi="Times New Roman" w:cs="Times New Roman"/>
      <w:w w:val="100"/>
      <w:kern w:val="0"/>
      <w:sz w:val="24"/>
      <w:szCs w:val="24"/>
      <w:lang w:eastAsia="en-AU"/>
    </w:rPr>
  </w:style>
  <w:style w:type="character" w:styleId="Hyperlink">
    <w:name w:val="Hyperlink"/>
    <w:basedOn w:val="DefaultParagraphFont"/>
    <w:uiPriority w:val="99"/>
    <w:unhideWhenUsed/>
    <w:rsid w:val="009A0E7A"/>
    <w:rPr>
      <w:color w:val="0000FF"/>
      <w:u w:val="single"/>
    </w:rPr>
  </w:style>
  <w:style w:type="character" w:styleId="CommentReference">
    <w:name w:val="annotation reference"/>
    <w:basedOn w:val="DefaultParagraphFont"/>
    <w:uiPriority w:val="99"/>
    <w:semiHidden/>
    <w:unhideWhenUsed/>
    <w:rsid w:val="00FE4FC4"/>
    <w:rPr>
      <w:sz w:val="16"/>
      <w:szCs w:val="16"/>
    </w:rPr>
  </w:style>
  <w:style w:type="paragraph" w:styleId="CommentText">
    <w:name w:val="annotation text"/>
    <w:basedOn w:val="Normal"/>
    <w:link w:val="CommentTextChar"/>
    <w:uiPriority w:val="99"/>
    <w:unhideWhenUsed/>
    <w:rsid w:val="00FE4FC4"/>
    <w:pPr>
      <w:spacing w:line="240" w:lineRule="auto"/>
    </w:pPr>
    <w:rPr>
      <w:sz w:val="20"/>
      <w:szCs w:val="20"/>
    </w:rPr>
  </w:style>
  <w:style w:type="character" w:customStyle="1" w:styleId="CommentTextChar">
    <w:name w:val="Comment Text Char"/>
    <w:basedOn w:val="DefaultParagraphFont"/>
    <w:link w:val="CommentText"/>
    <w:uiPriority w:val="99"/>
    <w:rsid w:val="00FE4FC4"/>
    <w:rPr>
      <w:rFonts w:cs="Calibri"/>
      <w:w w:val="105"/>
      <w:kern w:val="40"/>
      <w:lang w:eastAsia="en-US"/>
    </w:rPr>
  </w:style>
  <w:style w:type="paragraph" w:styleId="CommentSubject">
    <w:name w:val="annotation subject"/>
    <w:basedOn w:val="CommentText"/>
    <w:next w:val="CommentText"/>
    <w:link w:val="CommentSubjectChar"/>
    <w:uiPriority w:val="99"/>
    <w:semiHidden/>
    <w:unhideWhenUsed/>
    <w:rsid w:val="00FE4FC4"/>
    <w:rPr>
      <w:b/>
      <w:bCs/>
    </w:rPr>
  </w:style>
  <w:style w:type="character" w:customStyle="1" w:styleId="CommentSubjectChar">
    <w:name w:val="Comment Subject Char"/>
    <w:basedOn w:val="CommentTextChar"/>
    <w:link w:val="CommentSubject"/>
    <w:uiPriority w:val="99"/>
    <w:semiHidden/>
    <w:rsid w:val="00FE4FC4"/>
    <w:rPr>
      <w:rFonts w:cs="Calibri"/>
      <w:b/>
      <w:bCs/>
      <w:w w:val="105"/>
      <w:kern w:val="40"/>
      <w:lang w:eastAsia="en-US"/>
    </w:rPr>
  </w:style>
  <w:style w:type="character" w:styleId="Emphasis">
    <w:name w:val="Emphasis"/>
    <w:basedOn w:val="DefaultParagraphFont"/>
    <w:uiPriority w:val="20"/>
    <w:qFormat/>
    <w:rsid w:val="00B12188"/>
    <w:rPr>
      <w:i/>
      <w:iCs/>
    </w:rPr>
  </w:style>
  <w:style w:type="paragraph" w:styleId="ListParagraph">
    <w:name w:val="List Paragraph"/>
    <w:basedOn w:val="Normal"/>
    <w:uiPriority w:val="34"/>
    <w:rsid w:val="00D2664F"/>
    <w:pPr>
      <w:ind w:left="720"/>
      <w:contextualSpacing/>
    </w:pPr>
  </w:style>
  <w:style w:type="character" w:styleId="UnresolvedMention">
    <w:name w:val="Unresolved Mention"/>
    <w:basedOn w:val="DefaultParagraphFont"/>
    <w:uiPriority w:val="99"/>
    <w:semiHidden/>
    <w:unhideWhenUsed/>
    <w:rsid w:val="000158B9"/>
    <w:rPr>
      <w:color w:val="605E5C"/>
      <w:shd w:val="clear" w:color="auto" w:fill="E1DFDD"/>
    </w:rPr>
  </w:style>
  <w:style w:type="paragraph" w:styleId="Revision">
    <w:name w:val="Revision"/>
    <w:hidden/>
    <w:uiPriority w:val="99"/>
    <w:semiHidden/>
    <w:rsid w:val="00D9041D"/>
    <w:rPr>
      <w:rFonts w:cs="Calibri"/>
      <w:w w:val="105"/>
      <w:kern w:val="4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89865">
      <w:bodyDiv w:val="1"/>
      <w:marLeft w:val="0"/>
      <w:marRight w:val="0"/>
      <w:marTop w:val="0"/>
      <w:marBottom w:val="0"/>
      <w:divBdr>
        <w:top w:val="none" w:sz="0" w:space="0" w:color="auto"/>
        <w:left w:val="none" w:sz="0" w:space="0" w:color="auto"/>
        <w:bottom w:val="none" w:sz="0" w:space="0" w:color="auto"/>
        <w:right w:val="none" w:sz="0" w:space="0" w:color="auto"/>
      </w:divBdr>
    </w:div>
    <w:div w:id="192425456">
      <w:bodyDiv w:val="1"/>
      <w:marLeft w:val="0"/>
      <w:marRight w:val="0"/>
      <w:marTop w:val="0"/>
      <w:marBottom w:val="0"/>
      <w:divBdr>
        <w:top w:val="none" w:sz="0" w:space="0" w:color="auto"/>
        <w:left w:val="none" w:sz="0" w:space="0" w:color="auto"/>
        <w:bottom w:val="none" w:sz="0" w:space="0" w:color="auto"/>
        <w:right w:val="none" w:sz="0" w:space="0" w:color="auto"/>
      </w:divBdr>
    </w:div>
    <w:div w:id="329260170">
      <w:bodyDiv w:val="1"/>
      <w:marLeft w:val="0"/>
      <w:marRight w:val="0"/>
      <w:marTop w:val="0"/>
      <w:marBottom w:val="0"/>
      <w:divBdr>
        <w:top w:val="none" w:sz="0" w:space="0" w:color="auto"/>
        <w:left w:val="none" w:sz="0" w:space="0" w:color="auto"/>
        <w:bottom w:val="none" w:sz="0" w:space="0" w:color="auto"/>
        <w:right w:val="none" w:sz="0" w:space="0" w:color="auto"/>
      </w:divBdr>
    </w:div>
    <w:div w:id="500050741">
      <w:bodyDiv w:val="1"/>
      <w:marLeft w:val="0"/>
      <w:marRight w:val="0"/>
      <w:marTop w:val="0"/>
      <w:marBottom w:val="0"/>
      <w:divBdr>
        <w:top w:val="none" w:sz="0" w:space="0" w:color="auto"/>
        <w:left w:val="none" w:sz="0" w:space="0" w:color="auto"/>
        <w:bottom w:val="none" w:sz="0" w:space="0" w:color="auto"/>
        <w:right w:val="none" w:sz="0" w:space="0" w:color="auto"/>
      </w:divBdr>
      <w:divsChild>
        <w:div w:id="257060091">
          <w:marLeft w:val="0"/>
          <w:marRight w:val="0"/>
          <w:marTop w:val="0"/>
          <w:marBottom w:val="0"/>
          <w:divBdr>
            <w:top w:val="none" w:sz="0" w:space="0" w:color="auto"/>
            <w:left w:val="none" w:sz="0" w:space="0" w:color="auto"/>
            <w:bottom w:val="none" w:sz="0" w:space="0" w:color="auto"/>
            <w:right w:val="none" w:sz="0" w:space="0" w:color="auto"/>
          </w:divBdr>
        </w:div>
        <w:div w:id="174350557">
          <w:marLeft w:val="0"/>
          <w:marRight w:val="0"/>
          <w:marTop w:val="0"/>
          <w:marBottom w:val="0"/>
          <w:divBdr>
            <w:top w:val="none" w:sz="0" w:space="0" w:color="auto"/>
            <w:left w:val="none" w:sz="0" w:space="0" w:color="auto"/>
            <w:bottom w:val="none" w:sz="0" w:space="0" w:color="auto"/>
            <w:right w:val="none" w:sz="0" w:space="0" w:color="auto"/>
          </w:divBdr>
        </w:div>
      </w:divsChild>
    </w:div>
    <w:div w:id="211104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sultations.ag.gov.au/crime/national-firearms-register-consult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National Firearms Register - Consultation Paper</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Firearms Register - Consultation Paper</dc:title>
  <dc:creator/>
  <cp:lastModifiedBy/>
  <cp:revision>1</cp:revision>
  <dcterms:created xsi:type="dcterms:W3CDTF">2023-04-03T07:05:00Z</dcterms:created>
  <dcterms:modified xsi:type="dcterms:W3CDTF">2023-04-03T07:05:00Z</dcterms:modified>
</cp:coreProperties>
</file>