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83B4" w14:textId="77777777" w:rsidR="001806FE" w:rsidRPr="001806FE" w:rsidRDefault="001806FE" w:rsidP="001806FE">
      <w:pPr>
        <w:widowControl/>
        <w:autoSpaceDE/>
        <w:autoSpaceDN/>
        <w:spacing w:after="160" w:line="259" w:lineRule="auto"/>
        <w:jc w:val="center"/>
        <w:rPr>
          <w:rFonts w:ascii="Calibri" w:eastAsia="Calibri" w:hAnsi="Calibri" w:cs="Times New Roman"/>
          <w:b/>
          <w:sz w:val="28"/>
          <w:lang w:val="en-AU"/>
        </w:rPr>
      </w:pPr>
      <w:bookmarkStart w:id="0" w:name="_Hlk129076008"/>
      <w:bookmarkStart w:id="1" w:name="_Toc128582352"/>
      <w:bookmarkEnd w:id="0"/>
      <w:r w:rsidRPr="001806FE">
        <w:rPr>
          <w:rFonts w:ascii="Calibri" w:eastAsia="Calibri" w:hAnsi="Calibri" w:cs="Times New Roman"/>
          <w:noProof/>
          <w:lang w:val="en-AU" w:eastAsia="en-AU"/>
        </w:rPr>
        <w:drawing>
          <wp:anchor distT="0" distB="0" distL="114300" distR="114300" simplePos="0" relativeHeight="251659264" behindDoc="1" locked="0" layoutInCell="1" allowOverlap="1" wp14:anchorId="63B84C13" wp14:editId="304B4E98">
            <wp:simplePos x="0" y="0"/>
            <wp:positionH relativeFrom="column">
              <wp:posOffset>-900430</wp:posOffset>
            </wp:positionH>
            <wp:positionV relativeFrom="paragraph">
              <wp:posOffset>0</wp:posOffset>
            </wp:positionV>
            <wp:extent cx="7581900" cy="1360170"/>
            <wp:effectExtent l="0" t="0" r="0" b="0"/>
            <wp:wrapTight wrapText="bothSides">
              <wp:wrapPolygon edited="0">
                <wp:start x="0" y="0"/>
                <wp:lineTo x="0" y="21176"/>
                <wp:lineTo x="21546" y="21176"/>
                <wp:lineTo x="21546" y="0"/>
                <wp:lineTo x="0" y="0"/>
              </wp:wrapPolygon>
            </wp:wrapTight>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0" cy="1360170"/>
                    </a:xfrm>
                    <a:prstGeom prst="rect">
                      <a:avLst/>
                    </a:prstGeom>
                  </pic:spPr>
                </pic:pic>
              </a:graphicData>
            </a:graphic>
            <wp14:sizeRelH relativeFrom="page">
              <wp14:pctWidth>0</wp14:pctWidth>
            </wp14:sizeRelH>
            <wp14:sizeRelV relativeFrom="page">
              <wp14:pctHeight>0</wp14:pctHeight>
            </wp14:sizeRelV>
          </wp:anchor>
        </w:drawing>
      </w:r>
    </w:p>
    <w:p w14:paraId="42A74836" w14:textId="77777777" w:rsidR="001806FE" w:rsidRPr="001806FE" w:rsidRDefault="001806FE" w:rsidP="001806FE">
      <w:pPr>
        <w:widowControl/>
        <w:autoSpaceDE/>
        <w:autoSpaceDN/>
        <w:spacing w:after="160" w:line="259" w:lineRule="auto"/>
        <w:jc w:val="right"/>
        <w:rPr>
          <w:rFonts w:ascii="Calibri" w:eastAsia="Calibri" w:hAnsi="Calibri" w:cs="Times New Roman"/>
          <w:sz w:val="24"/>
          <w:lang w:val="en-AU"/>
        </w:rPr>
      </w:pPr>
      <w:r w:rsidRPr="001806FE">
        <w:rPr>
          <w:rFonts w:ascii="Calibri" w:eastAsia="Calibri" w:hAnsi="Calibri" w:cs="Times New Roman"/>
          <w:sz w:val="24"/>
          <w:lang w:val="en-AU"/>
        </w:rPr>
        <w:t>March 2023</w:t>
      </w:r>
    </w:p>
    <w:p w14:paraId="268A25D2" w14:textId="77777777" w:rsidR="001806FE" w:rsidRPr="001806FE" w:rsidRDefault="001806FE" w:rsidP="001806FE">
      <w:pPr>
        <w:widowControl/>
        <w:autoSpaceDE/>
        <w:autoSpaceDN/>
        <w:spacing w:after="160" w:line="259" w:lineRule="auto"/>
        <w:jc w:val="center"/>
        <w:rPr>
          <w:rFonts w:ascii="Calibri" w:eastAsia="Calibri" w:hAnsi="Calibri" w:cs="Times New Roman"/>
          <w:b/>
          <w:sz w:val="52"/>
          <w:szCs w:val="52"/>
          <w:lang w:val="en-AU"/>
        </w:rPr>
      </w:pPr>
      <w:bookmarkStart w:id="2" w:name="_Toc128582353"/>
      <w:bookmarkEnd w:id="1"/>
    </w:p>
    <w:p w14:paraId="1CD9B9D7" w14:textId="77777777" w:rsidR="001806FE" w:rsidRPr="001806FE" w:rsidRDefault="001806FE" w:rsidP="001806FE">
      <w:pPr>
        <w:widowControl/>
        <w:autoSpaceDE/>
        <w:autoSpaceDN/>
        <w:spacing w:after="160" w:line="259" w:lineRule="auto"/>
        <w:jc w:val="center"/>
        <w:rPr>
          <w:rFonts w:ascii="Calibri" w:eastAsia="Calibri" w:hAnsi="Calibri" w:cs="Times New Roman"/>
          <w:b/>
          <w:sz w:val="52"/>
          <w:szCs w:val="52"/>
          <w:lang w:val="en-AU"/>
        </w:rPr>
      </w:pPr>
      <w:bookmarkStart w:id="3" w:name="_GoBack"/>
      <w:bookmarkEnd w:id="3"/>
    </w:p>
    <w:p w14:paraId="67BB2AB2" w14:textId="77777777" w:rsidR="001806FE" w:rsidRPr="001806FE" w:rsidRDefault="001806FE" w:rsidP="001806FE">
      <w:pPr>
        <w:widowControl/>
        <w:autoSpaceDE/>
        <w:autoSpaceDN/>
        <w:spacing w:after="160" w:line="259" w:lineRule="auto"/>
        <w:jc w:val="center"/>
        <w:rPr>
          <w:rFonts w:ascii="Calibri" w:eastAsia="Calibri" w:hAnsi="Calibri" w:cs="Times New Roman"/>
          <w:b/>
          <w:sz w:val="52"/>
          <w:szCs w:val="52"/>
          <w:lang w:val="en-AU"/>
        </w:rPr>
      </w:pPr>
      <w:r w:rsidRPr="001806FE">
        <w:rPr>
          <w:rFonts w:ascii="Calibri" w:eastAsia="Calibri" w:hAnsi="Calibri" w:cs="Times New Roman"/>
          <w:b/>
          <w:sz w:val="52"/>
          <w:szCs w:val="52"/>
          <w:lang w:val="en-AU"/>
        </w:rPr>
        <w:t xml:space="preserve">Review of Secrecy Provisions </w:t>
      </w:r>
    </w:p>
    <w:p w14:paraId="1261D458" w14:textId="77777777" w:rsidR="001806FE" w:rsidRPr="001806FE" w:rsidRDefault="001806FE" w:rsidP="001806FE">
      <w:pPr>
        <w:widowControl/>
        <w:autoSpaceDE/>
        <w:autoSpaceDN/>
        <w:spacing w:after="160" w:line="259" w:lineRule="auto"/>
        <w:jc w:val="center"/>
        <w:rPr>
          <w:rFonts w:ascii="Calibri" w:eastAsia="SimSun" w:hAnsi="Calibri" w:cs="Angsana New"/>
          <w:b/>
          <w:color w:val="4D738A"/>
          <w:sz w:val="40"/>
          <w:szCs w:val="40"/>
          <w:lang w:val="en-AU"/>
        </w:rPr>
      </w:pPr>
      <w:r w:rsidRPr="001806FE">
        <w:rPr>
          <w:rFonts w:ascii="Calibri" w:eastAsia="SimSun" w:hAnsi="Calibri" w:cs="Angsana New"/>
          <w:b/>
          <w:color w:val="4D738A"/>
          <w:sz w:val="40"/>
          <w:szCs w:val="40"/>
          <w:lang w:val="en-AU"/>
        </w:rPr>
        <w:t>Consultation Paper</w:t>
      </w:r>
    </w:p>
    <w:p w14:paraId="4E1BFA1A" w14:textId="77777777" w:rsidR="001806FE" w:rsidRPr="001806FE" w:rsidRDefault="001806FE" w:rsidP="001806FE">
      <w:pPr>
        <w:keepNext/>
        <w:keepLines/>
        <w:widowControl/>
        <w:autoSpaceDE/>
        <w:autoSpaceDN/>
        <w:spacing w:before="240" w:line="259" w:lineRule="auto"/>
        <w:outlineLvl w:val="0"/>
        <w:rPr>
          <w:rFonts w:ascii="Calibri Light" w:eastAsia="Times New Roman" w:hAnsi="Calibri Light" w:cs="Times New Roman"/>
          <w:color w:val="2F5496"/>
          <w:sz w:val="32"/>
          <w:szCs w:val="32"/>
          <w:lang w:val="en-AU"/>
        </w:rPr>
      </w:pPr>
    </w:p>
    <w:p w14:paraId="225691E3"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32"/>
          <w:szCs w:val="32"/>
          <w:lang w:val="en-AU"/>
        </w:rPr>
      </w:pPr>
      <w:r w:rsidRPr="001806FE">
        <w:rPr>
          <w:rFonts w:ascii="Calibri" w:eastAsia="Calibri" w:hAnsi="Calibri" w:cs="Times New Roman"/>
          <w:lang w:val="en-AU"/>
        </w:rPr>
        <w:br w:type="page"/>
      </w:r>
    </w:p>
    <w:p w14:paraId="6E276E27" w14:textId="77777777" w:rsidR="001806FE" w:rsidRPr="001806FE" w:rsidRDefault="001806FE" w:rsidP="001B2709">
      <w:pPr>
        <w:pStyle w:val="Heading1"/>
      </w:pPr>
      <w:bookmarkStart w:id="4" w:name="_Toc128749871"/>
      <w:bookmarkStart w:id="5" w:name="_Toc130218774"/>
      <w:bookmarkStart w:id="6" w:name="_Toc130465867"/>
      <w:r w:rsidRPr="001806FE">
        <w:lastRenderedPageBreak/>
        <w:t>Table of Contents</w:t>
      </w:r>
      <w:bookmarkEnd w:id="4"/>
      <w:bookmarkEnd w:id="5"/>
      <w:bookmarkEnd w:id="6"/>
    </w:p>
    <w:sdt>
      <w:sdtPr>
        <w:rPr>
          <w:rFonts w:ascii="Gill Sans MT" w:eastAsia="Gill Sans MT" w:hAnsi="Gill Sans MT" w:cs="Gill Sans MT"/>
          <w:b w:val="0"/>
          <w:noProof w:val="0"/>
          <w:lang w:val="en-US"/>
        </w:rPr>
        <w:id w:val="1565140191"/>
        <w:docPartObj>
          <w:docPartGallery w:val="Table of Contents"/>
          <w:docPartUnique/>
        </w:docPartObj>
      </w:sdtPr>
      <w:sdtEndPr>
        <w:rPr>
          <w:rFonts w:asciiTheme="minorHAnsi" w:hAnsiTheme="minorHAnsi" w:cstheme="minorHAnsi"/>
          <w:bCs/>
        </w:rPr>
      </w:sdtEndPr>
      <w:sdtContent>
        <w:p w14:paraId="362FD148" w14:textId="0D58F1D8" w:rsidR="001F4398" w:rsidRPr="00D92C18" w:rsidRDefault="001806FE">
          <w:pPr>
            <w:pStyle w:val="TOC1"/>
            <w:rPr>
              <w:rFonts w:asciiTheme="minorHAnsi" w:eastAsiaTheme="minorEastAsia" w:hAnsiTheme="minorHAnsi" w:cstheme="minorBidi"/>
              <w:lang w:eastAsia="en-AU"/>
            </w:rPr>
          </w:pPr>
          <w:r w:rsidRPr="001806FE">
            <w:rPr>
              <w:rFonts w:asciiTheme="minorHAnsi" w:eastAsia="Times New Roman" w:hAnsiTheme="minorHAnsi" w:cstheme="minorHAnsi"/>
              <w:color w:val="2F5496"/>
            </w:rPr>
            <w:fldChar w:fldCharType="begin"/>
          </w:r>
          <w:r w:rsidRPr="001806FE">
            <w:rPr>
              <w:rFonts w:asciiTheme="minorHAnsi" w:hAnsiTheme="minorHAnsi" w:cstheme="minorHAnsi"/>
            </w:rPr>
            <w:instrText xml:space="preserve"> TOC \o "1-3" \h \z \u </w:instrText>
          </w:r>
          <w:r w:rsidRPr="001806FE">
            <w:rPr>
              <w:rFonts w:asciiTheme="minorHAnsi" w:eastAsia="Times New Roman" w:hAnsiTheme="minorHAnsi" w:cstheme="minorHAnsi"/>
              <w:color w:val="2F5496"/>
            </w:rPr>
            <w:fldChar w:fldCharType="separate"/>
          </w:r>
          <w:hyperlink w:anchor="_Toc130465867" w:history="1"/>
          <w:hyperlink w:anchor="_Toc130465868" w:history="1">
            <w:r w:rsidR="001F4398" w:rsidRPr="00D92C18">
              <w:rPr>
                <w:rStyle w:val="Hyperlink"/>
              </w:rPr>
              <w:t>Executive Summary</w:t>
            </w:r>
            <w:r w:rsidR="001F4398" w:rsidRPr="00D92C18">
              <w:rPr>
                <w:webHidden/>
              </w:rPr>
              <w:tab/>
            </w:r>
            <w:r w:rsidR="001F4398" w:rsidRPr="003C25B1">
              <w:rPr>
                <w:webHidden/>
              </w:rPr>
              <w:fldChar w:fldCharType="begin"/>
            </w:r>
            <w:r w:rsidR="001F4398" w:rsidRPr="00D92C18">
              <w:rPr>
                <w:webHidden/>
              </w:rPr>
              <w:instrText xml:space="preserve"> PAGEREF _Toc130465868 \h </w:instrText>
            </w:r>
            <w:r w:rsidR="001F4398" w:rsidRPr="003C25B1">
              <w:rPr>
                <w:webHidden/>
              </w:rPr>
            </w:r>
            <w:r w:rsidR="001F4398" w:rsidRPr="003C25B1">
              <w:rPr>
                <w:webHidden/>
              </w:rPr>
              <w:fldChar w:fldCharType="separate"/>
            </w:r>
            <w:r w:rsidR="001F4398" w:rsidRPr="00D92C18">
              <w:rPr>
                <w:webHidden/>
              </w:rPr>
              <w:t>4</w:t>
            </w:r>
            <w:r w:rsidR="001F4398" w:rsidRPr="003C25B1">
              <w:rPr>
                <w:webHidden/>
              </w:rPr>
              <w:fldChar w:fldCharType="end"/>
            </w:r>
          </w:hyperlink>
        </w:p>
        <w:p w14:paraId="637C96FD" w14:textId="3CAD0EB3" w:rsidR="001F4398" w:rsidRPr="00D92C18" w:rsidRDefault="00BF68EF">
          <w:pPr>
            <w:pStyle w:val="TOC1"/>
            <w:rPr>
              <w:rFonts w:asciiTheme="minorHAnsi" w:eastAsiaTheme="minorEastAsia" w:hAnsiTheme="minorHAnsi" w:cstheme="minorBidi"/>
              <w:lang w:eastAsia="en-AU"/>
            </w:rPr>
          </w:pPr>
          <w:hyperlink w:anchor="_Toc130465869" w:history="1">
            <w:r w:rsidR="001F4398" w:rsidRPr="00D92C18">
              <w:rPr>
                <w:rStyle w:val="Hyperlink"/>
              </w:rPr>
              <w:t>List of consultation questions</w:t>
            </w:r>
            <w:r w:rsidR="001F4398" w:rsidRPr="00D92C18">
              <w:rPr>
                <w:webHidden/>
              </w:rPr>
              <w:tab/>
            </w:r>
            <w:r w:rsidR="001F4398" w:rsidRPr="003C25B1">
              <w:rPr>
                <w:webHidden/>
              </w:rPr>
              <w:fldChar w:fldCharType="begin"/>
            </w:r>
            <w:r w:rsidR="001F4398" w:rsidRPr="00D92C18">
              <w:rPr>
                <w:webHidden/>
              </w:rPr>
              <w:instrText xml:space="preserve"> PAGEREF _Toc130465869 \h </w:instrText>
            </w:r>
            <w:r w:rsidR="001F4398" w:rsidRPr="003C25B1">
              <w:rPr>
                <w:webHidden/>
              </w:rPr>
            </w:r>
            <w:r w:rsidR="001F4398" w:rsidRPr="003C25B1">
              <w:rPr>
                <w:webHidden/>
              </w:rPr>
              <w:fldChar w:fldCharType="separate"/>
            </w:r>
            <w:r w:rsidR="001F4398" w:rsidRPr="00D92C18">
              <w:rPr>
                <w:webHidden/>
              </w:rPr>
              <w:t>6</w:t>
            </w:r>
            <w:r w:rsidR="001F4398" w:rsidRPr="003C25B1">
              <w:rPr>
                <w:webHidden/>
              </w:rPr>
              <w:fldChar w:fldCharType="end"/>
            </w:r>
          </w:hyperlink>
        </w:p>
        <w:p w14:paraId="3DB94DF7" w14:textId="2828FC01" w:rsidR="001F4398" w:rsidRDefault="00BF68EF">
          <w:pPr>
            <w:pStyle w:val="TOC2"/>
            <w:tabs>
              <w:tab w:val="right" w:leader="dot" w:pos="9064"/>
            </w:tabs>
            <w:rPr>
              <w:rFonts w:asciiTheme="minorHAnsi" w:eastAsiaTheme="minorEastAsia" w:hAnsiTheme="minorHAnsi" w:cstheme="minorBidi"/>
              <w:noProof/>
              <w:lang w:eastAsia="en-AU"/>
            </w:rPr>
          </w:pPr>
          <w:hyperlink w:anchor="_Toc130465870" w:history="1">
            <w:r w:rsidR="001F4398" w:rsidRPr="003D4BF1">
              <w:rPr>
                <w:rStyle w:val="Hyperlink"/>
                <w:noProof/>
              </w:rPr>
              <w:t>Part 1: Overview of secrecy provisions in Commonwealth law</w:t>
            </w:r>
            <w:r w:rsidR="001F4398">
              <w:rPr>
                <w:noProof/>
                <w:webHidden/>
              </w:rPr>
              <w:tab/>
            </w:r>
            <w:r w:rsidR="001F4398">
              <w:rPr>
                <w:noProof/>
                <w:webHidden/>
              </w:rPr>
              <w:fldChar w:fldCharType="begin"/>
            </w:r>
            <w:r w:rsidR="001F4398">
              <w:rPr>
                <w:noProof/>
                <w:webHidden/>
              </w:rPr>
              <w:instrText xml:space="preserve"> PAGEREF _Toc130465870 \h </w:instrText>
            </w:r>
            <w:r w:rsidR="001F4398">
              <w:rPr>
                <w:noProof/>
                <w:webHidden/>
              </w:rPr>
            </w:r>
            <w:r w:rsidR="001F4398">
              <w:rPr>
                <w:noProof/>
                <w:webHidden/>
              </w:rPr>
              <w:fldChar w:fldCharType="separate"/>
            </w:r>
            <w:r w:rsidR="001F4398">
              <w:rPr>
                <w:noProof/>
                <w:webHidden/>
              </w:rPr>
              <w:t>6</w:t>
            </w:r>
            <w:r w:rsidR="001F4398">
              <w:rPr>
                <w:noProof/>
                <w:webHidden/>
              </w:rPr>
              <w:fldChar w:fldCharType="end"/>
            </w:r>
          </w:hyperlink>
        </w:p>
        <w:p w14:paraId="08F0BF58" w14:textId="0D349F79" w:rsidR="001F4398" w:rsidRDefault="00BF68EF">
          <w:pPr>
            <w:pStyle w:val="TOC2"/>
            <w:tabs>
              <w:tab w:val="right" w:leader="dot" w:pos="9064"/>
            </w:tabs>
            <w:rPr>
              <w:rFonts w:asciiTheme="minorHAnsi" w:eastAsiaTheme="minorEastAsia" w:hAnsiTheme="minorHAnsi" w:cstheme="minorBidi"/>
              <w:noProof/>
              <w:lang w:eastAsia="en-AU"/>
            </w:rPr>
          </w:pPr>
          <w:hyperlink w:anchor="_Toc130465871" w:history="1">
            <w:r w:rsidR="001F4398" w:rsidRPr="003D4BF1">
              <w:rPr>
                <w:rStyle w:val="Hyperlink"/>
                <w:noProof/>
              </w:rPr>
              <w:t>Part 2: Public interest journalism</w:t>
            </w:r>
            <w:r w:rsidR="001F4398">
              <w:rPr>
                <w:noProof/>
                <w:webHidden/>
              </w:rPr>
              <w:tab/>
            </w:r>
            <w:r w:rsidR="001F4398">
              <w:rPr>
                <w:noProof/>
                <w:webHidden/>
              </w:rPr>
              <w:fldChar w:fldCharType="begin"/>
            </w:r>
            <w:r w:rsidR="001F4398">
              <w:rPr>
                <w:noProof/>
                <w:webHidden/>
              </w:rPr>
              <w:instrText xml:space="preserve"> PAGEREF _Toc130465871 \h </w:instrText>
            </w:r>
            <w:r w:rsidR="001F4398">
              <w:rPr>
                <w:noProof/>
                <w:webHidden/>
              </w:rPr>
            </w:r>
            <w:r w:rsidR="001F4398">
              <w:rPr>
                <w:noProof/>
                <w:webHidden/>
              </w:rPr>
              <w:fldChar w:fldCharType="separate"/>
            </w:r>
            <w:r w:rsidR="001F4398">
              <w:rPr>
                <w:noProof/>
                <w:webHidden/>
              </w:rPr>
              <w:t>6</w:t>
            </w:r>
            <w:r w:rsidR="001F4398">
              <w:rPr>
                <w:noProof/>
                <w:webHidden/>
              </w:rPr>
              <w:fldChar w:fldCharType="end"/>
            </w:r>
          </w:hyperlink>
        </w:p>
        <w:p w14:paraId="16E958CE" w14:textId="387320B1" w:rsidR="001F4398" w:rsidRPr="00D92C18" w:rsidRDefault="00BF68EF">
          <w:pPr>
            <w:pStyle w:val="TOC1"/>
            <w:rPr>
              <w:rFonts w:asciiTheme="minorHAnsi" w:eastAsiaTheme="minorEastAsia" w:hAnsiTheme="minorHAnsi" w:cstheme="minorBidi"/>
              <w:lang w:eastAsia="en-AU"/>
            </w:rPr>
          </w:pPr>
          <w:hyperlink w:anchor="_Toc130465872" w:history="1">
            <w:r w:rsidR="001F4398" w:rsidRPr="00D92C18">
              <w:rPr>
                <w:rStyle w:val="Hyperlink"/>
              </w:rPr>
              <w:t>Part 1: Overview of secrecy provisions in Commonwealth law</w:t>
            </w:r>
            <w:r w:rsidR="001F4398" w:rsidRPr="00D92C18">
              <w:rPr>
                <w:webHidden/>
              </w:rPr>
              <w:tab/>
            </w:r>
            <w:r w:rsidR="001F4398" w:rsidRPr="003C25B1">
              <w:rPr>
                <w:webHidden/>
              </w:rPr>
              <w:fldChar w:fldCharType="begin"/>
            </w:r>
            <w:r w:rsidR="001F4398" w:rsidRPr="00D92C18">
              <w:rPr>
                <w:webHidden/>
              </w:rPr>
              <w:instrText xml:space="preserve"> PAGEREF _Toc130465872 \h </w:instrText>
            </w:r>
            <w:r w:rsidR="001F4398" w:rsidRPr="003C25B1">
              <w:rPr>
                <w:webHidden/>
              </w:rPr>
            </w:r>
            <w:r w:rsidR="001F4398" w:rsidRPr="003C25B1">
              <w:rPr>
                <w:webHidden/>
              </w:rPr>
              <w:fldChar w:fldCharType="separate"/>
            </w:r>
            <w:r w:rsidR="001F4398" w:rsidRPr="00D92C18">
              <w:rPr>
                <w:webHidden/>
              </w:rPr>
              <w:t>8</w:t>
            </w:r>
            <w:r w:rsidR="001F4398" w:rsidRPr="003C25B1">
              <w:rPr>
                <w:webHidden/>
              </w:rPr>
              <w:fldChar w:fldCharType="end"/>
            </w:r>
          </w:hyperlink>
        </w:p>
        <w:p w14:paraId="11009567" w14:textId="5622E2AC" w:rsidR="001F4398" w:rsidRDefault="00BF68EF">
          <w:pPr>
            <w:pStyle w:val="TOC2"/>
            <w:tabs>
              <w:tab w:val="right" w:leader="dot" w:pos="9064"/>
            </w:tabs>
            <w:rPr>
              <w:rFonts w:asciiTheme="minorHAnsi" w:eastAsiaTheme="minorEastAsia" w:hAnsiTheme="minorHAnsi" w:cstheme="minorBidi"/>
              <w:noProof/>
              <w:lang w:eastAsia="en-AU"/>
            </w:rPr>
          </w:pPr>
          <w:hyperlink w:anchor="_Toc130465873" w:history="1">
            <w:r w:rsidR="001F4398" w:rsidRPr="003D4BF1">
              <w:rPr>
                <w:rStyle w:val="Hyperlink"/>
                <w:noProof/>
              </w:rPr>
              <w:t>General secrecy offences</w:t>
            </w:r>
            <w:r w:rsidR="001F4398">
              <w:rPr>
                <w:noProof/>
                <w:webHidden/>
              </w:rPr>
              <w:tab/>
            </w:r>
            <w:r w:rsidR="001F4398">
              <w:rPr>
                <w:noProof/>
                <w:webHidden/>
              </w:rPr>
              <w:fldChar w:fldCharType="begin"/>
            </w:r>
            <w:r w:rsidR="001F4398">
              <w:rPr>
                <w:noProof/>
                <w:webHidden/>
              </w:rPr>
              <w:instrText xml:space="preserve"> PAGEREF _Toc130465873 \h </w:instrText>
            </w:r>
            <w:r w:rsidR="001F4398">
              <w:rPr>
                <w:noProof/>
                <w:webHidden/>
              </w:rPr>
            </w:r>
            <w:r w:rsidR="001F4398">
              <w:rPr>
                <w:noProof/>
                <w:webHidden/>
              </w:rPr>
              <w:fldChar w:fldCharType="separate"/>
            </w:r>
            <w:r w:rsidR="001F4398">
              <w:rPr>
                <w:noProof/>
                <w:webHidden/>
              </w:rPr>
              <w:t>8</w:t>
            </w:r>
            <w:r w:rsidR="001F4398">
              <w:rPr>
                <w:noProof/>
                <w:webHidden/>
              </w:rPr>
              <w:fldChar w:fldCharType="end"/>
            </w:r>
          </w:hyperlink>
        </w:p>
        <w:p w14:paraId="5E705D98" w14:textId="4E3699DC" w:rsidR="001F4398" w:rsidRDefault="00BF68EF">
          <w:pPr>
            <w:pStyle w:val="TOC3"/>
            <w:tabs>
              <w:tab w:val="right" w:leader="dot" w:pos="9064"/>
            </w:tabs>
            <w:rPr>
              <w:rFonts w:asciiTheme="minorHAnsi" w:eastAsiaTheme="minorEastAsia" w:hAnsiTheme="minorHAnsi" w:cstheme="minorBidi"/>
              <w:noProof/>
              <w:lang w:eastAsia="en-AU"/>
            </w:rPr>
          </w:pPr>
          <w:hyperlink w:anchor="_Toc130465874" w:history="1">
            <w:r w:rsidR="001F4398" w:rsidRPr="003D4BF1">
              <w:rPr>
                <w:rStyle w:val="Hyperlink"/>
                <w:noProof/>
              </w:rPr>
              <w:t>Defences</w:t>
            </w:r>
            <w:r w:rsidR="001F4398">
              <w:rPr>
                <w:noProof/>
                <w:webHidden/>
              </w:rPr>
              <w:tab/>
            </w:r>
            <w:r w:rsidR="001F4398">
              <w:rPr>
                <w:noProof/>
                <w:webHidden/>
              </w:rPr>
              <w:fldChar w:fldCharType="begin"/>
            </w:r>
            <w:r w:rsidR="001F4398">
              <w:rPr>
                <w:noProof/>
                <w:webHidden/>
              </w:rPr>
              <w:instrText xml:space="preserve"> PAGEREF _Toc130465874 \h </w:instrText>
            </w:r>
            <w:r w:rsidR="001F4398">
              <w:rPr>
                <w:noProof/>
                <w:webHidden/>
              </w:rPr>
            </w:r>
            <w:r w:rsidR="001F4398">
              <w:rPr>
                <w:noProof/>
                <w:webHidden/>
              </w:rPr>
              <w:fldChar w:fldCharType="separate"/>
            </w:r>
            <w:r w:rsidR="001F4398">
              <w:rPr>
                <w:noProof/>
                <w:webHidden/>
              </w:rPr>
              <w:t>9</w:t>
            </w:r>
            <w:r w:rsidR="001F4398">
              <w:rPr>
                <w:noProof/>
                <w:webHidden/>
              </w:rPr>
              <w:fldChar w:fldCharType="end"/>
            </w:r>
          </w:hyperlink>
        </w:p>
        <w:p w14:paraId="17C36D82" w14:textId="324B5F9D" w:rsidR="001F4398" w:rsidRDefault="00BF68EF">
          <w:pPr>
            <w:pStyle w:val="TOC2"/>
            <w:tabs>
              <w:tab w:val="right" w:leader="dot" w:pos="9064"/>
            </w:tabs>
            <w:rPr>
              <w:rFonts w:asciiTheme="minorHAnsi" w:eastAsiaTheme="minorEastAsia" w:hAnsiTheme="minorHAnsi" w:cstheme="minorBidi"/>
              <w:noProof/>
              <w:lang w:eastAsia="en-AU"/>
            </w:rPr>
          </w:pPr>
          <w:hyperlink w:anchor="_Toc130465875" w:history="1">
            <w:r w:rsidR="001F4398" w:rsidRPr="003D4BF1">
              <w:rPr>
                <w:rStyle w:val="Hyperlink"/>
                <w:noProof/>
              </w:rPr>
              <w:t>Specific secrecy offences and non-disclosure duties</w:t>
            </w:r>
            <w:r w:rsidR="001F4398">
              <w:rPr>
                <w:noProof/>
                <w:webHidden/>
              </w:rPr>
              <w:tab/>
            </w:r>
            <w:r w:rsidR="001F4398">
              <w:rPr>
                <w:noProof/>
                <w:webHidden/>
              </w:rPr>
              <w:fldChar w:fldCharType="begin"/>
            </w:r>
            <w:r w:rsidR="001F4398">
              <w:rPr>
                <w:noProof/>
                <w:webHidden/>
              </w:rPr>
              <w:instrText xml:space="preserve"> PAGEREF _Toc130465875 \h </w:instrText>
            </w:r>
            <w:r w:rsidR="001F4398">
              <w:rPr>
                <w:noProof/>
                <w:webHidden/>
              </w:rPr>
            </w:r>
            <w:r w:rsidR="001F4398">
              <w:rPr>
                <w:noProof/>
                <w:webHidden/>
              </w:rPr>
              <w:fldChar w:fldCharType="separate"/>
            </w:r>
            <w:r w:rsidR="001F4398">
              <w:rPr>
                <w:noProof/>
                <w:webHidden/>
              </w:rPr>
              <w:t>10</w:t>
            </w:r>
            <w:r w:rsidR="001F4398">
              <w:rPr>
                <w:noProof/>
                <w:webHidden/>
              </w:rPr>
              <w:fldChar w:fldCharType="end"/>
            </w:r>
          </w:hyperlink>
        </w:p>
        <w:p w14:paraId="3F4CCD2C" w14:textId="1D6188C7" w:rsidR="001F4398" w:rsidRDefault="00BF68EF">
          <w:pPr>
            <w:pStyle w:val="TOC3"/>
            <w:tabs>
              <w:tab w:val="right" w:leader="dot" w:pos="9064"/>
            </w:tabs>
            <w:rPr>
              <w:rFonts w:asciiTheme="minorHAnsi" w:eastAsiaTheme="minorEastAsia" w:hAnsiTheme="minorHAnsi" w:cstheme="minorBidi"/>
              <w:noProof/>
              <w:lang w:eastAsia="en-AU"/>
            </w:rPr>
          </w:pPr>
          <w:hyperlink w:anchor="_Toc130465876" w:history="1">
            <w:r w:rsidR="001F4398" w:rsidRPr="003D4BF1">
              <w:rPr>
                <w:rStyle w:val="Hyperlink"/>
                <w:noProof/>
              </w:rPr>
              <w:t>Specific secrecy offences and non-disclosure duties by portfolio</w:t>
            </w:r>
            <w:r w:rsidR="001F4398">
              <w:rPr>
                <w:noProof/>
                <w:webHidden/>
              </w:rPr>
              <w:tab/>
            </w:r>
            <w:r w:rsidR="001F4398">
              <w:rPr>
                <w:noProof/>
                <w:webHidden/>
              </w:rPr>
              <w:fldChar w:fldCharType="begin"/>
            </w:r>
            <w:r w:rsidR="001F4398">
              <w:rPr>
                <w:noProof/>
                <w:webHidden/>
              </w:rPr>
              <w:instrText xml:space="preserve"> PAGEREF _Toc130465876 \h </w:instrText>
            </w:r>
            <w:r w:rsidR="001F4398">
              <w:rPr>
                <w:noProof/>
                <w:webHidden/>
              </w:rPr>
            </w:r>
            <w:r w:rsidR="001F4398">
              <w:rPr>
                <w:noProof/>
                <w:webHidden/>
              </w:rPr>
              <w:fldChar w:fldCharType="separate"/>
            </w:r>
            <w:r w:rsidR="001F4398">
              <w:rPr>
                <w:noProof/>
                <w:webHidden/>
              </w:rPr>
              <w:t>10</w:t>
            </w:r>
            <w:r w:rsidR="001F4398">
              <w:rPr>
                <w:noProof/>
                <w:webHidden/>
              </w:rPr>
              <w:fldChar w:fldCharType="end"/>
            </w:r>
          </w:hyperlink>
        </w:p>
        <w:p w14:paraId="0067ECA0" w14:textId="7BF436DE" w:rsidR="001F4398" w:rsidRDefault="00BF68EF">
          <w:pPr>
            <w:pStyle w:val="TOC3"/>
            <w:tabs>
              <w:tab w:val="right" w:leader="dot" w:pos="9064"/>
            </w:tabs>
            <w:rPr>
              <w:rFonts w:asciiTheme="minorHAnsi" w:eastAsiaTheme="minorEastAsia" w:hAnsiTheme="minorHAnsi" w:cstheme="minorBidi"/>
              <w:noProof/>
              <w:lang w:eastAsia="en-AU"/>
            </w:rPr>
          </w:pPr>
          <w:hyperlink w:anchor="_Toc130465877" w:history="1">
            <w:r w:rsidR="001F4398" w:rsidRPr="003D4BF1">
              <w:rPr>
                <w:rStyle w:val="Hyperlink"/>
                <w:noProof/>
              </w:rPr>
              <w:t>Types of information protected by specific secrecy offences and non-disclosure duties</w:t>
            </w:r>
            <w:r w:rsidR="001F4398">
              <w:rPr>
                <w:noProof/>
                <w:webHidden/>
              </w:rPr>
              <w:tab/>
            </w:r>
            <w:r w:rsidR="001F4398">
              <w:rPr>
                <w:noProof/>
                <w:webHidden/>
              </w:rPr>
              <w:fldChar w:fldCharType="begin"/>
            </w:r>
            <w:r w:rsidR="001F4398">
              <w:rPr>
                <w:noProof/>
                <w:webHidden/>
              </w:rPr>
              <w:instrText xml:space="preserve"> PAGEREF _Toc130465877 \h </w:instrText>
            </w:r>
            <w:r w:rsidR="001F4398">
              <w:rPr>
                <w:noProof/>
                <w:webHidden/>
              </w:rPr>
            </w:r>
            <w:r w:rsidR="001F4398">
              <w:rPr>
                <w:noProof/>
                <w:webHidden/>
              </w:rPr>
              <w:fldChar w:fldCharType="separate"/>
            </w:r>
            <w:r w:rsidR="001F4398">
              <w:rPr>
                <w:noProof/>
                <w:webHidden/>
              </w:rPr>
              <w:t>11</w:t>
            </w:r>
            <w:r w:rsidR="001F4398">
              <w:rPr>
                <w:noProof/>
                <w:webHidden/>
              </w:rPr>
              <w:fldChar w:fldCharType="end"/>
            </w:r>
          </w:hyperlink>
        </w:p>
        <w:p w14:paraId="2DED6F39" w14:textId="0DA66520" w:rsidR="001F4398" w:rsidRDefault="00BF68EF">
          <w:pPr>
            <w:pStyle w:val="TOC3"/>
            <w:tabs>
              <w:tab w:val="right" w:leader="dot" w:pos="9064"/>
            </w:tabs>
            <w:rPr>
              <w:rFonts w:asciiTheme="minorHAnsi" w:eastAsiaTheme="minorEastAsia" w:hAnsiTheme="minorHAnsi" w:cstheme="minorBidi"/>
              <w:noProof/>
              <w:lang w:eastAsia="en-AU"/>
            </w:rPr>
          </w:pPr>
          <w:hyperlink w:anchor="_Toc130465878" w:history="1">
            <w:r w:rsidR="001F4398" w:rsidRPr="003D4BF1">
              <w:rPr>
                <w:rStyle w:val="Hyperlink"/>
                <w:noProof/>
              </w:rPr>
              <w:t>Categories of people covered by specific secrecy offences and non-disclosure duties</w:t>
            </w:r>
            <w:r w:rsidR="001F4398">
              <w:rPr>
                <w:noProof/>
                <w:webHidden/>
              </w:rPr>
              <w:tab/>
            </w:r>
            <w:r w:rsidR="001F4398">
              <w:rPr>
                <w:noProof/>
                <w:webHidden/>
              </w:rPr>
              <w:fldChar w:fldCharType="begin"/>
            </w:r>
            <w:r w:rsidR="001F4398">
              <w:rPr>
                <w:noProof/>
                <w:webHidden/>
              </w:rPr>
              <w:instrText xml:space="preserve"> PAGEREF _Toc130465878 \h </w:instrText>
            </w:r>
            <w:r w:rsidR="001F4398">
              <w:rPr>
                <w:noProof/>
                <w:webHidden/>
              </w:rPr>
            </w:r>
            <w:r w:rsidR="001F4398">
              <w:rPr>
                <w:noProof/>
                <w:webHidden/>
              </w:rPr>
              <w:fldChar w:fldCharType="separate"/>
            </w:r>
            <w:r w:rsidR="001F4398">
              <w:rPr>
                <w:noProof/>
                <w:webHidden/>
              </w:rPr>
              <w:t>12</w:t>
            </w:r>
            <w:r w:rsidR="001F4398">
              <w:rPr>
                <w:noProof/>
                <w:webHidden/>
              </w:rPr>
              <w:fldChar w:fldCharType="end"/>
            </w:r>
          </w:hyperlink>
        </w:p>
        <w:p w14:paraId="08D0A0EC" w14:textId="6E0A404F" w:rsidR="001F4398" w:rsidRDefault="00BF68EF">
          <w:pPr>
            <w:pStyle w:val="TOC2"/>
            <w:tabs>
              <w:tab w:val="right" w:leader="dot" w:pos="9064"/>
            </w:tabs>
            <w:rPr>
              <w:rFonts w:asciiTheme="minorHAnsi" w:eastAsiaTheme="minorEastAsia" w:hAnsiTheme="minorHAnsi" w:cstheme="minorBidi"/>
              <w:noProof/>
              <w:lang w:eastAsia="en-AU"/>
            </w:rPr>
          </w:pPr>
          <w:hyperlink w:anchor="_Toc130465879" w:history="1">
            <w:r w:rsidR="001F4398" w:rsidRPr="003D4BF1">
              <w:rPr>
                <w:rStyle w:val="Hyperlink"/>
                <w:noProof/>
              </w:rPr>
              <w:t>Secrecy offences in context: other regimes for protecting, accessing and disclosing information</w:t>
            </w:r>
            <w:r w:rsidR="001F4398">
              <w:rPr>
                <w:noProof/>
                <w:webHidden/>
              </w:rPr>
              <w:tab/>
            </w:r>
            <w:r w:rsidR="001F4398">
              <w:rPr>
                <w:noProof/>
                <w:webHidden/>
              </w:rPr>
              <w:fldChar w:fldCharType="begin"/>
            </w:r>
            <w:r w:rsidR="001F4398">
              <w:rPr>
                <w:noProof/>
                <w:webHidden/>
              </w:rPr>
              <w:instrText xml:space="preserve"> PAGEREF _Toc130465879 \h </w:instrText>
            </w:r>
            <w:r w:rsidR="001F4398">
              <w:rPr>
                <w:noProof/>
                <w:webHidden/>
              </w:rPr>
            </w:r>
            <w:r w:rsidR="001F4398">
              <w:rPr>
                <w:noProof/>
                <w:webHidden/>
              </w:rPr>
              <w:fldChar w:fldCharType="separate"/>
            </w:r>
            <w:r w:rsidR="001F4398">
              <w:rPr>
                <w:noProof/>
                <w:webHidden/>
              </w:rPr>
              <w:t>12</w:t>
            </w:r>
            <w:r w:rsidR="001F4398">
              <w:rPr>
                <w:noProof/>
                <w:webHidden/>
              </w:rPr>
              <w:fldChar w:fldCharType="end"/>
            </w:r>
          </w:hyperlink>
        </w:p>
        <w:p w14:paraId="46BA3CF9" w14:textId="1055CF6C" w:rsidR="001F4398" w:rsidRDefault="00BF68EF">
          <w:pPr>
            <w:pStyle w:val="TOC2"/>
            <w:tabs>
              <w:tab w:val="right" w:leader="dot" w:pos="9064"/>
            </w:tabs>
            <w:rPr>
              <w:rFonts w:asciiTheme="minorHAnsi" w:eastAsiaTheme="minorEastAsia" w:hAnsiTheme="minorHAnsi" w:cstheme="minorBidi"/>
              <w:noProof/>
              <w:lang w:eastAsia="en-AU"/>
            </w:rPr>
          </w:pPr>
          <w:hyperlink w:anchor="_Toc130465880" w:history="1">
            <w:r w:rsidR="001F4398" w:rsidRPr="003D4BF1">
              <w:rPr>
                <w:rStyle w:val="Hyperlink"/>
                <w:noProof/>
              </w:rPr>
              <w:t>Secrecy override provisions</w:t>
            </w:r>
            <w:r w:rsidR="001F4398">
              <w:rPr>
                <w:noProof/>
                <w:webHidden/>
              </w:rPr>
              <w:tab/>
            </w:r>
            <w:r w:rsidR="001F4398">
              <w:rPr>
                <w:noProof/>
                <w:webHidden/>
              </w:rPr>
              <w:fldChar w:fldCharType="begin"/>
            </w:r>
            <w:r w:rsidR="001F4398">
              <w:rPr>
                <w:noProof/>
                <w:webHidden/>
              </w:rPr>
              <w:instrText xml:space="preserve"> PAGEREF _Toc130465880 \h </w:instrText>
            </w:r>
            <w:r w:rsidR="001F4398">
              <w:rPr>
                <w:noProof/>
                <w:webHidden/>
              </w:rPr>
            </w:r>
            <w:r w:rsidR="001F4398">
              <w:rPr>
                <w:noProof/>
                <w:webHidden/>
              </w:rPr>
              <w:fldChar w:fldCharType="separate"/>
            </w:r>
            <w:r w:rsidR="001F4398">
              <w:rPr>
                <w:noProof/>
                <w:webHidden/>
              </w:rPr>
              <w:t>15</w:t>
            </w:r>
            <w:r w:rsidR="001F4398">
              <w:rPr>
                <w:noProof/>
                <w:webHidden/>
              </w:rPr>
              <w:fldChar w:fldCharType="end"/>
            </w:r>
          </w:hyperlink>
        </w:p>
        <w:p w14:paraId="71C201FB" w14:textId="383B45C8" w:rsidR="001F4398" w:rsidRDefault="00BF68EF">
          <w:pPr>
            <w:pStyle w:val="TOC2"/>
            <w:tabs>
              <w:tab w:val="right" w:leader="dot" w:pos="9064"/>
            </w:tabs>
            <w:rPr>
              <w:rFonts w:asciiTheme="minorHAnsi" w:eastAsiaTheme="minorEastAsia" w:hAnsiTheme="minorHAnsi" w:cstheme="minorBidi"/>
              <w:noProof/>
              <w:lang w:eastAsia="en-AU"/>
            </w:rPr>
          </w:pPr>
          <w:hyperlink w:anchor="_Toc130465881" w:history="1">
            <w:r w:rsidR="001F4398" w:rsidRPr="003D4BF1">
              <w:rPr>
                <w:rStyle w:val="Hyperlink"/>
                <w:noProof/>
              </w:rPr>
              <w:t>Suitability, appropriate framing of, and requirement for, secrecy offences</w:t>
            </w:r>
            <w:r w:rsidR="001F4398">
              <w:rPr>
                <w:noProof/>
                <w:webHidden/>
              </w:rPr>
              <w:tab/>
            </w:r>
            <w:r w:rsidR="001F4398">
              <w:rPr>
                <w:noProof/>
                <w:webHidden/>
              </w:rPr>
              <w:fldChar w:fldCharType="begin"/>
            </w:r>
            <w:r w:rsidR="001F4398">
              <w:rPr>
                <w:noProof/>
                <w:webHidden/>
              </w:rPr>
              <w:instrText xml:space="preserve"> PAGEREF _Toc130465881 \h </w:instrText>
            </w:r>
            <w:r w:rsidR="001F4398">
              <w:rPr>
                <w:noProof/>
                <w:webHidden/>
              </w:rPr>
            </w:r>
            <w:r w:rsidR="001F4398">
              <w:rPr>
                <w:noProof/>
                <w:webHidden/>
              </w:rPr>
              <w:fldChar w:fldCharType="separate"/>
            </w:r>
            <w:r w:rsidR="001F4398">
              <w:rPr>
                <w:noProof/>
                <w:webHidden/>
              </w:rPr>
              <w:t>15</w:t>
            </w:r>
            <w:r w:rsidR="001F4398">
              <w:rPr>
                <w:noProof/>
                <w:webHidden/>
              </w:rPr>
              <w:fldChar w:fldCharType="end"/>
            </w:r>
          </w:hyperlink>
        </w:p>
        <w:p w14:paraId="3AD2FF1B" w14:textId="1D572D9C" w:rsidR="001F4398" w:rsidRDefault="00BF68EF">
          <w:pPr>
            <w:pStyle w:val="TOC1"/>
            <w:rPr>
              <w:rFonts w:asciiTheme="minorHAnsi" w:eastAsiaTheme="minorEastAsia" w:hAnsiTheme="minorHAnsi" w:cstheme="minorBidi"/>
              <w:lang w:eastAsia="en-AU"/>
            </w:rPr>
          </w:pPr>
          <w:hyperlink w:anchor="_Toc130465882" w:history="1">
            <w:r w:rsidR="001F4398" w:rsidRPr="003D4BF1">
              <w:rPr>
                <w:rStyle w:val="Hyperlink"/>
              </w:rPr>
              <w:t>Part 2: Public interest journalism</w:t>
            </w:r>
            <w:r w:rsidR="001F4398">
              <w:rPr>
                <w:webHidden/>
              </w:rPr>
              <w:tab/>
            </w:r>
            <w:r w:rsidR="001F4398">
              <w:rPr>
                <w:webHidden/>
              </w:rPr>
              <w:fldChar w:fldCharType="begin"/>
            </w:r>
            <w:r w:rsidR="001F4398">
              <w:rPr>
                <w:webHidden/>
              </w:rPr>
              <w:instrText xml:space="preserve"> PAGEREF _Toc130465882 \h </w:instrText>
            </w:r>
            <w:r w:rsidR="001F4398">
              <w:rPr>
                <w:webHidden/>
              </w:rPr>
            </w:r>
            <w:r w:rsidR="001F4398">
              <w:rPr>
                <w:webHidden/>
              </w:rPr>
              <w:fldChar w:fldCharType="separate"/>
            </w:r>
            <w:r w:rsidR="001F4398">
              <w:rPr>
                <w:webHidden/>
              </w:rPr>
              <w:t>18</w:t>
            </w:r>
            <w:r w:rsidR="001F4398">
              <w:rPr>
                <w:webHidden/>
              </w:rPr>
              <w:fldChar w:fldCharType="end"/>
            </w:r>
          </w:hyperlink>
        </w:p>
        <w:p w14:paraId="4B9191A3" w14:textId="6CF02C1A" w:rsidR="001F4398" w:rsidRDefault="00BF68EF">
          <w:pPr>
            <w:pStyle w:val="TOC2"/>
            <w:tabs>
              <w:tab w:val="right" w:leader="dot" w:pos="9064"/>
            </w:tabs>
            <w:rPr>
              <w:rFonts w:asciiTheme="minorHAnsi" w:eastAsiaTheme="minorEastAsia" w:hAnsiTheme="minorHAnsi" w:cstheme="minorBidi"/>
              <w:noProof/>
              <w:lang w:eastAsia="en-AU"/>
            </w:rPr>
          </w:pPr>
          <w:hyperlink w:anchor="_Toc130465883" w:history="1">
            <w:r w:rsidR="001F4398" w:rsidRPr="003D4BF1">
              <w:rPr>
                <w:rStyle w:val="Hyperlink"/>
                <w:noProof/>
              </w:rPr>
              <w:t>Existing protections for public interest journalism in secrecy law</w:t>
            </w:r>
            <w:r w:rsidR="001F4398">
              <w:rPr>
                <w:noProof/>
                <w:webHidden/>
              </w:rPr>
              <w:tab/>
            </w:r>
            <w:r w:rsidR="001F4398">
              <w:rPr>
                <w:noProof/>
                <w:webHidden/>
              </w:rPr>
              <w:fldChar w:fldCharType="begin"/>
            </w:r>
            <w:r w:rsidR="001F4398">
              <w:rPr>
                <w:noProof/>
                <w:webHidden/>
              </w:rPr>
              <w:instrText xml:space="preserve"> PAGEREF _Toc130465883 \h </w:instrText>
            </w:r>
            <w:r w:rsidR="001F4398">
              <w:rPr>
                <w:noProof/>
                <w:webHidden/>
              </w:rPr>
            </w:r>
            <w:r w:rsidR="001F4398">
              <w:rPr>
                <w:noProof/>
                <w:webHidden/>
              </w:rPr>
              <w:fldChar w:fldCharType="separate"/>
            </w:r>
            <w:r w:rsidR="001F4398">
              <w:rPr>
                <w:noProof/>
                <w:webHidden/>
              </w:rPr>
              <w:t>18</w:t>
            </w:r>
            <w:r w:rsidR="001F4398">
              <w:rPr>
                <w:noProof/>
                <w:webHidden/>
              </w:rPr>
              <w:fldChar w:fldCharType="end"/>
            </w:r>
          </w:hyperlink>
        </w:p>
        <w:p w14:paraId="2A8D0A76" w14:textId="7B95E38A" w:rsidR="001F4398" w:rsidRDefault="00BF68EF">
          <w:pPr>
            <w:pStyle w:val="TOC3"/>
            <w:tabs>
              <w:tab w:val="right" w:leader="dot" w:pos="9064"/>
            </w:tabs>
            <w:rPr>
              <w:rFonts w:asciiTheme="minorHAnsi" w:eastAsiaTheme="minorEastAsia" w:hAnsiTheme="minorHAnsi" w:cstheme="minorBidi"/>
              <w:noProof/>
              <w:lang w:eastAsia="en-AU"/>
            </w:rPr>
          </w:pPr>
          <w:hyperlink w:anchor="_Toc130465884" w:history="1">
            <w:r w:rsidR="001F4398" w:rsidRPr="003D4BF1">
              <w:rPr>
                <w:rStyle w:val="Hyperlink"/>
                <w:noProof/>
              </w:rPr>
              <w:t>Evidential burden</w:t>
            </w:r>
            <w:r w:rsidR="001F4398">
              <w:rPr>
                <w:noProof/>
                <w:webHidden/>
              </w:rPr>
              <w:tab/>
            </w:r>
            <w:r w:rsidR="001F4398">
              <w:rPr>
                <w:noProof/>
                <w:webHidden/>
              </w:rPr>
              <w:fldChar w:fldCharType="begin"/>
            </w:r>
            <w:r w:rsidR="001F4398">
              <w:rPr>
                <w:noProof/>
                <w:webHidden/>
              </w:rPr>
              <w:instrText xml:space="preserve"> PAGEREF _Toc130465884 \h </w:instrText>
            </w:r>
            <w:r w:rsidR="001F4398">
              <w:rPr>
                <w:noProof/>
                <w:webHidden/>
              </w:rPr>
            </w:r>
            <w:r w:rsidR="001F4398">
              <w:rPr>
                <w:noProof/>
                <w:webHidden/>
              </w:rPr>
              <w:fldChar w:fldCharType="separate"/>
            </w:r>
            <w:r w:rsidR="001F4398">
              <w:rPr>
                <w:noProof/>
                <w:webHidden/>
              </w:rPr>
              <w:t>18</w:t>
            </w:r>
            <w:r w:rsidR="001F4398">
              <w:rPr>
                <w:noProof/>
                <w:webHidden/>
              </w:rPr>
              <w:fldChar w:fldCharType="end"/>
            </w:r>
          </w:hyperlink>
        </w:p>
        <w:p w14:paraId="7FD70816" w14:textId="0CA7AA38" w:rsidR="001F4398" w:rsidRDefault="00BF68EF">
          <w:pPr>
            <w:pStyle w:val="TOC3"/>
            <w:tabs>
              <w:tab w:val="right" w:leader="dot" w:pos="9064"/>
            </w:tabs>
            <w:rPr>
              <w:rFonts w:asciiTheme="minorHAnsi" w:eastAsiaTheme="minorEastAsia" w:hAnsiTheme="minorHAnsi" w:cstheme="minorBidi"/>
              <w:noProof/>
              <w:lang w:eastAsia="en-AU"/>
            </w:rPr>
          </w:pPr>
          <w:hyperlink w:anchor="_Toc130465885" w:history="1">
            <w:r w:rsidR="001F4398" w:rsidRPr="003D4BF1">
              <w:rPr>
                <w:rStyle w:val="Hyperlink"/>
                <w:noProof/>
              </w:rPr>
              <w:t>Access to the public interest journalism defence</w:t>
            </w:r>
            <w:r w:rsidR="001F4398">
              <w:rPr>
                <w:noProof/>
                <w:webHidden/>
              </w:rPr>
              <w:tab/>
            </w:r>
            <w:r w:rsidR="001F4398">
              <w:rPr>
                <w:noProof/>
                <w:webHidden/>
              </w:rPr>
              <w:fldChar w:fldCharType="begin"/>
            </w:r>
            <w:r w:rsidR="001F4398">
              <w:rPr>
                <w:noProof/>
                <w:webHidden/>
              </w:rPr>
              <w:instrText xml:space="preserve"> PAGEREF _Toc130465885 \h </w:instrText>
            </w:r>
            <w:r w:rsidR="001F4398">
              <w:rPr>
                <w:noProof/>
                <w:webHidden/>
              </w:rPr>
            </w:r>
            <w:r w:rsidR="001F4398">
              <w:rPr>
                <w:noProof/>
                <w:webHidden/>
              </w:rPr>
              <w:fldChar w:fldCharType="separate"/>
            </w:r>
            <w:r w:rsidR="001F4398">
              <w:rPr>
                <w:noProof/>
                <w:webHidden/>
              </w:rPr>
              <w:t>18</w:t>
            </w:r>
            <w:r w:rsidR="001F4398">
              <w:rPr>
                <w:noProof/>
                <w:webHidden/>
              </w:rPr>
              <w:fldChar w:fldCharType="end"/>
            </w:r>
          </w:hyperlink>
        </w:p>
        <w:p w14:paraId="775E2F2C" w14:textId="795BE233" w:rsidR="001F4398" w:rsidRDefault="00BF68EF">
          <w:pPr>
            <w:pStyle w:val="TOC3"/>
            <w:tabs>
              <w:tab w:val="right" w:leader="dot" w:pos="9064"/>
            </w:tabs>
            <w:rPr>
              <w:rFonts w:asciiTheme="minorHAnsi" w:eastAsiaTheme="minorEastAsia" w:hAnsiTheme="minorHAnsi" w:cstheme="minorBidi"/>
              <w:noProof/>
              <w:lang w:eastAsia="en-AU"/>
            </w:rPr>
          </w:pPr>
          <w:hyperlink w:anchor="_Toc130465886" w:history="1">
            <w:r w:rsidR="001F4398" w:rsidRPr="003D4BF1">
              <w:rPr>
                <w:rStyle w:val="Hyperlink"/>
                <w:noProof/>
              </w:rPr>
              <w:t>Requirement for consent to prosecute certain secrecy offences</w:t>
            </w:r>
            <w:r w:rsidR="001F4398">
              <w:rPr>
                <w:noProof/>
                <w:webHidden/>
              </w:rPr>
              <w:tab/>
            </w:r>
            <w:r w:rsidR="001F4398">
              <w:rPr>
                <w:noProof/>
                <w:webHidden/>
              </w:rPr>
              <w:fldChar w:fldCharType="begin"/>
            </w:r>
            <w:r w:rsidR="001F4398">
              <w:rPr>
                <w:noProof/>
                <w:webHidden/>
              </w:rPr>
              <w:instrText xml:space="preserve"> PAGEREF _Toc130465886 \h </w:instrText>
            </w:r>
            <w:r w:rsidR="001F4398">
              <w:rPr>
                <w:noProof/>
                <w:webHidden/>
              </w:rPr>
            </w:r>
            <w:r w:rsidR="001F4398">
              <w:rPr>
                <w:noProof/>
                <w:webHidden/>
              </w:rPr>
              <w:fldChar w:fldCharType="separate"/>
            </w:r>
            <w:r w:rsidR="001F4398">
              <w:rPr>
                <w:noProof/>
                <w:webHidden/>
              </w:rPr>
              <w:t>19</w:t>
            </w:r>
            <w:r w:rsidR="001F4398">
              <w:rPr>
                <w:noProof/>
                <w:webHidden/>
              </w:rPr>
              <w:fldChar w:fldCharType="end"/>
            </w:r>
          </w:hyperlink>
        </w:p>
        <w:p w14:paraId="2A34BB89" w14:textId="6BBCF53C" w:rsidR="001F4398" w:rsidRDefault="00BF68EF" w:rsidP="003C25B1">
          <w:pPr>
            <w:pStyle w:val="TOC2"/>
            <w:tabs>
              <w:tab w:val="right" w:leader="dot" w:pos="9064"/>
            </w:tabs>
            <w:rPr>
              <w:rFonts w:asciiTheme="minorHAnsi" w:eastAsiaTheme="minorEastAsia" w:hAnsiTheme="minorHAnsi" w:cstheme="minorBidi"/>
              <w:lang w:eastAsia="en-AU"/>
            </w:rPr>
          </w:pPr>
          <w:hyperlink w:anchor="_Toc130465887" w:history="1">
            <w:r w:rsidR="001F4398" w:rsidRPr="003D4BF1">
              <w:rPr>
                <w:rStyle w:val="Hyperlink"/>
                <w:noProof/>
              </w:rPr>
              <w:t>Are any amendments to secrecy provisions required to adequately protect public interest journalism balanced against other essential public interests?</w:t>
            </w:r>
            <w:r w:rsidR="001F4398">
              <w:rPr>
                <w:noProof/>
                <w:webHidden/>
              </w:rPr>
              <w:tab/>
            </w:r>
            <w:r w:rsidR="001F4398">
              <w:rPr>
                <w:noProof/>
                <w:webHidden/>
              </w:rPr>
              <w:fldChar w:fldCharType="begin"/>
            </w:r>
            <w:r w:rsidR="001F4398">
              <w:rPr>
                <w:noProof/>
                <w:webHidden/>
              </w:rPr>
              <w:instrText xml:space="preserve"> PAGEREF _Toc130465887 \h </w:instrText>
            </w:r>
            <w:r w:rsidR="001F4398">
              <w:rPr>
                <w:noProof/>
                <w:webHidden/>
              </w:rPr>
            </w:r>
            <w:r w:rsidR="001F4398">
              <w:rPr>
                <w:noProof/>
                <w:webHidden/>
              </w:rPr>
              <w:fldChar w:fldCharType="separate"/>
            </w:r>
            <w:r w:rsidR="001F4398">
              <w:rPr>
                <w:noProof/>
                <w:webHidden/>
              </w:rPr>
              <w:t>20</w:t>
            </w:r>
            <w:r w:rsidR="001F4398">
              <w:rPr>
                <w:noProof/>
                <w:webHidden/>
              </w:rPr>
              <w:fldChar w:fldCharType="end"/>
            </w:r>
          </w:hyperlink>
        </w:p>
        <w:p w14:paraId="0F3E87FD" w14:textId="6ADB40E5" w:rsidR="001806FE" w:rsidRPr="001806FE" w:rsidRDefault="001806FE" w:rsidP="001806FE">
          <w:pPr>
            <w:widowControl/>
            <w:autoSpaceDE/>
            <w:autoSpaceDN/>
            <w:spacing w:after="160" w:line="259" w:lineRule="auto"/>
            <w:rPr>
              <w:rFonts w:asciiTheme="minorHAnsi" w:eastAsia="Calibri" w:hAnsiTheme="minorHAnsi" w:cstheme="minorHAnsi"/>
              <w:b/>
              <w:bCs/>
              <w:noProof/>
              <w:lang w:val="en-AU"/>
            </w:rPr>
          </w:pPr>
          <w:r w:rsidRPr="001806FE">
            <w:rPr>
              <w:rFonts w:asciiTheme="minorHAnsi" w:eastAsia="Calibri" w:hAnsiTheme="minorHAnsi" w:cstheme="minorHAnsi"/>
              <w:b/>
              <w:bCs/>
              <w:noProof/>
              <w:lang w:val="en-AU"/>
            </w:rPr>
            <w:fldChar w:fldCharType="end"/>
          </w:r>
          <w:r w:rsidRPr="001806FE">
            <w:rPr>
              <w:rFonts w:asciiTheme="minorHAnsi" w:eastAsia="Calibri" w:hAnsiTheme="minorHAnsi" w:cstheme="minorHAnsi"/>
              <w:b/>
              <w:bCs/>
              <w:noProof/>
              <w:lang w:val="en-AU"/>
            </w:rPr>
            <w:t>Attachment A: Review of Secrecy Provisions – Terms of reference</w:t>
          </w:r>
        </w:p>
        <w:p w14:paraId="6CF3B0A0" w14:textId="77777777" w:rsidR="001806FE" w:rsidRPr="001806FE" w:rsidRDefault="001806FE" w:rsidP="001806FE">
          <w:pPr>
            <w:widowControl/>
            <w:autoSpaceDE/>
            <w:autoSpaceDN/>
            <w:spacing w:after="160" w:line="259" w:lineRule="auto"/>
            <w:rPr>
              <w:rFonts w:asciiTheme="minorHAnsi" w:eastAsia="Calibri" w:hAnsiTheme="minorHAnsi" w:cstheme="minorHAnsi"/>
              <w:b/>
              <w:lang w:val="en-AU"/>
            </w:rPr>
          </w:pPr>
          <w:r w:rsidRPr="001806FE">
            <w:rPr>
              <w:rFonts w:asciiTheme="minorHAnsi" w:eastAsia="Calibri" w:hAnsiTheme="minorHAnsi" w:cstheme="minorHAnsi"/>
              <w:b/>
              <w:lang w:val="en-AU"/>
            </w:rPr>
            <w:t>Attachment B: Secrecy provisions in Commonwealth laws</w:t>
          </w:r>
        </w:p>
        <w:p w14:paraId="5BCBE169" w14:textId="77777777" w:rsidR="001806FE" w:rsidRPr="001806FE" w:rsidRDefault="001806FE" w:rsidP="001806FE">
          <w:pPr>
            <w:widowControl/>
            <w:autoSpaceDE/>
            <w:autoSpaceDN/>
            <w:spacing w:after="160" w:line="259" w:lineRule="auto"/>
            <w:rPr>
              <w:rFonts w:asciiTheme="minorHAnsi" w:eastAsia="Calibri" w:hAnsiTheme="minorHAnsi" w:cstheme="minorHAnsi"/>
              <w:b/>
              <w:lang w:val="en-AU"/>
            </w:rPr>
          </w:pPr>
          <w:r w:rsidRPr="001806FE">
            <w:rPr>
              <w:rFonts w:asciiTheme="minorHAnsi" w:eastAsia="Calibri" w:hAnsiTheme="minorHAnsi" w:cstheme="minorHAnsi"/>
              <w:b/>
              <w:lang w:val="en-AU"/>
            </w:rPr>
            <w:t>Attachment C: Recent reports and inquiries</w:t>
          </w:r>
        </w:p>
      </w:sdtContent>
    </w:sdt>
    <w:p w14:paraId="37935994"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32"/>
          <w:szCs w:val="32"/>
          <w:lang w:val="en-AU"/>
        </w:rPr>
      </w:pPr>
    </w:p>
    <w:p w14:paraId="2AE053D7"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32"/>
          <w:szCs w:val="32"/>
          <w:lang w:val="en-AU"/>
        </w:rPr>
      </w:pPr>
      <w:r w:rsidRPr="001806FE">
        <w:rPr>
          <w:rFonts w:ascii="Calibri" w:eastAsia="Calibri" w:hAnsi="Calibri" w:cs="Times New Roman"/>
          <w:lang w:val="en-AU"/>
        </w:rPr>
        <w:br w:type="page"/>
      </w:r>
    </w:p>
    <w:p w14:paraId="7AFD271C" w14:textId="77777777" w:rsidR="001806FE" w:rsidRPr="001B2709" w:rsidRDefault="001806FE" w:rsidP="001B2709">
      <w:pPr>
        <w:pStyle w:val="Heading1"/>
      </w:pPr>
      <w:bookmarkStart w:id="7" w:name="_Toc130218775"/>
      <w:bookmarkStart w:id="8" w:name="_Toc130465868"/>
      <w:r w:rsidRPr="001B2709">
        <w:lastRenderedPageBreak/>
        <w:t>Executive Summary</w:t>
      </w:r>
      <w:bookmarkEnd w:id="7"/>
      <w:bookmarkEnd w:id="8"/>
    </w:p>
    <w:p w14:paraId="5CD24C5D"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On 22 December 2022, the Attorney</w:t>
      </w:r>
      <w:r w:rsidRPr="001806FE">
        <w:rPr>
          <w:rFonts w:ascii="Calibri" w:eastAsia="Calibri" w:hAnsi="Calibri" w:cs="Times New Roman"/>
          <w:lang w:val="en-AU"/>
        </w:rPr>
        <w:noBreakHyphen/>
        <w:t xml:space="preserve">General, the Hon Mark Dreyfus KC MP, announced that the Attorney-General’s Department (the department) had commenced a Review of Commonwealth secrecy provisions (the Review). The Review’s </w:t>
      </w:r>
      <w:hyperlink r:id="rId9" w:history="1">
        <w:r w:rsidRPr="001806FE">
          <w:rPr>
            <w:rFonts w:ascii="Calibri" w:eastAsia="Calibri" w:hAnsi="Calibri" w:cs="Times New Roman"/>
            <w:lang w:val="en-AU"/>
          </w:rPr>
          <w:t>terms of reference</w:t>
        </w:r>
      </w:hyperlink>
      <w:r w:rsidRPr="001806FE">
        <w:rPr>
          <w:rFonts w:ascii="Calibri" w:eastAsia="Calibri" w:hAnsi="Calibri" w:cs="Times New Roman"/>
          <w:lang w:val="en-AU"/>
        </w:rPr>
        <w:t xml:space="preserve"> are at </w:t>
      </w:r>
      <w:r w:rsidRPr="001806FE">
        <w:rPr>
          <w:rFonts w:ascii="Calibri" w:eastAsia="Calibri" w:hAnsi="Calibri" w:cs="Times New Roman"/>
          <w:b/>
          <w:lang w:val="en-AU"/>
        </w:rPr>
        <w:t>Attachment A</w:t>
      </w:r>
      <w:r w:rsidRPr="001806FE">
        <w:rPr>
          <w:rFonts w:ascii="Calibri" w:eastAsia="Calibri" w:hAnsi="Calibri" w:cs="Times New Roman"/>
          <w:lang w:val="en-AU"/>
        </w:rPr>
        <w:t>.</w:t>
      </w:r>
    </w:p>
    <w:p w14:paraId="0AC87AE8" w14:textId="77777777" w:rsidR="001806FE" w:rsidRPr="001806FE" w:rsidRDefault="001806FE" w:rsidP="001806FE">
      <w:pPr>
        <w:widowControl/>
        <w:autoSpaceDE/>
        <w:autoSpaceDN/>
        <w:spacing w:after="120" w:line="259" w:lineRule="auto"/>
        <w:rPr>
          <w:rFonts w:ascii="Calibri" w:eastAsia="Calibri" w:hAnsi="Calibri" w:cs="Times New Roman"/>
          <w:lang w:val="en-AU"/>
        </w:rPr>
      </w:pPr>
      <w:r w:rsidRPr="001806FE">
        <w:rPr>
          <w:rFonts w:ascii="Calibri" w:eastAsia="Calibri" w:hAnsi="Calibri" w:cs="Times New Roman"/>
          <w:lang w:val="en-AU"/>
        </w:rPr>
        <w:t xml:space="preserve">Secrecy offences play a legitimate and important role where unauthorised </w:t>
      </w:r>
      <w:r w:rsidR="000B3891">
        <w:rPr>
          <w:rFonts w:ascii="Calibri" w:eastAsia="Calibri" w:hAnsi="Calibri" w:cs="Times New Roman"/>
          <w:lang w:val="en-AU"/>
        </w:rPr>
        <w:t xml:space="preserve">communications or other </w:t>
      </w:r>
      <w:r w:rsidRPr="001806FE">
        <w:rPr>
          <w:rFonts w:ascii="Calibri" w:eastAsia="Calibri" w:hAnsi="Calibri" w:cs="Times New Roman"/>
          <w:lang w:val="en-AU"/>
        </w:rPr>
        <w:t>dealings with Commonwealth information may cause harm to essential public interests, such as national security and the safety of the public. These public interests need to be considered alongside the public interest in open and accountable government.</w:t>
      </w:r>
    </w:p>
    <w:p w14:paraId="481FD811" w14:textId="4CBBDEBE" w:rsidR="001806FE" w:rsidRPr="001806FE" w:rsidRDefault="00671045" w:rsidP="001806FE">
      <w:pPr>
        <w:widowControl/>
        <w:autoSpaceDE/>
        <w:autoSpaceDN/>
        <w:spacing w:after="160" w:line="259" w:lineRule="auto"/>
        <w:rPr>
          <w:rFonts w:ascii="Calibri" w:eastAsia="Calibri" w:hAnsi="Calibri" w:cs="Times New Roman"/>
          <w:lang w:val="en-AU"/>
        </w:rPr>
      </w:pPr>
      <w:r>
        <w:rPr>
          <w:rFonts w:ascii="Calibri" w:eastAsia="Calibri" w:hAnsi="Calibri" w:cs="Times New Roman"/>
          <w:lang w:val="en-AU"/>
        </w:rPr>
        <w:t>G</w:t>
      </w:r>
      <w:r w:rsidR="001806FE" w:rsidRPr="001806FE">
        <w:rPr>
          <w:rFonts w:ascii="Calibri" w:eastAsia="Calibri" w:hAnsi="Calibri" w:cs="Times New Roman"/>
          <w:lang w:val="en-AU"/>
        </w:rPr>
        <w:t xml:space="preserve">eneral secrecy offences are in Part 5.6 of the </w:t>
      </w:r>
      <w:r w:rsidR="001806FE" w:rsidRPr="001806FE">
        <w:rPr>
          <w:rFonts w:ascii="Calibri" w:eastAsia="Calibri" w:hAnsi="Calibri" w:cs="Times New Roman"/>
          <w:i/>
          <w:lang w:val="en-AU"/>
        </w:rPr>
        <w:t>Criminal Code Act 1995</w:t>
      </w:r>
      <w:r w:rsidR="001806FE" w:rsidRPr="001806FE">
        <w:rPr>
          <w:rFonts w:ascii="Calibri" w:eastAsia="Calibri" w:hAnsi="Calibri" w:cs="Times New Roman"/>
          <w:lang w:val="en-AU"/>
        </w:rPr>
        <w:t xml:space="preserve"> (Criminal Code) and apply to all current and former Commonwealth officers and those who receive information from the Commonwealth. Specific secrecy offences apply to particular information, agencies or individuals. </w:t>
      </w:r>
      <w:r w:rsidR="000B3891">
        <w:rPr>
          <w:rFonts w:ascii="Calibri" w:eastAsia="Calibri" w:hAnsi="Calibri" w:cs="Times New Roman"/>
          <w:lang w:val="en-AU"/>
        </w:rPr>
        <w:t>For the purposes of this review, references to specific secrecy offences also includes n</w:t>
      </w:r>
      <w:r w:rsidR="001806FE" w:rsidRPr="001806FE">
        <w:rPr>
          <w:rFonts w:ascii="Calibri" w:eastAsia="Calibri" w:hAnsi="Calibri" w:cs="Times New Roman"/>
          <w:lang w:val="en-AU"/>
        </w:rPr>
        <w:t xml:space="preserve">on-disclosure duties </w:t>
      </w:r>
      <w:r w:rsidR="000B3891">
        <w:rPr>
          <w:rFonts w:ascii="Calibri" w:eastAsia="Calibri" w:hAnsi="Calibri" w:cs="Times New Roman"/>
          <w:lang w:val="en-AU"/>
        </w:rPr>
        <w:t xml:space="preserve">that </w:t>
      </w:r>
      <w:r w:rsidR="001806FE" w:rsidRPr="001806FE">
        <w:rPr>
          <w:rFonts w:ascii="Calibri" w:eastAsia="Calibri" w:hAnsi="Calibri" w:cs="Times New Roman"/>
          <w:lang w:val="en-AU"/>
        </w:rPr>
        <w:t>apply to current and former Commonwealth officers and attract criminal liability through the operation of section 122.4 of the Criminal Code.</w:t>
      </w:r>
    </w:p>
    <w:p w14:paraId="08B0F073" w14:textId="77777777" w:rsidR="001806FE" w:rsidRPr="001806FE" w:rsidRDefault="001806FE" w:rsidP="001806FE">
      <w:pPr>
        <w:widowControl/>
        <w:autoSpaceDE/>
        <w:autoSpaceDN/>
        <w:spacing w:after="120" w:line="259" w:lineRule="auto"/>
        <w:rPr>
          <w:rFonts w:ascii="Calibri" w:eastAsia="Calibri" w:hAnsi="Calibri" w:cs="Times New Roman"/>
          <w:lang w:val="en-AU"/>
        </w:rPr>
      </w:pPr>
      <w:r w:rsidRPr="001806FE">
        <w:rPr>
          <w:rFonts w:ascii="Calibri" w:eastAsia="Calibri" w:hAnsi="Calibri" w:cs="Times New Roman"/>
          <w:lang w:val="en-AU"/>
        </w:rPr>
        <w:t>While general secrecy offences in the Criminal Code were updated in 2018, multiple reviews have raised concerns about the number, inconsistency, and complexity of specific secrecy offences in a range of Commonwealth laws. To help inform the Review and report to Government, the department seeks views on:</w:t>
      </w:r>
    </w:p>
    <w:p w14:paraId="07053151" w14:textId="77777777" w:rsidR="001806FE" w:rsidRPr="001806FE" w:rsidRDefault="001806FE" w:rsidP="001806FE">
      <w:pPr>
        <w:widowControl/>
        <w:numPr>
          <w:ilvl w:val="0"/>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the suitability and appropriate framing of the general and specific secrecy offences in Commonwealth legislation, having particular regard to: </w:t>
      </w:r>
    </w:p>
    <w:p w14:paraId="6D41931D" w14:textId="77777777" w:rsidR="001806FE" w:rsidRPr="001806FE" w:rsidRDefault="001806FE" w:rsidP="001806FE">
      <w:pPr>
        <w:widowControl/>
        <w:numPr>
          <w:ilvl w:val="1"/>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the principles outlined in the 2009 ALRC report </w:t>
      </w:r>
      <w:hyperlink r:id="rId10" w:history="1">
        <w:r w:rsidRPr="001806FE">
          <w:rPr>
            <w:rFonts w:ascii="Calibri" w:eastAsia="Calibri" w:hAnsi="Calibri" w:cs="Times New Roman"/>
            <w:i/>
            <w:color w:val="0563C1"/>
            <w:u w:val="single"/>
            <w:lang w:val="en-AU"/>
          </w:rPr>
          <w:t>Secrecy Laws and Open Government in Australia</w:t>
        </w:r>
      </w:hyperlink>
      <w:r w:rsidRPr="001806FE">
        <w:rPr>
          <w:rFonts w:ascii="Calibri" w:eastAsia="Calibri" w:hAnsi="Calibri" w:cs="Times New Roman"/>
          <w:i/>
          <w:lang w:val="en-AU"/>
        </w:rPr>
        <w:t xml:space="preserve"> </w:t>
      </w:r>
      <w:r w:rsidRPr="001806FE">
        <w:rPr>
          <w:rFonts w:ascii="Calibri" w:eastAsia="Calibri" w:hAnsi="Calibri" w:cs="Times New Roman"/>
          <w:lang w:val="en-AU"/>
        </w:rPr>
        <w:t>(ALRC Report); and</w:t>
      </w:r>
    </w:p>
    <w:p w14:paraId="07B5C390" w14:textId="77777777" w:rsidR="001806FE" w:rsidRPr="001806FE" w:rsidRDefault="001806FE" w:rsidP="001806FE">
      <w:pPr>
        <w:widowControl/>
        <w:numPr>
          <w:ilvl w:val="1"/>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other relevant principles, including but not limited to those set out in the </w:t>
      </w:r>
      <w:hyperlink r:id="rId11" w:history="1">
        <w:r w:rsidRPr="001806FE">
          <w:rPr>
            <w:rFonts w:ascii="Calibri" w:eastAsia="Calibri" w:hAnsi="Calibri" w:cs="Times New Roman"/>
            <w:i/>
            <w:color w:val="0563C1"/>
            <w:u w:val="single"/>
            <w:lang w:val="en-AU"/>
          </w:rPr>
          <w:t>Guide to Framing Commonwealth Offences, Infringement Notices and Enforcement Powers</w:t>
        </w:r>
      </w:hyperlink>
      <w:r w:rsidRPr="001806FE">
        <w:rPr>
          <w:rFonts w:ascii="Calibri" w:eastAsia="Calibri" w:hAnsi="Calibri" w:cs="Times New Roman"/>
          <w:lang w:val="en-AU"/>
        </w:rPr>
        <w:t xml:space="preserve"> </w:t>
      </w:r>
    </w:p>
    <w:p w14:paraId="631C20E2" w14:textId="77777777" w:rsidR="000B3891" w:rsidRPr="000B3891" w:rsidRDefault="000B3891" w:rsidP="000B3891">
      <w:pPr>
        <w:widowControl/>
        <w:numPr>
          <w:ilvl w:val="0"/>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any specific secrecy offences in Commonwealth legislation that are no longer required in light of the introduction of the general secrecy offences in the Criminal Code</w:t>
      </w:r>
    </w:p>
    <w:p w14:paraId="4926796F" w14:textId="77777777" w:rsidR="000B3891" w:rsidRPr="00413F8F" w:rsidRDefault="001806FE" w:rsidP="00FE0171">
      <w:pPr>
        <w:widowControl/>
        <w:numPr>
          <w:ilvl w:val="0"/>
          <w:numId w:val="10"/>
        </w:numPr>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any amendments that are necessary to adequately protect public interest journalism balanced against other essential public interests.</w:t>
      </w:r>
    </w:p>
    <w:p w14:paraId="640D7069"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To assist, a comprehensive list of the general and specific secrecy offences and non-disclosure duties has been published on the department’s webpage and are also listed at </w:t>
      </w:r>
      <w:r w:rsidRPr="001806FE">
        <w:rPr>
          <w:rFonts w:ascii="Calibri" w:eastAsia="Calibri" w:hAnsi="Calibri" w:cs="Times New Roman"/>
          <w:b/>
          <w:lang w:val="en-AU"/>
        </w:rPr>
        <w:t>Attachment B</w:t>
      </w:r>
      <w:r w:rsidRPr="001806FE">
        <w:rPr>
          <w:rFonts w:ascii="Calibri" w:eastAsia="Calibri" w:hAnsi="Calibri" w:cs="Times New Roman"/>
          <w:lang w:val="en-AU"/>
        </w:rPr>
        <w:t xml:space="preserve">. </w:t>
      </w:r>
    </w:p>
    <w:p w14:paraId="729E6B38"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26"/>
          <w:szCs w:val="26"/>
          <w:lang w:val="en-AU"/>
        </w:rPr>
      </w:pPr>
      <w:r w:rsidRPr="001806FE">
        <w:rPr>
          <w:rFonts w:ascii="Calibri Light" w:eastAsia="Times New Roman" w:hAnsi="Calibri Light" w:cs="Times New Roman"/>
          <w:color w:val="2F5496"/>
          <w:sz w:val="26"/>
          <w:szCs w:val="26"/>
          <w:lang w:val="en-AU"/>
        </w:rPr>
        <w:t>Scope of this consultation</w:t>
      </w:r>
    </w:p>
    <w:p w14:paraId="428445F2"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Under the Review’s terms of reference, the department will not be reporting on amendments to the secrecy offences in the </w:t>
      </w:r>
      <w:r w:rsidRPr="001806FE">
        <w:rPr>
          <w:rFonts w:ascii="Calibri" w:eastAsia="Calibri" w:hAnsi="Calibri" w:cs="Times New Roman"/>
          <w:i/>
          <w:lang w:val="en-AU"/>
        </w:rPr>
        <w:t>National Security Information (Criminal and Civil Proceedings) Act 2004</w:t>
      </w:r>
      <w:r w:rsidRPr="001806FE">
        <w:rPr>
          <w:rFonts w:ascii="Calibri" w:eastAsia="Calibri" w:hAnsi="Calibri" w:cs="Times New Roman"/>
          <w:lang w:val="en-AU"/>
        </w:rPr>
        <w:t>. At the request of the Attorney-General, the Independent National Security Legislation Monitor is currently undertaking a review of that Act and will report to Government by 31 October 2023.</w:t>
      </w:r>
    </w:p>
    <w:p w14:paraId="677C1F77"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In addition to seeking public submissions, the department is also consulting with other Commonwealth government departments in relation to specific secrecy offences and non-disclosure duties within each portfolio. Further, the department has undertaken consultations on the adequacy of protections for individuals who provide information to Royal Commissions. The department has provided an interim report to Government on this element of the Review, which will help inform the final report to Government.  </w:t>
      </w:r>
    </w:p>
    <w:p w14:paraId="1FD00E2B"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lastRenderedPageBreak/>
        <w:t xml:space="preserve">Secrecy provisions interact with a range of other statutory regimes that govern disclosure and protection of government information. The department notes that </w:t>
      </w:r>
      <w:r w:rsidR="000B3891">
        <w:rPr>
          <w:rFonts w:ascii="Calibri" w:eastAsia="Calibri" w:hAnsi="Calibri" w:cs="Times New Roman"/>
          <w:lang w:val="en-AU"/>
        </w:rPr>
        <w:t>other</w:t>
      </w:r>
      <w:r w:rsidRPr="001806FE">
        <w:rPr>
          <w:rFonts w:ascii="Calibri" w:eastAsia="Calibri" w:hAnsi="Calibri" w:cs="Times New Roman"/>
          <w:lang w:val="en-AU"/>
        </w:rPr>
        <w:t xml:space="preserve"> consultation processes relevant but separate to the Secrecy Provisions Review have </w:t>
      </w:r>
      <w:r w:rsidR="000B3891">
        <w:rPr>
          <w:rFonts w:ascii="Calibri" w:eastAsia="Calibri" w:hAnsi="Calibri" w:cs="Times New Roman"/>
          <w:lang w:val="en-AU"/>
        </w:rPr>
        <w:t xml:space="preserve">also </w:t>
      </w:r>
      <w:r w:rsidRPr="001806FE">
        <w:rPr>
          <w:rFonts w:ascii="Calibri" w:eastAsia="Calibri" w:hAnsi="Calibri" w:cs="Times New Roman"/>
          <w:lang w:val="en-AU"/>
        </w:rPr>
        <w:t xml:space="preserve">been announced. This includes consultations on reforms to the </w:t>
      </w:r>
      <w:r w:rsidRPr="001806FE">
        <w:rPr>
          <w:rFonts w:ascii="Calibri" w:eastAsia="Calibri" w:hAnsi="Calibri" w:cs="Times New Roman"/>
          <w:i/>
          <w:lang w:val="en-AU"/>
        </w:rPr>
        <w:t>Public Interest Disclosure Act 2013</w:t>
      </w:r>
      <w:r w:rsidRPr="001806FE">
        <w:rPr>
          <w:rFonts w:ascii="Calibri" w:eastAsia="Calibri" w:hAnsi="Calibri" w:cs="Times New Roman"/>
          <w:lang w:val="en-AU"/>
        </w:rPr>
        <w:t xml:space="preserve"> to support public sector whistleblowers, and consultations to inform the Government response to the report of the review of the </w:t>
      </w:r>
      <w:r w:rsidRPr="001806FE">
        <w:rPr>
          <w:rFonts w:ascii="Calibri" w:eastAsia="Calibri" w:hAnsi="Calibri" w:cs="Times New Roman"/>
          <w:i/>
          <w:lang w:val="en-AU"/>
        </w:rPr>
        <w:t>Privacy Act 1988</w:t>
      </w:r>
      <w:r w:rsidRPr="001806FE">
        <w:rPr>
          <w:rFonts w:ascii="Calibri" w:eastAsia="Calibri" w:hAnsi="Calibri" w:cs="Times New Roman"/>
          <w:lang w:val="en-AU"/>
        </w:rPr>
        <w:t>. Separate information about these consultations is available on the department’s website.</w:t>
      </w:r>
    </w:p>
    <w:p w14:paraId="0BBC5DB8"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26"/>
          <w:szCs w:val="26"/>
          <w:lang w:val="en-AU"/>
        </w:rPr>
      </w:pPr>
      <w:r w:rsidRPr="001806FE">
        <w:rPr>
          <w:rFonts w:ascii="Calibri Light" w:eastAsia="Times New Roman" w:hAnsi="Calibri Light" w:cs="Times New Roman"/>
          <w:color w:val="2F5496"/>
          <w:sz w:val="26"/>
          <w:szCs w:val="26"/>
          <w:lang w:val="en-AU"/>
        </w:rPr>
        <w:t xml:space="preserve">Further information </w:t>
      </w:r>
    </w:p>
    <w:p w14:paraId="54640401" w14:textId="5287A79A"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Submissions to the Review are due by </w:t>
      </w:r>
      <w:r w:rsidR="00C161A0">
        <w:rPr>
          <w:rFonts w:ascii="Calibri" w:eastAsia="Calibri" w:hAnsi="Calibri" w:cs="Times New Roman"/>
          <w:b/>
          <w:lang w:val="en-AU"/>
        </w:rPr>
        <w:t>5</w:t>
      </w:r>
      <w:r w:rsidRPr="001806FE">
        <w:rPr>
          <w:rFonts w:ascii="Calibri" w:eastAsia="Calibri" w:hAnsi="Calibri" w:cs="Times New Roman"/>
          <w:b/>
          <w:lang w:val="en-AU"/>
        </w:rPr>
        <w:t xml:space="preserve"> May 2023</w:t>
      </w:r>
      <w:r w:rsidRPr="001806FE">
        <w:rPr>
          <w:rFonts w:ascii="Calibri" w:eastAsia="Calibri" w:hAnsi="Calibri" w:cs="Times New Roman"/>
          <w:lang w:val="en-AU"/>
        </w:rPr>
        <w:t>. Further details about making submissions are available on the department’s webpage.</w:t>
      </w:r>
    </w:p>
    <w:p w14:paraId="1BFA81FE" w14:textId="77777777" w:rsidR="001806FE" w:rsidRPr="001806FE" w:rsidRDefault="001806FE" w:rsidP="001806FE">
      <w:pPr>
        <w:widowControl/>
        <w:autoSpaceDE/>
        <w:autoSpaceDN/>
        <w:spacing w:after="160" w:line="259" w:lineRule="auto"/>
        <w:rPr>
          <w:rFonts w:ascii="Calibri Light" w:eastAsia="Times New Roman" w:hAnsi="Calibri Light" w:cs="Times New Roman"/>
          <w:color w:val="2F5496"/>
          <w:sz w:val="32"/>
          <w:szCs w:val="32"/>
          <w:lang w:val="en-AU"/>
        </w:rPr>
      </w:pPr>
      <w:r w:rsidRPr="001806FE">
        <w:rPr>
          <w:rFonts w:ascii="Calibri" w:eastAsia="Calibri" w:hAnsi="Calibri" w:cs="Times New Roman"/>
          <w:lang w:val="en-AU"/>
        </w:rPr>
        <w:br w:type="page"/>
      </w:r>
    </w:p>
    <w:p w14:paraId="7459A8C3" w14:textId="77777777" w:rsidR="001806FE" w:rsidRPr="001806FE" w:rsidRDefault="001806FE" w:rsidP="003C25B1">
      <w:pPr>
        <w:pStyle w:val="Heading1"/>
      </w:pPr>
      <w:bookmarkStart w:id="9" w:name="_Toc130218776"/>
      <w:bookmarkStart w:id="10" w:name="_Toc130465869"/>
      <w:r w:rsidRPr="001806FE">
        <w:lastRenderedPageBreak/>
        <w:t>List of consultation questions</w:t>
      </w:r>
      <w:bookmarkEnd w:id="9"/>
      <w:bookmarkEnd w:id="10"/>
    </w:p>
    <w:p w14:paraId="2EAC4996" w14:textId="77777777" w:rsidR="00E0624B" w:rsidRDefault="00E0624B" w:rsidP="00E0624B">
      <w:pPr>
        <w:widowControl/>
        <w:autoSpaceDE/>
        <w:autoSpaceDN/>
        <w:spacing w:before="240" w:after="160" w:line="259" w:lineRule="auto"/>
        <w:ind w:right="694"/>
        <w:rPr>
          <w:rFonts w:ascii="Calibri" w:eastAsia="Calibri" w:hAnsi="Calibri" w:cs="Times New Roman"/>
          <w:lang w:val="en-AU"/>
        </w:rPr>
      </w:pPr>
      <w:bookmarkStart w:id="11" w:name="_Toc129073936"/>
      <w:r w:rsidRPr="001806FE">
        <w:rPr>
          <w:rFonts w:ascii="Calibri" w:eastAsia="Calibri" w:hAnsi="Calibri" w:cs="Times New Roman"/>
          <w:lang w:val="en-AU"/>
        </w:rPr>
        <w:t xml:space="preserve">As outlined in the Review’s terms of reference, the department is seeking views on the operation of secrecy offences in Commonwealth laws, including views on the framing of general and specific secrecy offences. </w:t>
      </w:r>
    </w:p>
    <w:p w14:paraId="228FC600" w14:textId="77777777" w:rsidR="00E0624B" w:rsidRPr="001806FE" w:rsidRDefault="00E0624B" w:rsidP="00E0624B">
      <w:pPr>
        <w:widowControl/>
        <w:autoSpaceDE/>
        <w:autoSpaceDN/>
        <w:spacing w:before="240" w:after="160" w:line="259" w:lineRule="auto"/>
        <w:ind w:right="694"/>
        <w:rPr>
          <w:rFonts w:ascii="Calibri" w:eastAsia="Calibri" w:hAnsi="Calibri" w:cs="Times New Roman"/>
          <w:lang w:val="en-AU"/>
        </w:rPr>
      </w:pPr>
      <w:r>
        <w:rPr>
          <w:rFonts w:ascii="Calibri" w:eastAsia="Calibri" w:hAnsi="Calibri" w:cs="Times New Roman"/>
          <w:lang w:val="en-AU"/>
        </w:rPr>
        <w:t xml:space="preserve">The department welcomes comments on any aspect of secrecy offences to </w:t>
      </w:r>
      <w:r w:rsidRPr="001806FE">
        <w:rPr>
          <w:rFonts w:ascii="Calibri" w:eastAsia="Calibri" w:hAnsi="Calibri" w:cs="Times New Roman"/>
          <w:lang w:val="en-AU"/>
        </w:rPr>
        <w:t>inform the department’s final report to Government</w:t>
      </w:r>
      <w:r>
        <w:rPr>
          <w:rFonts w:ascii="Calibri" w:eastAsia="Calibri" w:hAnsi="Calibri" w:cs="Times New Roman"/>
          <w:lang w:val="en-AU"/>
        </w:rPr>
        <w:t xml:space="preserve">, including but not limited </w:t>
      </w:r>
      <w:r w:rsidRPr="001806FE">
        <w:rPr>
          <w:rFonts w:ascii="Calibri" w:eastAsia="Calibri" w:hAnsi="Calibri" w:cs="Times New Roman"/>
          <w:lang w:val="en-AU"/>
        </w:rPr>
        <w:t>to the following questions.</w:t>
      </w:r>
      <w:r>
        <w:rPr>
          <w:rFonts w:ascii="Calibri" w:eastAsia="Calibri" w:hAnsi="Calibri" w:cs="Times New Roman"/>
          <w:lang w:val="en-AU"/>
        </w:rPr>
        <w:t xml:space="preserve"> References in the questions to specific secrecy offences include </w:t>
      </w:r>
      <w:r w:rsidRPr="00AB2329">
        <w:rPr>
          <w:rFonts w:ascii="Calibri" w:eastAsia="Calibri" w:hAnsi="Calibri" w:cs="Times New Roman"/>
          <w:lang w:val="en-AU"/>
        </w:rPr>
        <w:t>non-disclosure duties that operate as specific secrecy offences</w:t>
      </w:r>
      <w:r>
        <w:rPr>
          <w:rFonts w:ascii="Calibri" w:eastAsia="Calibri" w:hAnsi="Calibri" w:cs="Times New Roman"/>
          <w:lang w:val="en-AU"/>
        </w:rPr>
        <w:t>.</w:t>
      </w:r>
    </w:p>
    <w:p w14:paraId="58AE39D2" w14:textId="5E5CF0B2" w:rsidR="00E0624B" w:rsidRPr="004B14D4" w:rsidRDefault="00E0624B" w:rsidP="003C25B1">
      <w:pPr>
        <w:pStyle w:val="Heading2"/>
      </w:pPr>
      <w:bookmarkStart w:id="12" w:name="_Toc130311720"/>
      <w:bookmarkStart w:id="13" w:name="_Toc130312365"/>
      <w:bookmarkStart w:id="14" w:name="_Toc130465870"/>
      <w:r w:rsidRPr="001B2709">
        <w:t>Part 1: Overview of secrecy provisions in Commonwealth law</w:t>
      </w:r>
      <w:bookmarkEnd w:id="12"/>
      <w:bookmarkEnd w:id="13"/>
      <w:bookmarkEnd w:id="14"/>
    </w:p>
    <w:p w14:paraId="2EED0DF3" w14:textId="77777777" w:rsidR="00E0624B"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sidRPr="00283B3C">
        <w:rPr>
          <w:rFonts w:ascii="Calibri" w:eastAsia="Calibri" w:hAnsi="Calibri" w:cs="Times New Roman"/>
          <w:szCs w:val="26"/>
          <w:lang w:val="en-AU"/>
        </w:rPr>
        <w:t xml:space="preserve">What principles should </w:t>
      </w:r>
      <w:r>
        <w:rPr>
          <w:rFonts w:ascii="Calibri" w:eastAsia="Calibri" w:hAnsi="Calibri" w:cs="Times New Roman"/>
          <w:szCs w:val="26"/>
          <w:lang w:val="en-AU"/>
        </w:rPr>
        <w:t xml:space="preserve">govern the framing of </w:t>
      </w:r>
      <w:r w:rsidRPr="00283B3C">
        <w:rPr>
          <w:rFonts w:ascii="Calibri" w:eastAsia="Calibri" w:hAnsi="Calibri" w:cs="Times New Roman"/>
          <w:szCs w:val="26"/>
          <w:lang w:val="en-AU"/>
        </w:rPr>
        <w:t xml:space="preserve">general </w:t>
      </w:r>
      <w:r>
        <w:rPr>
          <w:rFonts w:ascii="Calibri" w:eastAsia="Calibri" w:hAnsi="Calibri" w:cs="Times New Roman"/>
          <w:szCs w:val="26"/>
          <w:lang w:val="en-AU"/>
        </w:rPr>
        <w:t>secrecy offences and</w:t>
      </w:r>
      <w:r w:rsidRPr="00283B3C">
        <w:rPr>
          <w:rFonts w:ascii="Calibri" w:eastAsia="Calibri" w:hAnsi="Calibri" w:cs="Times New Roman"/>
          <w:szCs w:val="26"/>
          <w:lang w:val="en-AU"/>
        </w:rPr>
        <w:t xml:space="preserve"> specific secrecy offences</w:t>
      </w:r>
      <w:r>
        <w:rPr>
          <w:rFonts w:ascii="Calibri" w:eastAsia="Calibri" w:hAnsi="Calibri" w:cs="Times New Roman"/>
          <w:szCs w:val="26"/>
          <w:lang w:val="en-AU"/>
        </w:rPr>
        <w:t>, including the categories of persons and information to which it is appropriate for each of these types of offences to apply</w:t>
      </w:r>
      <w:r w:rsidRPr="00283B3C">
        <w:rPr>
          <w:rFonts w:ascii="Calibri" w:eastAsia="Calibri" w:hAnsi="Calibri" w:cs="Times New Roman"/>
          <w:szCs w:val="26"/>
          <w:lang w:val="en-AU"/>
        </w:rPr>
        <w:t xml:space="preserve">? </w:t>
      </w:r>
    </w:p>
    <w:p w14:paraId="573CEE5B" w14:textId="77777777" w:rsidR="00E0624B" w:rsidRPr="0006559C" w:rsidRDefault="00E0624B" w:rsidP="00E0624B">
      <w:pPr>
        <w:pStyle w:val="ListParagraph"/>
        <w:widowControl/>
        <w:autoSpaceDE/>
        <w:autoSpaceDN/>
        <w:spacing w:before="0" w:after="160" w:line="259" w:lineRule="auto"/>
        <w:ind w:left="360" w:right="694" w:firstLine="0"/>
        <w:contextualSpacing/>
        <w:rPr>
          <w:rFonts w:ascii="Calibri" w:eastAsia="Calibri" w:hAnsi="Calibri" w:cs="Times New Roman"/>
          <w:szCs w:val="26"/>
          <w:lang w:val="en-AU"/>
        </w:rPr>
      </w:pPr>
    </w:p>
    <w:p w14:paraId="5790F30C" w14:textId="77777777" w:rsidR="00E0624B"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sidRPr="00283B3C">
        <w:rPr>
          <w:rFonts w:ascii="Calibri" w:eastAsia="Calibri" w:hAnsi="Calibri" w:cs="Times New Roman"/>
          <w:szCs w:val="26"/>
          <w:lang w:val="en-AU"/>
        </w:rPr>
        <w:t xml:space="preserve">Having regard to these principles, are there any </w:t>
      </w:r>
      <w:r w:rsidRPr="001806FE">
        <w:rPr>
          <w:rFonts w:ascii="Calibri" w:eastAsia="Calibri" w:hAnsi="Calibri" w:cs="Times New Roman"/>
          <w:lang w:val="en-AU"/>
        </w:rPr>
        <w:t xml:space="preserve">general </w:t>
      </w:r>
      <w:r>
        <w:rPr>
          <w:rFonts w:ascii="Calibri" w:eastAsia="Calibri" w:hAnsi="Calibri" w:cs="Times New Roman"/>
          <w:lang w:val="en-AU"/>
        </w:rPr>
        <w:t>or</w:t>
      </w:r>
      <w:r w:rsidRPr="001806FE">
        <w:rPr>
          <w:rFonts w:ascii="Calibri" w:eastAsia="Calibri" w:hAnsi="Calibri" w:cs="Times New Roman"/>
          <w:lang w:val="en-AU"/>
        </w:rPr>
        <w:t xml:space="preserve"> specific </w:t>
      </w:r>
      <w:r w:rsidRPr="00283B3C">
        <w:rPr>
          <w:rFonts w:ascii="Calibri" w:eastAsia="Calibri" w:hAnsi="Calibri" w:cs="Times New Roman"/>
          <w:szCs w:val="26"/>
          <w:lang w:val="en-AU"/>
        </w:rPr>
        <w:t xml:space="preserve">secrecy offences that should be </w:t>
      </w:r>
      <w:r>
        <w:rPr>
          <w:rFonts w:ascii="Calibri" w:eastAsia="Calibri" w:hAnsi="Calibri" w:cs="Times New Roman"/>
          <w:szCs w:val="26"/>
          <w:lang w:val="en-AU"/>
        </w:rPr>
        <w:t>amended</w:t>
      </w:r>
      <w:r w:rsidRPr="00283B3C">
        <w:rPr>
          <w:rFonts w:ascii="Calibri" w:eastAsia="Calibri" w:hAnsi="Calibri" w:cs="Times New Roman"/>
          <w:szCs w:val="26"/>
          <w:lang w:val="en-AU"/>
        </w:rPr>
        <w:t xml:space="preserve"> or repealed? </w:t>
      </w:r>
    </w:p>
    <w:p w14:paraId="6EC8F2F7" w14:textId="77777777" w:rsidR="00E0624B" w:rsidRPr="00283B3C" w:rsidRDefault="00E0624B" w:rsidP="00E0624B">
      <w:pPr>
        <w:pStyle w:val="ListParagraph"/>
        <w:ind w:left="830"/>
        <w:rPr>
          <w:rFonts w:ascii="Calibri" w:eastAsia="Calibri" w:hAnsi="Calibri" w:cs="Times New Roman"/>
          <w:lang w:val="en-AU"/>
        </w:rPr>
      </w:pPr>
    </w:p>
    <w:p w14:paraId="2E1DE53E" w14:textId="77777777" w:rsidR="00E0624B" w:rsidRPr="00283B3C" w:rsidRDefault="00E0624B" w:rsidP="00E0624B">
      <w:pPr>
        <w:pStyle w:val="ListParagraph"/>
        <w:widowControl/>
        <w:numPr>
          <w:ilvl w:val="1"/>
          <w:numId w:val="17"/>
        </w:numPr>
        <w:autoSpaceDE/>
        <w:autoSpaceDN/>
        <w:spacing w:before="0" w:after="160" w:line="259" w:lineRule="auto"/>
        <w:ind w:left="1080" w:right="694"/>
        <w:contextualSpacing/>
        <w:rPr>
          <w:rFonts w:ascii="Calibri" w:eastAsia="Calibri" w:hAnsi="Calibri" w:cs="Times New Roman"/>
          <w:szCs w:val="26"/>
          <w:lang w:val="en-AU"/>
        </w:rPr>
      </w:pPr>
      <w:bookmarkStart w:id="15" w:name="_Hlk130292672"/>
      <w:r>
        <w:rPr>
          <w:rFonts w:ascii="Calibri" w:eastAsia="Calibri" w:hAnsi="Calibri" w:cs="Times New Roman"/>
          <w:lang w:val="en-AU"/>
        </w:rPr>
        <w:t xml:space="preserve">For any of these offences, are there </w:t>
      </w:r>
      <w:r w:rsidRPr="00AB2329">
        <w:rPr>
          <w:rFonts w:ascii="Calibri" w:eastAsia="Calibri" w:hAnsi="Calibri" w:cs="Times New Roman"/>
          <w:lang w:val="en-AU"/>
        </w:rPr>
        <w:t xml:space="preserve">other forms of action (such as civil or administrative action) that </w:t>
      </w:r>
      <w:r>
        <w:rPr>
          <w:rFonts w:ascii="Calibri" w:eastAsia="Calibri" w:hAnsi="Calibri" w:cs="Times New Roman"/>
          <w:lang w:val="en-AU"/>
        </w:rPr>
        <w:t>would be</w:t>
      </w:r>
      <w:r w:rsidRPr="00AB2329">
        <w:rPr>
          <w:rFonts w:ascii="Calibri" w:eastAsia="Calibri" w:hAnsi="Calibri" w:cs="Times New Roman"/>
          <w:lang w:val="en-AU"/>
        </w:rPr>
        <w:t xml:space="preserve"> more appropriate to protect against unlawful</w:t>
      </w:r>
      <w:r>
        <w:rPr>
          <w:rFonts w:ascii="Calibri" w:eastAsia="Calibri" w:hAnsi="Calibri" w:cs="Times New Roman"/>
          <w:lang w:val="en-AU"/>
        </w:rPr>
        <w:t xml:space="preserve"> communication or other dealing with</w:t>
      </w:r>
      <w:r w:rsidRPr="00AB2329">
        <w:rPr>
          <w:rFonts w:ascii="Calibri" w:eastAsia="Calibri" w:hAnsi="Calibri" w:cs="Times New Roman"/>
          <w:lang w:val="en-AU"/>
        </w:rPr>
        <w:t xml:space="preserve"> the information</w:t>
      </w:r>
      <w:r w:rsidRPr="00283B3C">
        <w:rPr>
          <w:rFonts w:ascii="Calibri" w:eastAsia="Calibri" w:hAnsi="Calibri" w:cs="Times New Roman"/>
          <w:lang w:val="en-AU"/>
        </w:rPr>
        <w:t>?</w:t>
      </w:r>
      <w:bookmarkEnd w:id="15"/>
      <w:r>
        <w:rPr>
          <w:rFonts w:ascii="Calibri" w:eastAsia="Calibri" w:hAnsi="Calibri" w:cs="Times New Roman"/>
          <w:lang w:val="en-AU"/>
        </w:rPr>
        <w:br/>
      </w:r>
    </w:p>
    <w:p w14:paraId="4BF04A93" w14:textId="77777777" w:rsidR="00E0624B" w:rsidRPr="00AB2329"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Pr>
          <w:rFonts w:ascii="Calibri" w:eastAsia="Calibri" w:hAnsi="Calibri" w:cs="Times New Roman"/>
          <w:lang w:val="en-AU"/>
        </w:rPr>
        <w:t>Are there</w:t>
      </w:r>
      <w:r w:rsidRPr="00AB2329">
        <w:rPr>
          <w:rFonts w:ascii="Calibri" w:eastAsia="Calibri" w:hAnsi="Calibri" w:cs="Times New Roman"/>
          <w:szCs w:val="26"/>
          <w:lang w:val="en-AU"/>
        </w:rPr>
        <w:t xml:space="preserve"> circumstances i</w:t>
      </w:r>
      <w:r>
        <w:rPr>
          <w:rFonts w:ascii="Calibri" w:eastAsia="Calibri" w:hAnsi="Calibri" w:cs="Times New Roman"/>
          <w:szCs w:val="26"/>
          <w:lang w:val="en-AU"/>
        </w:rPr>
        <w:t xml:space="preserve">n which </w:t>
      </w:r>
      <w:r w:rsidRPr="00AB2329">
        <w:rPr>
          <w:rFonts w:ascii="Calibri" w:eastAsia="Calibri" w:hAnsi="Calibri" w:cs="Times New Roman"/>
          <w:szCs w:val="26"/>
          <w:lang w:val="en-AU"/>
        </w:rPr>
        <w:t xml:space="preserve">it </w:t>
      </w:r>
      <w:r>
        <w:rPr>
          <w:rFonts w:ascii="Calibri" w:eastAsia="Calibri" w:hAnsi="Calibri" w:cs="Times New Roman"/>
          <w:szCs w:val="26"/>
          <w:lang w:val="en-AU"/>
        </w:rPr>
        <w:t xml:space="preserve">is </w:t>
      </w:r>
      <w:r w:rsidRPr="00AB2329">
        <w:rPr>
          <w:rFonts w:ascii="Calibri" w:eastAsia="Calibri" w:hAnsi="Calibri" w:cs="Times New Roman"/>
          <w:szCs w:val="26"/>
          <w:lang w:val="en-AU"/>
        </w:rPr>
        <w:t xml:space="preserve">appropriate for a specific secrecy offence to prohibit conduct that is also prohibited by a general secrecy offence?  </w:t>
      </w:r>
    </w:p>
    <w:p w14:paraId="5C69B514" w14:textId="77777777" w:rsidR="00E0624B" w:rsidRPr="00AB2329" w:rsidRDefault="00E0624B" w:rsidP="00E0624B">
      <w:pPr>
        <w:pStyle w:val="ListParagraph"/>
        <w:widowControl/>
        <w:autoSpaceDE/>
        <w:autoSpaceDN/>
        <w:spacing w:before="0" w:after="160" w:line="259" w:lineRule="auto"/>
        <w:ind w:left="360" w:right="694" w:firstLine="0"/>
        <w:contextualSpacing/>
        <w:rPr>
          <w:rFonts w:ascii="Calibri" w:eastAsia="Calibri" w:hAnsi="Calibri" w:cs="Times New Roman"/>
          <w:szCs w:val="26"/>
          <w:lang w:val="en-AU"/>
        </w:rPr>
      </w:pPr>
    </w:p>
    <w:p w14:paraId="5E54ABA3" w14:textId="77777777" w:rsidR="00E0624B" w:rsidRPr="00A220BE" w:rsidRDefault="00E0624B" w:rsidP="00E0624B">
      <w:pPr>
        <w:pStyle w:val="ListParagraph"/>
        <w:widowControl/>
        <w:numPr>
          <w:ilvl w:val="0"/>
          <w:numId w:val="17"/>
        </w:numPr>
        <w:autoSpaceDE/>
        <w:autoSpaceDN/>
        <w:spacing w:before="0" w:after="160" w:line="259" w:lineRule="auto"/>
        <w:ind w:left="360" w:right="694"/>
        <w:contextualSpacing/>
      </w:pPr>
      <w:r>
        <w:rPr>
          <w:rFonts w:ascii="Calibri" w:eastAsia="Calibri" w:hAnsi="Calibri" w:cs="Times New Roman"/>
          <w:szCs w:val="26"/>
          <w:lang w:val="en-AU"/>
        </w:rPr>
        <w:t xml:space="preserve">Are the current defences for general secrecy offences available under section 122.5 of the Criminal Code appropriately framed? Are there any amendments or additions to these defences that should be considered? </w:t>
      </w:r>
    </w:p>
    <w:p w14:paraId="71497137" w14:textId="77777777" w:rsidR="00E0624B" w:rsidRPr="00A220BE" w:rsidRDefault="00E0624B" w:rsidP="00E0624B">
      <w:pPr>
        <w:pStyle w:val="ListParagraph"/>
        <w:widowControl/>
        <w:autoSpaceDE/>
        <w:autoSpaceDN/>
        <w:spacing w:before="0" w:after="160" w:line="259" w:lineRule="auto"/>
        <w:ind w:left="360" w:right="694" w:firstLine="0"/>
        <w:contextualSpacing/>
      </w:pPr>
    </w:p>
    <w:p w14:paraId="2989457D" w14:textId="2E8AB60E" w:rsidR="00E0624B" w:rsidRDefault="00E0624B" w:rsidP="00E0624B">
      <w:pPr>
        <w:pStyle w:val="ListParagraph"/>
        <w:widowControl/>
        <w:numPr>
          <w:ilvl w:val="0"/>
          <w:numId w:val="17"/>
        </w:numPr>
        <w:autoSpaceDE/>
        <w:autoSpaceDN/>
        <w:spacing w:before="0" w:after="160" w:line="259" w:lineRule="auto"/>
        <w:ind w:left="360" w:right="694"/>
        <w:contextualSpacing/>
      </w:pPr>
      <w:r>
        <w:rPr>
          <w:rFonts w:ascii="Calibri" w:eastAsia="Calibri" w:hAnsi="Calibri" w:cs="Times New Roman"/>
          <w:szCs w:val="26"/>
          <w:lang w:val="en-AU"/>
        </w:rPr>
        <w:t xml:space="preserve">Are there any defences that should generally be available for specific secrecy offences? Are there amendments or additions to defences for specific secrecy offences that should be considered? </w:t>
      </w:r>
    </w:p>
    <w:p w14:paraId="154EB7F6" w14:textId="1A770550" w:rsidR="00E0624B" w:rsidRPr="003C25B1" w:rsidRDefault="00E0624B" w:rsidP="003C25B1">
      <w:pPr>
        <w:pStyle w:val="Heading2"/>
        <w:rPr>
          <w:rFonts w:eastAsia="Calibri"/>
        </w:rPr>
      </w:pPr>
      <w:bookmarkStart w:id="16" w:name="_Toc130311721"/>
      <w:bookmarkStart w:id="17" w:name="_Toc130312366"/>
      <w:bookmarkStart w:id="18" w:name="_Toc130465871"/>
      <w:r w:rsidRPr="001806FE">
        <w:t>Part 2: Public interest journalism</w:t>
      </w:r>
      <w:bookmarkEnd w:id="16"/>
      <w:bookmarkEnd w:id="17"/>
      <w:bookmarkEnd w:id="18"/>
    </w:p>
    <w:p w14:paraId="07F40601" w14:textId="77777777" w:rsidR="00E0624B"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Pr>
          <w:rFonts w:ascii="Calibri" w:eastAsia="Calibri" w:hAnsi="Calibri" w:cs="Times New Roman"/>
          <w:szCs w:val="26"/>
          <w:lang w:val="en-AU"/>
        </w:rPr>
        <w:t xml:space="preserve">What </w:t>
      </w:r>
      <w:r w:rsidRPr="00283B3C">
        <w:rPr>
          <w:rFonts w:ascii="Calibri" w:eastAsia="Calibri" w:hAnsi="Calibri" w:cs="Times New Roman"/>
          <w:szCs w:val="26"/>
          <w:lang w:val="en-AU"/>
        </w:rPr>
        <w:t xml:space="preserve">principles should determine </w:t>
      </w:r>
      <w:r>
        <w:rPr>
          <w:rFonts w:ascii="Calibri" w:eastAsia="Calibri" w:hAnsi="Calibri" w:cs="Times New Roman"/>
          <w:szCs w:val="26"/>
          <w:lang w:val="en-AU"/>
        </w:rPr>
        <w:t xml:space="preserve">how the </w:t>
      </w:r>
      <w:r w:rsidRPr="00283B3C">
        <w:rPr>
          <w:rFonts w:ascii="Calibri" w:eastAsia="Calibri" w:hAnsi="Calibri" w:cs="Times New Roman"/>
          <w:szCs w:val="26"/>
          <w:lang w:val="en-AU"/>
        </w:rPr>
        <w:t>public interest journalism defence to the general secrecy offences in Part 5.6 of the Criminal Code</w:t>
      </w:r>
      <w:r>
        <w:rPr>
          <w:rFonts w:ascii="Calibri" w:eastAsia="Calibri" w:hAnsi="Calibri" w:cs="Times New Roman"/>
          <w:szCs w:val="26"/>
          <w:lang w:val="en-AU"/>
        </w:rPr>
        <w:t xml:space="preserve"> is</w:t>
      </w:r>
      <w:r w:rsidRPr="00283B3C">
        <w:rPr>
          <w:rFonts w:ascii="Calibri" w:eastAsia="Calibri" w:hAnsi="Calibri" w:cs="Times New Roman"/>
          <w:szCs w:val="26"/>
          <w:lang w:val="en-AU"/>
        </w:rPr>
        <w:t xml:space="preserve"> framed? </w:t>
      </w:r>
    </w:p>
    <w:p w14:paraId="3796F93B" w14:textId="77777777" w:rsidR="00E0624B" w:rsidRDefault="00E0624B" w:rsidP="00E0624B">
      <w:pPr>
        <w:pStyle w:val="ListParagraph"/>
        <w:widowControl/>
        <w:autoSpaceDE/>
        <w:autoSpaceDN/>
        <w:spacing w:after="160" w:line="259" w:lineRule="auto"/>
        <w:ind w:left="830" w:right="694"/>
        <w:rPr>
          <w:rFonts w:ascii="Calibri" w:eastAsia="Calibri" w:hAnsi="Calibri" w:cs="Times New Roman"/>
          <w:szCs w:val="26"/>
          <w:lang w:val="en-AU"/>
        </w:rPr>
      </w:pPr>
    </w:p>
    <w:p w14:paraId="35E40DFF" w14:textId="77777777" w:rsidR="00E0624B"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sidRPr="00283B3C">
        <w:rPr>
          <w:rFonts w:ascii="Calibri" w:eastAsia="Calibri" w:hAnsi="Calibri" w:cs="Times New Roman"/>
          <w:szCs w:val="26"/>
          <w:lang w:val="en-AU"/>
        </w:rPr>
        <w:t>Having regard to those principles, is the current public interest journalism defence in Part</w:t>
      </w:r>
      <w:r w:rsidR="000B3891">
        <w:rPr>
          <w:rFonts w:ascii="Calibri" w:eastAsia="Calibri" w:hAnsi="Calibri" w:cs="Times New Roman"/>
          <w:szCs w:val="26"/>
          <w:lang w:val="en-AU"/>
        </w:rPr>
        <w:t> </w:t>
      </w:r>
      <w:r w:rsidRPr="00283B3C">
        <w:rPr>
          <w:rFonts w:ascii="Calibri" w:eastAsia="Calibri" w:hAnsi="Calibri" w:cs="Times New Roman"/>
          <w:szCs w:val="26"/>
          <w:lang w:val="en-AU"/>
        </w:rPr>
        <w:t>5.6 of the Criminal Code appropriately framed? If not, what amendments should be considered?</w:t>
      </w:r>
    </w:p>
    <w:p w14:paraId="08F9C702" w14:textId="77777777" w:rsidR="00E0624B" w:rsidRPr="00283B3C" w:rsidRDefault="00E0624B" w:rsidP="00E0624B">
      <w:pPr>
        <w:pStyle w:val="ListParagraph"/>
        <w:ind w:left="830"/>
        <w:rPr>
          <w:rFonts w:ascii="Calibri" w:eastAsia="Calibri" w:hAnsi="Calibri" w:cs="Times New Roman"/>
          <w:szCs w:val="26"/>
          <w:lang w:val="en-AU"/>
        </w:rPr>
      </w:pPr>
    </w:p>
    <w:p w14:paraId="71544342" w14:textId="77777777" w:rsidR="00E0624B" w:rsidRPr="00283B3C"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bookmarkStart w:id="19" w:name="_Hlk130292989"/>
      <w:r w:rsidRPr="00283B3C">
        <w:rPr>
          <w:rFonts w:ascii="Calibri" w:eastAsia="Calibri" w:hAnsi="Calibri" w:cs="Times New Roman"/>
          <w:lang w:val="en-AU"/>
        </w:rPr>
        <w:t>Should the public interest journalism defence to the general secrecy offences in Part 5.6 of the Criminal Code identify factors that may be considered for the purposes of determining whether the</w:t>
      </w:r>
      <w:r>
        <w:rPr>
          <w:rFonts w:ascii="Calibri" w:eastAsia="Calibri" w:hAnsi="Calibri" w:cs="Times New Roman"/>
          <w:lang w:val="en-AU"/>
        </w:rPr>
        <w:t xml:space="preserve"> communication or</w:t>
      </w:r>
      <w:r w:rsidRPr="00283B3C">
        <w:rPr>
          <w:rFonts w:ascii="Calibri" w:eastAsia="Calibri" w:hAnsi="Calibri" w:cs="Times New Roman"/>
          <w:lang w:val="en-AU"/>
        </w:rPr>
        <w:t xml:space="preserve"> </w:t>
      </w:r>
      <w:r>
        <w:rPr>
          <w:rFonts w:ascii="Calibri" w:eastAsia="Calibri" w:hAnsi="Calibri" w:cs="Times New Roman"/>
          <w:lang w:val="en-AU"/>
        </w:rPr>
        <w:t xml:space="preserve">other </w:t>
      </w:r>
      <w:r w:rsidRPr="00283B3C">
        <w:rPr>
          <w:rFonts w:ascii="Calibri" w:eastAsia="Calibri" w:hAnsi="Calibri" w:cs="Times New Roman"/>
          <w:lang w:val="en-AU"/>
        </w:rPr>
        <w:t xml:space="preserve">dealing with </w:t>
      </w:r>
      <w:r>
        <w:rPr>
          <w:rFonts w:ascii="Calibri" w:eastAsia="Calibri" w:hAnsi="Calibri" w:cs="Times New Roman"/>
          <w:lang w:val="en-AU"/>
        </w:rPr>
        <w:t xml:space="preserve">the </w:t>
      </w:r>
      <w:r w:rsidRPr="00283B3C">
        <w:rPr>
          <w:rFonts w:ascii="Calibri" w:eastAsia="Calibri" w:hAnsi="Calibri" w:cs="Times New Roman"/>
          <w:lang w:val="en-AU"/>
        </w:rPr>
        <w:t>information may be in the public interest?</w:t>
      </w:r>
    </w:p>
    <w:bookmarkEnd w:id="19"/>
    <w:p w14:paraId="48A52945" w14:textId="77777777" w:rsidR="00E0624B" w:rsidRPr="00283B3C" w:rsidRDefault="00E0624B" w:rsidP="00E0624B">
      <w:pPr>
        <w:pStyle w:val="ListParagraph"/>
        <w:ind w:left="830"/>
        <w:rPr>
          <w:rFonts w:ascii="Calibri" w:eastAsia="Calibri" w:hAnsi="Calibri" w:cs="Times New Roman"/>
          <w:lang w:val="en-AU"/>
        </w:rPr>
      </w:pPr>
    </w:p>
    <w:p w14:paraId="032D244C" w14:textId="77777777" w:rsidR="00E0624B" w:rsidRPr="00283B3C"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sidRPr="00283B3C">
        <w:rPr>
          <w:rFonts w:ascii="Calibri" w:eastAsia="Calibri" w:hAnsi="Calibri" w:cs="Times New Roman"/>
          <w:lang w:val="en-AU"/>
        </w:rPr>
        <w:lastRenderedPageBreak/>
        <w:t>Should a public interest journalism defence modelled on subsection 122.5(6) of the Criminal Code be considered for specific secrecy offences, and for which offences would it be an appropriate defence?</w:t>
      </w:r>
    </w:p>
    <w:p w14:paraId="75D61E1F" w14:textId="77777777" w:rsidR="00E0624B" w:rsidRPr="00283B3C" w:rsidRDefault="00E0624B" w:rsidP="00E0624B">
      <w:pPr>
        <w:pStyle w:val="ListParagraph"/>
        <w:ind w:left="830"/>
        <w:rPr>
          <w:rFonts w:ascii="Calibri" w:eastAsia="Calibri" w:hAnsi="Calibri" w:cs="Times New Roman"/>
          <w:lang w:val="en-AU"/>
        </w:rPr>
      </w:pPr>
    </w:p>
    <w:p w14:paraId="324E730A" w14:textId="77777777" w:rsidR="00E0624B" w:rsidRPr="00283B3C" w:rsidRDefault="00E0624B" w:rsidP="00E0624B">
      <w:pPr>
        <w:pStyle w:val="ListParagraph"/>
        <w:widowControl/>
        <w:numPr>
          <w:ilvl w:val="0"/>
          <w:numId w:val="17"/>
        </w:numPr>
        <w:autoSpaceDE/>
        <w:autoSpaceDN/>
        <w:spacing w:before="0" w:after="160" w:line="259" w:lineRule="auto"/>
        <w:ind w:left="360" w:right="694"/>
        <w:contextualSpacing/>
        <w:rPr>
          <w:rFonts w:ascii="Calibri" w:eastAsia="Calibri" w:hAnsi="Calibri" w:cs="Times New Roman"/>
          <w:szCs w:val="26"/>
          <w:lang w:val="en-AU"/>
        </w:rPr>
      </w:pPr>
      <w:r w:rsidRPr="00283B3C">
        <w:rPr>
          <w:rFonts w:ascii="Calibri" w:eastAsia="Calibri" w:hAnsi="Calibri" w:cs="Times New Roman"/>
          <w:lang w:val="en-AU"/>
        </w:rPr>
        <w:t xml:space="preserve">Should the requirement for the Attorney-General’s consent to prosecute a journalist for certain offences, which is currently imposed by a ministerial direction, be </w:t>
      </w:r>
      <w:r>
        <w:rPr>
          <w:rFonts w:ascii="Calibri" w:eastAsia="Calibri" w:hAnsi="Calibri" w:cs="Times New Roman"/>
          <w:lang w:val="en-AU"/>
        </w:rPr>
        <w:t xml:space="preserve">maintained?  If so, should this requirement be </w:t>
      </w:r>
      <w:r w:rsidRPr="00283B3C">
        <w:rPr>
          <w:rFonts w:ascii="Calibri" w:eastAsia="Calibri" w:hAnsi="Calibri" w:cs="Times New Roman"/>
          <w:lang w:val="en-AU"/>
        </w:rPr>
        <w:t>legislated?</w:t>
      </w:r>
    </w:p>
    <w:bookmarkEnd w:id="11"/>
    <w:p w14:paraId="06A02712" w14:textId="77777777" w:rsidR="001806FE" w:rsidRPr="001806FE" w:rsidRDefault="001806FE" w:rsidP="001806FE">
      <w:pPr>
        <w:widowControl/>
        <w:autoSpaceDE/>
        <w:autoSpaceDN/>
        <w:spacing w:after="160" w:line="259" w:lineRule="auto"/>
        <w:rPr>
          <w:rFonts w:ascii="Calibri" w:eastAsia="Calibri" w:hAnsi="Calibri" w:cs="Times New Roman"/>
          <w:lang w:val="en-AU"/>
        </w:rPr>
      </w:pPr>
    </w:p>
    <w:p w14:paraId="4907883F" w14:textId="77777777" w:rsidR="001806FE" w:rsidRPr="001806FE" w:rsidRDefault="001806FE" w:rsidP="001806FE">
      <w:pPr>
        <w:widowControl/>
        <w:autoSpaceDE/>
        <w:autoSpaceDN/>
        <w:spacing w:after="160" w:line="259" w:lineRule="auto"/>
        <w:ind w:left="313" w:right="694"/>
        <w:rPr>
          <w:rFonts w:ascii="Calibri" w:eastAsia="Calibri" w:hAnsi="Calibri" w:cs="Times New Roman"/>
          <w:lang w:val="en-AU"/>
        </w:rPr>
      </w:pPr>
      <w:r w:rsidRPr="001806FE">
        <w:rPr>
          <w:rFonts w:ascii="Calibri" w:eastAsia="Calibri" w:hAnsi="Calibri" w:cs="Times New Roman"/>
          <w:lang w:val="en-AU"/>
        </w:rPr>
        <w:br w:type="page"/>
      </w:r>
    </w:p>
    <w:p w14:paraId="4102C742" w14:textId="77777777" w:rsidR="001806FE" w:rsidRPr="001806FE" w:rsidRDefault="001806FE" w:rsidP="003C25B1">
      <w:pPr>
        <w:pStyle w:val="Heading1"/>
      </w:pPr>
      <w:bookmarkStart w:id="20" w:name="_Toc130218779"/>
      <w:bookmarkStart w:id="21" w:name="_Toc130465872"/>
      <w:bookmarkEnd w:id="2"/>
      <w:r w:rsidRPr="001806FE">
        <w:lastRenderedPageBreak/>
        <w:t>Part 1: Overview of secrecy provisions in Commonwealth law</w:t>
      </w:r>
      <w:bookmarkEnd w:id="20"/>
      <w:bookmarkEnd w:id="21"/>
    </w:p>
    <w:p w14:paraId="22A2F7CF" w14:textId="77777777" w:rsidR="001806FE" w:rsidRPr="001806FE" w:rsidRDefault="001806FE" w:rsidP="001806FE">
      <w:pPr>
        <w:widowControl/>
        <w:autoSpaceDE/>
        <w:autoSpaceDN/>
        <w:spacing w:after="120" w:line="259" w:lineRule="auto"/>
        <w:rPr>
          <w:rFonts w:ascii="Calibri" w:eastAsia="Calibri" w:hAnsi="Calibri" w:cs="Times New Roman"/>
          <w:lang w:val="en-AU"/>
        </w:rPr>
      </w:pPr>
      <w:r w:rsidRPr="001806FE">
        <w:rPr>
          <w:rFonts w:ascii="Calibri" w:eastAsia="Calibri" w:hAnsi="Calibri" w:cs="Times New Roman"/>
          <w:lang w:val="en-AU"/>
        </w:rPr>
        <w:t>There are a range of reasons that governments seek to protect information, including for personal privacy, Cabinet confidentiality, public health, national security and law enforcement purposes. These interests need to be considered alongside the public interest in an open and accountable government. Secrecy provisions are one mechanism to protect information and they include provisions that impose confidentiality obligations on individuals or entities in relation to the handling of Commonwealth information.</w:t>
      </w:r>
      <w:r w:rsidRPr="001806FE">
        <w:rPr>
          <w:rFonts w:ascii="Calibri" w:eastAsia="Calibri" w:hAnsi="Calibri" w:cs="Times New Roman"/>
          <w:vertAlign w:val="superscript"/>
          <w:lang w:val="en-AU"/>
        </w:rPr>
        <w:footnoteReference w:id="1"/>
      </w:r>
      <w:r w:rsidRPr="001806FE">
        <w:rPr>
          <w:rFonts w:ascii="Calibri" w:eastAsia="Calibri" w:hAnsi="Calibri" w:cs="Times New Roman"/>
          <w:lang w:val="en-AU"/>
        </w:rPr>
        <w:t xml:space="preserve"> </w:t>
      </w:r>
    </w:p>
    <w:p w14:paraId="610988F4" w14:textId="77777777" w:rsidR="001806FE" w:rsidRPr="001806FE" w:rsidRDefault="001806FE" w:rsidP="001806FE">
      <w:pPr>
        <w:widowControl/>
        <w:autoSpaceDE/>
        <w:autoSpaceDN/>
        <w:spacing w:after="120" w:line="259" w:lineRule="auto"/>
        <w:rPr>
          <w:rFonts w:ascii="Calibri" w:eastAsia="Calibri" w:hAnsi="Calibri" w:cs="Times New Roman"/>
          <w:lang w:val="en-AU"/>
        </w:rPr>
      </w:pPr>
      <w:r w:rsidRPr="001806FE">
        <w:rPr>
          <w:rFonts w:ascii="Calibri" w:eastAsia="Calibri" w:hAnsi="Calibri" w:cs="Times New Roman"/>
          <w:lang w:val="en-AU"/>
        </w:rPr>
        <w:t>As of January 2023, the landscape of Commonwealth secrecy provisions</w:t>
      </w:r>
      <w:r w:rsidRPr="001806FE">
        <w:rPr>
          <w:rFonts w:ascii="Calibri" w:eastAsia="Calibri" w:hAnsi="Calibri" w:cs="Times New Roman"/>
          <w:vertAlign w:val="superscript"/>
          <w:lang w:val="en-AU"/>
        </w:rPr>
        <w:footnoteReference w:id="2"/>
      </w:r>
      <w:r w:rsidRPr="001806FE">
        <w:rPr>
          <w:rFonts w:ascii="Calibri" w:eastAsia="Calibri" w:hAnsi="Calibri" w:cs="Times New Roman"/>
          <w:lang w:val="en-AU"/>
        </w:rPr>
        <w:t xml:space="preserve"> comprises:</w:t>
      </w:r>
    </w:p>
    <w:p w14:paraId="45D7E0CA" w14:textId="77777777" w:rsidR="001806FE" w:rsidRPr="001806FE" w:rsidRDefault="001806FE" w:rsidP="001806FE">
      <w:pPr>
        <w:widowControl/>
        <w:numPr>
          <w:ilvl w:val="0"/>
          <w:numId w:val="5"/>
        </w:numPr>
        <w:autoSpaceDE/>
        <w:autoSpaceDN/>
        <w:spacing w:after="120" w:line="256" w:lineRule="auto"/>
        <w:contextualSpacing/>
        <w:rPr>
          <w:rFonts w:ascii="Calibri" w:eastAsia="Calibri" w:hAnsi="Calibri" w:cs="Times New Roman"/>
          <w:b/>
          <w:lang w:val="en-AU"/>
        </w:rPr>
      </w:pPr>
      <w:r w:rsidRPr="001806FE">
        <w:rPr>
          <w:rFonts w:ascii="Calibri" w:eastAsia="Calibri" w:hAnsi="Calibri" w:cs="Times New Roman"/>
          <w:b/>
          <w:lang w:val="en-AU"/>
        </w:rPr>
        <w:t xml:space="preserve">11 general secrecy offences </w:t>
      </w:r>
      <w:r w:rsidRPr="001806FE">
        <w:rPr>
          <w:rFonts w:ascii="Calibri" w:eastAsia="Calibri" w:hAnsi="Calibri" w:cs="Times New Roman"/>
          <w:lang w:val="en-AU"/>
        </w:rPr>
        <w:t>in the Criminal Code</w:t>
      </w:r>
      <w:r w:rsidRPr="001806FE">
        <w:rPr>
          <w:rFonts w:ascii="Calibri" w:eastAsia="Calibri" w:hAnsi="Calibri" w:cs="Times New Roman"/>
          <w:b/>
          <w:lang w:val="en-AU"/>
        </w:rPr>
        <w:t xml:space="preserve"> </w:t>
      </w:r>
    </w:p>
    <w:p w14:paraId="05D791A8" w14:textId="2C08BA29" w:rsidR="001806FE" w:rsidRPr="001806FE" w:rsidRDefault="001806FE" w:rsidP="001806FE">
      <w:pPr>
        <w:widowControl/>
        <w:numPr>
          <w:ilvl w:val="0"/>
          <w:numId w:val="5"/>
        </w:numPr>
        <w:autoSpaceDE/>
        <w:autoSpaceDN/>
        <w:spacing w:after="120" w:line="256" w:lineRule="auto"/>
        <w:contextualSpacing/>
        <w:rPr>
          <w:rFonts w:ascii="Calibri" w:eastAsia="Calibri" w:hAnsi="Calibri" w:cs="Times New Roman"/>
          <w:b/>
          <w:lang w:val="en-AU"/>
        </w:rPr>
      </w:pPr>
      <w:r w:rsidRPr="001806FE">
        <w:rPr>
          <w:rFonts w:ascii="Calibri" w:eastAsia="Calibri" w:hAnsi="Calibri" w:cs="Times New Roman"/>
          <w:b/>
          <w:lang w:val="en-AU"/>
        </w:rPr>
        <w:t>5</w:t>
      </w:r>
      <w:r w:rsidR="00220B46">
        <w:rPr>
          <w:rFonts w:ascii="Calibri" w:eastAsia="Calibri" w:hAnsi="Calibri" w:cs="Times New Roman"/>
          <w:b/>
          <w:lang w:val="en-AU"/>
        </w:rPr>
        <w:t>4</w:t>
      </w:r>
      <w:r w:rsidR="00D82BCA">
        <w:rPr>
          <w:rFonts w:ascii="Calibri" w:eastAsia="Calibri" w:hAnsi="Calibri" w:cs="Times New Roman"/>
          <w:b/>
          <w:lang w:val="en-AU"/>
        </w:rPr>
        <w:t>2</w:t>
      </w:r>
      <w:r w:rsidR="001B2709">
        <w:rPr>
          <w:rFonts w:ascii="Calibri" w:eastAsia="Calibri" w:hAnsi="Calibri" w:cs="Times New Roman"/>
          <w:b/>
          <w:lang w:val="en-AU"/>
        </w:rPr>
        <w:t xml:space="preserve"> </w:t>
      </w:r>
      <w:r w:rsidRPr="001806FE">
        <w:rPr>
          <w:rFonts w:ascii="Calibri" w:eastAsia="Calibri" w:hAnsi="Calibri" w:cs="Times New Roman"/>
          <w:b/>
          <w:lang w:val="en-AU"/>
        </w:rPr>
        <w:t xml:space="preserve">specific secrecy offences </w:t>
      </w:r>
      <w:r w:rsidRPr="001806FE">
        <w:rPr>
          <w:rFonts w:ascii="Calibri" w:eastAsia="Calibri" w:hAnsi="Calibri" w:cs="Times New Roman"/>
          <w:lang w:val="en-AU"/>
        </w:rPr>
        <w:t xml:space="preserve">in </w:t>
      </w:r>
      <w:r w:rsidR="00073E8E">
        <w:rPr>
          <w:rFonts w:ascii="Calibri" w:eastAsia="Calibri" w:hAnsi="Calibri" w:cs="Times New Roman"/>
          <w:lang w:val="en-AU"/>
        </w:rPr>
        <w:t>178</w:t>
      </w:r>
      <w:r w:rsidRPr="001806FE">
        <w:rPr>
          <w:rFonts w:ascii="Calibri" w:eastAsia="Calibri" w:hAnsi="Calibri" w:cs="Times New Roman"/>
          <w:lang w:val="en-AU"/>
        </w:rPr>
        <w:t xml:space="preserve"> Commonwealth laws</w:t>
      </w:r>
      <w:r w:rsidRPr="001806FE">
        <w:rPr>
          <w:rFonts w:ascii="Calibri" w:eastAsia="Calibri" w:hAnsi="Calibri" w:cs="Times New Roman"/>
          <w:b/>
          <w:lang w:val="en-AU"/>
        </w:rPr>
        <w:t xml:space="preserve"> </w:t>
      </w:r>
    </w:p>
    <w:p w14:paraId="39FB9F91" w14:textId="10F2E09B" w:rsidR="001806FE" w:rsidRPr="001806FE" w:rsidRDefault="00220B46" w:rsidP="001806FE">
      <w:pPr>
        <w:widowControl/>
        <w:numPr>
          <w:ilvl w:val="0"/>
          <w:numId w:val="5"/>
        </w:numPr>
        <w:autoSpaceDE/>
        <w:autoSpaceDN/>
        <w:spacing w:after="120" w:line="256" w:lineRule="auto"/>
        <w:contextualSpacing/>
        <w:rPr>
          <w:rFonts w:ascii="Calibri" w:eastAsia="Calibri" w:hAnsi="Calibri" w:cs="Times New Roman"/>
          <w:b/>
          <w:lang w:val="en-AU"/>
        </w:rPr>
      </w:pPr>
      <w:r>
        <w:rPr>
          <w:rFonts w:ascii="Calibri" w:eastAsia="Calibri" w:hAnsi="Calibri" w:cs="Times New Roman"/>
          <w:b/>
          <w:lang w:val="en-AU"/>
        </w:rPr>
        <w:t>296</w:t>
      </w:r>
      <w:r w:rsidR="001806FE" w:rsidRPr="001806FE">
        <w:rPr>
          <w:rFonts w:ascii="Calibri" w:eastAsia="Calibri" w:hAnsi="Calibri" w:cs="Times New Roman"/>
          <w:b/>
          <w:lang w:val="en-AU"/>
        </w:rPr>
        <w:t xml:space="preserve"> non-disclosure duties </w:t>
      </w:r>
      <w:r w:rsidR="001806FE" w:rsidRPr="001806FE">
        <w:rPr>
          <w:rFonts w:ascii="Calibri" w:eastAsia="Calibri" w:hAnsi="Calibri" w:cs="Times New Roman"/>
          <w:lang w:val="en-AU"/>
        </w:rPr>
        <w:t xml:space="preserve">in </w:t>
      </w:r>
      <w:r w:rsidR="00073E8E">
        <w:rPr>
          <w:rFonts w:ascii="Calibri" w:eastAsia="Calibri" w:hAnsi="Calibri" w:cs="Times New Roman"/>
          <w:lang w:val="en-AU"/>
        </w:rPr>
        <w:t>107</w:t>
      </w:r>
      <w:r w:rsidR="001806FE" w:rsidRPr="001806FE">
        <w:rPr>
          <w:rFonts w:ascii="Calibri" w:eastAsia="Calibri" w:hAnsi="Calibri" w:cs="Times New Roman"/>
          <w:lang w:val="en-AU"/>
        </w:rPr>
        <w:t xml:space="preserve"> Commonwealth laws that attract criminal liability through the operation of section 122.4 of the Criminal Code</w:t>
      </w:r>
    </w:p>
    <w:p w14:paraId="052546BC" w14:textId="77777777" w:rsidR="001806FE" w:rsidRPr="001806FE" w:rsidRDefault="001806FE" w:rsidP="00FE0171">
      <w:pPr>
        <w:widowControl/>
        <w:numPr>
          <w:ilvl w:val="0"/>
          <w:numId w:val="5"/>
        </w:numPr>
        <w:autoSpaceDE/>
        <w:autoSpaceDN/>
        <w:spacing w:after="160" w:line="259" w:lineRule="auto"/>
        <w:rPr>
          <w:rFonts w:ascii="Calibri" w:eastAsia="Calibri" w:hAnsi="Calibri" w:cs="Times New Roman"/>
          <w:b/>
          <w:lang w:val="en-AU"/>
        </w:rPr>
      </w:pPr>
      <w:r w:rsidRPr="001806FE">
        <w:rPr>
          <w:rFonts w:ascii="Calibri" w:eastAsia="Calibri" w:hAnsi="Calibri" w:cs="Times New Roman"/>
          <w:b/>
          <w:lang w:val="en-AU"/>
        </w:rPr>
        <w:t>21 override provisions</w:t>
      </w:r>
      <w:r w:rsidRPr="001806FE">
        <w:rPr>
          <w:rFonts w:ascii="Calibri" w:eastAsia="Calibri" w:hAnsi="Calibri" w:cs="Times New Roman"/>
          <w:lang w:val="en-AU"/>
        </w:rPr>
        <w:t xml:space="preserve"> in 18 Commonwealth laws that operate to exclude secrecy provisions in other Commonwealth laws.</w:t>
      </w:r>
    </w:p>
    <w:p w14:paraId="02175199" w14:textId="509F49F6" w:rsidR="001806FE" w:rsidRPr="001806FE" w:rsidRDefault="001806FE" w:rsidP="00FE0171">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A list of Commonwealth </w:t>
      </w:r>
      <w:r w:rsidR="00B62D7B">
        <w:rPr>
          <w:rFonts w:ascii="Calibri" w:eastAsia="Calibri" w:hAnsi="Calibri" w:cs="Times New Roman"/>
          <w:lang w:val="en-AU"/>
        </w:rPr>
        <w:t xml:space="preserve">of these </w:t>
      </w:r>
      <w:r w:rsidRPr="001806FE">
        <w:rPr>
          <w:rFonts w:ascii="Calibri" w:eastAsia="Calibri" w:hAnsi="Calibri" w:cs="Times New Roman"/>
          <w:lang w:val="en-AU"/>
        </w:rPr>
        <w:t xml:space="preserve">secrecy provisions is available at </w:t>
      </w:r>
      <w:r w:rsidRPr="001806FE">
        <w:rPr>
          <w:rFonts w:ascii="Calibri" w:eastAsia="Calibri" w:hAnsi="Calibri" w:cs="Times New Roman"/>
          <w:b/>
          <w:lang w:val="en-AU"/>
        </w:rPr>
        <w:t>Attachment B</w:t>
      </w:r>
      <w:r w:rsidRPr="001806FE">
        <w:rPr>
          <w:rFonts w:ascii="Calibri" w:eastAsia="Calibri" w:hAnsi="Calibri" w:cs="Times New Roman"/>
          <w:lang w:val="en-AU"/>
        </w:rPr>
        <w:t>.</w:t>
      </w:r>
    </w:p>
    <w:p w14:paraId="53A21001" w14:textId="77777777" w:rsidR="001806FE" w:rsidRPr="002A0C0D" w:rsidRDefault="001806FE" w:rsidP="003C25B1">
      <w:pPr>
        <w:pStyle w:val="Heading2"/>
      </w:pPr>
      <w:bookmarkStart w:id="22" w:name="_Toc130218780"/>
      <w:bookmarkStart w:id="23" w:name="_Toc130465873"/>
      <w:r w:rsidRPr="002A0C0D">
        <w:t>General secrecy offences</w:t>
      </w:r>
      <w:bookmarkEnd w:id="22"/>
      <w:bookmarkEnd w:id="23"/>
      <w:r w:rsidRPr="002A0C0D">
        <w:t xml:space="preserve"> </w:t>
      </w:r>
    </w:p>
    <w:p w14:paraId="0B4CE3C4" w14:textId="3E85CE2F"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Part 5.6 of the Criminal Code contains 11 general secrecy offences that protect against harm caused by the unauthorised</w:t>
      </w:r>
      <w:r w:rsidR="00B62D7B">
        <w:rPr>
          <w:rFonts w:ascii="Calibri" w:eastAsia="Calibri" w:hAnsi="Calibri" w:cs="Times New Roman"/>
          <w:lang w:val="en-AU"/>
        </w:rPr>
        <w:t xml:space="preserve"> communication </w:t>
      </w:r>
      <w:r w:rsidR="003C25B1">
        <w:rPr>
          <w:rFonts w:ascii="Calibri" w:eastAsia="Calibri" w:hAnsi="Calibri" w:cs="Times New Roman"/>
          <w:lang w:val="en-AU"/>
        </w:rPr>
        <w:t xml:space="preserve">of, </w:t>
      </w:r>
      <w:r w:rsidR="00B62D7B">
        <w:rPr>
          <w:rFonts w:ascii="Calibri" w:eastAsia="Calibri" w:hAnsi="Calibri" w:cs="Times New Roman"/>
          <w:lang w:val="en-AU"/>
        </w:rPr>
        <w:t xml:space="preserve">or other dealings </w:t>
      </w:r>
      <w:r w:rsidR="003C25B1">
        <w:rPr>
          <w:rFonts w:ascii="Calibri" w:eastAsia="Calibri" w:hAnsi="Calibri" w:cs="Times New Roman"/>
          <w:lang w:val="en-AU"/>
        </w:rPr>
        <w:t>with,</w:t>
      </w:r>
      <w:r w:rsidRPr="001806FE">
        <w:rPr>
          <w:rFonts w:ascii="Calibri" w:eastAsia="Calibri" w:hAnsi="Calibri" w:cs="Times New Roman"/>
          <w:lang w:val="en-AU"/>
        </w:rPr>
        <w:t xml:space="preserve"> government information or protect information that forms part of a limited category of inherently harmful information (such as security classified information) or that would otherwise cause harm to Australia’s interests. Part 5.6 was inserted into the Criminal Code in 2018 in response to recommendations of the ALRC Report to update and replace sections 70 and 79 of the </w:t>
      </w:r>
      <w:r w:rsidRPr="001806FE">
        <w:rPr>
          <w:rFonts w:ascii="Calibri" w:eastAsia="Calibri" w:hAnsi="Calibri" w:cs="Times New Roman"/>
          <w:i/>
          <w:lang w:val="en-AU"/>
        </w:rPr>
        <w:t>Crimes Act 1914</w:t>
      </w:r>
      <w:r w:rsidRPr="001806FE">
        <w:rPr>
          <w:rFonts w:ascii="Calibri" w:eastAsia="Calibri" w:hAnsi="Calibri" w:cs="Times New Roman"/>
          <w:lang w:val="en-AU"/>
        </w:rPr>
        <w:t>.</w:t>
      </w:r>
      <w:r w:rsidRPr="001806FE">
        <w:rPr>
          <w:rFonts w:ascii="Calibri" w:eastAsia="Calibri" w:hAnsi="Calibri" w:cs="Times New Roman"/>
          <w:vertAlign w:val="superscript"/>
          <w:lang w:val="en-AU"/>
        </w:rPr>
        <w:footnoteReference w:id="3"/>
      </w:r>
      <w:r w:rsidRPr="001806FE">
        <w:rPr>
          <w:rFonts w:ascii="Calibri" w:eastAsia="Calibri" w:hAnsi="Calibri" w:cs="Times New Roman"/>
          <w:lang w:val="en-AU"/>
        </w:rPr>
        <w:t xml:space="preserve"> These new general secrecy offences in the Criminal Code commenced on 29 December 2018. There have been no prosecutions in relation to these new offences. </w:t>
      </w:r>
    </w:p>
    <w:p w14:paraId="1FCA81D0"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These criminal offences </w:t>
      </w:r>
      <w:bookmarkStart w:id="24" w:name="_Hlk129265100"/>
      <w:r w:rsidRPr="001806FE">
        <w:rPr>
          <w:rFonts w:ascii="Calibri" w:eastAsia="Calibri" w:hAnsi="Calibri" w:cs="Times New Roman"/>
          <w:lang w:val="en-AU"/>
        </w:rPr>
        <w:t>apply generally to current and former Commonwealth officers, and those who receive information from the Commonwealth.</w:t>
      </w:r>
      <w:bookmarkEnd w:id="24"/>
      <w:r w:rsidRPr="001806FE">
        <w:rPr>
          <w:rFonts w:ascii="Calibri" w:eastAsia="Calibri" w:hAnsi="Calibri" w:cs="Times New Roman"/>
          <w:lang w:val="en-AU"/>
        </w:rPr>
        <w:t xml:space="preserve"> </w:t>
      </w:r>
    </w:p>
    <w:p w14:paraId="36E2D776"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Times New Roman" w:hAnsi="Calibri" w:cs="Calibri"/>
          <w:color w:val="000000"/>
          <w:lang w:val="en-AU" w:eastAsia="en-AU"/>
        </w:rPr>
        <w:t xml:space="preserve">A Commonwealth officer is defined in Part 5.6 of the Criminal Code and includes a range of individuals employed or engaged by the Commonwealth, including Australian Public Service employees and contracted service providers. The definition also includes individuals appointed or employed by the Commonwealth other than under the </w:t>
      </w:r>
      <w:r w:rsidRPr="001806FE">
        <w:rPr>
          <w:rFonts w:ascii="Calibri" w:eastAsia="Times New Roman" w:hAnsi="Calibri" w:cs="Calibri"/>
          <w:i/>
          <w:color w:val="000000"/>
          <w:lang w:val="en-AU" w:eastAsia="en-AU"/>
        </w:rPr>
        <w:t>Public Service Act 1999</w:t>
      </w:r>
      <w:r w:rsidRPr="001806FE">
        <w:rPr>
          <w:rFonts w:ascii="Calibri" w:eastAsia="Times New Roman" w:hAnsi="Calibri" w:cs="Calibri"/>
          <w:color w:val="000000"/>
          <w:lang w:val="en-AU" w:eastAsia="en-AU"/>
        </w:rPr>
        <w:t xml:space="preserve"> including Commonwealth ministers, statutory office holders and individuals employed by the Commonwealth under other legislation such as the </w:t>
      </w:r>
      <w:r w:rsidRPr="001806FE">
        <w:rPr>
          <w:rFonts w:ascii="Calibri" w:eastAsia="Times New Roman" w:hAnsi="Calibri" w:cs="Calibri"/>
          <w:i/>
          <w:color w:val="000000"/>
          <w:lang w:val="en-AU" w:eastAsia="en-AU"/>
        </w:rPr>
        <w:t>Members of Parliament (Staff) Act 1984</w:t>
      </w:r>
      <w:r w:rsidRPr="001806FE">
        <w:rPr>
          <w:rFonts w:ascii="Calibri" w:eastAsia="Times New Roman" w:hAnsi="Calibri" w:cs="Calibri"/>
          <w:color w:val="000000"/>
          <w:lang w:val="en-AU" w:eastAsia="en-AU"/>
        </w:rPr>
        <w:t>.</w:t>
      </w:r>
      <w:r w:rsidRPr="001806FE">
        <w:rPr>
          <w:rFonts w:ascii="Calibri" w:eastAsia="Times New Roman" w:hAnsi="Calibri" w:cs="Calibri"/>
          <w:color w:val="000000"/>
          <w:vertAlign w:val="superscript"/>
          <w:lang w:val="en-AU" w:eastAsia="en-AU"/>
        </w:rPr>
        <w:t xml:space="preserve"> </w:t>
      </w:r>
      <w:r w:rsidRPr="001806FE">
        <w:rPr>
          <w:rFonts w:ascii="Calibri" w:eastAsia="Times New Roman" w:hAnsi="Calibri" w:cs="Calibri"/>
          <w:color w:val="000000"/>
          <w:vertAlign w:val="superscript"/>
          <w:lang w:val="en-AU" w:eastAsia="en-AU"/>
        </w:rPr>
        <w:footnoteReference w:id="4"/>
      </w:r>
      <w:r w:rsidRPr="001806FE">
        <w:rPr>
          <w:rFonts w:ascii="Calibri" w:eastAsia="Times New Roman" w:hAnsi="Calibri" w:cs="Calibri"/>
          <w:color w:val="000000"/>
          <w:lang w:val="en-AU" w:eastAsia="en-AU"/>
        </w:rPr>
        <w:t xml:space="preserve"> The general secrecy offences specifically exclude individuals employed by Australian Broadcasting Commission (ABC) or Special Broadcasting Service Corporation (SBS) from the definition of Commonwealth officer. </w:t>
      </w:r>
      <w:r w:rsidRPr="001806FE">
        <w:rPr>
          <w:rFonts w:ascii="Calibri" w:eastAsia="Calibri" w:hAnsi="Calibri" w:cs="Times New Roman"/>
          <w:lang w:val="en-AU"/>
        </w:rPr>
        <w:t>This appropriately recognises that members of the ABC and SBS, while being public employees, are engaged primarily in journalism and media activities.</w:t>
      </w:r>
    </w:p>
    <w:p w14:paraId="3770ADF9" w14:textId="77777777" w:rsidR="001806FE" w:rsidRPr="001806FE" w:rsidRDefault="001806FE" w:rsidP="001806FE">
      <w:pPr>
        <w:keepNext/>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lastRenderedPageBreak/>
        <w:t xml:space="preserve">The general </w:t>
      </w:r>
      <w:r w:rsidRPr="001806FE">
        <w:rPr>
          <w:rFonts w:ascii="Calibri" w:eastAsia="Calibri" w:hAnsi="Calibri" w:cs="Times New Roman"/>
          <w:b/>
          <w:lang w:val="en-AU"/>
        </w:rPr>
        <w:t>secrecy offences applying to current and former Commonwealth officers</w:t>
      </w:r>
      <w:r w:rsidRPr="001806FE">
        <w:rPr>
          <w:rFonts w:ascii="Calibri" w:eastAsia="Calibri" w:hAnsi="Calibri" w:cs="Times New Roman"/>
          <w:lang w:val="en-AU"/>
        </w:rPr>
        <w:t xml:space="preserve"> prohibit:</w:t>
      </w:r>
    </w:p>
    <w:p w14:paraId="78CEF6B4" w14:textId="77777777" w:rsidR="001806FE" w:rsidRPr="001806FE" w:rsidRDefault="001806FE" w:rsidP="001806FE">
      <w:pPr>
        <w:keepNext/>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Times New Roman"/>
          <w:u w:val="single"/>
          <w:lang w:val="en-AU"/>
        </w:rPr>
        <w:t>communication of</w:t>
      </w:r>
      <w:r w:rsidRPr="001806FE">
        <w:rPr>
          <w:rFonts w:ascii="Calibri" w:eastAsia="Calibri" w:hAnsi="Calibri" w:cs="Times New Roman"/>
          <w:lang w:val="en-AU"/>
        </w:rPr>
        <w:t xml:space="preserve"> inherently harmful information (section 122.1(1)) or information which causes, will cause or is likely to cause harm to Australia’s interests (section 122.2(1)). These offences carry a maximum penalty of 7 years’ imprisonment.</w:t>
      </w:r>
    </w:p>
    <w:p w14:paraId="36DB6202" w14:textId="77777777" w:rsidR="001806FE" w:rsidRPr="001806FE" w:rsidRDefault="001806FE" w:rsidP="001806FE">
      <w:pPr>
        <w:keepNext/>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u w:val="single"/>
          <w:lang w:val="en-AU"/>
        </w:rPr>
        <w:t>dealing with</w:t>
      </w:r>
      <w:r w:rsidRPr="001806FE">
        <w:rPr>
          <w:rFonts w:ascii="Calibri" w:eastAsia="Calibri" w:hAnsi="Calibri" w:cs="Calibri"/>
          <w:lang w:val="en-AU"/>
        </w:rPr>
        <w:t xml:space="preserve"> inherently harmful information (section 122.1(2)) or information that causes, will cause or is likely to cause harm to Australia’s interests (section 122.2(2)). ‘Deals with’ covers a wide range of conduct as defined in Part 5.2 of the Criminal Code, such as receiving, possessing or making the information available. These offences carry a maximum penalty of 3 years’ imprisonment.</w:t>
      </w:r>
    </w:p>
    <w:p w14:paraId="194BC211"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u w:val="single"/>
          <w:lang w:val="en-AU"/>
        </w:rPr>
        <w:t>movement of</w:t>
      </w:r>
      <w:r w:rsidRPr="001806FE">
        <w:rPr>
          <w:rFonts w:ascii="Calibri" w:eastAsia="Calibri" w:hAnsi="Calibri" w:cs="Calibri"/>
          <w:lang w:val="en-AU"/>
        </w:rPr>
        <w:t xml:space="preserve"> inherently harmful information outside the proper place of custody (section 122.1(3)) or information outside the proper place of custody where this conduct causes, will cause or is likely to cause harm to Australia’s interests (section 122.2(3)). These offences carry a maximum penalty of 3 years’ imprisonment.</w:t>
      </w:r>
      <w:r w:rsidR="004A19E7">
        <w:rPr>
          <w:rStyle w:val="FootnoteReference"/>
          <w:rFonts w:ascii="Calibri" w:eastAsia="Calibri" w:hAnsi="Calibri" w:cs="Calibri"/>
          <w:lang w:val="en-AU"/>
        </w:rPr>
        <w:footnoteReference w:id="5"/>
      </w:r>
    </w:p>
    <w:p w14:paraId="0A60C9C4"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u w:val="single"/>
          <w:lang w:val="en-AU"/>
        </w:rPr>
        <w:t>failure to comply with a direction</w:t>
      </w:r>
      <w:r w:rsidRPr="001806FE">
        <w:rPr>
          <w:rFonts w:ascii="Calibri" w:eastAsia="Calibri" w:hAnsi="Calibri" w:cs="Calibri"/>
          <w:lang w:val="en-AU"/>
        </w:rPr>
        <w:t xml:space="preserve"> about the retention, use or disposal of inherently harmful information (section 122.1(4)) or failure to comply with a direction about the retention, use or disposal of information where this causes, will cause or is likely to cause harm to Australia’s interests (section 122.2(4)). These offences carry a maximum penalty of 3 years’ imprisonment.</w:t>
      </w:r>
    </w:p>
    <w:p w14:paraId="3E291189" w14:textId="77777777" w:rsidR="001806FE" w:rsidRPr="001806FE" w:rsidRDefault="001806FE" w:rsidP="001806FE">
      <w:pPr>
        <w:widowControl/>
        <w:autoSpaceDE/>
        <w:autoSpaceDN/>
        <w:spacing w:after="160" w:line="259" w:lineRule="auto"/>
        <w:rPr>
          <w:rFonts w:ascii="Calibri" w:eastAsia="Calibri" w:hAnsi="Calibri" w:cs="Calibri"/>
          <w:lang w:val="en-AU"/>
        </w:rPr>
      </w:pPr>
      <w:r w:rsidRPr="001806FE">
        <w:rPr>
          <w:rFonts w:ascii="Calibri" w:eastAsia="Calibri" w:hAnsi="Calibri" w:cs="Calibri"/>
          <w:u w:val="single"/>
          <w:lang w:val="en-AU"/>
        </w:rPr>
        <w:t>An aggravated offence</w:t>
      </w:r>
      <w:r w:rsidRPr="001806FE">
        <w:rPr>
          <w:rFonts w:ascii="Calibri" w:eastAsia="Calibri" w:hAnsi="Calibri" w:cs="Calibri"/>
          <w:lang w:val="en-AU"/>
        </w:rPr>
        <w:t xml:space="preserve"> (section 122.3) applies where a person commits an underlying offence against section 122.1 or 122.2 and the commission of the underlying offence involves aggravating circumstances. These circumstances are described in section 122.3(b) and include, for example, </w:t>
      </w:r>
      <w:r w:rsidRPr="001806FE">
        <w:rPr>
          <w:rFonts w:ascii="Calibri" w:eastAsia="Calibri" w:hAnsi="Calibri" w:cs="Times New Roman"/>
          <w:color w:val="000000"/>
          <w:shd w:val="clear" w:color="auto" w:fill="FFFFFF"/>
          <w:lang w:val="en-AU"/>
        </w:rPr>
        <w:t>the person altering a record to remove or conceal its security classification.</w:t>
      </w:r>
      <w:r w:rsidRPr="001806FE">
        <w:rPr>
          <w:rFonts w:ascii="Calibri" w:eastAsia="Calibri" w:hAnsi="Calibri" w:cs="Calibri"/>
          <w:lang w:val="en-AU"/>
        </w:rPr>
        <w:t xml:space="preserve"> An aggravated offence carries a higher maximum penalty of 10 years (if the maximum underlying penalty is 7 years) or 5 years (if the maximum underlying penalty is 3 years).  </w:t>
      </w:r>
    </w:p>
    <w:p w14:paraId="38D7AF75" w14:textId="2E43C6FA" w:rsidR="00AA589D" w:rsidRDefault="001806FE" w:rsidP="001B2709">
      <w:pPr>
        <w:keepNext/>
        <w:widowControl/>
        <w:autoSpaceDE/>
        <w:autoSpaceDN/>
      </w:pPr>
      <w:r w:rsidRPr="001806FE">
        <w:rPr>
          <w:rFonts w:ascii="Calibri" w:eastAsia="Calibri" w:hAnsi="Calibri" w:cs="Times New Roman"/>
          <w:b/>
          <w:lang w:val="en-AU"/>
        </w:rPr>
        <w:t>Subsequent (third party) disclosure offences</w:t>
      </w:r>
      <w:r w:rsidRPr="001806FE">
        <w:rPr>
          <w:rFonts w:ascii="Calibri" w:eastAsia="Calibri" w:hAnsi="Calibri" w:cs="Times New Roman"/>
          <w:lang w:val="en-AU"/>
        </w:rPr>
        <w:t xml:space="preserve"> generally apply where a third party makes a disclosure of Commonwealth information that the third party received from a Commonwealth officer or a person engaged to perform work for a Commonwealth entity. These prohibit </w:t>
      </w:r>
      <w:r w:rsidRPr="001806FE">
        <w:rPr>
          <w:rFonts w:ascii="Calibri" w:eastAsia="Calibri" w:hAnsi="Calibri" w:cs="Times New Roman"/>
          <w:u w:val="single"/>
          <w:lang w:val="en-AU"/>
        </w:rPr>
        <w:t>communicating</w:t>
      </w:r>
      <w:r w:rsidRPr="001806FE">
        <w:rPr>
          <w:rFonts w:ascii="Calibri" w:eastAsia="Calibri" w:hAnsi="Calibri" w:cs="Times New Roman"/>
          <w:lang w:val="en-AU"/>
        </w:rPr>
        <w:t xml:space="preserve"> (subsection 122.4</w:t>
      </w:r>
      <w:proofErr w:type="gramStart"/>
      <w:r w:rsidRPr="001806FE">
        <w:rPr>
          <w:rFonts w:ascii="Calibri" w:eastAsia="Calibri" w:hAnsi="Calibri" w:cs="Times New Roman"/>
          <w:lang w:val="en-AU"/>
        </w:rPr>
        <w:t>A(</w:t>
      </w:r>
      <w:proofErr w:type="gramEnd"/>
      <w:r w:rsidRPr="001806FE">
        <w:rPr>
          <w:rFonts w:ascii="Calibri" w:eastAsia="Calibri" w:hAnsi="Calibri" w:cs="Times New Roman"/>
          <w:lang w:val="en-AU"/>
        </w:rPr>
        <w:t xml:space="preserve">1)) or </w:t>
      </w:r>
      <w:r w:rsidRPr="001806FE">
        <w:rPr>
          <w:rFonts w:ascii="Calibri" w:eastAsia="Calibri" w:hAnsi="Calibri" w:cs="Times New Roman"/>
          <w:u w:val="single"/>
          <w:lang w:val="en-AU"/>
        </w:rPr>
        <w:t>otherwise dealing with</w:t>
      </w:r>
      <w:r w:rsidRPr="001806FE">
        <w:rPr>
          <w:rFonts w:ascii="Calibri" w:eastAsia="Calibri" w:hAnsi="Calibri" w:cs="Times New Roman"/>
          <w:lang w:val="en-AU"/>
        </w:rPr>
        <w:t xml:space="preserve"> (subsection 122.4A(2)) certain information, such as secret or top secret information, that was made or obtained by another person who is, or was, a Commonwealth officer.</w:t>
      </w:r>
    </w:p>
    <w:p w14:paraId="4572F15F" w14:textId="77777777" w:rsidR="001806FE" w:rsidRPr="001B2709" w:rsidRDefault="001806FE" w:rsidP="001B2709">
      <w:pPr>
        <w:pStyle w:val="Heading3"/>
      </w:pPr>
      <w:bookmarkStart w:id="25" w:name="_Toc130218781"/>
      <w:bookmarkStart w:id="26" w:name="_Toc130465874"/>
      <w:r w:rsidRPr="001B2709">
        <w:t>Defences</w:t>
      </w:r>
      <w:bookmarkEnd w:id="25"/>
      <w:bookmarkEnd w:id="26"/>
    </w:p>
    <w:p w14:paraId="65A2A97E"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In addition to defences available under Part 2.3 of the Criminal Code, section 122.5 sets out a number of defences to the general secrecy offences. The following defences are available: </w:t>
      </w:r>
    </w:p>
    <w:p w14:paraId="2C4D3AC4"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exercising a power, function or duty in the person’s capacity as a public official</w:t>
      </w:r>
    </w:p>
    <w:p w14:paraId="29D42B93"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the information is already public</w:t>
      </w:r>
    </w:p>
    <w:p w14:paraId="4B986CFC"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 xml:space="preserve">the information is communicated to: </w:t>
      </w:r>
      <w:proofErr w:type="gramStart"/>
      <w:r w:rsidRPr="001806FE">
        <w:rPr>
          <w:rFonts w:ascii="Calibri" w:eastAsia="Calibri" w:hAnsi="Calibri" w:cs="Calibri"/>
          <w:lang w:val="en-AU"/>
        </w:rPr>
        <w:t>a</w:t>
      </w:r>
      <w:proofErr w:type="gramEnd"/>
      <w:r w:rsidRPr="001806FE">
        <w:rPr>
          <w:rFonts w:ascii="Calibri" w:eastAsia="Calibri" w:hAnsi="Calibri" w:cs="Calibri"/>
          <w:lang w:val="en-AU"/>
        </w:rPr>
        <w:t xml:space="preserve"> Commonwealth oversight or integrity agency, court or tribunal; for the purpose of reporting a criminal offence or maladministration relating to Commonwealth criminal process; in accordance with the </w:t>
      </w:r>
      <w:r w:rsidRPr="001806FE">
        <w:rPr>
          <w:rFonts w:ascii="Calibri" w:eastAsia="Calibri" w:hAnsi="Calibri" w:cs="Calibri"/>
          <w:i/>
          <w:lang w:val="en-AU"/>
        </w:rPr>
        <w:t>Public Interest Disclosure Act 2013</w:t>
      </w:r>
      <w:r w:rsidRPr="001806FE">
        <w:rPr>
          <w:rFonts w:ascii="Calibri" w:eastAsia="Calibri" w:hAnsi="Calibri" w:cs="Calibri"/>
          <w:lang w:val="en-AU"/>
        </w:rPr>
        <w:t xml:space="preserve"> (PID Act) or the </w:t>
      </w:r>
      <w:r w:rsidRPr="001806FE">
        <w:rPr>
          <w:rFonts w:ascii="Calibri" w:eastAsia="Calibri" w:hAnsi="Calibri" w:cs="Calibri"/>
          <w:i/>
          <w:lang w:val="en-AU"/>
        </w:rPr>
        <w:t>Freedom of Information Act 1982</w:t>
      </w:r>
      <w:r w:rsidRPr="001806FE">
        <w:rPr>
          <w:rFonts w:ascii="Calibri" w:eastAsia="Calibri" w:hAnsi="Calibri" w:cs="Calibri"/>
          <w:lang w:val="en-AU"/>
        </w:rPr>
        <w:t xml:space="preserve"> (FOI Act) </w:t>
      </w:r>
    </w:p>
    <w:p w14:paraId="3199DD6F"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information is communicated for the purpose of obtaining or providing legal advice</w:t>
      </w:r>
    </w:p>
    <w:p w14:paraId="76D0B5A6"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 xml:space="preserve">information is communicated by persons engaged in the business of reporting news in the public interest (this is discussed further in Part 2 of this consultation paper). </w:t>
      </w:r>
    </w:p>
    <w:p w14:paraId="3FD5A8B3" w14:textId="77777777" w:rsidR="001806FE" w:rsidRPr="001806FE" w:rsidRDefault="001806FE" w:rsidP="001806FE">
      <w:pPr>
        <w:widowControl/>
        <w:numPr>
          <w:ilvl w:val="0"/>
          <w:numId w:val="13"/>
        </w:numPr>
        <w:autoSpaceDE/>
        <w:autoSpaceDN/>
        <w:spacing w:after="160" w:line="259" w:lineRule="auto"/>
        <w:contextualSpacing/>
        <w:rPr>
          <w:rFonts w:ascii="Calibri" w:eastAsia="Calibri" w:hAnsi="Calibri" w:cs="Calibri"/>
          <w:lang w:val="en-AU"/>
        </w:rPr>
      </w:pPr>
      <w:r w:rsidRPr="001806FE">
        <w:rPr>
          <w:rFonts w:ascii="Calibri" w:eastAsia="Calibri" w:hAnsi="Calibri" w:cs="Calibri"/>
          <w:lang w:val="en-AU"/>
        </w:rPr>
        <w:t>Information is communicated with the consent of the person to whom it relates, or is communicated by the person to whom it relates.</w:t>
      </w:r>
    </w:p>
    <w:p w14:paraId="02B5BD90" w14:textId="77777777" w:rsidR="001806FE" w:rsidRPr="001806FE" w:rsidRDefault="003104EE" w:rsidP="001806FE">
      <w:pPr>
        <w:widowControl/>
        <w:autoSpaceDE/>
        <w:autoSpaceDN/>
        <w:spacing w:after="160" w:line="259" w:lineRule="auto"/>
        <w:rPr>
          <w:rFonts w:ascii="Calibri" w:eastAsia="Calibri" w:hAnsi="Calibri" w:cs="Calibri"/>
          <w:lang w:val="en-AU"/>
        </w:rPr>
      </w:pPr>
      <w:r>
        <w:rPr>
          <w:rFonts w:ascii="Calibri" w:eastAsia="Calibri" w:hAnsi="Calibri" w:cs="Times New Roman"/>
          <w:lang w:val="en-AU"/>
        </w:rPr>
        <w:lastRenderedPageBreak/>
        <w:br/>
      </w:r>
      <w:r w:rsidR="001806FE" w:rsidRPr="001806FE">
        <w:rPr>
          <w:rFonts w:ascii="Calibri" w:eastAsia="Calibri" w:hAnsi="Calibri" w:cs="Times New Roman"/>
          <w:lang w:val="en-AU"/>
        </w:rPr>
        <w:t>There is no difference in the legal effect between a defence and an exception. In both cases, the defendant is required to discharge the evidential burden.</w:t>
      </w:r>
      <w:r w:rsidR="001806FE" w:rsidRPr="001806FE">
        <w:rPr>
          <w:rFonts w:ascii="Calibri" w:eastAsia="Calibri" w:hAnsi="Calibri" w:cs="Times New Roman"/>
          <w:vertAlign w:val="superscript"/>
          <w:lang w:val="en-AU"/>
        </w:rPr>
        <w:footnoteReference w:id="6"/>
      </w:r>
    </w:p>
    <w:p w14:paraId="1135EB52" w14:textId="77777777" w:rsidR="001806FE" w:rsidRPr="001806FE" w:rsidRDefault="001806FE" w:rsidP="001F4398">
      <w:pPr>
        <w:pStyle w:val="Heading2"/>
      </w:pPr>
      <w:bookmarkStart w:id="27" w:name="_Toc130218782"/>
      <w:bookmarkStart w:id="28" w:name="_Toc130465875"/>
      <w:r w:rsidRPr="001806FE">
        <w:t>Specific secrecy offences and non-disclosure duties</w:t>
      </w:r>
      <w:bookmarkEnd w:id="27"/>
      <w:bookmarkEnd w:id="28"/>
    </w:p>
    <w:p w14:paraId="5C91707F" w14:textId="77777777" w:rsidR="00BE6388" w:rsidRPr="007C4752" w:rsidRDefault="001806FE" w:rsidP="001806FE">
      <w:pPr>
        <w:widowControl/>
        <w:autoSpaceDE/>
        <w:autoSpaceDN/>
        <w:spacing w:after="160" w:line="259" w:lineRule="auto"/>
        <w:rPr>
          <w:b/>
        </w:rPr>
      </w:pPr>
      <w:bookmarkStart w:id="29" w:name="_Hlk128910163"/>
      <w:r w:rsidRPr="001806FE">
        <w:rPr>
          <w:rFonts w:ascii="Calibri" w:eastAsia="Calibri" w:hAnsi="Calibri" w:cs="Times New Roman"/>
          <w:b/>
          <w:lang w:val="en-AU"/>
        </w:rPr>
        <w:t xml:space="preserve">Specific secrecy offences </w:t>
      </w:r>
      <w:r w:rsidRPr="001806FE">
        <w:rPr>
          <w:rFonts w:ascii="Calibri" w:eastAsia="Calibri" w:hAnsi="Calibri" w:cs="Times New Roman"/>
          <w:lang w:val="en-AU"/>
        </w:rPr>
        <w:t xml:space="preserve">apply in addition to the general secrecy offences and permit secrecy obligations to be tailored to particular information, agencies or individuals. For example, specific secrecy offences that protect personal, commercial, national security or law enforcement information. Often specific secrecy offences are created in legislation establishing an agency or a regulatory scheme, in order to govern the handling and protection of information.  </w:t>
      </w:r>
      <w:r w:rsidR="000635E3" w:rsidRPr="000635E3">
        <w:rPr>
          <w:rFonts w:ascii="Calibri" w:eastAsia="Calibri" w:hAnsi="Calibri" w:cs="Times New Roman"/>
          <w:lang w:val="en-AU"/>
        </w:rPr>
        <w:t>Specific secrecy offences may outline a range of exceptions or defences such as circumstances permitting disclosures made in the performance of an official’s duties</w:t>
      </w:r>
      <w:r w:rsidR="000635E3">
        <w:rPr>
          <w:rFonts w:ascii="Calibri" w:eastAsia="Calibri" w:hAnsi="Calibri" w:cs="Times New Roman"/>
          <w:lang w:val="en-AU"/>
        </w:rPr>
        <w:t>;</w:t>
      </w:r>
      <w:r w:rsidR="000635E3" w:rsidRPr="000635E3">
        <w:rPr>
          <w:rFonts w:ascii="Calibri" w:eastAsia="Calibri" w:hAnsi="Calibri" w:cs="Times New Roman"/>
          <w:lang w:val="en-AU"/>
        </w:rPr>
        <w:t xml:space="preserve"> disclos</w:t>
      </w:r>
      <w:r w:rsidR="000635E3">
        <w:rPr>
          <w:rFonts w:ascii="Calibri" w:eastAsia="Calibri" w:hAnsi="Calibri" w:cs="Times New Roman"/>
          <w:lang w:val="en-AU"/>
        </w:rPr>
        <w:t>ures</w:t>
      </w:r>
      <w:r w:rsidR="000635E3" w:rsidRPr="000635E3">
        <w:rPr>
          <w:rFonts w:ascii="Calibri" w:eastAsia="Calibri" w:hAnsi="Calibri" w:cs="Times New Roman"/>
          <w:lang w:val="en-AU"/>
        </w:rPr>
        <w:t xml:space="preserve"> to an integrity body or </w:t>
      </w:r>
      <w:r w:rsidR="000635E3">
        <w:rPr>
          <w:rFonts w:ascii="Calibri" w:eastAsia="Calibri" w:hAnsi="Calibri" w:cs="Times New Roman"/>
          <w:lang w:val="en-AU"/>
        </w:rPr>
        <w:t xml:space="preserve">for the purposes of </w:t>
      </w:r>
      <w:r w:rsidR="000635E3" w:rsidRPr="000635E3">
        <w:rPr>
          <w:rFonts w:ascii="Calibri" w:eastAsia="Calibri" w:hAnsi="Calibri" w:cs="Times New Roman"/>
          <w:lang w:val="en-AU"/>
        </w:rPr>
        <w:t>seeking professional advice (such as legal advice)</w:t>
      </w:r>
      <w:r w:rsidR="000635E3">
        <w:rPr>
          <w:rFonts w:ascii="Calibri" w:eastAsia="Calibri" w:hAnsi="Calibri" w:cs="Times New Roman"/>
          <w:lang w:val="en-AU"/>
        </w:rPr>
        <w:t>;</w:t>
      </w:r>
      <w:r w:rsidR="000635E3" w:rsidRPr="000635E3">
        <w:rPr>
          <w:rFonts w:ascii="Calibri" w:eastAsia="Calibri" w:hAnsi="Calibri" w:cs="Times New Roman"/>
          <w:lang w:val="en-AU"/>
        </w:rPr>
        <w:t xml:space="preserve"> or disclosure</w:t>
      </w:r>
      <w:r w:rsidR="000635E3">
        <w:rPr>
          <w:rFonts w:ascii="Calibri" w:eastAsia="Calibri" w:hAnsi="Calibri" w:cs="Times New Roman"/>
          <w:lang w:val="en-AU"/>
        </w:rPr>
        <w:t>s</w:t>
      </w:r>
      <w:r w:rsidR="000635E3" w:rsidRPr="000635E3">
        <w:rPr>
          <w:rFonts w:ascii="Calibri" w:eastAsia="Calibri" w:hAnsi="Calibri" w:cs="Times New Roman"/>
          <w:lang w:val="en-AU"/>
        </w:rPr>
        <w:t xml:space="preserve"> authorised by an agency head for a particular purpose.</w:t>
      </w:r>
      <w:r w:rsidR="000635E3" w:rsidRPr="000635E3">
        <w:rPr>
          <w:b/>
        </w:rPr>
        <w:t> </w:t>
      </w:r>
    </w:p>
    <w:p w14:paraId="5295A276" w14:textId="77777777" w:rsidR="00D3588E" w:rsidRDefault="001806FE" w:rsidP="001806FE">
      <w:pPr>
        <w:widowControl/>
        <w:autoSpaceDE/>
        <w:autoSpaceDN/>
        <w:spacing w:after="160" w:line="259" w:lineRule="auto"/>
        <w:rPr>
          <w:rFonts w:ascii="Calibri" w:eastAsia="Calibri" w:hAnsi="Calibri" w:cs="Times New Roman"/>
          <w:lang w:val="en-AU"/>
        </w:rPr>
      </w:pPr>
      <w:bookmarkStart w:id="30" w:name="_Hlk128910221"/>
      <w:bookmarkEnd w:id="29"/>
      <w:r w:rsidRPr="001806FE">
        <w:rPr>
          <w:rFonts w:ascii="Calibri" w:eastAsia="Calibri" w:hAnsi="Calibri" w:cs="Times New Roman"/>
          <w:b/>
          <w:lang w:val="en-AU"/>
        </w:rPr>
        <w:t>Non-disclosure duties</w:t>
      </w:r>
      <w:r w:rsidRPr="001806FE">
        <w:rPr>
          <w:rFonts w:ascii="Calibri" w:eastAsia="Calibri" w:hAnsi="Calibri" w:cs="Times New Roman"/>
          <w:lang w:val="en-AU"/>
        </w:rPr>
        <w:t xml:space="preserve"> establish a duty not to disclose or otherwise deal with certain information. Section 122.4 of the Criminal Code imposes criminal liability for the breach of a non-disclosure duty by current or former Commonwealth officers, where the non-disclosure duty arises under a Commonwealth law. For the purposes of the Review, these non-disclosure duties are categorised as a separate sub-group of specific secrecy offences.</w:t>
      </w:r>
      <w:bookmarkEnd w:id="30"/>
      <w:r w:rsidRPr="001806FE">
        <w:rPr>
          <w:rFonts w:ascii="Calibri" w:eastAsia="Calibri" w:hAnsi="Calibri" w:cs="Times New Roman"/>
          <w:lang w:val="en-AU"/>
        </w:rPr>
        <w:t xml:space="preserve"> </w:t>
      </w:r>
      <w:r w:rsidR="00D3588E">
        <w:rPr>
          <w:rFonts w:ascii="Calibri" w:eastAsia="Calibri" w:hAnsi="Calibri" w:cs="Times New Roman"/>
          <w:lang w:val="en-AU"/>
        </w:rPr>
        <w:t xml:space="preserve">The defences that apply </w:t>
      </w:r>
      <w:r w:rsidR="00A1431F">
        <w:rPr>
          <w:rFonts w:ascii="Calibri" w:eastAsia="Calibri" w:hAnsi="Calibri" w:cs="Times New Roman"/>
          <w:lang w:val="en-AU"/>
        </w:rPr>
        <w:t xml:space="preserve">in relation to these provisions include those </w:t>
      </w:r>
      <w:r w:rsidR="00D3588E">
        <w:rPr>
          <w:rFonts w:ascii="Calibri" w:eastAsia="Calibri" w:hAnsi="Calibri" w:cs="Times New Roman"/>
          <w:lang w:val="en-AU"/>
        </w:rPr>
        <w:t xml:space="preserve">defences provided in section 122.5 of the Criminal Code (outlined </w:t>
      </w:r>
      <w:r w:rsidR="00A1431F">
        <w:rPr>
          <w:rFonts w:ascii="Calibri" w:eastAsia="Calibri" w:hAnsi="Calibri" w:cs="Times New Roman"/>
          <w:lang w:val="en-AU"/>
        </w:rPr>
        <w:t xml:space="preserve">above </w:t>
      </w:r>
      <w:r w:rsidR="00D3588E">
        <w:rPr>
          <w:rFonts w:ascii="Calibri" w:eastAsia="Calibri" w:hAnsi="Calibri" w:cs="Times New Roman"/>
          <w:lang w:val="en-AU"/>
        </w:rPr>
        <w:t xml:space="preserve">at page </w:t>
      </w:r>
      <w:r w:rsidR="00800437">
        <w:rPr>
          <w:rFonts w:ascii="Calibri" w:eastAsia="Calibri" w:hAnsi="Calibri" w:cs="Times New Roman"/>
          <w:lang w:val="en-AU"/>
        </w:rPr>
        <w:t>8</w:t>
      </w:r>
      <w:r w:rsidR="00D3588E">
        <w:rPr>
          <w:rFonts w:ascii="Calibri" w:eastAsia="Calibri" w:hAnsi="Calibri" w:cs="Times New Roman"/>
          <w:lang w:val="en-AU"/>
        </w:rPr>
        <w:t xml:space="preserve"> of the paper).</w:t>
      </w:r>
    </w:p>
    <w:p w14:paraId="5186590A"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Section 122.4 will sunset on 29 December 2023. This was recommended by the Parliamentary Joint Committee on Intelligence and Security (PJCIS) inquiry which considered the proposed general secrecy offences in 2018, and was included as a government amendment to the National Security Legislation Amendment (Espionage and Foreign Interference) Bill 2017.</w:t>
      </w:r>
      <w:r w:rsidRPr="001806FE">
        <w:rPr>
          <w:rFonts w:ascii="Calibri" w:eastAsia="Calibri" w:hAnsi="Calibri" w:cs="Times New Roman"/>
          <w:vertAlign w:val="superscript"/>
          <w:lang w:val="en-AU"/>
        </w:rPr>
        <w:footnoteReference w:id="7"/>
      </w:r>
      <w:r w:rsidRPr="001806FE">
        <w:rPr>
          <w:rFonts w:ascii="Calibri" w:eastAsia="Calibri" w:hAnsi="Calibri" w:cs="Times New Roman"/>
          <w:lang w:val="en-AU"/>
        </w:rPr>
        <w:t xml:space="preserve"> The purpose of the sunsetting clause was to preserve the operation of non</w:t>
      </w:r>
      <w:r w:rsidRPr="001806FE">
        <w:rPr>
          <w:rFonts w:ascii="Calibri" w:eastAsia="Calibri" w:hAnsi="Calibri" w:cs="Times New Roman"/>
          <w:lang w:val="en-AU"/>
        </w:rPr>
        <w:noBreakHyphen/>
        <w:t>disclosure duties until each duty could be reviewed to determine whether it should be converted into a stand-alone specific secrecy offence or that criminal liability is no longer required.</w:t>
      </w:r>
    </w:p>
    <w:p w14:paraId="2A12BC1C" w14:textId="77777777" w:rsidR="001806FE" w:rsidRPr="001806FE" w:rsidRDefault="001806FE" w:rsidP="003C25B1">
      <w:pPr>
        <w:pStyle w:val="Heading3"/>
      </w:pPr>
      <w:bookmarkStart w:id="31" w:name="_Toc130218783"/>
      <w:bookmarkStart w:id="32" w:name="_Toc130465876"/>
      <w:r w:rsidRPr="001806FE">
        <w:t>Specific secrecy offences and non-disclosure duties by portfolio</w:t>
      </w:r>
      <w:bookmarkEnd w:id="31"/>
      <w:bookmarkEnd w:id="32"/>
    </w:p>
    <w:p w14:paraId="2BC75218"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Specific secrecy offences are included within a range of laws across all Commonwealth portfolios.</w:t>
      </w:r>
    </w:p>
    <w:tbl>
      <w:tblPr>
        <w:tblW w:w="9498" w:type="dxa"/>
        <w:tblInd w:w="-5" w:type="dxa"/>
        <w:tblLook w:val="04A0" w:firstRow="1" w:lastRow="0" w:firstColumn="1" w:lastColumn="0" w:noHBand="0" w:noVBand="1"/>
      </w:tblPr>
      <w:tblGrid>
        <w:gridCol w:w="4678"/>
        <w:gridCol w:w="1644"/>
        <w:gridCol w:w="1644"/>
        <w:gridCol w:w="1532"/>
      </w:tblGrid>
      <w:tr w:rsidR="001806FE" w:rsidRPr="001806FE" w14:paraId="17C08BA5" w14:textId="77777777" w:rsidTr="00CF763F">
        <w:trPr>
          <w:trHeight w:val="502"/>
          <w:tblHeader/>
        </w:trPr>
        <w:tc>
          <w:tcPr>
            <w:tcW w:w="4678" w:type="dxa"/>
            <w:vMerge w:val="restart"/>
            <w:tcBorders>
              <w:top w:val="single" w:sz="4" w:space="0" w:color="auto"/>
              <w:left w:val="single" w:sz="4" w:space="0" w:color="auto"/>
              <w:bottom w:val="single" w:sz="4" w:space="0" w:color="000000"/>
              <w:right w:val="single" w:sz="4" w:space="0" w:color="auto"/>
            </w:tcBorders>
            <w:shd w:val="clear" w:color="auto" w:fill="50748A"/>
            <w:noWrap/>
            <w:vAlign w:val="center"/>
            <w:hideMark/>
          </w:tcPr>
          <w:p w14:paraId="18A526FB" w14:textId="77777777" w:rsidR="001806FE" w:rsidRPr="001806FE" w:rsidRDefault="001806FE" w:rsidP="001806FE">
            <w:pPr>
              <w:widowControl/>
              <w:autoSpaceDE/>
              <w:autoSpaceDN/>
              <w:jc w:val="center"/>
              <w:rPr>
                <w:rFonts w:ascii="Calibri" w:eastAsia="Times New Roman" w:hAnsi="Calibri" w:cs="Calibri"/>
                <w:color w:val="FFFFFF"/>
                <w:lang w:val="en-AU" w:eastAsia="en-AU"/>
              </w:rPr>
            </w:pPr>
            <w:bookmarkStart w:id="33" w:name="_Hlk130477801"/>
            <w:r w:rsidRPr="001806FE">
              <w:rPr>
                <w:rFonts w:ascii="Calibri" w:eastAsia="Times New Roman" w:hAnsi="Calibri" w:cs="Calibri"/>
                <w:color w:val="FFFFFF"/>
                <w:lang w:val="en-AU" w:eastAsia="en-AU"/>
              </w:rPr>
              <w:t>Portfolio</w:t>
            </w:r>
          </w:p>
        </w:tc>
        <w:tc>
          <w:tcPr>
            <w:tcW w:w="4820" w:type="dxa"/>
            <w:gridSpan w:val="3"/>
            <w:tcBorders>
              <w:top w:val="single" w:sz="4" w:space="0" w:color="auto"/>
              <w:left w:val="nil"/>
              <w:bottom w:val="single" w:sz="4" w:space="0" w:color="auto"/>
              <w:right w:val="single" w:sz="4" w:space="0" w:color="000000"/>
            </w:tcBorders>
            <w:shd w:val="clear" w:color="auto" w:fill="50748A"/>
            <w:noWrap/>
            <w:vAlign w:val="center"/>
            <w:hideMark/>
          </w:tcPr>
          <w:p w14:paraId="12D530DF" w14:textId="77777777" w:rsidR="001806FE" w:rsidRPr="001806FE" w:rsidRDefault="001806FE" w:rsidP="001806FE">
            <w:pPr>
              <w:widowControl/>
              <w:autoSpaceDE/>
              <w:autoSpaceDN/>
              <w:jc w:val="center"/>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Number of provisions</w:t>
            </w:r>
          </w:p>
        </w:tc>
      </w:tr>
      <w:tr w:rsidR="001806FE" w:rsidRPr="001806FE" w14:paraId="1A0BBC49" w14:textId="77777777" w:rsidTr="00CF763F">
        <w:trPr>
          <w:trHeight w:val="300"/>
          <w:tblHeader/>
        </w:trPr>
        <w:tc>
          <w:tcPr>
            <w:tcW w:w="4678" w:type="dxa"/>
            <w:vMerge/>
            <w:tcBorders>
              <w:top w:val="single" w:sz="4" w:space="0" w:color="auto"/>
              <w:left w:val="single" w:sz="4" w:space="0" w:color="auto"/>
              <w:bottom w:val="single" w:sz="4" w:space="0" w:color="000000"/>
              <w:right w:val="single" w:sz="4" w:space="0" w:color="auto"/>
            </w:tcBorders>
            <w:shd w:val="clear" w:color="auto" w:fill="50748A"/>
            <w:vAlign w:val="center"/>
            <w:hideMark/>
          </w:tcPr>
          <w:p w14:paraId="50B9E7FF" w14:textId="77777777" w:rsidR="001806FE" w:rsidRPr="001806FE" w:rsidRDefault="001806FE" w:rsidP="001806FE">
            <w:pPr>
              <w:widowControl/>
              <w:autoSpaceDE/>
              <w:autoSpaceDN/>
              <w:rPr>
                <w:rFonts w:ascii="Calibri" w:eastAsia="Times New Roman" w:hAnsi="Calibri" w:cs="Calibri"/>
                <w:color w:val="FFFFFF"/>
                <w:lang w:val="en-AU" w:eastAsia="en-AU"/>
              </w:rPr>
            </w:pPr>
          </w:p>
        </w:tc>
        <w:tc>
          <w:tcPr>
            <w:tcW w:w="1644" w:type="dxa"/>
            <w:tcBorders>
              <w:top w:val="nil"/>
              <w:left w:val="nil"/>
              <w:bottom w:val="single" w:sz="4" w:space="0" w:color="auto"/>
              <w:right w:val="single" w:sz="4" w:space="0" w:color="auto"/>
            </w:tcBorders>
            <w:shd w:val="clear" w:color="auto" w:fill="50748A"/>
            <w:noWrap/>
            <w:vAlign w:val="center"/>
          </w:tcPr>
          <w:p w14:paraId="0705FE2D" w14:textId="77777777" w:rsidR="001806FE" w:rsidRPr="001806FE" w:rsidRDefault="001806FE" w:rsidP="001806FE">
            <w:pPr>
              <w:widowControl/>
              <w:autoSpaceDE/>
              <w:autoSpaceDN/>
              <w:jc w:val="center"/>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Specific secrecy offences</w:t>
            </w:r>
          </w:p>
        </w:tc>
        <w:tc>
          <w:tcPr>
            <w:tcW w:w="1644" w:type="dxa"/>
            <w:tcBorders>
              <w:top w:val="nil"/>
              <w:left w:val="nil"/>
              <w:bottom w:val="single" w:sz="4" w:space="0" w:color="auto"/>
              <w:right w:val="single" w:sz="4" w:space="0" w:color="auto"/>
            </w:tcBorders>
            <w:shd w:val="clear" w:color="auto" w:fill="50748A"/>
            <w:noWrap/>
            <w:vAlign w:val="center"/>
          </w:tcPr>
          <w:p w14:paraId="0BF4C457" w14:textId="77777777" w:rsidR="001806FE" w:rsidRPr="001806FE" w:rsidRDefault="001806FE" w:rsidP="001806FE">
            <w:pPr>
              <w:widowControl/>
              <w:autoSpaceDE/>
              <w:autoSpaceDN/>
              <w:jc w:val="center"/>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Non-disclosure duties</w:t>
            </w:r>
          </w:p>
        </w:tc>
        <w:tc>
          <w:tcPr>
            <w:tcW w:w="1532" w:type="dxa"/>
            <w:tcBorders>
              <w:top w:val="nil"/>
              <w:left w:val="nil"/>
              <w:bottom w:val="single" w:sz="4" w:space="0" w:color="auto"/>
              <w:right w:val="single" w:sz="4" w:space="0" w:color="auto"/>
            </w:tcBorders>
            <w:shd w:val="clear" w:color="auto" w:fill="50748A"/>
            <w:noWrap/>
            <w:vAlign w:val="center"/>
            <w:hideMark/>
          </w:tcPr>
          <w:p w14:paraId="481CF5BA" w14:textId="77777777" w:rsidR="001806FE" w:rsidRPr="001806FE" w:rsidRDefault="001806FE" w:rsidP="001806FE">
            <w:pPr>
              <w:widowControl/>
              <w:autoSpaceDE/>
              <w:autoSpaceDN/>
              <w:jc w:val="center"/>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Total</w:t>
            </w:r>
          </w:p>
        </w:tc>
      </w:tr>
      <w:tr w:rsidR="001806FE" w:rsidRPr="001806FE" w14:paraId="05772CE0"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4F42FC95"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Attorney-General</w:t>
            </w:r>
          </w:p>
        </w:tc>
        <w:tc>
          <w:tcPr>
            <w:tcW w:w="1644" w:type="dxa"/>
            <w:tcBorders>
              <w:top w:val="nil"/>
              <w:left w:val="nil"/>
              <w:bottom w:val="single" w:sz="4" w:space="0" w:color="auto"/>
              <w:right w:val="single" w:sz="4" w:space="0" w:color="auto"/>
            </w:tcBorders>
            <w:shd w:val="clear" w:color="auto" w:fill="auto"/>
            <w:noWrap/>
            <w:vAlign w:val="bottom"/>
          </w:tcPr>
          <w:p w14:paraId="57E0C595" w14:textId="79353FDB"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r w:rsidR="009B70FB">
              <w:rPr>
                <w:rFonts w:ascii="Calibri" w:eastAsia="Times New Roman" w:hAnsi="Calibri" w:cs="Calibri"/>
                <w:color w:val="000000"/>
                <w:lang w:val="en-AU" w:eastAsia="en-AU"/>
              </w:rPr>
              <w:t>6</w:t>
            </w:r>
            <w:r w:rsidRPr="001806FE">
              <w:rPr>
                <w:rFonts w:ascii="Calibri" w:eastAsia="Times New Roman" w:hAnsi="Calibri" w:cs="Calibri"/>
                <w:color w:val="000000"/>
                <w:lang w:val="en-AU" w:eastAsia="en-AU"/>
              </w:rPr>
              <w:t>7</w:t>
            </w:r>
          </w:p>
        </w:tc>
        <w:tc>
          <w:tcPr>
            <w:tcW w:w="1644" w:type="dxa"/>
            <w:tcBorders>
              <w:top w:val="nil"/>
              <w:left w:val="nil"/>
              <w:bottom w:val="single" w:sz="4" w:space="0" w:color="auto"/>
              <w:right w:val="single" w:sz="4" w:space="0" w:color="auto"/>
            </w:tcBorders>
            <w:shd w:val="clear" w:color="auto" w:fill="auto"/>
            <w:noWrap/>
            <w:vAlign w:val="bottom"/>
          </w:tcPr>
          <w:p w14:paraId="6508BCB8" w14:textId="0ADFA900"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8</w:t>
            </w:r>
            <w:r w:rsidR="009B70FB">
              <w:rPr>
                <w:rFonts w:ascii="Calibri" w:eastAsia="Times New Roman" w:hAnsi="Calibri" w:cs="Calibri"/>
                <w:color w:val="000000"/>
                <w:lang w:val="en-AU" w:eastAsia="en-AU"/>
              </w:rPr>
              <w:t>7</w:t>
            </w:r>
          </w:p>
        </w:tc>
        <w:tc>
          <w:tcPr>
            <w:tcW w:w="1532" w:type="dxa"/>
            <w:tcBorders>
              <w:top w:val="nil"/>
              <w:left w:val="nil"/>
              <w:bottom w:val="single" w:sz="4" w:space="0" w:color="auto"/>
              <w:right w:val="single" w:sz="4" w:space="0" w:color="auto"/>
            </w:tcBorders>
            <w:shd w:val="clear" w:color="auto" w:fill="auto"/>
            <w:noWrap/>
            <w:vAlign w:val="bottom"/>
            <w:hideMark/>
          </w:tcPr>
          <w:p w14:paraId="1B3CC5A6" w14:textId="416322F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w:t>
            </w:r>
            <w:r w:rsidR="009B70FB">
              <w:rPr>
                <w:rFonts w:ascii="Calibri" w:eastAsia="Times New Roman" w:hAnsi="Calibri" w:cs="Calibri"/>
                <w:color w:val="000000"/>
                <w:lang w:val="en-AU" w:eastAsia="en-AU"/>
              </w:rPr>
              <w:t>54</w:t>
            </w:r>
          </w:p>
        </w:tc>
      </w:tr>
      <w:tr w:rsidR="001806FE" w:rsidRPr="001806FE" w14:paraId="3EC01C0F"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4801505C"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Health and Aged Care</w:t>
            </w:r>
          </w:p>
        </w:tc>
        <w:tc>
          <w:tcPr>
            <w:tcW w:w="1644" w:type="dxa"/>
            <w:tcBorders>
              <w:top w:val="nil"/>
              <w:left w:val="nil"/>
              <w:bottom w:val="single" w:sz="4" w:space="0" w:color="auto"/>
              <w:right w:val="single" w:sz="4" w:space="0" w:color="auto"/>
            </w:tcBorders>
            <w:shd w:val="clear" w:color="auto" w:fill="auto"/>
            <w:noWrap/>
            <w:vAlign w:val="bottom"/>
          </w:tcPr>
          <w:p w14:paraId="7574C218" w14:textId="13413FE4" w:rsidR="001806FE" w:rsidRPr="001806FE" w:rsidRDefault="009B70FB" w:rsidP="001806FE">
            <w:pPr>
              <w:widowControl/>
              <w:autoSpaceDE/>
              <w:autoSpaceDN/>
              <w:jc w:val="right"/>
              <w:rPr>
                <w:rFonts w:ascii="Calibri" w:eastAsia="Times New Roman" w:hAnsi="Calibri" w:cs="Calibri"/>
                <w:color w:val="000000"/>
                <w:lang w:val="en-AU" w:eastAsia="en-AU"/>
              </w:rPr>
            </w:pPr>
            <w:r>
              <w:rPr>
                <w:rFonts w:ascii="Calibri" w:eastAsia="Times New Roman" w:hAnsi="Calibri" w:cs="Calibri"/>
                <w:color w:val="000000"/>
                <w:lang w:val="en-AU" w:eastAsia="en-AU"/>
              </w:rPr>
              <w:t>81</w:t>
            </w:r>
          </w:p>
        </w:tc>
        <w:tc>
          <w:tcPr>
            <w:tcW w:w="1644" w:type="dxa"/>
            <w:tcBorders>
              <w:top w:val="nil"/>
              <w:left w:val="nil"/>
              <w:bottom w:val="single" w:sz="4" w:space="0" w:color="auto"/>
              <w:right w:val="single" w:sz="4" w:space="0" w:color="auto"/>
            </w:tcBorders>
            <w:shd w:val="clear" w:color="auto" w:fill="auto"/>
            <w:noWrap/>
            <w:vAlign w:val="bottom"/>
          </w:tcPr>
          <w:p w14:paraId="1B470968" w14:textId="493CBF5B"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3</w:t>
            </w:r>
            <w:r w:rsidR="009B70FB">
              <w:rPr>
                <w:rFonts w:ascii="Calibri" w:eastAsia="Times New Roman" w:hAnsi="Calibri" w:cs="Calibri"/>
                <w:color w:val="000000"/>
                <w:lang w:val="en-AU" w:eastAsia="en-AU"/>
              </w:rPr>
              <w:t>0</w:t>
            </w:r>
          </w:p>
        </w:tc>
        <w:tc>
          <w:tcPr>
            <w:tcW w:w="1532" w:type="dxa"/>
            <w:tcBorders>
              <w:top w:val="nil"/>
              <w:left w:val="nil"/>
              <w:bottom w:val="single" w:sz="4" w:space="0" w:color="auto"/>
              <w:right w:val="single" w:sz="4" w:space="0" w:color="auto"/>
            </w:tcBorders>
            <w:shd w:val="clear" w:color="auto" w:fill="auto"/>
            <w:noWrap/>
            <w:vAlign w:val="bottom"/>
            <w:hideMark/>
          </w:tcPr>
          <w:p w14:paraId="0F40A9D5"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111</w:t>
            </w:r>
          </w:p>
        </w:tc>
      </w:tr>
      <w:tr w:rsidR="001806FE" w:rsidRPr="001806FE" w14:paraId="0AD4C589"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6B013075"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Treasury</w:t>
            </w:r>
          </w:p>
        </w:tc>
        <w:tc>
          <w:tcPr>
            <w:tcW w:w="1644" w:type="dxa"/>
            <w:tcBorders>
              <w:top w:val="nil"/>
              <w:left w:val="nil"/>
              <w:bottom w:val="single" w:sz="4" w:space="0" w:color="auto"/>
              <w:right w:val="single" w:sz="4" w:space="0" w:color="auto"/>
            </w:tcBorders>
            <w:shd w:val="clear" w:color="auto" w:fill="auto"/>
            <w:noWrap/>
            <w:vAlign w:val="bottom"/>
          </w:tcPr>
          <w:p w14:paraId="27ACDD82" w14:textId="3A85E25F"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w:t>
            </w:r>
            <w:r w:rsidR="00441BE4">
              <w:rPr>
                <w:rFonts w:ascii="Calibri" w:eastAsia="Times New Roman" w:hAnsi="Calibri" w:cs="Calibri"/>
                <w:color w:val="000000"/>
                <w:lang w:val="en-AU" w:eastAsia="en-AU"/>
              </w:rPr>
              <w:t>4</w:t>
            </w:r>
          </w:p>
        </w:tc>
        <w:tc>
          <w:tcPr>
            <w:tcW w:w="1644" w:type="dxa"/>
            <w:tcBorders>
              <w:top w:val="nil"/>
              <w:left w:val="nil"/>
              <w:bottom w:val="single" w:sz="4" w:space="0" w:color="auto"/>
              <w:right w:val="single" w:sz="4" w:space="0" w:color="auto"/>
            </w:tcBorders>
            <w:shd w:val="clear" w:color="auto" w:fill="auto"/>
            <w:noWrap/>
            <w:vAlign w:val="bottom"/>
          </w:tcPr>
          <w:p w14:paraId="2DBA985F"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27</w:t>
            </w:r>
          </w:p>
        </w:tc>
        <w:tc>
          <w:tcPr>
            <w:tcW w:w="1532" w:type="dxa"/>
            <w:tcBorders>
              <w:top w:val="nil"/>
              <w:left w:val="nil"/>
              <w:bottom w:val="single" w:sz="4" w:space="0" w:color="auto"/>
              <w:right w:val="single" w:sz="4" w:space="0" w:color="auto"/>
            </w:tcBorders>
            <w:shd w:val="clear" w:color="auto" w:fill="auto"/>
            <w:noWrap/>
            <w:vAlign w:val="bottom"/>
            <w:hideMark/>
          </w:tcPr>
          <w:p w14:paraId="6A744DAD" w14:textId="3D4A27F6"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7</w:t>
            </w:r>
            <w:r w:rsidR="00441BE4">
              <w:rPr>
                <w:rFonts w:ascii="Calibri" w:eastAsia="Times New Roman" w:hAnsi="Calibri" w:cs="Calibri"/>
                <w:color w:val="000000"/>
                <w:lang w:val="en-AU" w:eastAsia="en-AU"/>
              </w:rPr>
              <w:t>1</w:t>
            </w:r>
          </w:p>
        </w:tc>
      </w:tr>
      <w:tr w:rsidR="001806FE" w:rsidRPr="001806FE" w14:paraId="29E4CD64"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1FAACA86"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Home Affairs</w:t>
            </w:r>
          </w:p>
        </w:tc>
        <w:tc>
          <w:tcPr>
            <w:tcW w:w="1644" w:type="dxa"/>
            <w:tcBorders>
              <w:top w:val="nil"/>
              <w:left w:val="nil"/>
              <w:bottom w:val="single" w:sz="4" w:space="0" w:color="auto"/>
              <w:right w:val="single" w:sz="4" w:space="0" w:color="auto"/>
            </w:tcBorders>
            <w:shd w:val="clear" w:color="auto" w:fill="auto"/>
            <w:noWrap/>
            <w:vAlign w:val="bottom"/>
          </w:tcPr>
          <w:p w14:paraId="76284188"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38</w:t>
            </w:r>
          </w:p>
        </w:tc>
        <w:tc>
          <w:tcPr>
            <w:tcW w:w="1644" w:type="dxa"/>
            <w:tcBorders>
              <w:top w:val="nil"/>
              <w:left w:val="nil"/>
              <w:bottom w:val="single" w:sz="4" w:space="0" w:color="auto"/>
              <w:right w:val="single" w:sz="4" w:space="0" w:color="auto"/>
            </w:tcBorders>
            <w:shd w:val="clear" w:color="auto" w:fill="auto"/>
            <w:noWrap/>
            <w:vAlign w:val="bottom"/>
          </w:tcPr>
          <w:p w14:paraId="0166E9DC"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28</w:t>
            </w:r>
          </w:p>
        </w:tc>
        <w:tc>
          <w:tcPr>
            <w:tcW w:w="1532" w:type="dxa"/>
            <w:tcBorders>
              <w:top w:val="nil"/>
              <w:left w:val="nil"/>
              <w:bottom w:val="single" w:sz="4" w:space="0" w:color="auto"/>
              <w:right w:val="single" w:sz="4" w:space="0" w:color="auto"/>
            </w:tcBorders>
            <w:shd w:val="clear" w:color="auto" w:fill="auto"/>
            <w:noWrap/>
            <w:vAlign w:val="bottom"/>
            <w:hideMark/>
          </w:tcPr>
          <w:p w14:paraId="64263C5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66</w:t>
            </w:r>
          </w:p>
        </w:tc>
      </w:tr>
      <w:tr w:rsidR="001806FE" w:rsidRPr="001806FE" w14:paraId="3E495045"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49A82BBA"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Infrastructure, Transport, Regional Development, Communications and the Arts</w:t>
            </w:r>
          </w:p>
        </w:tc>
        <w:tc>
          <w:tcPr>
            <w:tcW w:w="1644" w:type="dxa"/>
            <w:tcBorders>
              <w:top w:val="nil"/>
              <w:left w:val="nil"/>
              <w:bottom w:val="single" w:sz="4" w:space="0" w:color="auto"/>
              <w:right w:val="single" w:sz="4" w:space="0" w:color="auto"/>
            </w:tcBorders>
            <w:shd w:val="clear" w:color="auto" w:fill="auto"/>
            <w:noWrap/>
            <w:vAlign w:val="bottom"/>
          </w:tcPr>
          <w:p w14:paraId="53A25377"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31</w:t>
            </w:r>
          </w:p>
        </w:tc>
        <w:tc>
          <w:tcPr>
            <w:tcW w:w="1644" w:type="dxa"/>
            <w:tcBorders>
              <w:top w:val="nil"/>
              <w:left w:val="nil"/>
              <w:bottom w:val="single" w:sz="4" w:space="0" w:color="auto"/>
              <w:right w:val="single" w:sz="4" w:space="0" w:color="auto"/>
            </w:tcBorders>
            <w:shd w:val="clear" w:color="auto" w:fill="auto"/>
            <w:noWrap/>
            <w:vAlign w:val="bottom"/>
          </w:tcPr>
          <w:p w14:paraId="1568CE5B" w14:textId="60EBCCDA"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w:t>
            </w:r>
            <w:r w:rsidR="00441BE4">
              <w:rPr>
                <w:rFonts w:ascii="Calibri" w:eastAsia="Times New Roman" w:hAnsi="Calibri" w:cs="Calibri"/>
                <w:color w:val="000000"/>
                <w:lang w:val="en-AU" w:eastAsia="en-AU"/>
              </w:rPr>
              <w:t>0</w:t>
            </w:r>
          </w:p>
        </w:tc>
        <w:tc>
          <w:tcPr>
            <w:tcW w:w="1532" w:type="dxa"/>
            <w:tcBorders>
              <w:top w:val="nil"/>
              <w:left w:val="nil"/>
              <w:bottom w:val="single" w:sz="4" w:space="0" w:color="auto"/>
              <w:right w:val="single" w:sz="4" w:space="0" w:color="auto"/>
            </w:tcBorders>
            <w:shd w:val="clear" w:color="auto" w:fill="auto"/>
            <w:noWrap/>
            <w:vAlign w:val="bottom"/>
            <w:hideMark/>
          </w:tcPr>
          <w:p w14:paraId="70C12F87" w14:textId="511EA1C8"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5</w:t>
            </w:r>
            <w:r w:rsidR="00441BE4">
              <w:rPr>
                <w:rFonts w:ascii="Calibri" w:eastAsia="Times New Roman" w:hAnsi="Calibri" w:cs="Calibri"/>
                <w:color w:val="000000"/>
                <w:lang w:val="en-AU" w:eastAsia="en-AU"/>
              </w:rPr>
              <w:t>1</w:t>
            </w:r>
          </w:p>
        </w:tc>
      </w:tr>
      <w:tr w:rsidR="001806FE" w:rsidRPr="001806FE" w14:paraId="3A8C668B"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1D993538"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Social Services</w:t>
            </w:r>
          </w:p>
        </w:tc>
        <w:tc>
          <w:tcPr>
            <w:tcW w:w="1644" w:type="dxa"/>
            <w:tcBorders>
              <w:top w:val="nil"/>
              <w:left w:val="nil"/>
              <w:bottom w:val="single" w:sz="4" w:space="0" w:color="auto"/>
              <w:right w:val="single" w:sz="4" w:space="0" w:color="auto"/>
            </w:tcBorders>
            <w:shd w:val="clear" w:color="auto" w:fill="auto"/>
            <w:noWrap/>
            <w:vAlign w:val="bottom"/>
          </w:tcPr>
          <w:p w14:paraId="199B6A2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40</w:t>
            </w:r>
          </w:p>
        </w:tc>
        <w:tc>
          <w:tcPr>
            <w:tcW w:w="1644" w:type="dxa"/>
            <w:tcBorders>
              <w:top w:val="nil"/>
              <w:left w:val="nil"/>
              <w:bottom w:val="single" w:sz="4" w:space="0" w:color="auto"/>
              <w:right w:val="single" w:sz="4" w:space="0" w:color="auto"/>
            </w:tcBorders>
            <w:shd w:val="clear" w:color="auto" w:fill="auto"/>
            <w:noWrap/>
            <w:vAlign w:val="bottom"/>
          </w:tcPr>
          <w:p w14:paraId="7A434415"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6</w:t>
            </w:r>
          </w:p>
        </w:tc>
        <w:tc>
          <w:tcPr>
            <w:tcW w:w="1532" w:type="dxa"/>
            <w:tcBorders>
              <w:top w:val="nil"/>
              <w:left w:val="nil"/>
              <w:bottom w:val="single" w:sz="4" w:space="0" w:color="auto"/>
              <w:right w:val="single" w:sz="4" w:space="0" w:color="auto"/>
            </w:tcBorders>
            <w:shd w:val="clear" w:color="auto" w:fill="auto"/>
            <w:noWrap/>
            <w:vAlign w:val="bottom"/>
            <w:hideMark/>
          </w:tcPr>
          <w:p w14:paraId="0197E08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46</w:t>
            </w:r>
          </w:p>
        </w:tc>
      </w:tr>
      <w:tr w:rsidR="001806FE" w:rsidRPr="001806FE" w14:paraId="5F201AD1"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3746A662"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Climate Change, Energy, Environment and Water</w:t>
            </w:r>
          </w:p>
        </w:tc>
        <w:tc>
          <w:tcPr>
            <w:tcW w:w="1644" w:type="dxa"/>
            <w:tcBorders>
              <w:top w:val="nil"/>
              <w:left w:val="nil"/>
              <w:bottom w:val="single" w:sz="4" w:space="0" w:color="auto"/>
              <w:right w:val="single" w:sz="4" w:space="0" w:color="auto"/>
            </w:tcBorders>
            <w:shd w:val="clear" w:color="auto" w:fill="auto"/>
            <w:noWrap/>
            <w:vAlign w:val="bottom"/>
          </w:tcPr>
          <w:p w14:paraId="2C69D246"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26</w:t>
            </w:r>
          </w:p>
        </w:tc>
        <w:tc>
          <w:tcPr>
            <w:tcW w:w="1644" w:type="dxa"/>
            <w:tcBorders>
              <w:top w:val="nil"/>
              <w:left w:val="nil"/>
              <w:bottom w:val="single" w:sz="4" w:space="0" w:color="auto"/>
              <w:right w:val="single" w:sz="4" w:space="0" w:color="auto"/>
            </w:tcBorders>
            <w:shd w:val="clear" w:color="auto" w:fill="auto"/>
            <w:noWrap/>
            <w:vAlign w:val="bottom"/>
          </w:tcPr>
          <w:p w14:paraId="72B484A5" w14:textId="1F3166A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r w:rsidR="00441BE4">
              <w:rPr>
                <w:rFonts w:ascii="Calibri" w:eastAsia="Times New Roman" w:hAnsi="Calibri" w:cs="Calibri"/>
                <w:color w:val="000000"/>
                <w:lang w:val="en-AU" w:eastAsia="en-AU"/>
              </w:rPr>
              <w:t>9</w:t>
            </w:r>
          </w:p>
        </w:tc>
        <w:tc>
          <w:tcPr>
            <w:tcW w:w="1532" w:type="dxa"/>
            <w:tcBorders>
              <w:top w:val="nil"/>
              <w:left w:val="nil"/>
              <w:bottom w:val="single" w:sz="4" w:space="0" w:color="auto"/>
              <w:right w:val="single" w:sz="4" w:space="0" w:color="auto"/>
            </w:tcBorders>
            <w:shd w:val="clear" w:color="auto" w:fill="auto"/>
            <w:noWrap/>
            <w:vAlign w:val="bottom"/>
            <w:hideMark/>
          </w:tcPr>
          <w:p w14:paraId="12519725" w14:textId="453BC4D9"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w:t>
            </w:r>
            <w:r w:rsidR="00441BE4">
              <w:rPr>
                <w:rFonts w:ascii="Calibri" w:eastAsia="Times New Roman" w:hAnsi="Calibri" w:cs="Calibri"/>
                <w:color w:val="000000"/>
                <w:lang w:val="en-AU" w:eastAsia="en-AU"/>
              </w:rPr>
              <w:t>5</w:t>
            </w:r>
          </w:p>
        </w:tc>
      </w:tr>
      <w:tr w:rsidR="001806FE" w:rsidRPr="001806FE" w14:paraId="1CE81455"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6DB19C7D"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lastRenderedPageBreak/>
              <w:t>Industry, Science and Resources</w:t>
            </w:r>
          </w:p>
        </w:tc>
        <w:tc>
          <w:tcPr>
            <w:tcW w:w="1644" w:type="dxa"/>
            <w:tcBorders>
              <w:top w:val="nil"/>
              <w:left w:val="nil"/>
              <w:bottom w:val="single" w:sz="4" w:space="0" w:color="auto"/>
              <w:right w:val="single" w:sz="4" w:space="0" w:color="auto"/>
            </w:tcBorders>
            <w:shd w:val="clear" w:color="auto" w:fill="auto"/>
            <w:noWrap/>
            <w:vAlign w:val="bottom"/>
          </w:tcPr>
          <w:p w14:paraId="51CD5C13"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12</w:t>
            </w:r>
          </w:p>
        </w:tc>
        <w:tc>
          <w:tcPr>
            <w:tcW w:w="1644" w:type="dxa"/>
            <w:tcBorders>
              <w:top w:val="nil"/>
              <w:left w:val="nil"/>
              <w:bottom w:val="single" w:sz="4" w:space="0" w:color="auto"/>
              <w:right w:val="single" w:sz="4" w:space="0" w:color="auto"/>
            </w:tcBorders>
            <w:shd w:val="clear" w:color="auto" w:fill="auto"/>
            <w:noWrap/>
            <w:vAlign w:val="bottom"/>
          </w:tcPr>
          <w:p w14:paraId="4E5217B3" w14:textId="20FB8ACE"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w:t>
            </w:r>
            <w:r w:rsidR="00441BE4">
              <w:rPr>
                <w:rFonts w:ascii="Calibri" w:eastAsia="Times New Roman" w:hAnsi="Calibri" w:cs="Calibri"/>
                <w:color w:val="000000"/>
                <w:lang w:val="en-AU" w:eastAsia="en-AU"/>
              </w:rPr>
              <w:t>5</w:t>
            </w:r>
          </w:p>
        </w:tc>
        <w:tc>
          <w:tcPr>
            <w:tcW w:w="1532" w:type="dxa"/>
            <w:tcBorders>
              <w:top w:val="nil"/>
              <w:left w:val="nil"/>
              <w:bottom w:val="single" w:sz="4" w:space="0" w:color="auto"/>
              <w:right w:val="single" w:sz="4" w:space="0" w:color="auto"/>
            </w:tcBorders>
            <w:shd w:val="clear" w:color="auto" w:fill="auto"/>
            <w:noWrap/>
            <w:vAlign w:val="bottom"/>
            <w:hideMark/>
          </w:tcPr>
          <w:p w14:paraId="3E63FCDA" w14:textId="6D08CFBC" w:rsidR="001806FE" w:rsidRPr="001806FE" w:rsidRDefault="00441BE4" w:rsidP="001806FE">
            <w:pPr>
              <w:widowControl/>
              <w:autoSpaceDE/>
              <w:autoSpaceDN/>
              <w:jc w:val="right"/>
              <w:rPr>
                <w:rFonts w:ascii="Calibri" w:eastAsia="Times New Roman" w:hAnsi="Calibri" w:cs="Calibri"/>
                <w:color w:val="000000"/>
                <w:lang w:val="en-AU" w:eastAsia="en-AU"/>
              </w:rPr>
            </w:pPr>
            <w:r>
              <w:rPr>
                <w:rFonts w:ascii="Calibri" w:eastAsia="Times New Roman" w:hAnsi="Calibri" w:cs="Calibri"/>
                <w:color w:val="000000"/>
                <w:lang w:val="en-AU" w:eastAsia="en-AU"/>
              </w:rPr>
              <w:t>37</w:t>
            </w:r>
          </w:p>
        </w:tc>
      </w:tr>
      <w:tr w:rsidR="001806FE" w:rsidRPr="001806FE" w14:paraId="5B67D638"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0E60D241"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Prime Minister and Cabinet</w:t>
            </w:r>
          </w:p>
        </w:tc>
        <w:tc>
          <w:tcPr>
            <w:tcW w:w="1644" w:type="dxa"/>
            <w:tcBorders>
              <w:top w:val="nil"/>
              <w:left w:val="nil"/>
              <w:bottom w:val="single" w:sz="4" w:space="0" w:color="auto"/>
              <w:right w:val="single" w:sz="4" w:space="0" w:color="auto"/>
            </w:tcBorders>
            <w:shd w:val="clear" w:color="auto" w:fill="auto"/>
            <w:noWrap/>
            <w:vAlign w:val="bottom"/>
          </w:tcPr>
          <w:p w14:paraId="336EC52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18</w:t>
            </w:r>
          </w:p>
        </w:tc>
        <w:tc>
          <w:tcPr>
            <w:tcW w:w="1644" w:type="dxa"/>
            <w:tcBorders>
              <w:top w:val="nil"/>
              <w:left w:val="nil"/>
              <w:bottom w:val="single" w:sz="4" w:space="0" w:color="auto"/>
              <w:right w:val="single" w:sz="4" w:space="0" w:color="auto"/>
            </w:tcBorders>
            <w:shd w:val="clear" w:color="auto" w:fill="auto"/>
            <w:noWrap/>
            <w:vAlign w:val="bottom"/>
          </w:tcPr>
          <w:p w14:paraId="3B8D61B3"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12</w:t>
            </w:r>
          </w:p>
        </w:tc>
        <w:tc>
          <w:tcPr>
            <w:tcW w:w="1532" w:type="dxa"/>
            <w:tcBorders>
              <w:top w:val="nil"/>
              <w:left w:val="nil"/>
              <w:bottom w:val="single" w:sz="4" w:space="0" w:color="auto"/>
              <w:right w:val="single" w:sz="4" w:space="0" w:color="auto"/>
            </w:tcBorders>
            <w:shd w:val="clear" w:color="auto" w:fill="auto"/>
            <w:noWrap/>
            <w:vAlign w:val="bottom"/>
            <w:hideMark/>
          </w:tcPr>
          <w:p w14:paraId="39E9DA48"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30</w:t>
            </w:r>
          </w:p>
        </w:tc>
      </w:tr>
      <w:tr w:rsidR="001806FE" w:rsidRPr="001806FE" w14:paraId="49291ECC"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399208EC"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Defence (including Veterans’ Affairs)</w:t>
            </w:r>
          </w:p>
        </w:tc>
        <w:tc>
          <w:tcPr>
            <w:tcW w:w="1644" w:type="dxa"/>
            <w:tcBorders>
              <w:top w:val="nil"/>
              <w:left w:val="nil"/>
              <w:bottom w:val="single" w:sz="4" w:space="0" w:color="auto"/>
              <w:right w:val="single" w:sz="4" w:space="0" w:color="auto"/>
            </w:tcBorders>
            <w:shd w:val="clear" w:color="auto" w:fill="auto"/>
            <w:noWrap/>
            <w:vAlign w:val="bottom"/>
          </w:tcPr>
          <w:p w14:paraId="326D12C3"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23</w:t>
            </w:r>
          </w:p>
        </w:tc>
        <w:tc>
          <w:tcPr>
            <w:tcW w:w="1644" w:type="dxa"/>
            <w:tcBorders>
              <w:top w:val="nil"/>
              <w:left w:val="nil"/>
              <w:bottom w:val="single" w:sz="4" w:space="0" w:color="auto"/>
              <w:right w:val="single" w:sz="4" w:space="0" w:color="auto"/>
            </w:tcBorders>
            <w:shd w:val="clear" w:color="auto" w:fill="auto"/>
            <w:noWrap/>
            <w:vAlign w:val="bottom"/>
          </w:tcPr>
          <w:p w14:paraId="1D75923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23</w:t>
            </w:r>
          </w:p>
        </w:tc>
        <w:tc>
          <w:tcPr>
            <w:tcW w:w="1532" w:type="dxa"/>
            <w:tcBorders>
              <w:top w:val="nil"/>
              <w:left w:val="nil"/>
              <w:bottom w:val="single" w:sz="4" w:space="0" w:color="auto"/>
              <w:right w:val="single" w:sz="4" w:space="0" w:color="auto"/>
            </w:tcBorders>
            <w:shd w:val="clear" w:color="auto" w:fill="auto"/>
            <w:noWrap/>
            <w:vAlign w:val="bottom"/>
            <w:hideMark/>
          </w:tcPr>
          <w:p w14:paraId="427622FD"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46</w:t>
            </w:r>
          </w:p>
        </w:tc>
      </w:tr>
      <w:tr w:rsidR="001806FE" w:rsidRPr="001806FE" w14:paraId="385D2872"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498F5E9C"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Agriculture, Fisheries and Forestry</w:t>
            </w:r>
          </w:p>
        </w:tc>
        <w:tc>
          <w:tcPr>
            <w:tcW w:w="1644" w:type="dxa"/>
            <w:tcBorders>
              <w:top w:val="nil"/>
              <w:left w:val="nil"/>
              <w:bottom w:val="single" w:sz="4" w:space="0" w:color="auto"/>
              <w:right w:val="single" w:sz="4" w:space="0" w:color="auto"/>
            </w:tcBorders>
            <w:shd w:val="clear" w:color="auto" w:fill="auto"/>
            <w:noWrap/>
            <w:vAlign w:val="bottom"/>
          </w:tcPr>
          <w:p w14:paraId="1C2D7318" w14:textId="06164368"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r w:rsidR="00D82BCA">
              <w:rPr>
                <w:rFonts w:ascii="Calibri" w:eastAsia="Times New Roman" w:hAnsi="Calibri" w:cs="Calibri"/>
                <w:color w:val="000000"/>
                <w:lang w:val="en-AU" w:eastAsia="en-AU"/>
              </w:rPr>
              <w:t>5</w:t>
            </w:r>
          </w:p>
        </w:tc>
        <w:tc>
          <w:tcPr>
            <w:tcW w:w="1644" w:type="dxa"/>
            <w:tcBorders>
              <w:top w:val="nil"/>
              <w:left w:val="nil"/>
              <w:bottom w:val="single" w:sz="4" w:space="0" w:color="auto"/>
              <w:right w:val="single" w:sz="4" w:space="0" w:color="auto"/>
            </w:tcBorders>
            <w:shd w:val="clear" w:color="auto" w:fill="auto"/>
            <w:noWrap/>
            <w:vAlign w:val="bottom"/>
          </w:tcPr>
          <w:p w14:paraId="16A5333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6</w:t>
            </w:r>
          </w:p>
        </w:tc>
        <w:tc>
          <w:tcPr>
            <w:tcW w:w="1532" w:type="dxa"/>
            <w:tcBorders>
              <w:top w:val="nil"/>
              <w:left w:val="nil"/>
              <w:bottom w:val="single" w:sz="4" w:space="0" w:color="auto"/>
              <w:right w:val="single" w:sz="4" w:space="0" w:color="auto"/>
            </w:tcBorders>
            <w:shd w:val="clear" w:color="auto" w:fill="auto"/>
            <w:noWrap/>
            <w:vAlign w:val="bottom"/>
            <w:hideMark/>
          </w:tcPr>
          <w:p w14:paraId="5AA99F9D" w14:textId="1F2493AC"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2</w:t>
            </w:r>
            <w:r w:rsidR="00D82BCA">
              <w:rPr>
                <w:rFonts w:ascii="Calibri" w:eastAsia="Times New Roman" w:hAnsi="Calibri" w:cs="Calibri"/>
                <w:color w:val="000000"/>
                <w:lang w:val="en-AU" w:eastAsia="en-AU"/>
              </w:rPr>
              <w:t>1</w:t>
            </w:r>
          </w:p>
        </w:tc>
      </w:tr>
      <w:tr w:rsidR="001806FE" w:rsidRPr="001806FE" w14:paraId="748C9CAB"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68E57228"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Finance</w:t>
            </w:r>
          </w:p>
        </w:tc>
        <w:tc>
          <w:tcPr>
            <w:tcW w:w="1644" w:type="dxa"/>
            <w:tcBorders>
              <w:top w:val="nil"/>
              <w:left w:val="nil"/>
              <w:bottom w:val="single" w:sz="4" w:space="0" w:color="auto"/>
              <w:right w:val="single" w:sz="4" w:space="0" w:color="auto"/>
            </w:tcBorders>
            <w:shd w:val="clear" w:color="auto" w:fill="auto"/>
            <w:noWrap/>
            <w:vAlign w:val="bottom"/>
          </w:tcPr>
          <w:p w14:paraId="45595314"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11</w:t>
            </w:r>
          </w:p>
        </w:tc>
        <w:tc>
          <w:tcPr>
            <w:tcW w:w="1644" w:type="dxa"/>
            <w:tcBorders>
              <w:top w:val="nil"/>
              <w:left w:val="nil"/>
              <w:bottom w:val="single" w:sz="4" w:space="0" w:color="auto"/>
              <w:right w:val="single" w:sz="4" w:space="0" w:color="auto"/>
            </w:tcBorders>
            <w:shd w:val="clear" w:color="auto" w:fill="auto"/>
            <w:noWrap/>
            <w:vAlign w:val="bottom"/>
          </w:tcPr>
          <w:p w14:paraId="0ED50B59"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7</w:t>
            </w:r>
          </w:p>
        </w:tc>
        <w:tc>
          <w:tcPr>
            <w:tcW w:w="1532" w:type="dxa"/>
            <w:tcBorders>
              <w:top w:val="nil"/>
              <w:left w:val="nil"/>
              <w:bottom w:val="single" w:sz="4" w:space="0" w:color="auto"/>
              <w:right w:val="single" w:sz="4" w:space="0" w:color="auto"/>
            </w:tcBorders>
            <w:shd w:val="clear" w:color="auto" w:fill="auto"/>
            <w:noWrap/>
            <w:vAlign w:val="bottom"/>
            <w:hideMark/>
          </w:tcPr>
          <w:p w14:paraId="1E210A15"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18</w:t>
            </w:r>
          </w:p>
        </w:tc>
      </w:tr>
      <w:tr w:rsidR="001806FE" w:rsidRPr="001806FE" w14:paraId="2EB9777E"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5163528B"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Employment and Workplace Relations</w:t>
            </w:r>
          </w:p>
        </w:tc>
        <w:tc>
          <w:tcPr>
            <w:tcW w:w="1644" w:type="dxa"/>
            <w:tcBorders>
              <w:top w:val="nil"/>
              <w:left w:val="nil"/>
              <w:bottom w:val="single" w:sz="4" w:space="0" w:color="auto"/>
              <w:right w:val="single" w:sz="4" w:space="0" w:color="auto"/>
            </w:tcBorders>
            <w:shd w:val="clear" w:color="auto" w:fill="auto"/>
            <w:noWrap/>
            <w:vAlign w:val="bottom"/>
          </w:tcPr>
          <w:p w14:paraId="6A62733D"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12</w:t>
            </w:r>
          </w:p>
        </w:tc>
        <w:tc>
          <w:tcPr>
            <w:tcW w:w="1644" w:type="dxa"/>
            <w:tcBorders>
              <w:top w:val="nil"/>
              <w:left w:val="nil"/>
              <w:bottom w:val="single" w:sz="4" w:space="0" w:color="auto"/>
              <w:right w:val="single" w:sz="4" w:space="0" w:color="auto"/>
            </w:tcBorders>
            <w:shd w:val="clear" w:color="auto" w:fill="auto"/>
            <w:noWrap/>
            <w:vAlign w:val="bottom"/>
          </w:tcPr>
          <w:p w14:paraId="5DEBD5B5" w14:textId="32F7D7B2"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4</w:t>
            </w:r>
            <w:r w:rsidR="00D041C7">
              <w:rPr>
                <w:rFonts w:ascii="Calibri" w:eastAsia="Times New Roman" w:hAnsi="Calibri" w:cs="Calibri"/>
                <w:color w:val="000000"/>
                <w:lang w:val="en-AU" w:eastAsia="en-AU"/>
              </w:rPr>
              <w:t>5</w:t>
            </w:r>
          </w:p>
        </w:tc>
        <w:tc>
          <w:tcPr>
            <w:tcW w:w="1532" w:type="dxa"/>
            <w:tcBorders>
              <w:top w:val="nil"/>
              <w:left w:val="nil"/>
              <w:bottom w:val="single" w:sz="4" w:space="0" w:color="auto"/>
              <w:right w:val="single" w:sz="4" w:space="0" w:color="auto"/>
            </w:tcBorders>
            <w:shd w:val="clear" w:color="auto" w:fill="auto"/>
            <w:noWrap/>
            <w:vAlign w:val="bottom"/>
            <w:hideMark/>
          </w:tcPr>
          <w:p w14:paraId="3B7265D5" w14:textId="5941EB60"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p>
        </w:tc>
      </w:tr>
      <w:tr w:rsidR="001806FE" w:rsidRPr="001806FE" w14:paraId="32B9F842"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1C29F1D2"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Education</w:t>
            </w:r>
          </w:p>
        </w:tc>
        <w:tc>
          <w:tcPr>
            <w:tcW w:w="1644" w:type="dxa"/>
            <w:tcBorders>
              <w:top w:val="nil"/>
              <w:left w:val="nil"/>
              <w:bottom w:val="single" w:sz="4" w:space="0" w:color="auto"/>
              <w:right w:val="single" w:sz="4" w:space="0" w:color="auto"/>
            </w:tcBorders>
            <w:shd w:val="clear" w:color="auto" w:fill="auto"/>
            <w:noWrap/>
            <w:vAlign w:val="bottom"/>
          </w:tcPr>
          <w:p w14:paraId="102EBEFD" w14:textId="50EF9D10"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r w:rsidR="00D041C7">
              <w:rPr>
                <w:rFonts w:ascii="Calibri" w:eastAsia="Times New Roman" w:hAnsi="Calibri" w:cs="Calibri"/>
                <w:color w:val="000000"/>
                <w:lang w:val="en-AU" w:eastAsia="en-AU"/>
              </w:rPr>
              <w:t>3</w:t>
            </w:r>
          </w:p>
        </w:tc>
        <w:tc>
          <w:tcPr>
            <w:tcW w:w="1644" w:type="dxa"/>
            <w:tcBorders>
              <w:top w:val="nil"/>
              <w:left w:val="nil"/>
              <w:bottom w:val="single" w:sz="4" w:space="0" w:color="auto"/>
              <w:right w:val="single" w:sz="4" w:space="0" w:color="auto"/>
            </w:tcBorders>
            <w:shd w:val="clear" w:color="auto" w:fill="auto"/>
            <w:noWrap/>
            <w:vAlign w:val="bottom"/>
          </w:tcPr>
          <w:p w14:paraId="6C619E23"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0</w:t>
            </w:r>
          </w:p>
        </w:tc>
        <w:tc>
          <w:tcPr>
            <w:tcW w:w="1532" w:type="dxa"/>
            <w:tcBorders>
              <w:top w:val="nil"/>
              <w:left w:val="nil"/>
              <w:bottom w:val="single" w:sz="4" w:space="0" w:color="auto"/>
              <w:right w:val="single" w:sz="4" w:space="0" w:color="auto"/>
            </w:tcBorders>
            <w:shd w:val="clear" w:color="auto" w:fill="auto"/>
            <w:noWrap/>
            <w:vAlign w:val="bottom"/>
            <w:hideMark/>
          </w:tcPr>
          <w:p w14:paraId="77FCA7B0" w14:textId="13694AD4"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r w:rsidR="00D041C7">
              <w:rPr>
                <w:rFonts w:ascii="Calibri" w:eastAsia="Times New Roman" w:hAnsi="Calibri" w:cs="Calibri"/>
                <w:color w:val="000000"/>
                <w:lang w:val="en-AU" w:eastAsia="en-AU"/>
              </w:rPr>
              <w:t>3</w:t>
            </w:r>
          </w:p>
        </w:tc>
      </w:tr>
      <w:tr w:rsidR="001806FE" w:rsidRPr="001806FE" w14:paraId="6C389026" w14:textId="77777777" w:rsidTr="00CF763F">
        <w:trPr>
          <w:trHeight w:val="300"/>
        </w:trPr>
        <w:tc>
          <w:tcPr>
            <w:tcW w:w="4678" w:type="dxa"/>
            <w:tcBorders>
              <w:top w:val="nil"/>
              <w:left w:val="single" w:sz="4" w:space="0" w:color="auto"/>
              <w:bottom w:val="single" w:sz="4" w:space="0" w:color="auto"/>
              <w:right w:val="single" w:sz="4" w:space="0" w:color="auto"/>
            </w:tcBorders>
            <w:shd w:val="clear" w:color="auto" w:fill="AAC0CE"/>
            <w:noWrap/>
            <w:vAlign w:val="bottom"/>
            <w:hideMark/>
          </w:tcPr>
          <w:p w14:paraId="2375D66B" w14:textId="77777777" w:rsidR="001806FE" w:rsidRPr="001806FE" w:rsidRDefault="001806FE" w:rsidP="001806FE">
            <w:pPr>
              <w:widowControl/>
              <w:autoSpaceDE/>
              <w:autoSpaceDN/>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Foreign Affairs and Trade</w:t>
            </w:r>
          </w:p>
        </w:tc>
        <w:tc>
          <w:tcPr>
            <w:tcW w:w="1644" w:type="dxa"/>
            <w:tcBorders>
              <w:top w:val="nil"/>
              <w:left w:val="nil"/>
              <w:bottom w:val="single" w:sz="4" w:space="0" w:color="auto"/>
              <w:right w:val="single" w:sz="4" w:space="0" w:color="auto"/>
            </w:tcBorders>
            <w:shd w:val="clear" w:color="auto" w:fill="auto"/>
            <w:noWrap/>
            <w:vAlign w:val="bottom"/>
          </w:tcPr>
          <w:p w14:paraId="7AAF838F"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11</w:t>
            </w:r>
          </w:p>
        </w:tc>
        <w:tc>
          <w:tcPr>
            <w:tcW w:w="1644" w:type="dxa"/>
            <w:tcBorders>
              <w:top w:val="nil"/>
              <w:left w:val="nil"/>
              <w:bottom w:val="single" w:sz="4" w:space="0" w:color="auto"/>
              <w:right w:val="single" w:sz="4" w:space="0" w:color="auto"/>
            </w:tcBorders>
            <w:shd w:val="clear" w:color="auto" w:fill="auto"/>
            <w:noWrap/>
            <w:vAlign w:val="bottom"/>
          </w:tcPr>
          <w:p w14:paraId="3A570A19"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w:t>
            </w:r>
          </w:p>
        </w:tc>
        <w:tc>
          <w:tcPr>
            <w:tcW w:w="1532" w:type="dxa"/>
            <w:tcBorders>
              <w:top w:val="nil"/>
              <w:left w:val="nil"/>
              <w:bottom w:val="single" w:sz="4" w:space="0" w:color="auto"/>
              <w:right w:val="single" w:sz="4" w:space="0" w:color="auto"/>
            </w:tcBorders>
            <w:shd w:val="clear" w:color="auto" w:fill="auto"/>
            <w:noWrap/>
            <w:vAlign w:val="bottom"/>
            <w:hideMark/>
          </w:tcPr>
          <w:p w14:paraId="382B3261" w14:textId="77777777" w:rsidR="001806FE" w:rsidRPr="001806FE" w:rsidRDefault="001806FE" w:rsidP="001806FE">
            <w:pPr>
              <w:widowControl/>
              <w:autoSpaceDE/>
              <w:autoSpaceDN/>
              <w:jc w:val="right"/>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12</w:t>
            </w:r>
          </w:p>
        </w:tc>
      </w:tr>
      <w:tr w:rsidR="001806FE" w:rsidRPr="001806FE" w14:paraId="289647E4" w14:textId="77777777" w:rsidTr="00CF763F">
        <w:trPr>
          <w:trHeight w:val="300"/>
        </w:trPr>
        <w:tc>
          <w:tcPr>
            <w:tcW w:w="4678" w:type="dxa"/>
            <w:tcBorders>
              <w:top w:val="nil"/>
              <w:left w:val="single" w:sz="4" w:space="0" w:color="auto"/>
              <w:bottom w:val="nil"/>
              <w:right w:val="single" w:sz="4" w:space="0" w:color="auto"/>
            </w:tcBorders>
            <w:shd w:val="clear" w:color="auto" w:fill="50748A"/>
            <w:noWrap/>
            <w:vAlign w:val="bottom"/>
            <w:hideMark/>
          </w:tcPr>
          <w:p w14:paraId="50FEE4A2" w14:textId="77777777" w:rsidR="001806FE" w:rsidRPr="001806FE" w:rsidRDefault="001806FE" w:rsidP="001806FE">
            <w:pPr>
              <w:widowControl/>
              <w:autoSpaceDE/>
              <w:autoSpaceDN/>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TOTAL</w:t>
            </w:r>
          </w:p>
        </w:tc>
        <w:tc>
          <w:tcPr>
            <w:tcW w:w="1644" w:type="dxa"/>
            <w:tcBorders>
              <w:top w:val="nil"/>
              <w:left w:val="nil"/>
              <w:bottom w:val="nil"/>
              <w:right w:val="single" w:sz="4" w:space="0" w:color="auto"/>
            </w:tcBorders>
            <w:shd w:val="clear" w:color="auto" w:fill="50748A"/>
            <w:noWrap/>
            <w:vAlign w:val="bottom"/>
          </w:tcPr>
          <w:p w14:paraId="5D960B2B" w14:textId="49685C97" w:rsidR="001806FE" w:rsidRPr="001806FE" w:rsidRDefault="009B70FB" w:rsidP="001806FE">
            <w:pPr>
              <w:widowControl/>
              <w:autoSpaceDE/>
              <w:autoSpaceDN/>
              <w:jc w:val="right"/>
              <w:rPr>
                <w:rFonts w:ascii="Calibri" w:eastAsia="Times New Roman" w:hAnsi="Calibri" w:cs="Calibri"/>
                <w:color w:val="FFFFFF"/>
                <w:lang w:val="en-AU" w:eastAsia="en-AU"/>
              </w:rPr>
            </w:pPr>
            <w:r>
              <w:rPr>
                <w:rFonts w:ascii="Calibri" w:eastAsia="Times New Roman" w:hAnsi="Calibri" w:cs="Calibri"/>
                <w:color w:val="FFFFFF"/>
                <w:lang w:val="en-AU" w:eastAsia="en-AU"/>
              </w:rPr>
              <w:t>54</w:t>
            </w:r>
            <w:r w:rsidR="00D82BCA">
              <w:rPr>
                <w:rFonts w:ascii="Calibri" w:eastAsia="Times New Roman" w:hAnsi="Calibri" w:cs="Calibri"/>
                <w:color w:val="FFFFFF"/>
                <w:lang w:val="en-AU" w:eastAsia="en-AU"/>
              </w:rPr>
              <w:t>2</w:t>
            </w:r>
          </w:p>
        </w:tc>
        <w:tc>
          <w:tcPr>
            <w:tcW w:w="1644" w:type="dxa"/>
            <w:tcBorders>
              <w:top w:val="nil"/>
              <w:left w:val="nil"/>
              <w:bottom w:val="nil"/>
              <w:right w:val="single" w:sz="4" w:space="0" w:color="auto"/>
            </w:tcBorders>
            <w:shd w:val="clear" w:color="auto" w:fill="50748A"/>
            <w:noWrap/>
            <w:vAlign w:val="bottom"/>
            <w:hideMark/>
          </w:tcPr>
          <w:p w14:paraId="6037552C" w14:textId="43B4E1D3" w:rsidR="001806FE" w:rsidRPr="001806FE" w:rsidRDefault="009B70FB" w:rsidP="001806FE">
            <w:pPr>
              <w:widowControl/>
              <w:autoSpaceDE/>
              <w:autoSpaceDN/>
              <w:jc w:val="right"/>
              <w:rPr>
                <w:rFonts w:ascii="Calibri" w:eastAsia="Times New Roman" w:hAnsi="Calibri" w:cs="Calibri"/>
                <w:color w:val="FFFFFF"/>
                <w:lang w:val="en-AU" w:eastAsia="en-AU"/>
              </w:rPr>
            </w:pPr>
            <w:r>
              <w:rPr>
                <w:rFonts w:ascii="Calibri" w:eastAsia="Times New Roman" w:hAnsi="Calibri" w:cs="Calibri"/>
                <w:color w:val="FFFFFF"/>
                <w:lang w:val="en-AU" w:eastAsia="en-AU"/>
              </w:rPr>
              <w:t>296</w:t>
            </w:r>
          </w:p>
        </w:tc>
        <w:tc>
          <w:tcPr>
            <w:tcW w:w="1532" w:type="dxa"/>
            <w:tcBorders>
              <w:top w:val="nil"/>
              <w:left w:val="nil"/>
              <w:bottom w:val="nil"/>
              <w:right w:val="single" w:sz="4" w:space="0" w:color="auto"/>
            </w:tcBorders>
            <w:shd w:val="clear" w:color="auto" w:fill="50748A"/>
            <w:noWrap/>
            <w:vAlign w:val="bottom"/>
            <w:hideMark/>
          </w:tcPr>
          <w:p w14:paraId="45CB700C" w14:textId="0D4834BF" w:rsidR="001806FE" w:rsidRPr="001806FE" w:rsidRDefault="001806FE" w:rsidP="001806FE">
            <w:pPr>
              <w:widowControl/>
              <w:autoSpaceDE/>
              <w:autoSpaceDN/>
              <w:jc w:val="right"/>
              <w:rPr>
                <w:rFonts w:ascii="Calibri" w:eastAsia="Times New Roman" w:hAnsi="Calibri" w:cs="Calibri"/>
                <w:color w:val="FFFFFF"/>
                <w:lang w:val="en-AU" w:eastAsia="en-AU"/>
              </w:rPr>
            </w:pPr>
            <w:r w:rsidRPr="001806FE">
              <w:rPr>
                <w:rFonts w:ascii="Calibri" w:eastAsia="Times New Roman" w:hAnsi="Calibri" w:cs="Calibri"/>
                <w:color w:val="FFFFFF"/>
                <w:lang w:val="en-AU" w:eastAsia="en-AU"/>
              </w:rPr>
              <w:t>8</w:t>
            </w:r>
            <w:r w:rsidR="009B70FB">
              <w:rPr>
                <w:rFonts w:ascii="Calibri" w:eastAsia="Times New Roman" w:hAnsi="Calibri" w:cs="Calibri"/>
                <w:color w:val="FFFFFF"/>
                <w:lang w:val="en-AU" w:eastAsia="en-AU"/>
              </w:rPr>
              <w:t>3</w:t>
            </w:r>
            <w:r w:rsidR="00D82BCA">
              <w:rPr>
                <w:rFonts w:ascii="Calibri" w:eastAsia="Times New Roman" w:hAnsi="Calibri" w:cs="Calibri"/>
                <w:color w:val="FFFFFF"/>
                <w:lang w:val="en-AU" w:eastAsia="en-AU"/>
              </w:rPr>
              <w:t>8</w:t>
            </w:r>
          </w:p>
        </w:tc>
      </w:tr>
    </w:tbl>
    <w:bookmarkEnd w:id="33"/>
    <w:p w14:paraId="2850ACE7" w14:textId="77777777" w:rsidR="001806FE" w:rsidRPr="001806FE" w:rsidRDefault="001806FE" w:rsidP="001806FE">
      <w:pPr>
        <w:widowControl/>
        <w:autoSpaceDE/>
        <w:autoSpaceDN/>
        <w:spacing w:line="259" w:lineRule="auto"/>
        <w:rPr>
          <w:rFonts w:ascii="Calibri" w:eastAsia="Calibri" w:hAnsi="Calibri" w:cs="Times New Roman"/>
          <w:i/>
          <w:lang w:val="en-AU"/>
        </w:rPr>
      </w:pPr>
      <w:r w:rsidRPr="001806FE">
        <w:rPr>
          <w:rFonts w:ascii="Calibri" w:eastAsia="Calibri" w:hAnsi="Calibri" w:cs="Times New Roman"/>
          <w:i/>
          <w:lang w:val="en-AU"/>
        </w:rPr>
        <w:t>Figure 1: Number of secrecy provisions administered by portfolios</w:t>
      </w:r>
    </w:p>
    <w:p w14:paraId="3A05E0CD" w14:textId="77777777" w:rsidR="001806FE" w:rsidRPr="001806FE" w:rsidRDefault="001806FE" w:rsidP="001806FE">
      <w:pPr>
        <w:widowControl/>
        <w:autoSpaceDE/>
        <w:autoSpaceDN/>
        <w:spacing w:line="259" w:lineRule="auto"/>
        <w:rPr>
          <w:rFonts w:ascii="Calibri" w:eastAsia="Calibri" w:hAnsi="Calibri" w:cs="Times New Roman"/>
          <w:i/>
          <w:lang w:val="en-AU"/>
        </w:rPr>
      </w:pPr>
    </w:p>
    <w:p w14:paraId="0E8DEBDF" w14:textId="77777777" w:rsidR="001806FE" w:rsidRPr="002A0C0D" w:rsidRDefault="001806FE" w:rsidP="001B2709">
      <w:pPr>
        <w:pStyle w:val="Heading3"/>
      </w:pPr>
      <w:bookmarkStart w:id="34" w:name="_Toc130218784"/>
      <w:bookmarkStart w:id="35" w:name="_Toc130465877"/>
      <w:r w:rsidRPr="002A0C0D">
        <w:t>Types of information protected by specific secrecy offences and non-disclosure duties</w:t>
      </w:r>
      <w:bookmarkEnd w:id="34"/>
      <w:bookmarkEnd w:id="35"/>
    </w:p>
    <w:p w14:paraId="759E83DA"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GB"/>
        </w:rPr>
        <w:t xml:space="preserve">Commonwealth information includes information generated, collected and held by the Commonwealth. </w:t>
      </w:r>
      <w:r w:rsidRPr="001806FE">
        <w:rPr>
          <w:rFonts w:ascii="Calibri" w:eastAsia="Calibri" w:hAnsi="Calibri" w:cs="Times New Roman"/>
          <w:lang w:val="en-AU"/>
        </w:rPr>
        <w:t>Specific secrecy offences and non-disclosure duties are enacted to protect a range of categories of Commonwealth information. For the Review, the following categories are used:</w:t>
      </w:r>
    </w:p>
    <w:p w14:paraId="5D354B16" w14:textId="77777777" w:rsidR="001806FE" w:rsidRPr="001806FE" w:rsidRDefault="001806FE" w:rsidP="001806FE">
      <w:pPr>
        <w:keepNext/>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Personal information</w:t>
      </w:r>
      <w:r w:rsidRPr="001806FE">
        <w:rPr>
          <w:rFonts w:ascii="Calibri" w:eastAsia="Calibri" w:hAnsi="Calibri" w:cs="Times New Roman"/>
          <w:lang w:val="en-AU"/>
        </w:rPr>
        <w:t xml:space="preserve"> which includes information about an identified individual or an individual who is reasonably identifiable. This can include identifying information such as names, phone numbers or addresses, bank details or health information.</w:t>
      </w:r>
    </w:p>
    <w:p w14:paraId="608E85CC" w14:textId="261C35BE" w:rsidR="001806FE" w:rsidRPr="001806FE" w:rsidRDefault="001806FE" w:rsidP="001806FE">
      <w:pPr>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Confidential and other information</w:t>
      </w:r>
      <w:r w:rsidRPr="001806FE">
        <w:rPr>
          <w:rFonts w:ascii="Calibri" w:eastAsia="Calibri" w:hAnsi="Calibri" w:cs="Times New Roman"/>
          <w:lang w:val="en-AU"/>
        </w:rPr>
        <w:t xml:space="preserve"> captures information that is confidential, such as information that is communicated in confidence or is subject to a confidentiality clause or court order, or is protected for the purposes of an Act. This can include duties to protect confidentiality of Cabinet information and some information obtained in the course of providing legal representation. Other information includes research information, transport security information, findings of a body or tribunal, evidence or culturally sensitive information.</w:t>
      </w:r>
    </w:p>
    <w:p w14:paraId="56AFD825" w14:textId="77777777" w:rsidR="001806FE" w:rsidRPr="001806FE" w:rsidRDefault="001806FE" w:rsidP="001806FE">
      <w:pPr>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Law enforcement information</w:t>
      </w:r>
      <w:r w:rsidRPr="001806FE">
        <w:rPr>
          <w:rFonts w:ascii="Calibri" w:eastAsia="Calibri" w:hAnsi="Calibri" w:cs="Times New Roman"/>
          <w:lang w:val="en-AU"/>
        </w:rPr>
        <w:t xml:space="preserve"> which includes information that is generated by law enforcement officers and organisations.</w:t>
      </w:r>
    </w:p>
    <w:p w14:paraId="3303F901" w14:textId="77777777" w:rsidR="001806FE" w:rsidRPr="001806FE" w:rsidRDefault="001806FE" w:rsidP="001806FE">
      <w:pPr>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Any information</w:t>
      </w:r>
      <w:r w:rsidRPr="001806FE">
        <w:rPr>
          <w:rFonts w:ascii="Calibri" w:eastAsia="Calibri" w:hAnsi="Calibri" w:cs="Times New Roman"/>
          <w:lang w:val="en-AU"/>
        </w:rPr>
        <w:t xml:space="preserve"> which captures all information that is acquired in the course of carrying out the functions and duties under </w:t>
      </w:r>
      <w:r w:rsidR="001503FE">
        <w:rPr>
          <w:rFonts w:ascii="Calibri" w:eastAsia="Calibri" w:hAnsi="Calibri" w:cs="Times New Roman"/>
          <w:lang w:val="en-AU"/>
        </w:rPr>
        <w:t>an</w:t>
      </w:r>
      <w:r w:rsidRPr="001806FE">
        <w:rPr>
          <w:rFonts w:ascii="Calibri" w:eastAsia="Calibri" w:hAnsi="Calibri" w:cs="Times New Roman"/>
          <w:lang w:val="en-AU"/>
        </w:rPr>
        <w:t xml:space="preserve"> Act. For example, a range of integrity and oversight agencies have strict secrecy offences that prohibit the unlawful disclosure of any information relating to the performance of functions or duties of that agency.</w:t>
      </w:r>
    </w:p>
    <w:p w14:paraId="3A7474FA" w14:textId="77777777" w:rsidR="001806FE" w:rsidRPr="001806FE" w:rsidRDefault="001806FE" w:rsidP="001806FE">
      <w:pPr>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National security information</w:t>
      </w:r>
      <w:r w:rsidRPr="001806FE">
        <w:rPr>
          <w:rFonts w:ascii="Calibri" w:eastAsia="Calibri" w:hAnsi="Calibri" w:cs="Times New Roman"/>
          <w:lang w:val="en-AU"/>
        </w:rPr>
        <w:t xml:space="preserve"> which includes information that relates to, or disclosure of which will affect, national security. This includes information from intelligence agencies.</w:t>
      </w:r>
    </w:p>
    <w:p w14:paraId="20B87DF4" w14:textId="13BEE7C8" w:rsidR="00AA589D" w:rsidRDefault="001806FE" w:rsidP="00AA589D">
      <w:pPr>
        <w:widowControl/>
        <w:numPr>
          <w:ilvl w:val="0"/>
          <w:numId w:val="14"/>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lang w:val="en-AU"/>
        </w:rPr>
        <w:t>Commercial information</w:t>
      </w:r>
      <w:r w:rsidRPr="001806FE">
        <w:rPr>
          <w:rFonts w:ascii="Calibri" w:eastAsia="Calibri" w:hAnsi="Calibri" w:cs="Times New Roman"/>
          <w:lang w:val="en-AU"/>
        </w:rPr>
        <w:t xml:space="preserve"> which includes information relating to corporate entities or individuals, which if disclosed, could prejudice commercial interests.</w:t>
      </w:r>
    </w:p>
    <w:p w14:paraId="1DCEA466" w14:textId="1B858E23" w:rsidR="0093430D" w:rsidRDefault="0093430D" w:rsidP="0093430D">
      <w:pPr>
        <w:widowControl/>
        <w:autoSpaceDE/>
        <w:autoSpaceDN/>
        <w:spacing w:after="160" w:line="259" w:lineRule="auto"/>
        <w:contextualSpacing/>
        <w:rPr>
          <w:rFonts w:ascii="Calibri" w:eastAsia="Calibri" w:hAnsi="Calibri" w:cs="Times New Roman"/>
          <w:lang w:val="en-AU"/>
        </w:rPr>
      </w:pPr>
    </w:p>
    <w:p w14:paraId="6DAA8737" w14:textId="221B5E22" w:rsidR="0093430D" w:rsidRPr="00AA589D" w:rsidRDefault="0093430D" w:rsidP="002C1838">
      <w:pPr>
        <w:widowControl/>
        <w:autoSpaceDE/>
        <w:autoSpaceDN/>
        <w:spacing w:after="160" w:line="259" w:lineRule="auto"/>
        <w:contextualSpacing/>
        <w:rPr>
          <w:rFonts w:ascii="Calibri" w:eastAsia="Calibri" w:hAnsi="Calibri" w:cs="Times New Roman"/>
          <w:lang w:val="en-AU"/>
        </w:rPr>
      </w:pPr>
      <w:r>
        <w:rPr>
          <w:rFonts w:ascii="Calibri" w:eastAsia="Calibri" w:hAnsi="Calibri" w:cs="Times New Roman"/>
          <w:noProof/>
          <w:lang w:val="en-AU"/>
        </w:rPr>
        <w:lastRenderedPageBreak/>
        <w:drawing>
          <wp:inline distT="0" distB="0" distL="0" distR="0" wp14:anchorId="02AAC0D6" wp14:editId="77EC039C">
            <wp:extent cx="6054090" cy="2542540"/>
            <wp:effectExtent l="0" t="0" r="3810" b="0"/>
            <wp:docPr id="2" name="Picture 2" descr="Types of information pro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4090" cy="2542540"/>
                    </a:xfrm>
                    <a:prstGeom prst="rect">
                      <a:avLst/>
                    </a:prstGeom>
                    <a:noFill/>
                  </pic:spPr>
                </pic:pic>
              </a:graphicData>
            </a:graphic>
          </wp:inline>
        </w:drawing>
      </w:r>
    </w:p>
    <w:p w14:paraId="60C4B907" w14:textId="105C8B74" w:rsidR="001806FE" w:rsidRPr="001806FE" w:rsidRDefault="001806FE" w:rsidP="001806FE">
      <w:pPr>
        <w:widowControl/>
        <w:autoSpaceDE/>
        <w:autoSpaceDN/>
        <w:spacing w:after="160" w:line="259" w:lineRule="auto"/>
        <w:contextualSpacing/>
        <w:rPr>
          <w:rFonts w:ascii="Calibri" w:eastAsia="Calibri" w:hAnsi="Calibri" w:cs="Times New Roman"/>
          <w:b/>
          <w:lang w:val="en-AU"/>
        </w:rPr>
      </w:pPr>
      <w:r w:rsidRPr="001806FE" w:rsidDel="00485453">
        <w:rPr>
          <w:rFonts w:ascii="Calibri" w:eastAsia="Calibri" w:hAnsi="Calibri" w:cs="Times New Roman"/>
          <w:lang w:val="en-AU"/>
        </w:rPr>
        <w:t xml:space="preserve"> </w:t>
      </w:r>
    </w:p>
    <w:p w14:paraId="75FB3501" w14:textId="77777777" w:rsidR="001806FE" w:rsidRPr="001806FE" w:rsidRDefault="001806FE" w:rsidP="001806FE">
      <w:pPr>
        <w:widowControl/>
        <w:autoSpaceDE/>
        <w:autoSpaceDN/>
        <w:spacing w:after="120" w:line="259" w:lineRule="auto"/>
        <w:rPr>
          <w:rFonts w:ascii="Calibri" w:eastAsia="Calibri" w:hAnsi="Calibri" w:cs="Times New Roman"/>
          <w:i/>
          <w:lang w:val="en-AU"/>
        </w:rPr>
      </w:pPr>
      <w:r w:rsidRPr="001806FE">
        <w:rPr>
          <w:rFonts w:ascii="Calibri" w:eastAsia="Calibri" w:hAnsi="Calibri" w:cs="Times New Roman"/>
          <w:i/>
          <w:lang w:val="en-AU"/>
        </w:rPr>
        <w:t>Figure 2: Types of information protected by specific secrecy offences and non-disclosure duties</w:t>
      </w:r>
    </w:p>
    <w:p w14:paraId="412D640B" w14:textId="4E5C960C" w:rsidR="001806FE" w:rsidRPr="001806FE" w:rsidRDefault="003104EE" w:rsidP="001806FE">
      <w:pPr>
        <w:widowControl/>
        <w:autoSpaceDE/>
        <w:autoSpaceDN/>
        <w:spacing w:after="160" w:line="259" w:lineRule="auto"/>
        <w:rPr>
          <w:rFonts w:ascii="Calibri" w:eastAsia="Calibri" w:hAnsi="Calibri" w:cs="Times New Roman"/>
          <w:lang w:val="en-AU"/>
        </w:rPr>
      </w:pPr>
      <w:r>
        <w:rPr>
          <w:rFonts w:ascii="Calibri" w:eastAsia="Calibri" w:hAnsi="Calibri" w:cs="Times New Roman"/>
          <w:lang w:val="en-AU"/>
        </w:rPr>
        <w:t>A number of</w:t>
      </w:r>
      <w:r w:rsidR="001806FE" w:rsidRPr="001806FE">
        <w:rPr>
          <w:rFonts w:ascii="Calibri" w:eastAsia="Calibri" w:hAnsi="Calibri" w:cs="Times New Roman"/>
          <w:lang w:val="en-AU"/>
        </w:rPr>
        <w:t xml:space="preserve"> provisions protect multiple types of information</w:t>
      </w:r>
      <w:r>
        <w:rPr>
          <w:rFonts w:ascii="Calibri" w:eastAsia="Calibri" w:hAnsi="Calibri" w:cs="Times New Roman"/>
          <w:lang w:val="en-AU"/>
        </w:rPr>
        <w:t xml:space="preserve"> (1</w:t>
      </w:r>
      <w:r w:rsidR="00FA1E66">
        <w:rPr>
          <w:rFonts w:ascii="Calibri" w:eastAsia="Calibri" w:hAnsi="Calibri" w:cs="Times New Roman"/>
          <w:lang w:val="en-AU"/>
        </w:rPr>
        <w:t>27</w:t>
      </w:r>
      <w:r>
        <w:rPr>
          <w:rFonts w:ascii="Calibri" w:eastAsia="Calibri" w:hAnsi="Calibri" w:cs="Times New Roman"/>
          <w:lang w:val="en-AU"/>
        </w:rPr>
        <w:t xml:space="preserve"> provisions);</w:t>
      </w:r>
      <w:r w:rsidR="001806FE" w:rsidRPr="001806FE">
        <w:rPr>
          <w:rFonts w:ascii="Calibri" w:eastAsia="Calibri" w:hAnsi="Calibri" w:cs="Times New Roman"/>
          <w:lang w:val="en-AU"/>
        </w:rPr>
        <w:t xml:space="preserve"> where this is the case, provisions have been recorded against each category of information protected. </w:t>
      </w:r>
    </w:p>
    <w:p w14:paraId="0563DD6E" w14:textId="77777777" w:rsidR="001806FE" w:rsidRPr="001806FE" w:rsidRDefault="001806FE" w:rsidP="001B2709">
      <w:pPr>
        <w:pStyle w:val="Heading3"/>
      </w:pPr>
      <w:bookmarkStart w:id="36" w:name="_Toc130218785"/>
      <w:bookmarkStart w:id="37" w:name="_Toc130465878"/>
      <w:r w:rsidRPr="001806FE">
        <w:t>Categories of people covered by specific secrecy offences and non-disclosure duties</w:t>
      </w:r>
      <w:bookmarkEnd w:id="36"/>
      <w:bookmarkEnd w:id="37"/>
    </w:p>
    <w:p w14:paraId="633279DC"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The majority of specific secrecy offences and non-disclosure duties apply to individuals who are current or former Commonwealth officers, or are dealing with Commonwealth information. </w:t>
      </w:r>
    </w:p>
    <w:p w14:paraId="2279CFE7" w14:textId="77777777" w:rsidR="001806FE" w:rsidRPr="001806FE" w:rsidRDefault="001806FE" w:rsidP="001806FE">
      <w:pPr>
        <w:widowControl/>
        <w:autoSpaceDE/>
        <w:autoSpaceDN/>
        <w:spacing w:after="160" w:line="259" w:lineRule="auto"/>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 xml:space="preserve">In relation to specific secrecy offences and non-disclosure duties, there is variation in the approach taken to describing who these offences may apply to, including a number of offences that apply to ‘any’ person. Other specific secrecy offences may specify that they apply to individuals employed under the </w:t>
      </w:r>
      <w:r w:rsidRPr="001806FE">
        <w:rPr>
          <w:rFonts w:ascii="Calibri" w:eastAsia="Times New Roman" w:hAnsi="Calibri" w:cs="Calibri"/>
          <w:i/>
          <w:color w:val="000000"/>
          <w:lang w:val="en-AU" w:eastAsia="en-AU"/>
        </w:rPr>
        <w:t>Public Service Act 1999</w:t>
      </w:r>
      <w:r w:rsidRPr="001806FE">
        <w:rPr>
          <w:rFonts w:ascii="Calibri" w:eastAsia="Times New Roman" w:hAnsi="Calibri" w:cs="Calibri"/>
          <w:color w:val="000000"/>
          <w:lang w:val="en-AU" w:eastAsia="en-AU"/>
        </w:rPr>
        <w:t xml:space="preserve">, Commonwealth ministers, individuals employed by Commonwealth agencies or statutory corporations, and statutory officer holders or individuals who have been contracted to provide a service for or on behalf of the Commonwealth. </w:t>
      </w:r>
    </w:p>
    <w:p w14:paraId="3629A8BC" w14:textId="77777777" w:rsidR="001806FE" w:rsidRPr="001806FE" w:rsidRDefault="001806FE" w:rsidP="001806FE">
      <w:pPr>
        <w:widowControl/>
        <w:autoSpaceDE/>
        <w:autoSpaceDN/>
        <w:spacing w:after="160" w:line="259" w:lineRule="auto"/>
        <w:rPr>
          <w:rFonts w:ascii="Calibri" w:eastAsia="Times New Roman" w:hAnsi="Calibri" w:cs="Calibri"/>
          <w:color w:val="000000"/>
          <w:lang w:val="en-AU" w:eastAsia="en-AU"/>
        </w:rPr>
      </w:pPr>
      <w:r w:rsidRPr="001806FE">
        <w:rPr>
          <w:rFonts w:ascii="Calibri" w:eastAsia="Times New Roman" w:hAnsi="Calibri" w:cs="Calibri"/>
          <w:color w:val="000000"/>
          <w:lang w:val="en-AU" w:eastAsia="en-AU"/>
        </w:rPr>
        <w:t>Some specific secrecy offences also apply to categories of people who are not Commonwealth officers, such as</w:t>
      </w:r>
      <w:r w:rsidRPr="001806FE">
        <w:rPr>
          <w:rFonts w:ascii="Calibri" w:eastAsia="Calibri" w:hAnsi="Calibri" w:cs="Times New Roman"/>
          <w:lang w:val="en-AU"/>
        </w:rPr>
        <w:t xml:space="preserve"> specific industries or professions. For example, 3 offences specifically apply to legal practitioners</w:t>
      </w:r>
      <w:r w:rsidRPr="001806FE">
        <w:rPr>
          <w:rFonts w:ascii="Calibri" w:eastAsia="Calibri" w:hAnsi="Calibri" w:cs="Times New Roman"/>
          <w:vertAlign w:val="superscript"/>
          <w:lang w:val="en-AU"/>
        </w:rPr>
        <w:footnoteReference w:id="8"/>
      </w:r>
      <w:r w:rsidRPr="001806FE">
        <w:rPr>
          <w:rFonts w:ascii="Calibri" w:eastAsia="Calibri" w:hAnsi="Calibri" w:cs="Times New Roman"/>
          <w:lang w:val="en-AU"/>
        </w:rPr>
        <w:t xml:space="preserve"> and 4 offences specifically apply to health care and aged care professionals.</w:t>
      </w:r>
      <w:r w:rsidRPr="001806FE">
        <w:rPr>
          <w:rFonts w:ascii="Calibri" w:eastAsia="Calibri" w:hAnsi="Calibri" w:cs="Times New Roman"/>
          <w:vertAlign w:val="superscript"/>
          <w:lang w:val="en-AU"/>
        </w:rPr>
        <w:footnoteReference w:id="9"/>
      </w:r>
      <w:r w:rsidRPr="001806FE">
        <w:rPr>
          <w:rFonts w:ascii="Calibri" w:eastAsia="Calibri" w:hAnsi="Calibri" w:cs="Times New Roman"/>
          <w:lang w:val="en-AU"/>
        </w:rPr>
        <w:t xml:space="preserve">  </w:t>
      </w:r>
    </w:p>
    <w:p w14:paraId="773B09A3" w14:textId="77777777" w:rsidR="001806FE" w:rsidRPr="001806FE" w:rsidRDefault="001806FE" w:rsidP="001B2709">
      <w:pPr>
        <w:pStyle w:val="Heading2"/>
      </w:pPr>
      <w:bookmarkStart w:id="38" w:name="_Toc70425948"/>
      <w:bookmarkStart w:id="39" w:name="_Toc71635630"/>
      <w:bookmarkStart w:id="40" w:name="_Toc71729201"/>
      <w:bookmarkStart w:id="41" w:name="_Toc71731513"/>
      <w:bookmarkStart w:id="42" w:name="_Toc74663466"/>
      <w:bookmarkStart w:id="43" w:name="_Toc130218786"/>
      <w:bookmarkStart w:id="44" w:name="_Toc130465879"/>
      <w:r w:rsidRPr="001806FE">
        <w:t>Secrecy offences in context: other regimes for protecting, accessing and disclosing information</w:t>
      </w:r>
      <w:bookmarkEnd w:id="38"/>
      <w:bookmarkEnd w:id="39"/>
      <w:bookmarkEnd w:id="40"/>
      <w:bookmarkEnd w:id="41"/>
      <w:bookmarkEnd w:id="42"/>
      <w:bookmarkEnd w:id="43"/>
      <w:bookmarkEnd w:id="44"/>
    </w:p>
    <w:p w14:paraId="2EEDAE26" w14:textId="50F53AFA" w:rsidR="001806FE" w:rsidRPr="001806FE" w:rsidRDefault="001806FE" w:rsidP="001806FE">
      <w:pPr>
        <w:widowControl/>
        <w:autoSpaceDE/>
        <w:autoSpaceDN/>
        <w:spacing w:after="160" w:line="259" w:lineRule="auto"/>
        <w:rPr>
          <w:rFonts w:ascii="Calibri" w:eastAsia="Calibri" w:hAnsi="Calibri" w:cs="Times New Roman"/>
          <w:lang w:val="en-GB"/>
        </w:rPr>
      </w:pPr>
      <w:bookmarkStart w:id="45" w:name="_Toc67068336"/>
      <w:bookmarkStart w:id="46" w:name="_Toc67068448"/>
      <w:r w:rsidRPr="001806FE">
        <w:rPr>
          <w:rFonts w:ascii="Calibri" w:eastAsia="Calibri" w:hAnsi="Calibri" w:cs="Times New Roman"/>
          <w:lang w:val="en-GB"/>
        </w:rPr>
        <w:t xml:space="preserve">Secrecy provisions are an information protection mechanism that sit within the context of a range of other regimes that regulate protection, disclosure and access arrangements for Commonwealth information (for a definition of Commonwealth information, see p. </w:t>
      </w:r>
      <w:r w:rsidR="003C25B1">
        <w:rPr>
          <w:rFonts w:ascii="Calibri" w:eastAsia="Calibri" w:hAnsi="Calibri" w:cs="Times New Roman"/>
          <w:lang w:val="en-GB"/>
        </w:rPr>
        <w:t>10</w:t>
      </w:r>
      <w:r w:rsidRPr="001806FE">
        <w:rPr>
          <w:rFonts w:ascii="Calibri" w:eastAsia="Calibri" w:hAnsi="Calibri" w:cs="Times New Roman"/>
          <w:lang w:val="en-GB"/>
        </w:rPr>
        <w:t xml:space="preserve">). </w:t>
      </w:r>
    </w:p>
    <w:p w14:paraId="6F3EAC10" w14:textId="77777777" w:rsidR="001806FE" w:rsidRPr="001806FE" w:rsidRDefault="001806FE" w:rsidP="001806FE">
      <w:pPr>
        <w:widowControl/>
        <w:autoSpaceDE/>
        <w:autoSpaceDN/>
        <w:spacing w:after="160" w:line="259" w:lineRule="auto"/>
        <w:rPr>
          <w:rFonts w:ascii="Calibri" w:eastAsia="Calibri" w:hAnsi="Calibri" w:cs="Times New Roman"/>
          <w:lang w:val="en-GB"/>
        </w:rPr>
      </w:pPr>
      <w:r w:rsidRPr="001806FE">
        <w:rPr>
          <w:rFonts w:ascii="Calibri" w:eastAsia="Calibri" w:hAnsi="Calibri" w:cs="Times New Roman"/>
          <w:lang w:val="en-GB"/>
        </w:rPr>
        <w:t xml:space="preserve">There can be a range of reasons why information, including sensitive information, is provided to government by individuals, entities and other governments and in providing this information, there is an expectation that it will only be used for the purposes for which it was provided or required.  </w:t>
      </w:r>
    </w:p>
    <w:p w14:paraId="525BCDDC" w14:textId="77777777" w:rsidR="001806FE" w:rsidRPr="001806FE" w:rsidRDefault="001806FE" w:rsidP="00C122AC">
      <w:pPr>
        <w:keepNext/>
        <w:widowControl/>
        <w:autoSpaceDE/>
        <w:autoSpaceDN/>
        <w:spacing w:after="160" w:line="259" w:lineRule="auto"/>
        <w:rPr>
          <w:rFonts w:ascii="Calibri" w:eastAsia="Calibri" w:hAnsi="Calibri" w:cs="Times New Roman"/>
          <w:lang w:val="en-GB"/>
        </w:rPr>
      </w:pPr>
      <w:r w:rsidRPr="001806FE">
        <w:rPr>
          <w:rFonts w:ascii="Calibri" w:eastAsia="Calibri" w:hAnsi="Calibri" w:cs="Times New Roman"/>
          <w:lang w:val="en-GB"/>
        </w:rPr>
        <w:lastRenderedPageBreak/>
        <w:t>Other regimes that regulate the protection of information include:</w:t>
      </w:r>
    </w:p>
    <w:p w14:paraId="26F54811" w14:textId="77777777" w:rsidR="001806FE" w:rsidRPr="001806FE" w:rsidRDefault="001806FE" w:rsidP="00C122AC">
      <w:pPr>
        <w:keepNext/>
        <w:widowControl/>
        <w:numPr>
          <w:ilvl w:val="0"/>
          <w:numId w:val="12"/>
        </w:numPr>
        <w:autoSpaceDE/>
        <w:autoSpaceDN/>
        <w:spacing w:after="160" w:line="259" w:lineRule="auto"/>
        <w:contextualSpacing/>
        <w:rPr>
          <w:rFonts w:ascii="Calibri" w:eastAsia="Calibri" w:hAnsi="Calibri" w:cs="Times New Roman"/>
          <w:lang w:val="en-GB"/>
        </w:rPr>
      </w:pPr>
      <w:r w:rsidRPr="001806FE">
        <w:rPr>
          <w:rFonts w:ascii="Calibri" w:eastAsia="Calibri" w:hAnsi="Calibri" w:cs="Times New Roman"/>
          <w:b/>
          <w:i/>
          <w:lang w:val="en-AU"/>
        </w:rPr>
        <w:t xml:space="preserve">Privacy Act 1988: </w:t>
      </w:r>
      <w:bookmarkEnd w:id="45"/>
      <w:bookmarkEnd w:id="46"/>
      <w:r w:rsidRPr="001806FE">
        <w:rPr>
          <w:rFonts w:ascii="Calibri" w:eastAsia="Calibri" w:hAnsi="Calibri" w:cs="Times New Roman"/>
          <w:lang w:val="en-AU"/>
        </w:rPr>
        <w:t xml:space="preserve">The Privacy Act promotes and protects the privacy of individuals, and regulates the handling of personal information by Australian Government agencies, private sector organisations with an annual turnover of more than $3 million, and some smaller organisations. A number of specific secrecy offences, including non-disclosure duties, were enacted prior to the commencement of the Privacy Act, and provided protection for personal information held by the Commonwealth. </w:t>
      </w:r>
    </w:p>
    <w:p w14:paraId="2ADA712B" w14:textId="77777777" w:rsidR="001806FE" w:rsidRPr="001806FE" w:rsidRDefault="001806FE" w:rsidP="001806FE">
      <w:pPr>
        <w:widowControl/>
        <w:numPr>
          <w:ilvl w:val="0"/>
          <w:numId w:val="12"/>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i/>
          <w:lang w:val="en-GB"/>
        </w:rPr>
        <w:t xml:space="preserve">Duties of confidentiality: </w:t>
      </w:r>
      <w:r w:rsidRPr="001806FE">
        <w:rPr>
          <w:rFonts w:ascii="Calibri" w:eastAsia="Calibri" w:hAnsi="Calibri" w:cs="Times New Roman"/>
          <w:lang w:val="en-AU"/>
        </w:rPr>
        <w:t>The equitable duty of confidence and the common law duties of loyalty and fidelity govern the protection and disclosure of information, including information held by government. An action for breach of confidence may be brought to restrain disclosure of information by a third party who has received confidential information.</w:t>
      </w:r>
      <w:r w:rsidRPr="001806FE">
        <w:rPr>
          <w:rFonts w:ascii="Calibri" w:eastAsia="Calibri" w:hAnsi="Calibri" w:cs="Times New Roman"/>
          <w:vertAlign w:val="superscript"/>
          <w:lang w:val="en-AU"/>
        </w:rPr>
        <w:footnoteReference w:id="10"/>
      </w:r>
      <w:r w:rsidRPr="001806FE">
        <w:rPr>
          <w:rFonts w:ascii="Calibri" w:eastAsia="Calibri" w:hAnsi="Calibri" w:cs="Times New Roman"/>
          <w:lang w:val="en-AU"/>
        </w:rPr>
        <w:t xml:space="preserve"> The common law imposes a duty of loyalty and fidelity upon all employees.</w:t>
      </w:r>
      <w:r w:rsidRPr="001806FE">
        <w:rPr>
          <w:rFonts w:ascii="Calibri" w:eastAsia="Calibri" w:hAnsi="Calibri" w:cs="Times New Roman"/>
          <w:vertAlign w:val="superscript"/>
          <w:lang w:val="en-AU"/>
        </w:rPr>
        <w:footnoteReference w:id="11"/>
      </w:r>
      <w:r w:rsidRPr="001806FE">
        <w:rPr>
          <w:rFonts w:ascii="Calibri" w:eastAsia="Calibri" w:hAnsi="Calibri" w:cs="Times New Roman"/>
          <w:lang w:val="en-AU"/>
        </w:rPr>
        <w:t xml:space="preserve"> </w:t>
      </w:r>
    </w:p>
    <w:p w14:paraId="193452EB" w14:textId="77777777" w:rsidR="001806FE" w:rsidRDefault="001806FE" w:rsidP="001806FE">
      <w:pPr>
        <w:widowControl/>
        <w:numPr>
          <w:ilvl w:val="0"/>
          <w:numId w:val="12"/>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b/>
          <w:i/>
          <w:lang w:val="en-AU"/>
        </w:rPr>
        <w:t>Protective Security Policy Framework (PSPF)</w:t>
      </w:r>
      <w:r w:rsidRPr="001806FE">
        <w:rPr>
          <w:rFonts w:ascii="Calibri" w:eastAsia="Calibri" w:hAnsi="Calibri" w:cs="Times New Roman"/>
          <w:lang w:val="en-AU"/>
        </w:rPr>
        <w:t>: The PSPF sets out requirements and principles to assist government entities to appropriately manage information. The PSPF requires Commonwealth entities to have in place measures to control access to sensitive information and reduce the risk of unauthorised disclosure.</w:t>
      </w:r>
      <w:r w:rsidRPr="001806FE">
        <w:rPr>
          <w:rFonts w:ascii="Calibri" w:eastAsia="Calibri" w:hAnsi="Calibri" w:cs="Times New Roman"/>
          <w:vertAlign w:val="superscript"/>
          <w:lang w:val="en-AU"/>
        </w:rPr>
        <w:footnoteReference w:id="12"/>
      </w:r>
      <w:r w:rsidRPr="001806FE">
        <w:rPr>
          <w:rFonts w:ascii="Calibri" w:eastAsia="Calibri" w:hAnsi="Calibri" w:cs="Times New Roman"/>
          <w:lang w:val="en-AU"/>
        </w:rPr>
        <w:t xml:space="preserve">  </w:t>
      </w:r>
    </w:p>
    <w:p w14:paraId="075DC21D" w14:textId="77777777" w:rsidR="002B7B52" w:rsidRPr="001806FE" w:rsidRDefault="002B7B52" w:rsidP="003104EE">
      <w:pPr>
        <w:widowControl/>
        <w:autoSpaceDE/>
        <w:autoSpaceDN/>
        <w:spacing w:after="160" w:line="259" w:lineRule="auto"/>
        <w:ind w:left="720"/>
        <w:contextualSpacing/>
        <w:rPr>
          <w:rFonts w:ascii="Calibri" w:eastAsia="Calibri" w:hAnsi="Calibri" w:cs="Times New Roman"/>
          <w:lang w:val="en-AU"/>
        </w:rPr>
      </w:pPr>
    </w:p>
    <w:p w14:paraId="32EC839D" w14:textId="19D710AC" w:rsidR="001806FE" w:rsidRPr="001806FE" w:rsidRDefault="001806FE" w:rsidP="001806FE">
      <w:pPr>
        <w:widowControl/>
        <w:autoSpaceDE/>
        <w:autoSpaceDN/>
        <w:spacing w:after="160" w:line="259" w:lineRule="auto"/>
        <w:rPr>
          <w:rFonts w:ascii="Calibri" w:eastAsia="Calibri" w:hAnsi="Calibri" w:cs="Times New Roman"/>
          <w:lang w:val="en-AU"/>
        </w:rPr>
      </w:pPr>
      <w:bookmarkStart w:id="47" w:name="_Toc67068334"/>
      <w:bookmarkStart w:id="48" w:name="_Toc67068446"/>
      <w:r w:rsidRPr="001806FE">
        <w:rPr>
          <w:rFonts w:ascii="Calibri" w:eastAsia="Calibri" w:hAnsi="Calibri" w:cs="Times New Roman"/>
          <w:lang w:val="en-AU"/>
        </w:rPr>
        <w:t>Consistent with principles of open and accountable government, there are also a number of Commonwealth schemes that enable public access to, or disclosure of, information, while also ensuring proper handling of sensitive information. To assist with the effective operation of these mechanisms, accommodation may be made in the operation of secrecy offences.</w:t>
      </w:r>
    </w:p>
    <w:p w14:paraId="3681F6E7"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Key Commonwealth access and disclosure regimes include: </w:t>
      </w:r>
    </w:p>
    <w:p w14:paraId="32E9BFBB" w14:textId="77777777" w:rsidR="001806FE" w:rsidRPr="001806FE" w:rsidRDefault="001806FE" w:rsidP="001806FE">
      <w:pPr>
        <w:widowControl/>
        <w:numPr>
          <w:ilvl w:val="0"/>
          <w:numId w:val="12"/>
        </w:numPr>
        <w:autoSpaceDE/>
        <w:autoSpaceDN/>
        <w:spacing w:after="160" w:line="259" w:lineRule="auto"/>
        <w:contextualSpacing/>
        <w:rPr>
          <w:rFonts w:ascii="Calibri" w:eastAsia="Calibri" w:hAnsi="Calibri" w:cs="Times New Roman"/>
          <w:lang w:val="en-GB"/>
        </w:rPr>
      </w:pPr>
      <w:r w:rsidRPr="001806FE">
        <w:rPr>
          <w:rFonts w:ascii="Calibri" w:eastAsia="Calibri" w:hAnsi="Calibri" w:cs="Times New Roman"/>
          <w:b/>
          <w:i/>
          <w:lang w:val="en-AU"/>
        </w:rPr>
        <w:t>Freedom of Information Act 1982</w:t>
      </w:r>
      <w:r w:rsidRPr="001806FE">
        <w:rPr>
          <w:rFonts w:ascii="Calibri" w:eastAsia="Calibri" w:hAnsi="Calibri" w:cs="Times New Roman"/>
          <w:lang w:val="en-AU"/>
        </w:rPr>
        <w:t xml:space="preserve">: </w:t>
      </w:r>
      <w:r w:rsidRPr="001806FE">
        <w:rPr>
          <w:rFonts w:ascii="Calibri" w:eastAsia="Calibri" w:hAnsi="Calibri" w:cs="Times New Roman"/>
          <w:lang w:val="en-GB"/>
        </w:rPr>
        <w:t>the FOI Act provides a framework for access to information that supports the accountability of government for its actions.</w:t>
      </w:r>
      <w:bookmarkEnd w:id="47"/>
      <w:bookmarkEnd w:id="48"/>
      <w:r w:rsidRPr="001806FE">
        <w:rPr>
          <w:rFonts w:ascii="Calibri" w:eastAsia="Calibri" w:hAnsi="Calibri" w:cs="Times New Roman"/>
          <w:lang w:val="en-GB"/>
        </w:rPr>
        <w:t xml:space="preserve"> Section 38 of the FOI Act contains an exemption from disclosure of information that is subject to certain secrecy provisions contained in Schedule 3 of the FOI Act.</w:t>
      </w:r>
    </w:p>
    <w:p w14:paraId="4C6D2B2B" w14:textId="77777777" w:rsidR="001806FE" w:rsidRPr="001806FE" w:rsidRDefault="001806FE" w:rsidP="001806FE">
      <w:pPr>
        <w:widowControl/>
        <w:numPr>
          <w:ilvl w:val="0"/>
          <w:numId w:val="12"/>
        </w:numPr>
        <w:autoSpaceDE/>
        <w:autoSpaceDN/>
        <w:spacing w:after="160" w:line="259" w:lineRule="auto"/>
        <w:contextualSpacing/>
        <w:rPr>
          <w:rFonts w:ascii="Calibri" w:eastAsia="Calibri" w:hAnsi="Calibri" w:cs="Times New Roman"/>
          <w:lang w:val="en-GB"/>
        </w:rPr>
      </w:pPr>
      <w:r w:rsidRPr="001806FE">
        <w:rPr>
          <w:rFonts w:ascii="Calibri" w:eastAsia="Calibri" w:hAnsi="Calibri" w:cs="Times New Roman"/>
          <w:b/>
          <w:i/>
          <w:lang w:val="en-GB"/>
        </w:rPr>
        <w:t>Archives Act 1983</w:t>
      </w:r>
      <w:r w:rsidRPr="001806FE">
        <w:rPr>
          <w:rFonts w:ascii="Calibri" w:eastAsia="Calibri" w:hAnsi="Calibri" w:cs="Times New Roman"/>
          <w:lang w:val="en-GB"/>
        </w:rPr>
        <w:t xml:space="preserve">: </w:t>
      </w:r>
      <w:proofErr w:type="gramStart"/>
      <w:r w:rsidRPr="001806FE">
        <w:rPr>
          <w:rFonts w:ascii="Calibri" w:eastAsia="Calibri" w:hAnsi="Calibri" w:cs="Times New Roman"/>
          <w:lang w:val="en-GB"/>
        </w:rPr>
        <w:t>the</w:t>
      </w:r>
      <w:proofErr w:type="gramEnd"/>
      <w:r w:rsidRPr="001806FE">
        <w:rPr>
          <w:rFonts w:ascii="Calibri" w:eastAsia="Calibri" w:hAnsi="Calibri" w:cs="Times New Roman"/>
          <w:lang w:val="en-GB"/>
        </w:rPr>
        <w:t xml:space="preserve"> Archives Act establishes the National Archives and provides public access to Commonwealth records that are in the open access period (generally documents 20 years and older). However, the Archives Act recognises that certain categories of government information should not be disclosed. Exempt records under the Archives Act include information that could reasonably be expected to cause damage to the security or international relations of the Commonwealth or other public interests including unreasonable disclosure of personal or commercial information, or that could endanger life.</w:t>
      </w:r>
      <w:r w:rsidRPr="001806FE">
        <w:rPr>
          <w:rFonts w:ascii="Calibri" w:eastAsia="Calibri" w:hAnsi="Calibri" w:cs="Times New Roman"/>
          <w:vertAlign w:val="superscript"/>
          <w:lang w:val="en-GB"/>
        </w:rPr>
        <w:footnoteReference w:id="13"/>
      </w:r>
      <w:r w:rsidRPr="001806FE">
        <w:rPr>
          <w:rFonts w:ascii="Calibri" w:eastAsia="Calibri" w:hAnsi="Calibri" w:cs="Times New Roman"/>
          <w:lang w:val="en-GB"/>
        </w:rPr>
        <w:t xml:space="preserve">  </w:t>
      </w:r>
    </w:p>
    <w:p w14:paraId="131E0058" w14:textId="77777777" w:rsidR="001806FE" w:rsidRPr="001806FE" w:rsidRDefault="001806FE" w:rsidP="001806FE">
      <w:pPr>
        <w:widowControl/>
        <w:numPr>
          <w:ilvl w:val="0"/>
          <w:numId w:val="12"/>
        </w:numPr>
        <w:autoSpaceDE/>
        <w:autoSpaceDN/>
        <w:spacing w:after="160" w:line="259" w:lineRule="auto"/>
        <w:contextualSpacing/>
        <w:rPr>
          <w:rFonts w:ascii="Calibri" w:eastAsia="Calibri" w:hAnsi="Calibri" w:cs="Times New Roman"/>
          <w:lang w:val="en-GB"/>
        </w:rPr>
      </w:pPr>
      <w:r w:rsidRPr="001806FE">
        <w:rPr>
          <w:rFonts w:ascii="Calibri" w:eastAsia="Calibri" w:hAnsi="Calibri" w:cs="Times New Roman"/>
          <w:b/>
          <w:i/>
          <w:lang w:val="en-GB"/>
        </w:rPr>
        <w:t>Public Interest Disclosure Act 2013</w:t>
      </w:r>
      <w:r w:rsidRPr="001806FE">
        <w:rPr>
          <w:rFonts w:ascii="Calibri" w:eastAsia="Calibri" w:hAnsi="Calibri" w:cs="Times New Roman"/>
          <w:lang w:val="en-GB"/>
        </w:rPr>
        <w:t xml:space="preserve">: the PID Act </w:t>
      </w:r>
      <w:r w:rsidRPr="001806FE">
        <w:rPr>
          <w:rFonts w:ascii="Calibri" w:eastAsia="Calibri" w:hAnsi="Calibri" w:cs="Times New Roman"/>
          <w:lang w:val="en-AU"/>
        </w:rPr>
        <w:t>enables public officials to disclose suspected wrongdoing by another public official or by an Australian government agency.</w:t>
      </w:r>
      <w:r w:rsidRPr="001806FE">
        <w:rPr>
          <w:rFonts w:ascii="Calibri" w:eastAsia="Calibri" w:hAnsi="Calibri" w:cs="Times New Roman"/>
          <w:vertAlign w:val="superscript"/>
          <w:lang w:val="en-GB"/>
        </w:rPr>
        <w:footnoteReference w:id="14"/>
      </w:r>
      <w:r w:rsidRPr="001806FE">
        <w:rPr>
          <w:rFonts w:ascii="Calibri" w:eastAsia="Calibri" w:hAnsi="Calibri" w:cs="Times New Roman"/>
          <w:lang w:val="en-AU"/>
        </w:rPr>
        <w:t xml:space="preserve"> The PID Act provides disclosers with immunity against civil, criminal and administrative liability for their disclosure (including potential liability for the contravention of secrecy offences), with certain limitations including for disclosures of </w:t>
      </w:r>
      <w:r w:rsidRPr="001806FE">
        <w:rPr>
          <w:rFonts w:ascii="Calibri" w:eastAsia="Calibri" w:hAnsi="Calibri" w:cs="Times New Roman"/>
          <w:lang w:val="en-GB"/>
        </w:rPr>
        <w:t xml:space="preserve">intelligence information and information </w:t>
      </w:r>
      <w:r w:rsidRPr="001806FE">
        <w:rPr>
          <w:rFonts w:ascii="Calibri" w:eastAsia="Calibri" w:hAnsi="Calibri" w:cs="Times New Roman"/>
          <w:lang w:val="en-GB"/>
        </w:rPr>
        <w:lastRenderedPageBreak/>
        <w:t>relating to intelligence agencies.</w:t>
      </w:r>
      <w:r w:rsidRPr="001806FE">
        <w:rPr>
          <w:rFonts w:ascii="Calibri" w:eastAsia="Calibri" w:hAnsi="Calibri" w:cs="Times New Roman"/>
          <w:vertAlign w:val="superscript"/>
          <w:lang w:val="en-GB"/>
        </w:rPr>
        <w:footnoteReference w:id="15"/>
      </w:r>
      <w:r w:rsidRPr="001806FE">
        <w:rPr>
          <w:rFonts w:ascii="Calibri" w:eastAsia="Calibri" w:hAnsi="Calibri" w:cs="Times New Roman"/>
          <w:lang w:val="en-GB"/>
        </w:rPr>
        <w:t xml:space="preserve"> Other information is subject to designated publication restrictions.</w:t>
      </w:r>
      <w:r w:rsidRPr="001806FE">
        <w:rPr>
          <w:rFonts w:ascii="Calibri" w:eastAsia="Calibri" w:hAnsi="Calibri" w:cs="Times New Roman"/>
          <w:vertAlign w:val="superscript"/>
          <w:lang w:val="en-GB"/>
        </w:rPr>
        <w:footnoteReference w:id="16"/>
      </w:r>
      <w:r w:rsidRPr="001806FE">
        <w:rPr>
          <w:rFonts w:ascii="Calibri" w:eastAsia="Calibri" w:hAnsi="Calibri" w:cs="Times New Roman"/>
          <w:lang w:val="en-AU"/>
        </w:rPr>
        <w:t xml:space="preserve"> The PID Act also </w:t>
      </w:r>
      <w:r w:rsidRPr="001806FE">
        <w:rPr>
          <w:rFonts w:ascii="Calibri" w:eastAsia="Calibri" w:hAnsi="Calibri" w:cs="Times New Roman"/>
          <w:lang w:val="en-GB"/>
        </w:rPr>
        <w:t>provides that the conduct of a public interest disclosure investigation is not affected by the operation of secrecy obligations, with limited exceptions.</w:t>
      </w:r>
      <w:r w:rsidRPr="001806FE">
        <w:rPr>
          <w:rFonts w:ascii="Calibri" w:eastAsia="Calibri" w:hAnsi="Calibri" w:cs="Times New Roman"/>
          <w:vertAlign w:val="superscript"/>
          <w:lang w:val="en-GB"/>
        </w:rPr>
        <w:footnoteReference w:id="17"/>
      </w:r>
      <w:r w:rsidRPr="001806FE">
        <w:rPr>
          <w:rFonts w:ascii="Calibri" w:eastAsia="Calibri" w:hAnsi="Calibri" w:cs="Times New Roman"/>
          <w:lang w:val="en-GB"/>
        </w:rPr>
        <w:t xml:space="preserve"> </w:t>
      </w:r>
    </w:p>
    <w:p w14:paraId="00FFDCC8" w14:textId="77777777" w:rsidR="00A867BA" w:rsidRDefault="001806FE" w:rsidP="003104EE">
      <w:pPr>
        <w:widowControl/>
        <w:numPr>
          <w:ilvl w:val="0"/>
          <w:numId w:val="12"/>
        </w:numPr>
        <w:autoSpaceDE/>
        <w:autoSpaceDN/>
        <w:spacing w:after="160" w:line="259" w:lineRule="auto"/>
        <w:contextualSpacing/>
        <w:rPr>
          <w:rFonts w:ascii="Calibri" w:eastAsia="Calibri" w:hAnsi="Calibri" w:cs="Times New Roman"/>
          <w:lang w:val="en-GB"/>
        </w:rPr>
      </w:pPr>
      <w:r w:rsidRPr="001806FE">
        <w:rPr>
          <w:rFonts w:ascii="Calibri" w:eastAsia="Calibri" w:hAnsi="Calibri" w:cs="Times New Roman"/>
          <w:b/>
          <w:i/>
          <w:lang w:val="en-AU"/>
        </w:rPr>
        <w:t xml:space="preserve">Data Availability and Transparency Act 2022: </w:t>
      </w:r>
      <w:r w:rsidRPr="001806FE">
        <w:rPr>
          <w:rFonts w:ascii="Calibri" w:eastAsia="Calibri" w:hAnsi="Calibri" w:cs="Times New Roman"/>
          <w:lang w:val="en-AU"/>
        </w:rPr>
        <w:t>the DAT Act establishes the DATA Scheme which allows Australian Government bodies participating in the Scheme</w:t>
      </w:r>
      <w:r w:rsidRPr="001806FE">
        <w:rPr>
          <w:rFonts w:ascii="Calibri" w:eastAsia="Calibri" w:hAnsi="Calibri" w:cs="Times New Roman"/>
          <w:vertAlign w:val="superscript"/>
          <w:lang w:val="en-AU"/>
        </w:rPr>
        <w:footnoteReference w:id="18"/>
      </w:r>
      <w:r w:rsidRPr="001806FE">
        <w:rPr>
          <w:rFonts w:ascii="Calibri" w:eastAsia="Calibri" w:hAnsi="Calibri" w:cs="Times New Roman"/>
          <w:lang w:val="en-AU"/>
        </w:rPr>
        <w:t xml:space="preserve"> to share their public sector data with Accredited Users (who are authorised to collect and use the data provided the requirements of the DAT Act are met). The DAT Act authorises collection and use of data provided it is in line with the Privacy Act and overrides some secrecy offences that would otherwise prevent sharing of data under the DATA scheme.</w:t>
      </w:r>
      <w:r w:rsidRPr="001806FE">
        <w:rPr>
          <w:rFonts w:ascii="Calibri" w:eastAsia="Calibri" w:hAnsi="Calibri" w:cs="Times New Roman"/>
          <w:vertAlign w:val="superscript"/>
          <w:lang w:val="en-AU"/>
        </w:rPr>
        <w:footnoteReference w:id="19"/>
      </w:r>
    </w:p>
    <w:p w14:paraId="72C58998" w14:textId="77777777" w:rsidR="003104EE" w:rsidRDefault="003104EE" w:rsidP="003104EE">
      <w:pPr>
        <w:widowControl/>
        <w:autoSpaceDE/>
        <w:autoSpaceDN/>
        <w:spacing w:after="160" w:line="259" w:lineRule="auto"/>
        <w:contextualSpacing/>
        <w:rPr>
          <w:rFonts w:ascii="Calibri" w:eastAsia="Calibri" w:hAnsi="Calibri" w:cs="Times New Roman"/>
          <w:lang w:val="en-GB"/>
        </w:rPr>
      </w:pPr>
    </w:p>
    <w:p w14:paraId="1F3C7B1E" w14:textId="77777777" w:rsidR="009F3F4B" w:rsidRDefault="003104EE" w:rsidP="007C4752">
      <w:pPr>
        <w:rPr>
          <w:rFonts w:ascii="Calibri" w:eastAsia="Calibri" w:hAnsi="Calibri" w:cs="Times New Roman"/>
          <w:lang w:val="en-AU"/>
        </w:rPr>
      </w:pPr>
      <w:r>
        <w:rPr>
          <w:rFonts w:ascii="Calibri" w:eastAsia="Calibri" w:hAnsi="Calibri" w:cs="Times New Roman"/>
          <w:lang w:val="en-AU"/>
        </w:rPr>
        <w:t xml:space="preserve">In addition to these </w:t>
      </w:r>
      <w:r w:rsidR="000B3891">
        <w:rPr>
          <w:rFonts w:ascii="Calibri" w:eastAsia="Calibri" w:hAnsi="Calibri" w:cs="Times New Roman"/>
          <w:lang w:val="en-AU"/>
        </w:rPr>
        <w:t>regim</w:t>
      </w:r>
      <w:r>
        <w:rPr>
          <w:rFonts w:ascii="Calibri" w:eastAsia="Calibri" w:hAnsi="Calibri" w:cs="Times New Roman"/>
          <w:lang w:val="en-AU"/>
        </w:rPr>
        <w:t xml:space="preserve">es there </w:t>
      </w:r>
      <w:r w:rsidR="000B3891">
        <w:rPr>
          <w:rFonts w:ascii="Calibri" w:eastAsia="Calibri" w:hAnsi="Calibri" w:cs="Times New Roman"/>
          <w:lang w:val="en-AU"/>
        </w:rPr>
        <w:t xml:space="preserve">are </w:t>
      </w:r>
      <w:r>
        <w:rPr>
          <w:rFonts w:ascii="Calibri" w:eastAsia="Calibri" w:hAnsi="Calibri" w:cs="Times New Roman"/>
          <w:lang w:val="en-AU"/>
        </w:rPr>
        <w:t xml:space="preserve">other </w:t>
      </w:r>
      <w:r w:rsidR="000B3891">
        <w:rPr>
          <w:rFonts w:ascii="Calibri" w:eastAsia="Calibri" w:hAnsi="Calibri" w:cs="Times New Roman"/>
          <w:lang w:val="en-AU"/>
        </w:rPr>
        <w:t>scheme</w:t>
      </w:r>
      <w:r>
        <w:rPr>
          <w:rFonts w:ascii="Calibri" w:eastAsia="Calibri" w:hAnsi="Calibri" w:cs="Times New Roman"/>
          <w:lang w:val="en-AU"/>
        </w:rPr>
        <w:t xml:space="preserve">s that may also regulate protection, disclosure, and access arrangements for Commonwealth information. These include arrangements under legislative regimes that may have particular requirements such as the requirements outlined in the </w:t>
      </w:r>
      <w:r w:rsidRPr="00ED5870">
        <w:rPr>
          <w:rFonts w:ascii="Calibri" w:eastAsia="Calibri" w:hAnsi="Calibri" w:cs="Times New Roman"/>
          <w:i/>
          <w:lang w:val="en-AU"/>
        </w:rPr>
        <w:t>My Health Records Act 2012</w:t>
      </w:r>
      <w:r>
        <w:rPr>
          <w:rFonts w:ascii="Calibri" w:eastAsia="Calibri" w:hAnsi="Calibri" w:cs="Times New Roman"/>
          <w:lang w:val="en-AU"/>
        </w:rPr>
        <w:t xml:space="preserve"> regarding the collection, use and disclosure of </w:t>
      </w:r>
      <w:r w:rsidRPr="00C3547A">
        <w:rPr>
          <w:rFonts w:ascii="Calibri" w:eastAsia="Calibri" w:hAnsi="Calibri" w:cs="Times New Roman"/>
          <w:lang w:val="en-AU"/>
        </w:rPr>
        <w:t>a healthcare recipient’s My Health Record</w:t>
      </w:r>
      <w:r>
        <w:rPr>
          <w:rFonts w:ascii="Calibri" w:eastAsia="Calibri" w:hAnsi="Calibri" w:cs="Times New Roman"/>
          <w:lang w:val="en-AU"/>
        </w:rPr>
        <w:t xml:space="preserve">. </w:t>
      </w:r>
      <w:r w:rsidRPr="00C3547A">
        <w:rPr>
          <w:rFonts w:ascii="Calibri" w:eastAsia="Calibri" w:hAnsi="Calibri" w:cs="Times New Roman"/>
          <w:lang w:val="en-AU"/>
        </w:rPr>
        <w:t xml:space="preserve"> Criminal and civil penalties </w:t>
      </w:r>
      <w:r>
        <w:rPr>
          <w:rFonts w:ascii="Calibri" w:eastAsia="Calibri" w:hAnsi="Calibri" w:cs="Times New Roman"/>
          <w:lang w:val="en-AU"/>
        </w:rPr>
        <w:t xml:space="preserve">can </w:t>
      </w:r>
      <w:r w:rsidRPr="00C3547A">
        <w:rPr>
          <w:rFonts w:ascii="Calibri" w:eastAsia="Calibri" w:hAnsi="Calibri" w:cs="Times New Roman"/>
          <w:lang w:val="en-AU"/>
        </w:rPr>
        <w:t>apply if a person collects, uses or discloses information from a My Health Record without authorisation.</w:t>
      </w:r>
      <w:r w:rsidR="007C4752">
        <w:rPr>
          <w:rFonts w:ascii="Calibri" w:eastAsia="Calibri" w:hAnsi="Calibri" w:cs="Times New Roman"/>
          <w:lang w:val="en-AU"/>
        </w:rPr>
        <w:t xml:space="preserve"> </w:t>
      </w:r>
    </w:p>
    <w:p w14:paraId="6E4BE651" w14:textId="77777777" w:rsidR="009F3F4B" w:rsidRDefault="009F3F4B" w:rsidP="007C4752">
      <w:pPr>
        <w:rPr>
          <w:rFonts w:ascii="Calibri" w:eastAsia="Calibri" w:hAnsi="Calibri" w:cs="Times New Roman"/>
          <w:lang w:val="en-AU"/>
        </w:rPr>
      </w:pPr>
    </w:p>
    <w:p w14:paraId="70CFA902" w14:textId="77777777" w:rsidR="00E75675" w:rsidRPr="003104EE" w:rsidRDefault="00E75675" w:rsidP="00E75675">
      <w:pPr>
        <w:widowControl/>
        <w:autoSpaceDE/>
        <w:autoSpaceDN/>
        <w:spacing w:after="160" w:line="259" w:lineRule="auto"/>
        <w:contextualSpacing/>
        <w:rPr>
          <w:rFonts w:ascii="Calibri" w:eastAsia="Calibri" w:hAnsi="Calibri" w:cs="Times New Roman"/>
          <w:lang w:val="en-GB"/>
        </w:rPr>
      </w:pPr>
      <w:r w:rsidRPr="00CA2D3D">
        <w:rPr>
          <w:rFonts w:ascii="Calibri" w:eastAsia="Calibri" w:hAnsi="Calibri" w:cs="Times New Roman"/>
          <w:lang w:val="en-AU"/>
        </w:rPr>
        <w:t>Other regimes that may regulate the disclosure or use of, or access to, information and documents, include parliamentary privilege, which prohibits certain uses of material that forms part of the proceedings in Parliament, professional obligations such as legal professional privilege, and public interest immunity. For example, public interest immunity may operate to prevent disclosure, to a parliamentary committee or a court, of documents or information that would, or might reasonably be expected to, damage Australia’s national security, defence or international relations; damage relations between the Commonwealth and the States; disclose the deliberations of the Cabinet; prejudice the investigation of a possible breach of the law or the enforcement of the law; disclose a confidential source of information; or endanger the life or physical safety of a person.</w:t>
      </w:r>
      <w:r w:rsidRPr="00CA2D3D">
        <w:rPr>
          <w:rStyle w:val="FootnoteReference"/>
          <w:rFonts w:ascii="Calibri" w:eastAsia="Calibri" w:hAnsi="Calibri" w:cs="Times New Roman"/>
          <w:lang w:val="en-AU"/>
        </w:rPr>
        <w:footnoteReference w:id="20"/>
      </w:r>
    </w:p>
    <w:p w14:paraId="6993AE08" w14:textId="77777777" w:rsidR="007C4752" w:rsidRPr="007C4752" w:rsidRDefault="007C4752" w:rsidP="007C4752">
      <w:pPr>
        <w:rPr>
          <w:rFonts w:ascii="Calibri" w:eastAsia="Calibri" w:hAnsi="Calibri" w:cs="Times New Roman"/>
          <w:lang w:val="en-AU"/>
        </w:rPr>
      </w:pPr>
    </w:p>
    <w:p w14:paraId="61884FEE" w14:textId="77777777" w:rsidR="001806FE" w:rsidRPr="001806FE" w:rsidRDefault="001806FE" w:rsidP="001B2709">
      <w:pPr>
        <w:pStyle w:val="Heading2"/>
      </w:pPr>
      <w:bookmarkStart w:id="49" w:name="_Toc130218787"/>
      <w:bookmarkStart w:id="50" w:name="_Toc130465880"/>
      <w:r w:rsidRPr="001806FE">
        <w:t>Secrecy override provisions</w:t>
      </w:r>
      <w:bookmarkEnd w:id="49"/>
      <w:bookmarkEnd w:id="50"/>
    </w:p>
    <w:p w14:paraId="456F544C"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Some Commonwealth Acts include provisions that operate to disapply (‘override’) secrecy provisions in other legislation. For example, section 205 of the </w:t>
      </w:r>
      <w:r w:rsidRPr="001806FE">
        <w:rPr>
          <w:rFonts w:ascii="Calibri" w:eastAsia="Calibri" w:hAnsi="Calibri" w:cs="Times New Roman"/>
          <w:i/>
          <w:lang w:val="en-AU"/>
        </w:rPr>
        <w:t xml:space="preserve">National Anti-Corruption Commission Act 2022 </w:t>
      </w:r>
      <w:r w:rsidRPr="001806FE">
        <w:rPr>
          <w:rFonts w:ascii="Calibri" w:eastAsia="Calibri" w:hAnsi="Calibri" w:cs="Times New Roman"/>
          <w:lang w:val="en-AU"/>
        </w:rPr>
        <w:t>enables information to be referred to the Commission despite any secrecy provision that would usually prohibit the information’s disclosure, with some exceptions.</w:t>
      </w:r>
      <w:r w:rsidRPr="001806FE">
        <w:rPr>
          <w:rFonts w:ascii="Calibri" w:eastAsia="Calibri" w:hAnsi="Calibri" w:cs="Times New Roman"/>
          <w:vertAlign w:val="superscript"/>
          <w:lang w:val="en-AU"/>
        </w:rPr>
        <w:footnoteReference w:id="21"/>
      </w:r>
      <w:r w:rsidRPr="001806FE">
        <w:rPr>
          <w:rFonts w:ascii="Calibri" w:eastAsia="Calibri" w:hAnsi="Calibri" w:cs="Times New Roman"/>
          <w:lang w:val="en-AU"/>
        </w:rPr>
        <w:t xml:space="preserve"> </w:t>
      </w:r>
      <w:r w:rsidRPr="001806FE">
        <w:rPr>
          <w:rFonts w:ascii="Calibri" w:eastAsia="Calibri" w:hAnsi="Calibri" w:cs="Times New Roman"/>
          <w:lang w:val="en-GB"/>
        </w:rPr>
        <w:t>The department has identified</w:t>
      </w:r>
      <w:r w:rsidRPr="001806FE">
        <w:rPr>
          <w:rFonts w:ascii="Calibri" w:eastAsia="Calibri" w:hAnsi="Calibri" w:cs="Times New Roman"/>
          <w:lang w:val="en-AU"/>
        </w:rPr>
        <w:t xml:space="preserve"> </w:t>
      </w:r>
      <w:r w:rsidRPr="001806FE">
        <w:rPr>
          <w:rFonts w:ascii="Calibri" w:eastAsia="Calibri" w:hAnsi="Calibri" w:cs="Times New Roman"/>
          <w:b/>
          <w:lang w:val="en-AU"/>
        </w:rPr>
        <w:t xml:space="preserve">21 override provisions </w:t>
      </w:r>
      <w:r w:rsidRPr="001806FE">
        <w:rPr>
          <w:rFonts w:ascii="Calibri" w:eastAsia="Calibri" w:hAnsi="Calibri" w:cs="Times New Roman"/>
          <w:lang w:val="en-AU"/>
        </w:rPr>
        <w:t xml:space="preserve">in 18 Commonwealth laws. These most commonly facilitate provision of </w:t>
      </w:r>
      <w:r w:rsidRPr="001806FE">
        <w:rPr>
          <w:rFonts w:ascii="Calibri" w:eastAsia="Calibri" w:hAnsi="Calibri" w:cs="Times New Roman"/>
          <w:lang w:val="en-AU"/>
        </w:rPr>
        <w:lastRenderedPageBreak/>
        <w:t xml:space="preserve">information to integrity and investigative agencies to support their functions. A list of the secrecy override provisions </w:t>
      </w:r>
      <w:proofErr w:type="gramStart"/>
      <w:r w:rsidRPr="001806FE">
        <w:rPr>
          <w:rFonts w:ascii="Calibri" w:eastAsia="Calibri" w:hAnsi="Calibri" w:cs="Times New Roman"/>
          <w:lang w:val="en-AU"/>
        </w:rPr>
        <w:t>are</w:t>
      </w:r>
      <w:proofErr w:type="gramEnd"/>
      <w:r w:rsidRPr="001806FE">
        <w:rPr>
          <w:rFonts w:ascii="Calibri" w:eastAsia="Calibri" w:hAnsi="Calibri" w:cs="Times New Roman"/>
          <w:lang w:val="en-AU"/>
        </w:rPr>
        <w:t xml:space="preserve"> set out in table 4 of </w:t>
      </w:r>
      <w:r w:rsidRPr="001806FE">
        <w:rPr>
          <w:rFonts w:ascii="Calibri" w:eastAsia="Calibri" w:hAnsi="Calibri" w:cs="Times New Roman"/>
          <w:b/>
          <w:lang w:val="en-AU"/>
        </w:rPr>
        <w:t>Attachment B</w:t>
      </w:r>
      <w:r w:rsidRPr="001806FE">
        <w:rPr>
          <w:rFonts w:ascii="Calibri" w:eastAsia="Calibri" w:hAnsi="Calibri" w:cs="Times New Roman"/>
          <w:lang w:val="en-AU"/>
        </w:rPr>
        <w:t>.</w:t>
      </w:r>
    </w:p>
    <w:p w14:paraId="5B01C498" w14:textId="77777777" w:rsidR="00F87397" w:rsidRPr="001806FE" w:rsidRDefault="00F87397" w:rsidP="001B2709">
      <w:pPr>
        <w:pStyle w:val="Heading2"/>
      </w:pPr>
      <w:bookmarkStart w:id="51" w:name="_Toc130218788"/>
      <w:bookmarkStart w:id="52" w:name="_Toc130465881"/>
      <w:r w:rsidRPr="001806FE">
        <w:t>Suitability</w:t>
      </w:r>
      <w:r>
        <w:t xml:space="preserve">, </w:t>
      </w:r>
      <w:r w:rsidRPr="001806FE">
        <w:t>appropriate framing of</w:t>
      </w:r>
      <w:r>
        <w:t>, and requirement for,</w:t>
      </w:r>
      <w:r w:rsidRPr="001806FE">
        <w:t xml:space="preserve"> secrecy offences</w:t>
      </w:r>
      <w:bookmarkEnd w:id="51"/>
      <w:bookmarkEnd w:id="52"/>
      <w:r w:rsidRPr="001806FE">
        <w:t xml:space="preserve"> </w:t>
      </w:r>
    </w:p>
    <w:p w14:paraId="6DDFE504" w14:textId="77777777"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The department will be providing advice to Government on </w:t>
      </w:r>
      <w:r w:rsidR="007C4752">
        <w:rPr>
          <w:rFonts w:ascii="Calibri" w:eastAsia="Calibri" w:hAnsi="Calibri" w:cs="Times New Roman"/>
          <w:lang w:val="en-AU"/>
        </w:rPr>
        <w:t xml:space="preserve">the principles that should govern </w:t>
      </w:r>
      <w:r w:rsidRPr="001806FE">
        <w:rPr>
          <w:rFonts w:ascii="Calibri" w:eastAsia="Calibri" w:hAnsi="Calibri" w:cs="Times New Roman"/>
          <w:lang w:val="en-AU"/>
        </w:rPr>
        <w:t>the</w:t>
      </w:r>
      <w:r w:rsidR="008A1B38">
        <w:rPr>
          <w:rFonts w:ascii="Calibri" w:eastAsia="Calibri" w:hAnsi="Calibri" w:cs="Times New Roman"/>
          <w:lang w:val="en-AU"/>
        </w:rPr>
        <w:t xml:space="preserve"> </w:t>
      </w:r>
      <w:r w:rsidRPr="001806FE">
        <w:rPr>
          <w:rFonts w:ascii="Calibri" w:eastAsia="Calibri" w:hAnsi="Calibri" w:cs="Times New Roman"/>
          <w:lang w:val="en-AU"/>
        </w:rPr>
        <w:t xml:space="preserve">framing of </w:t>
      </w:r>
      <w:r w:rsidR="007C4752">
        <w:rPr>
          <w:rFonts w:ascii="Calibri" w:eastAsia="Calibri" w:hAnsi="Calibri" w:cs="Times New Roman"/>
          <w:lang w:val="en-AU"/>
        </w:rPr>
        <w:t xml:space="preserve">general and specific </w:t>
      </w:r>
      <w:r w:rsidRPr="001806FE">
        <w:rPr>
          <w:rFonts w:ascii="Calibri" w:eastAsia="Calibri" w:hAnsi="Calibri" w:cs="Times New Roman"/>
          <w:lang w:val="en-AU"/>
        </w:rPr>
        <w:t xml:space="preserve">secrecy offences in Commonwealth legislation, </w:t>
      </w:r>
      <w:r w:rsidR="007C4752">
        <w:rPr>
          <w:rFonts w:ascii="Calibri" w:eastAsia="Calibri" w:hAnsi="Calibri" w:cs="Times New Roman"/>
          <w:lang w:val="en-AU"/>
        </w:rPr>
        <w:t xml:space="preserve">including the categories of persons and information to which it is appropriate to apply for each of these types of offences. The terms of reference note the Review will have </w:t>
      </w:r>
      <w:r w:rsidRPr="001806FE">
        <w:rPr>
          <w:rFonts w:ascii="Calibri" w:eastAsia="Calibri" w:hAnsi="Calibri" w:cs="Times New Roman"/>
          <w:lang w:val="en-AU"/>
        </w:rPr>
        <w:t xml:space="preserve">particular regard to: </w:t>
      </w:r>
    </w:p>
    <w:p w14:paraId="4161B693" w14:textId="77777777" w:rsidR="00F87397" w:rsidRPr="001806FE" w:rsidRDefault="00F87397" w:rsidP="00F87397">
      <w:pPr>
        <w:widowControl/>
        <w:numPr>
          <w:ilvl w:val="0"/>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the principles outlined in the ALRC Report; and</w:t>
      </w:r>
    </w:p>
    <w:p w14:paraId="5CA60370" w14:textId="77777777" w:rsidR="00F87397" w:rsidRDefault="00F87397" w:rsidP="00F87397">
      <w:pPr>
        <w:widowControl/>
        <w:numPr>
          <w:ilvl w:val="0"/>
          <w:numId w:val="10"/>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other relevant principles, including but not limited to those set out in the </w:t>
      </w:r>
      <w:hyperlink r:id="rId13" w:history="1">
        <w:r w:rsidRPr="001806FE">
          <w:rPr>
            <w:rFonts w:ascii="Calibri" w:eastAsia="Calibri" w:hAnsi="Calibri" w:cs="Times New Roman"/>
            <w:i/>
            <w:color w:val="0563C1"/>
            <w:u w:val="single"/>
            <w:lang w:val="en-AU"/>
          </w:rPr>
          <w:t>Guide to Framing Commonwealth Offences, Infringement Notices and Enforcement Powers</w:t>
        </w:r>
      </w:hyperlink>
      <w:r w:rsidRPr="001806FE">
        <w:rPr>
          <w:rFonts w:ascii="Calibri" w:eastAsia="Calibri" w:hAnsi="Calibri" w:cs="Times New Roman"/>
          <w:lang w:val="en-AU"/>
        </w:rPr>
        <w:t xml:space="preserve">. </w:t>
      </w:r>
    </w:p>
    <w:p w14:paraId="67DEB7F3" w14:textId="77777777" w:rsidR="00F87397" w:rsidRPr="001806FE" w:rsidRDefault="00F87397" w:rsidP="00F87397">
      <w:pPr>
        <w:widowControl/>
        <w:autoSpaceDE/>
        <w:autoSpaceDN/>
        <w:spacing w:after="160" w:line="259" w:lineRule="auto"/>
        <w:ind w:left="720"/>
        <w:contextualSpacing/>
        <w:rPr>
          <w:rFonts w:ascii="Calibri" w:eastAsia="Calibri" w:hAnsi="Calibri" w:cs="Times New Roman"/>
          <w:lang w:val="en-AU"/>
        </w:rPr>
      </w:pPr>
    </w:p>
    <w:p w14:paraId="6643E46E" w14:textId="77777777"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department will also have regard to recent reports and inquiries</w:t>
      </w:r>
      <w:r w:rsidRPr="001806FE">
        <w:rPr>
          <w:rFonts w:ascii="Calibri" w:eastAsia="Calibri" w:hAnsi="Calibri" w:cs="Times New Roman"/>
          <w:vertAlign w:val="superscript"/>
          <w:lang w:val="en-AU"/>
        </w:rPr>
        <w:footnoteReference w:id="22"/>
      </w:r>
      <w:r w:rsidRPr="001806FE">
        <w:rPr>
          <w:rFonts w:ascii="Calibri" w:eastAsia="Calibri" w:hAnsi="Calibri" w:cs="Times New Roman"/>
          <w:lang w:val="en-AU"/>
        </w:rPr>
        <w:t xml:space="preserve"> and views on the operation of secrecy offences, including the new general secrecy offences in Part 5.6 of the Code.</w:t>
      </w:r>
    </w:p>
    <w:p w14:paraId="559F332A" w14:textId="77777777"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department welcomes views on:</w:t>
      </w:r>
    </w:p>
    <w:p w14:paraId="577ABEFA"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the circumstances in which secrecy offences are warranted (for example, where criminal penalties are necessary and proportionate to protect essential public interests) </w:t>
      </w:r>
    </w:p>
    <w:p w14:paraId="1AFD6C2B"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enacting specific secrecy offences when general secrecy offences do not provide adequate protection</w:t>
      </w:r>
    </w:p>
    <w:p w14:paraId="072B5DF4"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clearly identifying the conduct and the individuals that are covered by a secrecy offence</w:t>
      </w:r>
    </w:p>
    <w:p w14:paraId="25C01330"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physical elements for secrecy offences</w:t>
      </w:r>
    </w:p>
    <w:p w14:paraId="54ACDF18"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fault elements for secrecy offences (for example, is it appropriate to apply the fault element of intention to physical conduct, and recklessness to the harm arising from the disclosure)</w:t>
      </w:r>
    </w:p>
    <w:p w14:paraId="06F78093" w14:textId="77777777"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 xml:space="preserve">approach to subsequent (third party) disclosure offences </w:t>
      </w:r>
    </w:p>
    <w:p w14:paraId="600C4D9C" w14:textId="4FAEA133" w:rsidR="00F87397" w:rsidRPr="001806FE" w:rsidRDefault="00F87397" w:rsidP="00F87397">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defences for secrecy offences</w:t>
      </w:r>
      <w:r w:rsidR="000478BE">
        <w:rPr>
          <w:rFonts w:ascii="Calibri" w:eastAsia="Calibri" w:hAnsi="Calibri" w:cs="Times New Roman"/>
          <w:lang w:val="en-AU"/>
        </w:rPr>
        <w:t xml:space="preserve">, and </w:t>
      </w:r>
    </w:p>
    <w:p w14:paraId="4A894D33" w14:textId="6E737755" w:rsidR="00F87397" w:rsidRPr="000478BE" w:rsidRDefault="00F87397" w:rsidP="000478BE">
      <w:pPr>
        <w:widowControl/>
        <w:numPr>
          <w:ilvl w:val="0"/>
          <w:numId w:val="15"/>
        </w:numPr>
        <w:autoSpaceDE/>
        <w:autoSpaceDN/>
        <w:spacing w:after="160" w:line="259" w:lineRule="auto"/>
        <w:contextualSpacing/>
        <w:rPr>
          <w:rFonts w:ascii="Calibri" w:eastAsia="Calibri" w:hAnsi="Calibri" w:cs="Times New Roman"/>
          <w:lang w:val="en-AU"/>
        </w:rPr>
      </w:pPr>
      <w:r w:rsidRPr="001806FE">
        <w:rPr>
          <w:rFonts w:ascii="Calibri" w:eastAsia="Calibri" w:hAnsi="Calibri" w:cs="Times New Roman"/>
          <w:lang w:val="en-AU"/>
        </w:rPr>
        <w:t>penalties, noting maximum penalties should reflect the seriousness of the potential harm caused and the fault elements that attach to the elements of the offence</w:t>
      </w:r>
      <w:r w:rsidR="000478BE">
        <w:rPr>
          <w:rFonts w:ascii="Calibri" w:eastAsia="Calibri" w:hAnsi="Calibri" w:cs="Times New Roman"/>
          <w:lang w:val="en-AU"/>
        </w:rPr>
        <w:t>.</w:t>
      </w:r>
    </w:p>
    <w:p w14:paraId="10637CB1" w14:textId="77777777"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The department will </w:t>
      </w:r>
      <w:r>
        <w:rPr>
          <w:rFonts w:ascii="Calibri" w:eastAsia="Calibri" w:hAnsi="Calibri" w:cs="Times New Roman"/>
          <w:lang w:val="en-AU"/>
        </w:rPr>
        <w:t>also be</w:t>
      </w:r>
      <w:r w:rsidRPr="001806FE">
        <w:rPr>
          <w:rFonts w:ascii="Calibri" w:eastAsia="Calibri" w:hAnsi="Calibri" w:cs="Times New Roman"/>
          <w:lang w:val="en-AU"/>
        </w:rPr>
        <w:t xml:space="preserve"> provid</w:t>
      </w:r>
      <w:r>
        <w:rPr>
          <w:rFonts w:ascii="Calibri" w:eastAsia="Calibri" w:hAnsi="Calibri" w:cs="Times New Roman"/>
          <w:lang w:val="en-AU"/>
        </w:rPr>
        <w:t>ing</w:t>
      </w:r>
      <w:r w:rsidRPr="001806FE">
        <w:rPr>
          <w:rFonts w:ascii="Calibri" w:eastAsia="Calibri" w:hAnsi="Calibri" w:cs="Times New Roman"/>
          <w:lang w:val="en-AU"/>
        </w:rPr>
        <w:t xml:space="preserve"> advice to Government on what, if any, offences in Commonwealth legislation are no longer required</w:t>
      </w:r>
      <w:r>
        <w:rPr>
          <w:rFonts w:ascii="Calibri" w:eastAsia="Calibri" w:hAnsi="Calibri" w:cs="Times New Roman"/>
          <w:lang w:val="en-AU"/>
        </w:rPr>
        <w:t>, including</w:t>
      </w:r>
      <w:r w:rsidRPr="001806FE">
        <w:rPr>
          <w:rFonts w:ascii="Calibri" w:eastAsia="Calibri" w:hAnsi="Calibri" w:cs="Times New Roman"/>
          <w:lang w:val="en-AU"/>
        </w:rPr>
        <w:t xml:space="preserve"> in light of the introduction of the general secrecy offences in the Criminal Code or because there are other appropriate mechanisms to manage the protection of information, or where civil or administrative action may be more appropriate. </w:t>
      </w:r>
    </w:p>
    <w:p w14:paraId="53B339A3" w14:textId="77777777"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department is working with other Commonwealth departments and agencies to review all non</w:t>
      </w:r>
      <w:r w:rsidRPr="001806FE">
        <w:rPr>
          <w:rFonts w:ascii="Calibri" w:eastAsia="Calibri" w:hAnsi="Calibri" w:cs="Times New Roman"/>
          <w:lang w:val="en-AU"/>
        </w:rPr>
        <w:noBreakHyphen/>
        <w:t>disclosure duties that attract criminal liability through the application of section 122.4 of the Criminal Code. This involves assessing whether it is necessary and proportionate to the protection of an essential public interest for the non-disclosure duty to continue to attract criminal liability.</w:t>
      </w:r>
      <w:r w:rsidRPr="001806FE">
        <w:rPr>
          <w:rFonts w:ascii="Calibri" w:eastAsia="Calibri" w:hAnsi="Calibri" w:cs="Times New Roman"/>
          <w:vertAlign w:val="superscript"/>
          <w:lang w:val="en-AU"/>
        </w:rPr>
        <w:footnoteReference w:id="23"/>
      </w:r>
      <w:r w:rsidRPr="001806FE">
        <w:rPr>
          <w:rFonts w:ascii="Calibri" w:eastAsia="Calibri" w:hAnsi="Calibri" w:cs="Times New Roman"/>
          <w:lang w:val="en-AU"/>
        </w:rPr>
        <w:t xml:space="preserve"> These non-disclosure duties are set out in table 3 of </w:t>
      </w:r>
      <w:r w:rsidRPr="001806FE">
        <w:rPr>
          <w:rFonts w:ascii="Calibri" w:eastAsia="Calibri" w:hAnsi="Calibri" w:cs="Times New Roman"/>
          <w:b/>
          <w:lang w:val="en-AU"/>
        </w:rPr>
        <w:t>Attachment B</w:t>
      </w:r>
      <w:r w:rsidRPr="001806FE">
        <w:rPr>
          <w:rFonts w:ascii="Calibri" w:eastAsia="Calibri" w:hAnsi="Calibri" w:cs="Times New Roman"/>
          <w:lang w:val="en-AU"/>
        </w:rPr>
        <w:t xml:space="preserve">. </w:t>
      </w:r>
    </w:p>
    <w:p w14:paraId="1DB709EB" w14:textId="44E056E6"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Section 122.4 of the Code, which relates to unauthorised disclosure of information by current or former Commonwealth </w:t>
      </w:r>
      <w:proofErr w:type="spellStart"/>
      <w:r w:rsidRPr="001806FE">
        <w:rPr>
          <w:rFonts w:ascii="Calibri" w:eastAsia="Calibri" w:hAnsi="Calibri" w:cs="Times New Roman"/>
          <w:lang w:val="en-AU"/>
        </w:rPr>
        <w:t>offici</w:t>
      </w:r>
      <w:r w:rsidR="000478BE">
        <w:rPr>
          <w:rFonts w:ascii="Calibri" w:eastAsia="Calibri" w:hAnsi="Calibri" w:cs="Times New Roman"/>
          <w:lang w:val="en-AU"/>
        </w:rPr>
        <w:t>ers</w:t>
      </w:r>
      <w:proofErr w:type="spellEnd"/>
      <w:r w:rsidRPr="001806FE">
        <w:rPr>
          <w:rFonts w:ascii="Calibri" w:eastAsia="Calibri" w:hAnsi="Calibri" w:cs="Times New Roman"/>
          <w:lang w:val="en-AU"/>
        </w:rPr>
        <w:t xml:space="preserve">, sunsets on 29 December 2023. As noted earlier, the purpose of the sunsetting clause was to preserve the operation of non-disclosure duties until each duty could be reviewed to determine whether it should be converted into a specific secrecy offence or whether criminal liability is no longer required. </w:t>
      </w:r>
    </w:p>
    <w:p w14:paraId="12043ED6" w14:textId="07FC97F4" w:rsidR="00F87397" w:rsidRPr="001806FE" w:rsidRDefault="00F87397" w:rsidP="00F87397">
      <w:pPr>
        <w:widowControl/>
        <w:autoSpaceDE/>
        <w:autoSpaceDN/>
        <w:spacing w:after="120" w:line="259" w:lineRule="auto"/>
        <w:rPr>
          <w:rFonts w:ascii="Calibri" w:eastAsia="Calibri" w:hAnsi="Calibri" w:cs="Times New Roman"/>
          <w:lang w:val="en-GB"/>
        </w:rPr>
      </w:pPr>
      <w:r w:rsidRPr="001806FE">
        <w:rPr>
          <w:rFonts w:ascii="Calibri" w:eastAsia="Calibri" w:hAnsi="Calibri" w:cs="Times New Roman"/>
          <w:lang w:val="en-AU"/>
        </w:rPr>
        <w:lastRenderedPageBreak/>
        <w:t xml:space="preserve">In determining whether information should be protected by secrecy provisions, </w:t>
      </w:r>
      <w:r w:rsidR="000478BE">
        <w:rPr>
          <w:rFonts w:ascii="Calibri" w:eastAsia="Calibri" w:hAnsi="Calibri" w:cs="Times New Roman"/>
          <w:lang w:val="en-AU"/>
        </w:rPr>
        <w:t xml:space="preserve">the </w:t>
      </w:r>
      <w:r w:rsidRPr="001806FE">
        <w:rPr>
          <w:rFonts w:ascii="Calibri" w:eastAsia="Calibri" w:hAnsi="Calibri" w:cs="Times New Roman"/>
          <w:lang w:val="en-AU"/>
        </w:rPr>
        <w:t>Government must</w:t>
      </w:r>
      <w:r w:rsidRPr="001806FE" w:rsidDel="00D36657">
        <w:rPr>
          <w:rFonts w:ascii="Calibri" w:eastAsia="Calibri" w:hAnsi="Calibri" w:cs="Times New Roman"/>
          <w:lang w:val="en-AU"/>
        </w:rPr>
        <w:t xml:space="preserve"> </w:t>
      </w:r>
      <w:r w:rsidRPr="001806FE">
        <w:rPr>
          <w:rFonts w:ascii="Calibri" w:eastAsia="Calibri" w:hAnsi="Calibri" w:cs="Times New Roman"/>
          <w:lang w:val="en-AU"/>
        </w:rPr>
        <w:t xml:space="preserve">balance different interests. Examples of these interests include: </w:t>
      </w:r>
    </w:p>
    <w:p w14:paraId="47EB4FA3" w14:textId="77777777" w:rsidR="00F87397" w:rsidRPr="001806FE" w:rsidRDefault="00F87397" w:rsidP="00F87397">
      <w:pPr>
        <w:widowControl/>
        <w:numPr>
          <w:ilvl w:val="0"/>
          <w:numId w:val="3"/>
        </w:numPr>
        <w:autoSpaceDE/>
        <w:autoSpaceDN/>
        <w:spacing w:after="200" w:line="276" w:lineRule="auto"/>
        <w:ind w:left="714" w:hanging="357"/>
        <w:contextualSpacing/>
        <w:rPr>
          <w:rFonts w:ascii="Calibri" w:eastAsia="Calibri" w:hAnsi="Calibri" w:cs="Times New Roman"/>
          <w:lang w:val="en-GB"/>
        </w:rPr>
      </w:pPr>
      <w:r w:rsidRPr="001806FE">
        <w:rPr>
          <w:rFonts w:ascii="Calibri" w:eastAsia="Calibri" w:hAnsi="Calibri" w:cs="Times New Roman"/>
          <w:lang w:val="en-GB"/>
        </w:rPr>
        <w:t xml:space="preserve">avoiding harm caused by inappropriate disclosure of information </w:t>
      </w:r>
    </w:p>
    <w:p w14:paraId="295B0D63" w14:textId="6010A430" w:rsidR="00F87397" w:rsidRPr="001806FE" w:rsidRDefault="00F87397" w:rsidP="00F87397">
      <w:pPr>
        <w:widowControl/>
        <w:numPr>
          <w:ilvl w:val="0"/>
          <w:numId w:val="3"/>
        </w:numPr>
        <w:autoSpaceDE/>
        <w:autoSpaceDN/>
        <w:spacing w:after="200" w:line="276" w:lineRule="auto"/>
        <w:ind w:left="714" w:hanging="357"/>
        <w:contextualSpacing/>
        <w:rPr>
          <w:rFonts w:ascii="Calibri" w:eastAsia="Calibri" w:hAnsi="Calibri" w:cs="Times New Roman"/>
          <w:lang w:val="en-GB"/>
        </w:rPr>
      </w:pPr>
      <w:r w:rsidRPr="001806FE">
        <w:rPr>
          <w:rFonts w:ascii="Calibri" w:eastAsia="Calibri" w:hAnsi="Calibri" w:cs="Times New Roman"/>
          <w:lang w:val="en-GB"/>
        </w:rPr>
        <w:t xml:space="preserve">securing public trust that </w:t>
      </w:r>
      <w:r w:rsidR="000478BE">
        <w:rPr>
          <w:rFonts w:ascii="Calibri" w:eastAsia="Calibri" w:hAnsi="Calibri" w:cs="Times New Roman"/>
          <w:lang w:val="en-GB"/>
        </w:rPr>
        <w:t xml:space="preserve">the </w:t>
      </w:r>
      <w:r w:rsidRPr="001806FE">
        <w:rPr>
          <w:rFonts w:ascii="Calibri" w:eastAsia="Calibri" w:hAnsi="Calibri" w:cs="Times New Roman"/>
          <w:lang w:val="en-GB"/>
        </w:rPr>
        <w:t xml:space="preserve">Government will deal appropriately with information, and </w:t>
      </w:r>
    </w:p>
    <w:p w14:paraId="251D5B65" w14:textId="77777777" w:rsidR="00F87397" w:rsidRPr="008A1B38" w:rsidRDefault="00F87397" w:rsidP="008A1B38">
      <w:pPr>
        <w:widowControl/>
        <w:numPr>
          <w:ilvl w:val="0"/>
          <w:numId w:val="3"/>
        </w:numPr>
        <w:autoSpaceDE/>
        <w:autoSpaceDN/>
        <w:spacing w:after="200" w:line="276" w:lineRule="auto"/>
        <w:ind w:left="714" w:hanging="357"/>
        <w:contextualSpacing/>
        <w:rPr>
          <w:rFonts w:ascii="Calibri" w:eastAsia="Calibri" w:hAnsi="Calibri" w:cs="Times New Roman"/>
          <w:lang w:val="en-GB"/>
        </w:rPr>
      </w:pPr>
      <w:r w:rsidRPr="001806FE">
        <w:rPr>
          <w:rFonts w:ascii="Calibri" w:eastAsia="Calibri" w:hAnsi="Calibri" w:cs="Times New Roman"/>
          <w:lang w:val="en-GB"/>
        </w:rPr>
        <w:t>protecting Australia’s open and democratic society.</w:t>
      </w:r>
      <w:r w:rsidRPr="001806FE">
        <w:rPr>
          <w:rFonts w:ascii="Calibri" w:eastAsia="Calibri" w:hAnsi="Calibri" w:cs="Calibri"/>
          <w:w w:val="105"/>
          <w:kern w:val="40"/>
          <w:sz w:val="24"/>
          <w:lang w:val="en-AU"/>
        </w:rPr>
        <w:t xml:space="preserve"> </w:t>
      </w:r>
    </w:p>
    <w:p w14:paraId="7247EFA8" w14:textId="03DEA034"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ALRC Report recommended that specific secrecy offences applying criminal liability (rather than provisions providing for civil or administrative action) should only exist where criminal liability is necessary and proportionate to the harm caused by the disclosure.</w:t>
      </w:r>
      <w:r w:rsidRPr="001806FE">
        <w:rPr>
          <w:rFonts w:ascii="Calibri" w:eastAsia="Calibri" w:hAnsi="Calibri" w:cs="Times New Roman"/>
          <w:vertAlign w:val="superscript"/>
          <w:lang w:val="en-AU"/>
        </w:rPr>
        <w:footnoteReference w:id="24"/>
      </w:r>
      <w:r w:rsidRPr="001806FE">
        <w:rPr>
          <w:rFonts w:ascii="Calibri" w:eastAsia="Calibri" w:hAnsi="Calibri" w:cs="Times New Roman"/>
          <w:lang w:val="en-AU"/>
        </w:rPr>
        <w:t xml:space="preserve"> Other mechanisms to protect information can include frameworks such as the Privacy Act or other sanctions such as civil penalties, administrative or disciplinary action.</w:t>
      </w:r>
    </w:p>
    <w:p w14:paraId="4CC1E230" w14:textId="2D82DF51" w:rsidR="00F87397" w:rsidRPr="001806FE" w:rsidRDefault="00F87397" w:rsidP="00F87397">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department welcomes submissions on the issues outlined above, including views on the essential public interests that mean criminal liability should attach to unauthorised disclosure of Commonwealth information.</w:t>
      </w:r>
    </w:p>
    <w:tbl>
      <w:tblPr>
        <w:tblStyle w:val="TableGrid2"/>
        <w:tblW w:w="0" w:type="auto"/>
        <w:tblLook w:val="04A0" w:firstRow="1" w:lastRow="0" w:firstColumn="1" w:lastColumn="0" w:noHBand="0" w:noVBand="1"/>
      </w:tblPr>
      <w:tblGrid>
        <w:gridCol w:w="9016"/>
      </w:tblGrid>
      <w:tr w:rsidR="00F87397" w:rsidRPr="001806FE" w14:paraId="76519377" w14:textId="77777777" w:rsidTr="000B3891">
        <w:tc>
          <w:tcPr>
            <w:tcW w:w="9016" w:type="dxa"/>
            <w:shd w:val="clear" w:color="auto" w:fill="auto"/>
          </w:tcPr>
          <w:p w14:paraId="450F237A" w14:textId="77777777" w:rsidR="00F87397" w:rsidRPr="001806FE" w:rsidRDefault="00F87397" w:rsidP="000B3891">
            <w:pPr>
              <w:ind w:left="313" w:right="694"/>
              <w:rPr>
                <w:rFonts w:ascii="Calibri" w:eastAsia="Calibri" w:hAnsi="Calibri" w:cs="Times New Roman"/>
                <w:color w:val="002060"/>
              </w:rPr>
            </w:pPr>
          </w:p>
          <w:p w14:paraId="70D0E991" w14:textId="77777777" w:rsidR="00F87397" w:rsidRPr="00AA589D" w:rsidRDefault="00F87397" w:rsidP="000B3891">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1</w:t>
            </w:r>
          </w:p>
          <w:p w14:paraId="04C311AA" w14:textId="5EB5D9A9" w:rsidR="000478BE" w:rsidRPr="000478BE" w:rsidRDefault="00137A13" w:rsidP="000478BE">
            <w:pPr>
              <w:spacing w:after="160" w:line="259" w:lineRule="auto"/>
              <w:ind w:left="360" w:right="694"/>
              <w:contextualSpacing/>
              <w:rPr>
                <w:rFonts w:ascii="Calibri" w:eastAsia="Calibri" w:hAnsi="Calibri" w:cs="Times New Roman"/>
                <w:sz w:val="24"/>
                <w:szCs w:val="26"/>
              </w:rPr>
            </w:pPr>
            <w:r w:rsidRPr="007C4752">
              <w:rPr>
                <w:rFonts w:ascii="Calibri" w:eastAsia="Calibri" w:hAnsi="Calibri" w:cs="Times New Roman"/>
                <w:sz w:val="24"/>
                <w:szCs w:val="26"/>
              </w:rPr>
              <w:t xml:space="preserve">What principles should govern the framing of general secrecy offences and specific secrecy offences, including the categories of persons and information to which it is appropriate for each of these types of offences to apply? </w:t>
            </w:r>
          </w:p>
          <w:p w14:paraId="6EFFFDAD" w14:textId="2CAB0D0C" w:rsidR="00F87397" w:rsidRPr="00AA589D" w:rsidRDefault="00F87397" w:rsidP="000478BE">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2</w:t>
            </w:r>
          </w:p>
          <w:p w14:paraId="23D4A8C0" w14:textId="62FCBBCA" w:rsidR="00137A13" w:rsidRPr="000478BE" w:rsidRDefault="00137A13" w:rsidP="000478BE">
            <w:pPr>
              <w:ind w:left="313" w:right="694"/>
              <w:rPr>
                <w:rFonts w:ascii="Calibri" w:eastAsia="Calibri" w:hAnsi="Calibri" w:cs="Times New Roman"/>
                <w:sz w:val="24"/>
                <w:szCs w:val="26"/>
              </w:rPr>
            </w:pPr>
            <w:r w:rsidRPr="000478BE">
              <w:rPr>
                <w:rFonts w:ascii="Calibri" w:eastAsia="Calibri" w:hAnsi="Calibri" w:cs="Times New Roman"/>
                <w:sz w:val="24"/>
                <w:szCs w:val="26"/>
              </w:rPr>
              <w:t>Having</w:t>
            </w:r>
            <w:r w:rsidRPr="007C4752">
              <w:rPr>
                <w:rFonts w:ascii="Calibri" w:eastAsia="Calibri" w:hAnsi="Calibri" w:cs="Times New Roman"/>
                <w:sz w:val="24"/>
                <w:szCs w:val="26"/>
              </w:rPr>
              <w:t xml:space="preserve"> regard to these principles, are there any </w:t>
            </w:r>
            <w:r w:rsidRPr="007C4752">
              <w:rPr>
                <w:rFonts w:ascii="Calibri" w:eastAsia="Calibri" w:hAnsi="Calibri" w:cs="Times New Roman"/>
                <w:sz w:val="24"/>
              </w:rPr>
              <w:t xml:space="preserve">general or specific </w:t>
            </w:r>
            <w:r w:rsidRPr="007C4752">
              <w:rPr>
                <w:rFonts w:ascii="Calibri" w:eastAsia="Calibri" w:hAnsi="Calibri" w:cs="Times New Roman"/>
                <w:sz w:val="24"/>
                <w:szCs w:val="26"/>
              </w:rPr>
              <w:t xml:space="preserve">secrecy offences that should be amended or repealed? </w:t>
            </w:r>
          </w:p>
          <w:p w14:paraId="305AA664" w14:textId="77777777" w:rsidR="00F87397" w:rsidRPr="00BE6388" w:rsidRDefault="00137A13" w:rsidP="008A1B38">
            <w:pPr>
              <w:pStyle w:val="ListParagraph"/>
              <w:numPr>
                <w:ilvl w:val="0"/>
                <w:numId w:val="22"/>
              </w:numPr>
              <w:spacing w:before="0" w:after="160" w:line="259" w:lineRule="auto"/>
              <w:ind w:right="694"/>
              <w:contextualSpacing/>
              <w:rPr>
                <w:rFonts w:ascii="Calibri" w:eastAsia="Calibri" w:hAnsi="Calibri" w:cs="Times New Roman"/>
                <w:sz w:val="24"/>
                <w:szCs w:val="26"/>
              </w:rPr>
            </w:pPr>
            <w:r w:rsidRPr="007C4752">
              <w:rPr>
                <w:rFonts w:ascii="Calibri" w:eastAsia="Calibri" w:hAnsi="Calibri" w:cs="Times New Roman"/>
                <w:sz w:val="24"/>
                <w:szCs w:val="26"/>
              </w:rPr>
              <w:t>For any of these offences, are there other forms of action (such as civil or administrative action) that would be more appropriate to protect against unlawful communication or other dealing with the information?</w:t>
            </w:r>
          </w:p>
          <w:p w14:paraId="77CA520A" w14:textId="77777777" w:rsidR="000478BE" w:rsidRDefault="000478BE" w:rsidP="000B3891">
            <w:pPr>
              <w:ind w:left="313" w:right="694"/>
              <w:rPr>
                <w:rFonts w:ascii="Calibri" w:eastAsia="Calibri" w:hAnsi="Calibri" w:cs="Times New Roman"/>
                <w:b/>
                <w:sz w:val="28"/>
                <w:szCs w:val="28"/>
              </w:rPr>
            </w:pPr>
          </w:p>
          <w:p w14:paraId="20AE1F99" w14:textId="50E83872" w:rsidR="00F87397" w:rsidRPr="00AA589D" w:rsidRDefault="00F87397" w:rsidP="000B3891">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3</w:t>
            </w:r>
          </w:p>
          <w:p w14:paraId="1B90764F" w14:textId="27BA47AA" w:rsidR="007C4752" w:rsidRDefault="00137A13" w:rsidP="000478BE">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szCs w:val="26"/>
              </w:rPr>
              <w:t xml:space="preserve">Are there circumstances in which it is appropriate for a specific secrecy offence to prohibit conduct that is also prohibited by a general secrecy offence?  </w:t>
            </w:r>
          </w:p>
          <w:p w14:paraId="10176C13" w14:textId="77777777" w:rsidR="00F87397" w:rsidRPr="00AA589D" w:rsidRDefault="00F87397" w:rsidP="000B3891">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4</w:t>
            </w:r>
          </w:p>
          <w:p w14:paraId="6D99D14B" w14:textId="77777777" w:rsidR="00F87397" w:rsidRPr="00FE0171" w:rsidRDefault="00137A13" w:rsidP="007C4752">
            <w:pPr>
              <w:pStyle w:val="ListParagraph"/>
              <w:spacing w:before="0" w:after="160" w:line="259" w:lineRule="auto"/>
              <w:ind w:left="360" w:right="694" w:firstLine="0"/>
              <w:contextualSpacing/>
              <w:rPr>
                <w:rFonts w:ascii="Calibri" w:eastAsia="Calibri" w:hAnsi="Calibri" w:cs="Times New Roman"/>
                <w:sz w:val="24"/>
                <w:szCs w:val="26"/>
              </w:rPr>
            </w:pPr>
            <w:r w:rsidRPr="00FE0171">
              <w:rPr>
                <w:rFonts w:ascii="Calibri" w:eastAsia="Calibri" w:hAnsi="Calibri" w:cs="Times New Roman"/>
                <w:sz w:val="24"/>
                <w:szCs w:val="26"/>
              </w:rPr>
              <w:t xml:space="preserve">Are the current defences for general secrecy offences available under section 122.5 of the Criminal Code appropriately framed? Are there any amendments or additions to these defences that should be considered? </w:t>
            </w:r>
          </w:p>
          <w:p w14:paraId="522A73B1" w14:textId="42A9B1D7" w:rsidR="00F87397" w:rsidRPr="00A86A6A" w:rsidRDefault="00F87397" w:rsidP="000478BE">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5</w:t>
            </w:r>
          </w:p>
          <w:p w14:paraId="41A51CE0" w14:textId="77777777" w:rsidR="00F87397" w:rsidRPr="001806FE" w:rsidRDefault="00137A13" w:rsidP="000478BE">
            <w:pPr>
              <w:ind w:left="313" w:right="694"/>
              <w:rPr>
                <w:rFonts w:ascii="Calibri" w:eastAsia="Calibri" w:hAnsi="Calibri" w:cs="Times New Roman"/>
              </w:rPr>
            </w:pPr>
            <w:r w:rsidRPr="000478BE">
              <w:rPr>
                <w:rFonts w:ascii="Calibri" w:eastAsia="Calibri" w:hAnsi="Calibri" w:cs="Times New Roman"/>
                <w:sz w:val="24"/>
                <w:szCs w:val="26"/>
              </w:rPr>
              <w:t>Are</w:t>
            </w:r>
            <w:r w:rsidRPr="00FE0171">
              <w:rPr>
                <w:rFonts w:ascii="Calibri" w:eastAsia="Calibri" w:hAnsi="Calibri" w:cs="Times New Roman"/>
                <w:sz w:val="24"/>
                <w:szCs w:val="26"/>
              </w:rPr>
              <w:t xml:space="preserve"> there any defences that should generally be available for specific secrecy offences? Are there amendments or additions to defences for specific secrecy offences that should be considered? </w:t>
            </w:r>
          </w:p>
        </w:tc>
      </w:tr>
    </w:tbl>
    <w:p w14:paraId="3293311F" w14:textId="77777777" w:rsidR="00F87397" w:rsidRDefault="00F87397" w:rsidP="00F87397">
      <w:pPr>
        <w:rPr>
          <w:rFonts w:ascii="Calibri Light" w:eastAsia="Times New Roman" w:hAnsi="Calibri Light" w:cs="Times New Roman"/>
          <w:color w:val="2F5496"/>
          <w:sz w:val="32"/>
          <w:szCs w:val="32"/>
          <w:lang w:val="en-AU"/>
        </w:rPr>
      </w:pPr>
      <w:r>
        <w:br w:type="page"/>
      </w:r>
    </w:p>
    <w:p w14:paraId="53D03386" w14:textId="77777777" w:rsidR="001806FE" w:rsidRPr="002A0C0D" w:rsidRDefault="001806FE" w:rsidP="003C25B1">
      <w:pPr>
        <w:pStyle w:val="Heading1"/>
      </w:pPr>
      <w:bookmarkStart w:id="53" w:name="_Toc130218789"/>
      <w:bookmarkStart w:id="54" w:name="_Toc130465882"/>
      <w:r w:rsidRPr="002A0C0D">
        <w:lastRenderedPageBreak/>
        <w:t>Part 2: Public interest journalism</w:t>
      </w:r>
      <w:bookmarkEnd w:id="53"/>
      <w:bookmarkEnd w:id="54"/>
    </w:p>
    <w:p w14:paraId="75557D88"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Public interest journalism plays a critical role in holding governments to account in an open and democratic society. The need for protections for public interest journalism in secrecy law must be balanced against other essential public interests, such as national security and public safety.</w:t>
      </w:r>
    </w:p>
    <w:p w14:paraId="6BBDD326" w14:textId="77777777" w:rsidR="001806FE" w:rsidRPr="001806FE" w:rsidRDefault="001806FE" w:rsidP="003C25B1">
      <w:pPr>
        <w:pStyle w:val="Heading2"/>
      </w:pPr>
      <w:bookmarkStart w:id="55" w:name="_Toc130218790"/>
      <w:bookmarkStart w:id="56" w:name="_Toc130465883"/>
      <w:r w:rsidRPr="001806FE">
        <w:t>Existing protections for public interest journalism in secrecy law</w:t>
      </w:r>
      <w:bookmarkEnd w:id="55"/>
      <w:bookmarkEnd w:id="56"/>
    </w:p>
    <w:p w14:paraId="6C5A45AC"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iCs/>
          <w:lang w:val="en-AU"/>
        </w:rPr>
        <w:t>The general secrecy offences in Part 5.6 of the Criminal Code</w:t>
      </w:r>
      <w:r w:rsidRPr="001806FE" w:rsidDel="00B13333">
        <w:rPr>
          <w:rFonts w:ascii="Calibri" w:eastAsia="Calibri" w:hAnsi="Calibri" w:cs="Times New Roman"/>
          <w:iCs/>
          <w:lang w:val="en-AU"/>
        </w:rPr>
        <w:t xml:space="preserve"> </w:t>
      </w:r>
      <w:r w:rsidRPr="001806FE">
        <w:rPr>
          <w:rFonts w:ascii="Calibri" w:eastAsia="Calibri" w:hAnsi="Calibri" w:cs="Times New Roman"/>
          <w:iCs/>
          <w:lang w:val="en-AU"/>
        </w:rPr>
        <w:t xml:space="preserve">include a defence under section 122.5(6) for public interest journalism. </w:t>
      </w:r>
    </w:p>
    <w:p w14:paraId="5E2FD4D7" w14:textId="77777777" w:rsidR="001806FE" w:rsidRPr="001806FE" w:rsidRDefault="001806FE" w:rsidP="001806FE">
      <w:pPr>
        <w:widowControl/>
        <w:autoSpaceDE/>
        <w:autoSpaceDN/>
        <w:spacing w:after="160" w:line="259" w:lineRule="auto"/>
        <w:rPr>
          <w:rFonts w:ascii="Calibri" w:eastAsia="Calibri" w:hAnsi="Calibri" w:cs="Times New Roman"/>
          <w:iCs/>
          <w:lang w:val="en-AU"/>
        </w:rPr>
      </w:pPr>
      <w:r w:rsidRPr="001806FE">
        <w:rPr>
          <w:rFonts w:ascii="Calibri" w:eastAsia="Calibri" w:hAnsi="Calibri" w:cs="Times New Roman"/>
          <w:iCs/>
          <w:lang w:val="en-AU"/>
        </w:rPr>
        <w:t>Section 122.5(6) provides that it is a defence to a prosecution for an offence against Part 5.6 of the Criminal Code if the person communicated, removed, held or otherwise dealt with relevant information:</w:t>
      </w:r>
    </w:p>
    <w:p w14:paraId="6C051199" w14:textId="77777777" w:rsidR="001806FE" w:rsidRPr="001806FE" w:rsidRDefault="001806FE" w:rsidP="001806FE">
      <w:pPr>
        <w:widowControl/>
        <w:numPr>
          <w:ilvl w:val="0"/>
          <w:numId w:val="9"/>
        </w:numPr>
        <w:autoSpaceDE/>
        <w:autoSpaceDN/>
        <w:spacing w:after="200" w:line="276" w:lineRule="auto"/>
        <w:contextualSpacing/>
        <w:rPr>
          <w:rFonts w:ascii="Calibri" w:eastAsia="Calibri" w:hAnsi="Calibri" w:cs="Calibri"/>
          <w:w w:val="105"/>
          <w:kern w:val="40"/>
          <w:lang w:val="en-AU"/>
        </w:rPr>
      </w:pPr>
      <w:r w:rsidRPr="001806FE">
        <w:rPr>
          <w:rFonts w:ascii="Calibri" w:eastAsia="Calibri" w:hAnsi="Calibri" w:cs="Calibri"/>
          <w:w w:val="105"/>
          <w:kern w:val="40"/>
          <w:lang w:val="en-AU"/>
        </w:rPr>
        <w:t>in their capacity as a person engaged in the business of reporting news, presenting current affairs or expressing editorial or other content in news media, and</w:t>
      </w:r>
    </w:p>
    <w:p w14:paraId="1980FE17" w14:textId="77777777" w:rsidR="001806FE" w:rsidRPr="001806FE" w:rsidRDefault="001806FE" w:rsidP="00FE0171">
      <w:pPr>
        <w:widowControl/>
        <w:numPr>
          <w:ilvl w:val="0"/>
          <w:numId w:val="9"/>
        </w:numPr>
        <w:autoSpaceDE/>
        <w:autoSpaceDN/>
        <w:spacing w:after="200" w:line="259" w:lineRule="auto"/>
        <w:rPr>
          <w:rFonts w:ascii="Calibri" w:eastAsia="Calibri" w:hAnsi="Calibri" w:cs="Calibri"/>
          <w:w w:val="105"/>
          <w:kern w:val="40"/>
          <w:sz w:val="24"/>
          <w:lang w:val="en-AU"/>
        </w:rPr>
      </w:pPr>
      <w:r w:rsidRPr="001806FE">
        <w:rPr>
          <w:rFonts w:ascii="Calibri" w:eastAsia="Calibri" w:hAnsi="Calibri" w:cs="Calibri"/>
          <w:w w:val="105"/>
          <w:kern w:val="40"/>
          <w:lang w:val="en-AU"/>
        </w:rPr>
        <w:t xml:space="preserve">at the time, the person reasonably believed that engaging in that conduct was in the public interest. </w:t>
      </w:r>
    </w:p>
    <w:p w14:paraId="04A0743A" w14:textId="77777777" w:rsidR="001806FE" w:rsidRPr="001806FE" w:rsidRDefault="001806FE" w:rsidP="00D070DA">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iCs/>
          <w:lang w:val="en-AU"/>
        </w:rPr>
        <w:t>Section</w:t>
      </w:r>
      <w:r w:rsidRPr="001806FE">
        <w:rPr>
          <w:rFonts w:ascii="Calibri" w:eastAsia="Calibri" w:hAnsi="Calibri" w:cs="Times New Roman"/>
          <w:lang w:val="en-AU"/>
        </w:rPr>
        <w:t xml:space="preserve"> 122.5(6) also extends to</w:t>
      </w:r>
      <w:r w:rsidRPr="001806FE" w:rsidDel="0023243A">
        <w:rPr>
          <w:rFonts w:ascii="Calibri" w:eastAsia="Calibri" w:hAnsi="Calibri" w:cs="Times New Roman"/>
          <w:lang w:val="en-AU"/>
        </w:rPr>
        <w:t xml:space="preserve"> </w:t>
      </w:r>
      <w:r w:rsidRPr="001806FE">
        <w:rPr>
          <w:rFonts w:ascii="Calibri" w:eastAsia="Calibri" w:hAnsi="Calibri" w:cs="Times New Roman"/>
          <w:lang w:val="en-AU"/>
        </w:rPr>
        <w:t>administrative staff of an entity engaged in</w:t>
      </w:r>
      <w:r w:rsidRPr="001806FE" w:rsidDel="0023243A">
        <w:rPr>
          <w:rFonts w:ascii="Calibri" w:eastAsia="Calibri" w:hAnsi="Calibri" w:cs="Times New Roman"/>
          <w:lang w:val="en-AU"/>
        </w:rPr>
        <w:t xml:space="preserve"> </w:t>
      </w:r>
      <w:r w:rsidRPr="001806FE">
        <w:rPr>
          <w:rFonts w:ascii="Calibri" w:eastAsia="Calibri" w:hAnsi="Calibri" w:cs="Times New Roman"/>
          <w:lang w:val="en-AU"/>
        </w:rPr>
        <w:t xml:space="preserve">reporting news, presenting current affairs or expressing editorial or other content, and who are acting under the direction of a journalist, editor or lawyer who is also a member of the staff of the entity. </w:t>
      </w:r>
    </w:p>
    <w:p w14:paraId="1A978D92"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iCs/>
          <w:lang w:val="en-AU"/>
        </w:rPr>
        <w:t xml:space="preserve">The concept of ‘public interest’ is not specifically defined in the Criminal Code. However, the Code does provide specific examples where dealing with or holding certain information will </w:t>
      </w:r>
      <w:r w:rsidRPr="001806FE">
        <w:rPr>
          <w:rFonts w:ascii="Calibri" w:eastAsia="Calibri" w:hAnsi="Calibri" w:cs="Times New Roman"/>
          <w:i/>
          <w:iCs/>
          <w:lang w:val="en-AU"/>
        </w:rPr>
        <w:t>not</w:t>
      </w:r>
      <w:r w:rsidRPr="001806FE">
        <w:rPr>
          <w:rFonts w:ascii="Calibri" w:eastAsia="Calibri" w:hAnsi="Calibri" w:cs="Times New Roman"/>
          <w:iCs/>
          <w:lang w:val="en-AU"/>
        </w:rPr>
        <w:t xml:space="preserve"> be in the public interest, namely: </w:t>
      </w:r>
    </w:p>
    <w:p w14:paraId="431ECBDE" w14:textId="77777777" w:rsidR="001806FE" w:rsidRPr="001806FE" w:rsidRDefault="001806FE" w:rsidP="001806FE">
      <w:pPr>
        <w:widowControl/>
        <w:numPr>
          <w:ilvl w:val="0"/>
          <w:numId w:val="11"/>
        </w:numPr>
        <w:autoSpaceDE/>
        <w:autoSpaceDN/>
        <w:spacing w:after="200" w:line="276" w:lineRule="auto"/>
        <w:contextualSpacing/>
        <w:rPr>
          <w:rFonts w:ascii="Calibri" w:eastAsia="Calibri" w:hAnsi="Calibri" w:cs="Calibri"/>
          <w:w w:val="105"/>
          <w:kern w:val="40"/>
          <w:lang w:val="en-AU"/>
        </w:rPr>
      </w:pPr>
      <w:r w:rsidRPr="001806FE">
        <w:rPr>
          <w:rFonts w:ascii="Calibri" w:eastAsia="Calibri" w:hAnsi="Calibri" w:cs="Calibri"/>
          <w:w w:val="105"/>
          <w:kern w:val="40"/>
          <w:lang w:val="en-AU"/>
        </w:rPr>
        <w:t xml:space="preserve">the information protects the identity of Australian Security Intelligence Organisation (ASIO) and Australian Secret Intelligence Service (ASIS) employees </w:t>
      </w:r>
    </w:p>
    <w:p w14:paraId="0F7FD579" w14:textId="77777777" w:rsidR="001806FE" w:rsidRPr="001806FE" w:rsidRDefault="001806FE" w:rsidP="001806FE">
      <w:pPr>
        <w:widowControl/>
        <w:numPr>
          <w:ilvl w:val="0"/>
          <w:numId w:val="11"/>
        </w:numPr>
        <w:autoSpaceDE/>
        <w:autoSpaceDN/>
        <w:spacing w:after="200" w:line="276" w:lineRule="auto"/>
        <w:contextualSpacing/>
        <w:rPr>
          <w:rFonts w:ascii="Calibri" w:eastAsia="Calibri" w:hAnsi="Calibri" w:cs="Calibri"/>
          <w:w w:val="105"/>
          <w:kern w:val="40"/>
          <w:lang w:val="en-AU"/>
        </w:rPr>
      </w:pPr>
      <w:r w:rsidRPr="001806FE">
        <w:rPr>
          <w:rFonts w:ascii="Calibri" w:eastAsia="Calibri" w:hAnsi="Calibri" w:cs="Calibri"/>
          <w:w w:val="105"/>
          <w:kern w:val="40"/>
          <w:lang w:val="en-AU"/>
        </w:rPr>
        <w:t>the information relates to the identity of a person involved in witness protection, or</w:t>
      </w:r>
    </w:p>
    <w:p w14:paraId="362D43EC" w14:textId="77777777" w:rsidR="001806FE" w:rsidRPr="001806FE" w:rsidRDefault="001806FE" w:rsidP="001806FE">
      <w:pPr>
        <w:widowControl/>
        <w:numPr>
          <w:ilvl w:val="0"/>
          <w:numId w:val="11"/>
        </w:numPr>
        <w:autoSpaceDE/>
        <w:autoSpaceDN/>
        <w:spacing w:after="200" w:line="276" w:lineRule="auto"/>
        <w:contextualSpacing/>
        <w:rPr>
          <w:rFonts w:ascii="Calibri" w:eastAsia="Calibri" w:hAnsi="Calibri" w:cs="Calibri"/>
          <w:w w:val="105"/>
          <w:kern w:val="40"/>
          <w:lang w:val="en-AU"/>
        </w:rPr>
      </w:pPr>
      <w:r w:rsidRPr="001806FE">
        <w:rPr>
          <w:rFonts w:ascii="Calibri" w:eastAsia="Calibri" w:hAnsi="Calibri" w:cs="Calibri"/>
          <w:w w:val="105"/>
          <w:kern w:val="40"/>
          <w:lang w:val="en-AU"/>
        </w:rPr>
        <w:t xml:space="preserve">where the conduct is engaged in for the purpose of directly or indirectly assisting a foreign intelligence agency, or a foreign military organisation. </w:t>
      </w:r>
    </w:p>
    <w:p w14:paraId="01937AB9" w14:textId="77777777" w:rsidR="001806FE" w:rsidRPr="002A0C0D" w:rsidRDefault="001806FE" w:rsidP="003C25B1">
      <w:pPr>
        <w:pStyle w:val="Heading3"/>
      </w:pPr>
      <w:bookmarkStart w:id="57" w:name="_Toc130465884"/>
      <w:r w:rsidRPr="002A0C0D">
        <w:t>Evidential burden</w:t>
      </w:r>
      <w:bookmarkEnd w:id="57"/>
    </w:p>
    <w:p w14:paraId="11D7B159" w14:textId="77777777" w:rsidR="001806FE" w:rsidRPr="001806FE" w:rsidRDefault="001806FE" w:rsidP="001806FE">
      <w:pPr>
        <w:widowControl/>
        <w:autoSpaceDE/>
        <w:autoSpaceDN/>
        <w:spacing w:after="160" w:line="259" w:lineRule="auto"/>
        <w:rPr>
          <w:rFonts w:ascii="Calibri" w:eastAsia="Calibri" w:hAnsi="Calibri" w:cs="Times New Roman"/>
          <w:iCs/>
          <w:lang w:val="en-AU"/>
        </w:rPr>
      </w:pPr>
      <w:r w:rsidRPr="001806FE">
        <w:rPr>
          <w:rFonts w:ascii="Calibri" w:eastAsia="Calibri" w:hAnsi="Calibri" w:cs="Times New Roman"/>
          <w:color w:val="000000"/>
          <w:lang w:val="en-AU"/>
        </w:rPr>
        <w:t>Where an individual seeks to rely on this defence, the individual bears the evidential burden.</w:t>
      </w:r>
      <w:r w:rsidRPr="001806FE">
        <w:rPr>
          <w:rFonts w:ascii="Calibri" w:eastAsia="Calibri" w:hAnsi="Calibri" w:cs="Times New Roman"/>
          <w:color w:val="000000"/>
          <w:vertAlign w:val="superscript"/>
          <w:lang w:val="en-AU"/>
        </w:rPr>
        <w:footnoteReference w:id="25"/>
      </w:r>
      <w:r w:rsidRPr="001806FE">
        <w:rPr>
          <w:rFonts w:ascii="Calibri" w:eastAsia="Calibri" w:hAnsi="Calibri" w:cs="Times New Roman"/>
          <w:color w:val="000000"/>
          <w:lang w:val="en-AU"/>
        </w:rPr>
        <w:t xml:space="preserve"> This would require a journalist to present evidence showing that they reasonably believed that engaging in the conduct was in the public interest</w:t>
      </w:r>
      <w:r w:rsidRPr="001806FE">
        <w:rPr>
          <w:rFonts w:ascii="Calibri" w:eastAsia="Calibri" w:hAnsi="Calibri" w:cs="Times New Roman"/>
          <w:iCs/>
          <w:color w:val="000000"/>
          <w:lang w:val="en-AU"/>
        </w:rPr>
        <w:t xml:space="preserve">. </w:t>
      </w:r>
      <w:r w:rsidRPr="001806FE">
        <w:rPr>
          <w:rFonts w:ascii="Calibri" w:eastAsia="Calibri" w:hAnsi="Calibri" w:cs="Times New Roman"/>
          <w:iCs/>
          <w:lang w:val="en-AU"/>
        </w:rPr>
        <w:t xml:space="preserve">The defendant is not required to prove that their conduct was actually in the public interest. </w:t>
      </w:r>
      <w:r w:rsidRPr="001806FE">
        <w:rPr>
          <w:rFonts w:ascii="Calibri" w:eastAsia="Calibri" w:hAnsi="Calibri" w:cs="Times New Roman"/>
          <w:lang w:val="en-AU"/>
        </w:rPr>
        <w:t>Once the defendant’s evidential burden is discharged, the prosecution must disprove beyond reasonable doubt that the person did not hold or deal with the information in the public interest.</w:t>
      </w:r>
    </w:p>
    <w:p w14:paraId="1ABB6845" w14:textId="77777777" w:rsidR="001806FE" w:rsidRPr="001806FE" w:rsidRDefault="001806FE" w:rsidP="003C25B1">
      <w:pPr>
        <w:pStyle w:val="Heading3"/>
      </w:pPr>
      <w:bookmarkStart w:id="58" w:name="_Toc130465885"/>
      <w:r w:rsidRPr="001806FE">
        <w:t>Access to the public interest journalism defence</w:t>
      </w:r>
      <w:bookmarkEnd w:id="58"/>
    </w:p>
    <w:p w14:paraId="229BE23E"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public interest journalism defence in Part 5.6 of the Criminal Code is the only public interest journalism defence in Commonwealth legislation. There are no equivalent defences in relation to specific secrecy offences.</w:t>
      </w:r>
    </w:p>
    <w:p w14:paraId="51432513"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One area of particular interest has been protections for public interest journalism in relation to national security. A range of recommendations arising from the PJCIS 2020 press freedoms report are </w:t>
      </w:r>
      <w:r w:rsidRPr="001806FE">
        <w:rPr>
          <w:rFonts w:ascii="Calibri" w:eastAsia="Calibri" w:hAnsi="Calibri" w:cs="Times New Roman"/>
          <w:lang w:val="en-AU"/>
        </w:rPr>
        <w:lastRenderedPageBreak/>
        <w:t>being considered separately to this Review (including journalist information warrants and consultation mechanisms between journalists and national intelligences community agencies).</w:t>
      </w:r>
      <w:r w:rsidRPr="001806FE">
        <w:rPr>
          <w:rFonts w:ascii="Calibri" w:eastAsia="Calibri" w:hAnsi="Calibri" w:cs="Times New Roman"/>
          <w:vertAlign w:val="superscript"/>
          <w:lang w:val="en-AU"/>
        </w:rPr>
        <w:footnoteReference w:id="26"/>
      </w:r>
      <w:r w:rsidRPr="001806FE">
        <w:rPr>
          <w:rFonts w:ascii="Calibri" w:eastAsia="Calibri" w:hAnsi="Calibri" w:cs="Times New Roman"/>
          <w:lang w:val="en-AU"/>
        </w:rPr>
        <w:t xml:space="preserve">  </w:t>
      </w:r>
    </w:p>
    <w:p w14:paraId="17F2231B" w14:textId="6D728401"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Recognising that unauthorised </w:t>
      </w:r>
      <w:r w:rsidR="000478BE">
        <w:rPr>
          <w:rFonts w:ascii="Calibri" w:eastAsia="Calibri" w:hAnsi="Calibri" w:cs="Times New Roman"/>
          <w:lang w:val="en-AU"/>
        </w:rPr>
        <w:t xml:space="preserve">communication or other dealings with </w:t>
      </w:r>
      <w:r w:rsidRPr="001806FE">
        <w:rPr>
          <w:rFonts w:ascii="Calibri" w:eastAsia="Calibri" w:hAnsi="Calibri" w:cs="Times New Roman"/>
          <w:lang w:val="en-AU"/>
        </w:rPr>
        <w:t>national security information could be expected to cause serious or grave damage to Australia’s national interest, there are a range of specific secrecy offences in Commonwealth legislation that apply to unauthorised dealings with national security information in addition to the operation of the general secrecy offences in the Criminal Code. For example, this could include circumstances where information reveals sensitive defence operations and plans, certain capabilities, methodologies and sources, the identity and whereabouts of personnel in sensitive positions, and immediate threats to life, including the lives of Australian personnel. This interest needs to be considered alongside appropriate oversight and accountability mechanisms in the area of national security including for wrongdoing, corruption or maladministration. The department notes the role of oversight mechanisms such as the Inspector</w:t>
      </w:r>
      <w:r w:rsidRPr="001806FE">
        <w:rPr>
          <w:rFonts w:ascii="Calibri" w:eastAsia="Calibri" w:hAnsi="Calibri" w:cs="Times New Roman"/>
          <w:lang w:val="en-AU"/>
        </w:rPr>
        <w:noBreakHyphen/>
        <w:t>General of Intelligence and Security and the National Anti</w:t>
      </w:r>
      <w:r w:rsidRPr="001806FE">
        <w:rPr>
          <w:rFonts w:ascii="Calibri" w:eastAsia="Calibri" w:hAnsi="Calibri" w:cs="Times New Roman"/>
          <w:lang w:val="en-AU"/>
        </w:rPr>
        <w:noBreakHyphen/>
        <w:t>Corruption Commission.</w:t>
      </w:r>
    </w:p>
    <w:p w14:paraId="3F3992D5" w14:textId="77777777" w:rsidR="001806FE" w:rsidRPr="001806FE" w:rsidRDefault="001806FE" w:rsidP="001806FE">
      <w:pPr>
        <w:widowControl/>
        <w:autoSpaceDE/>
        <w:autoSpaceDN/>
        <w:spacing w:after="160" w:line="259" w:lineRule="auto"/>
        <w:rPr>
          <w:rFonts w:ascii="Calibri" w:eastAsia="Calibri" w:hAnsi="Calibri" w:cs="Times New Roman"/>
          <w:lang w:val="en-AU"/>
        </w:rPr>
      </w:pPr>
      <w:bookmarkStart w:id="59" w:name="_Hlk130455755"/>
      <w:r w:rsidRPr="001806FE">
        <w:rPr>
          <w:rFonts w:ascii="Calibri" w:eastAsia="Calibri" w:hAnsi="Calibri" w:cs="Times New Roman"/>
          <w:lang w:val="en-AU"/>
        </w:rPr>
        <w:t>The 2019 Richardson Review, which considered the legal framework of the National Intelligence Community, found that current mechanisms for public interest disclosures of information obtained by, or relating to, National Intelligence Community agencies (NIC agencies) remained appropriate. Further, it recommended that neither general nor specific secrecy offences applying to NIC agencies should be amended.</w:t>
      </w:r>
      <w:r w:rsidRPr="001806FE">
        <w:rPr>
          <w:rFonts w:ascii="Calibri" w:eastAsia="Calibri" w:hAnsi="Calibri" w:cs="Times New Roman"/>
          <w:vertAlign w:val="superscript"/>
          <w:lang w:val="en-AU"/>
        </w:rPr>
        <w:footnoteReference w:id="27"/>
      </w:r>
      <w:r w:rsidRPr="001806FE">
        <w:rPr>
          <w:rFonts w:ascii="Calibri" w:eastAsia="Calibri" w:hAnsi="Calibri" w:cs="Times New Roman"/>
          <w:lang w:val="en-AU"/>
        </w:rPr>
        <w:t xml:space="preserve"> </w:t>
      </w:r>
    </w:p>
    <w:p w14:paraId="1EC2CEEC" w14:textId="77777777" w:rsidR="001806FE" w:rsidRPr="001806FE" w:rsidRDefault="001806FE" w:rsidP="001B2709">
      <w:pPr>
        <w:pStyle w:val="Heading3"/>
      </w:pPr>
      <w:bookmarkStart w:id="61" w:name="_Toc130218791"/>
      <w:bookmarkStart w:id="62" w:name="_Toc130465886"/>
      <w:bookmarkEnd w:id="59"/>
      <w:r w:rsidRPr="001806FE">
        <w:t>Requirement for consent to prosecute certain secrecy offences</w:t>
      </w:r>
      <w:bookmarkEnd w:id="61"/>
      <w:bookmarkEnd w:id="62"/>
      <w:r w:rsidRPr="001806FE">
        <w:t xml:space="preserve"> </w:t>
      </w:r>
    </w:p>
    <w:p w14:paraId="3288E989"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In all potential Commonwealth prosecutions, the Commonwealth Director of Public Prosecutions (CDPP) will first determine whether a prosecution should proceed on the basis of evidence collected and referred by relevant law enforcement agencies. The CDPP must be satisfied that there is sufficient evidence to prosecute the case, and that the prosecution would be in the public interest.</w:t>
      </w:r>
      <w:r w:rsidRPr="001806FE">
        <w:rPr>
          <w:rFonts w:ascii="Calibri" w:eastAsia="Calibri" w:hAnsi="Calibri" w:cs="Times New Roman"/>
          <w:vertAlign w:val="superscript"/>
          <w:lang w:val="en-AU"/>
        </w:rPr>
        <w:footnoteReference w:id="28"/>
      </w:r>
      <w:r w:rsidRPr="001806FE">
        <w:rPr>
          <w:rFonts w:ascii="Calibri" w:eastAsia="Calibri" w:hAnsi="Calibri" w:cs="Times New Roman"/>
          <w:lang w:val="en-AU"/>
        </w:rPr>
        <w:t xml:space="preserve"> </w:t>
      </w:r>
    </w:p>
    <w:p w14:paraId="4973F048" w14:textId="5D3EFB05"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Attorney-General’s written consent is also required for any prosecution—regardless of whether the defendant is a journalist—under the general secrecy offences in Part 5.6 of the Criminal Code and under certain specific secrecy offences.</w:t>
      </w:r>
      <w:r w:rsidRPr="001806FE">
        <w:rPr>
          <w:rFonts w:ascii="Calibri" w:eastAsia="Calibri" w:hAnsi="Calibri" w:cs="Times New Roman"/>
          <w:vertAlign w:val="superscript"/>
          <w:lang w:val="en-AU"/>
        </w:rPr>
        <w:footnoteReference w:id="29"/>
      </w:r>
      <w:r w:rsidRPr="001806FE">
        <w:rPr>
          <w:rFonts w:ascii="Calibri" w:eastAsia="Calibri" w:hAnsi="Calibri" w:cs="Times New Roman"/>
          <w:lang w:val="en-AU"/>
        </w:rPr>
        <w:t xml:space="preserve"> The Attorney-General’s consent is commonly required to commence proceedings that could affect Australia’s international relations or national security. This</w:t>
      </w:r>
      <w:r w:rsidR="00C36122">
        <w:rPr>
          <w:rFonts w:ascii="Calibri" w:eastAsia="Calibri" w:hAnsi="Calibri" w:cs="Times New Roman"/>
          <w:lang w:val="en-AU"/>
        </w:rPr>
        <w:t> </w:t>
      </w:r>
      <w:r w:rsidRPr="001806FE">
        <w:rPr>
          <w:rFonts w:ascii="Calibri" w:eastAsia="Calibri" w:hAnsi="Calibri" w:cs="Times New Roman"/>
          <w:lang w:val="en-AU"/>
        </w:rPr>
        <w:t>legislative requirement is an additional layer of scrutiny.</w:t>
      </w:r>
      <w:r w:rsidRPr="001806FE">
        <w:rPr>
          <w:rFonts w:ascii="Calibri" w:eastAsia="Calibri" w:hAnsi="Calibri" w:cs="Times New Roman"/>
          <w:vertAlign w:val="superscript"/>
          <w:lang w:val="en-AU"/>
        </w:rPr>
        <w:footnoteReference w:id="30"/>
      </w:r>
      <w:r w:rsidRPr="001806FE">
        <w:rPr>
          <w:rFonts w:ascii="Calibri" w:eastAsia="Calibri" w:hAnsi="Calibri" w:cs="Times New Roman"/>
          <w:lang w:val="en-AU"/>
        </w:rPr>
        <w:t xml:space="preserve"> </w:t>
      </w:r>
    </w:p>
    <w:p w14:paraId="7FD5C6E1"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In considering whether to give consent to a prosecution, the Attorney-General has discretion to consider any relevant information, including detailed briefs of evidence, advice from the CDPP, any applicable defences and exceptions, and contextual information including the public interests served by a journalist’s conduct.</w:t>
      </w:r>
    </w:p>
    <w:p w14:paraId="473BA5F1" w14:textId="77777777" w:rsidR="001806FE" w:rsidRPr="001806FE" w:rsidRDefault="001806FE" w:rsidP="001806FE">
      <w:pPr>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 xml:space="preserve">Additionally, the Attorney-General has issued a direction under the </w:t>
      </w:r>
      <w:r w:rsidRPr="001806FE">
        <w:rPr>
          <w:rFonts w:ascii="Calibri" w:eastAsia="Calibri" w:hAnsi="Calibri" w:cs="Times New Roman"/>
          <w:i/>
          <w:lang w:val="en-AU"/>
        </w:rPr>
        <w:t>Director of Public Prosecutions Act 1983</w:t>
      </w:r>
      <w:r w:rsidRPr="001806FE">
        <w:rPr>
          <w:rFonts w:ascii="Calibri" w:eastAsia="Calibri" w:hAnsi="Calibri" w:cs="Times New Roman"/>
          <w:lang w:val="en-AU"/>
        </w:rPr>
        <w:t xml:space="preserve"> that requires the CDPP to obtain the Attorney-General’s written consent before proceeding with the prosecution of a journalist under certain circumstances. This requirement applies to prosecutions where the defendant is a journalist, the alleged offence relates to work in a professional </w:t>
      </w:r>
      <w:r w:rsidRPr="001806FE">
        <w:rPr>
          <w:rFonts w:ascii="Calibri" w:eastAsia="Calibri" w:hAnsi="Calibri" w:cs="Times New Roman"/>
          <w:lang w:val="en-AU"/>
        </w:rPr>
        <w:lastRenderedPageBreak/>
        <w:t xml:space="preserve">capacity as a journalist, and the offence is against certain provisions in Commonwealth legislation, including section 35P of the </w:t>
      </w:r>
      <w:r w:rsidRPr="001806FE">
        <w:rPr>
          <w:rFonts w:ascii="Calibri" w:eastAsia="Calibri" w:hAnsi="Calibri" w:cs="Times New Roman"/>
          <w:i/>
          <w:lang w:val="en-AU"/>
        </w:rPr>
        <w:t>Australian Security Intelligence Organisation Act 1979</w:t>
      </w:r>
      <w:r w:rsidRPr="001806FE">
        <w:rPr>
          <w:rFonts w:ascii="Calibri" w:eastAsia="Calibri" w:hAnsi="Calibri" w:cs="Times New Roman"/>
          <w:lang w:val="en-AU"/>
        </w:rPr>
        <w:t xml:space="preserve"> (ASIO Act).</w:t>
      </w:r>
      <w:r w:rsidRPr="001806FE">
        <w:rPr>
          <w:rFonts w:ascii="Calibri" w:eastAsia="Calibri" w:hAnsi="Calibri" w:cs="Times New Roman"/>
          <w:vertAlign w:val="superscript"/>
          <w:lang w:val="en-AU"/>
        </w:rPr>
        <w:footnoteReference w:id="31"/>
      </w:r>
    </w:p>
    <w:p w14:paraId="50FEA3F7" w14:textId="5430D4F1" w:rsidR="008A1B38" w:rsidRPr="008A1B38" w:rsidRDefault="001806FE" w:rsidP="003C25B1">
      <w:pPr>
        <w:pStyle w:val="Heading2"/>
      </w:pPr>
      <w:bookmarkStart w:id="63" w:name="_Toc130218792"/>
      <w:bookmarkStart w:id="64" w:name="_Toc130465887"/>
      <w:r w:rsidRPr="001806FE">
        <w:t>Are any amendments to secrecy provisions required to adequately protect public interest journalism balanced against other essential public interests?</w:t>
      </w:r>
      <w:bookmarkEnd w:id="63"/>
      <w:bookmarkEnd w:id="64"/>
    </w:p>
    <w:p w14:paraId="53E52B32" w14:textId="77777777" w:rsidR="001806FE" w:rsidRPr="001806FE" w:rsidRDefault="001806FE" w:rsidP="001806FE">
      <w:pPr>
        <w:keepNext/>
        <w:widowControl/>
        <w:autoSpaceDE/>
        <w:autoSpaceDN/>
        <w:spacing w:after="160" w:line="259" w:lineRule="auto"/>
        <w:rPr>
          <w:rFonts w:ascii="Calibri" w:eastAsia="Calibri" w:hAnsi="Calibri" w:cs="Times New Roman"/>
          <w:lang w:val="en-AU"/>
        </w:rPr>
      </w:pPr>
      <w:r w:rsidRPr="001806FE">
        <w:rPr>
          <w:rFonts w:ascii="Calibri" w:eastAsia="Calibri" w:hAnsi="Calibri" w:cs="Times New Roman"/>
          <w:lang w:val="en-AU"/>
        </w:rPr>
        <w:t>The department invites submissions on whether any amendments to secrecy provisions are required to adequately protect public interest journalism, balanced against other essential public interests.</w:t>
      </w:r>
    </w:p>
    <w:tbl>
      <w:tblPr>
        <w:tblStyle w:val="TableGrid2"/>
        <w:tblW w:w="0" w:type="auto"/>
        <w:tblLook w:val="04A0" w:firstRow="1" w:lastRow="0" w:firstColumn="1" w:lastColumn="0" w:noHBand="0" w:noVBand="1"/>
      </w:tblPr>
      <w:tblGrid>
        <w:gridCol w:w="9016"/>
      </w:tblGrid>
      <w:tr w:rsidR="001806FE" w:rsidRPr="001806FE" w14:paraId="1C26354B" w14:textId="77777777" w:rsidTr="00CF763F">
        <w:tc>
          <w:tcPr>
            <w:tcW w:w="9016" w:type="dxa"/>
          </w:tcPr>
          <w:p w14:paraId="19B70FA8" w14:textId="77777777" w:rsidR="003603E0" w:rsidRPr="003104EE" w:rsidRDefault="003603E0" w:rsidP="00CE284E">
            <w:pPr>
              <w:ind w:left="313" w:right="694"/>
              <w:rPr>
                <w:rFonts w:ascii="Calibri" w:eastAsia="Calibri" w:hAnsi="Calibri" w:cs="Times New Roman"/>
              </w:rPr>
            </w:pPr>
          </w:p>
          <w:p w14:paraId="1EE0687D" w14:textId="77777777" w:rsidR="001806FE" w:rsidRPr="00AA589D" w:rsidRDefault="001806FE" w:rsidP="001806FE">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sidR="00495D95">
              <w:rPr>
                <w:rFonts w:ascii="Calibri" w:eastAsia="Calibri" w:hAnsi="Calibri" w:cs="Times New Roman"/>
                <w:b/>
                <w:sz w:val="28"/>
                <w:szCs w:val="28"/>
              </w:rPr>
              <w:t>6</w:t>
            </w:r>
          </w:p>
          <w:p w14:paraId="269EE955" w14:textId="2FF5F315" w:rsidR="001806FE" w:rsidRPr="00C36122" w:rsidRDefault="00495D95" w:rsidP="00C36122">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szCs w:val="26"/>
              </w:rPr>
              <w:t>What principles should determine how the public interest journalism defence to the general secrecy offences in Part 5.6 of the Criminal Code is framed?</w:t>
            </w:r>
          </w:p>
          <w:p w14:paraId="396A25EA" w14:textId="77777777" w:rsidR="001806FE" w:rsidRPr="00AA589D" w:rsidRDefault="001806FE" w:rsidP="001806FE">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sidR="00495D95">
              <w:rPr>
                <w:rFonts w:ascii="Calibri" w:eastAsia="Calibri" w:hAnsi="Calibri" w:cs="Times New Roman"/>
                <w:b/>
                <w:sz w:val="28"/>
                <w:szCs w:val="28"/>
              </w:rPr>
              <w:t>7</w:t>
            </w:r>
          </w:p>
          <w:p w14:paraId="2491EA29" w14:textId="2F8EB810" w:rsidR="001806FE" w:rsidRPr="00C36122" w:rsidRDefault="00495D95" w:rsidP="00C36122">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szCs w:val="26"/>
              </w:rPr>
              <w:t>Having regard to those principles, is the current public interest journalism defence in Part 5.6 of the Criminal Code appropriately framed? If not, what amendments should be considered?</w:t>
            </w:r>
          </w:p>
          <w:p w14:paraId="0CD0FB31" w14:textId="77777777" w:rsidR="001806FE" w:rsidRPr="00AA589D" w:rsidRDefault="001806FE" w:rsidP="001806FE">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sidR="00495D95">
              <w:rPr>
                <w:rFonts w:ascii="Calibri" w:eastAsia="Calibri" w:hAnsi="Calibri" w:cs="Times New Roman"/>
                <w:b/>
                <w:sz w:val="28"/>
                <w:szCs w:val="28"/>
              </w:rPr>
              <w:t>8</w:t>
            </w:r>
          </w:p>
          <w:p w14:paraId="0B625094" w14:textId="4769592C" w:rsidR="00495D95" w:rsidRPr="00C36122" w:rsidRDefault="00495D95" w:rsidP="00C36122">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rPr>
              <w:t>Should the public interest journalism defence to the general secrecy offences in Part 5.6 of the Criminal Code identify factors that may be considered for the purposes of determining whether the communication or other dealing with the information may be in the public interest?</w:t>
            </w:r>
          </w:p>
          <w:p w14:paraId="55B9F044" w14:textId="77777777" w:rsidR="00495D95" w:rsidRDefault="00495D95" w:rsidP="00495D95">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9</w:t>
            </w:r>
          </w:p>
          <w:p w14:paraId="059C5BFB" w14:textId="097B3DC8" w:rsidR="00495D95" w:rsidRPr="00C36122" w:rsidRDefault="00495D95" w:rsidP="00C36122">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rPr>
              <w:t>Should a public interest journalism defence modelled on subsection 122.5(6) of the Criminal Code be considered for specific secrecy offences, and for which offences would it be an appropriate defence?</w:t>
            </w:r>
          </w:p>
          <w:p w14:paraId="5A814F2C" w14:textId="77777777" w:rsidR="00495D95" w:rsidRPr="00AA589D" w:rsidRDefault="00495D95" w:rsidP="00495D95">
            <w:pPr>
              <w:ind w:left="313" w:right="694"/>
              <w:rPr>
                <w:rFonts w:ascii="Calibri" w:eastAsia="Calibri" w:hAnsi="Calibri" w:cs="Times New Roman"/>
                <w:b/>
                <w:sz w:val="28"/>
                <w:szCs w:val="28"/>
              </w:rPr>
            </w:pPr>
            <w:r w:rsidRPr="00AA589D">
              <w:rPr>
                <w:rFonts w:ascii="Calibri" w:eastAsia="Calibri" w:hAnsi="Calibri" w:cs="Times New Roman"/>
                <w:b/>
                <w:sz w:val="28"/>
                <w:szCs w:val="28"/>
              </w:rPr>
              <w:t xml:space="preserve">Consultation question </w:t>
            </w:r>
            <w:r>
              <w:rPr>
                <w:rFonts w:ascii="Calibri" w:eastAsia="Calibri" w:hAnsi="Calibri" w:cs="Times New Roman"/>
                <w:b/>
                <w:sz w:val="28"/>
                <w:szCs w:val="28"/>
              </w:rPr>
              <w:t>10</w:t>
            </w:r>
          </w:p>
          <w:p w14:paraId="2DC74485" w14:textId="77777777" w:rsidR="00495D95" w:rsidRPr="00BE6388" w:rsidRDefault="00495D95" w:rsidP="007C4752">
            <w:pPr>
              <w:pStyle w:val="ListParagraph"/>
              <w:spacing w:before="0" w:after="160" w:line="259" w:lineRule="auto"/>
              <w:ind w:left="360" w:right="694" w:firstLine="0"/>
              <w:contextualSpacing/>
              <w:rPr>
                <w:rFonts w:ascii="Calibri" w:eastAsia="Calibri" w:hAnsi="Calibri" w:cs="Times New Roman"/>
                <w:sz w:val="24"/>
                <w:szCs w:val="26"/>
              </w:rPr>
            </w:pPr>
            <w:r w:rsidRPr="007C4752">
              <w:rPr>
                <w:rFonts w:ascii="Calibri" w:eastAsia="Calibri" w:hAnsi="Calibri" w:cs="Times New Roman"/>
                <w:sz w:val="24"/>
              </w:rPr>
              <w:t>Should the requirement for the Attorney-General’s consent to prosecute a journalist for certain offences, which is currently imposed by a ministerial direction, be maintained?  If so, should this requirement be legislated?</w:t>
            </w:r>
          </w:p>
          <w:p w14:paraId="509C6D9E" w14:textId="77777777" w:rsidR="001806FE" w:rsidRPr="001806FE" w:rsidRDefault="001806FE" w:rsidP="001806FE">
            <w:pPr>
              <w:ind w:right="694"/>
              <w:rPr>
                <w:rFonts w:ascii="Calibri" w:eastAsia="Calibri" w:hAnsi="Calibri" w:cs="Times New Roman"/>
              </w:rPr>
            </w:pPr>
          </w:p>
        </w:tc>
      </w:tr>
    </w:tbl>
    <w:p w14:paraId="00D7517F" w14:textId="77777777" w:rsidR="001806FE" w:rsidRDefault="001806FE" w:rsidP="001806FE">
      <w:pPr>
        <w:widowControl/>
        <w:autoSpaceDE/>
        <w:autoSpaceDN/>
        <w:spacing w:after="160" w:line="259" w:lineRule="auto"/>
        <w:rPr>
          <w:rFonts w:ascii="Calibri" w:eastAsia="Calibri" w:hAnsi="Calibri" w:cs="Times New Roman"/>
          <w:lang w:val="en-AU"/>
        </w:rPr>
        <w:sectPr w:rsidR="001806FE" w:rsidSect="00BD6A1E">
          <w:headerReference w:type="default" r:id="rId14"/>
          <w:footerReference w:type="default" r:id="rId15"/>
          <w:headerReference w:type="first" r:id="rId16"/>
          <w:pgSz w:w="11910" w:h="16840"/>
          <w:pgMar w:top="1418" w:right="1418" w:bottom="1418" w:left="1418" w:header="0" w:footer="335" w:gutter="0"/>
          <w:cols w:space="40"/>
          <w:titlePg/>
          <w:docGrid w:linePitch="299"/>
        </w:sectPr>
      </w:pPr>
    </w:p>
    <w:p w14:paraId="5F5E210B" w14:textId="77777777" w:rsidR="001806FE" w:rsidRDefault="001806FE" w:rsidP="007C4752">
      <w:pPr>
        <w:pStyle w:val="Title"/>
        <w:ind w:left="0"/>
        <w:rPr>
          <w:color w:val="231F20"/>
          <w:spacing w:val="-8"/>
        </w:rPr>
        <w:sectPr w:rsidR="001806FE" w:rsidSect="001806FE">
          <w:type w:val="continuous"/>
          <w:pgSz w:w="11910" w:h="16840"/>
          <w:pgMar w:top="0" w:right="0" w:bottom="520" w:left="0" w:header="0" w:footer="332" w:gutter="0"/>
          <w:cols w:num="2" w:space="720" w:equalWidth="0">
            <w:col w:w="5700" w:space="40"/>
            <w:col w:w="6170"/>
          </w:cols>
          <w:titlePg/>
          <w:docGrid w:linePitch="299"/>
        </w:sectPr>
      </w:pPr>
    </w:p>
    <w:p w14:paraId="39268DC5" w14:textId="77777777" w:rsidR="00BF0B31" w:rsidRPr="00533E2A" w:rsidRDefault="00D771DC" w:rsidP="001806FE">
      <w:pPr>
        <w:pStyle w:val="Title"/>
        <w:rPr>
          <w:rFonts w:asciiTheme="minorHAnsi" w:hAnsiTheme="minorHAnsi" w:cstheme="minorHAnsi"/>
          <w:sz w:val="44"/>
        </w:rPr>
      </w:pPr>
      <w:r w:rsidRPr="00533E2A">
        <w:rPr>
          <w:rFonts w:asciiTheme="minorHAnsi" w:hAnsiTheme="minorHAnsi" w:cstheme="minorHAnsi"/>
          <w:color w:val="231F20"/>
          <w:spacing w:val="-8"/>
          <w:sz w:val="44"/>
        </w:rPr>
        <w:lastRenderedPageBreak/>
        <w:t>Terms</w:t>
      </w:r>
      <w:r w:rsidRPr="00533E2A">
        <w:rPr>
          <w:rFonts w:asciiTheme="minorHAnsi" w:hAnsiTheme="minorHAnsi" w:cstheme="minorHAnsi"/>
          <w:color w:val="231F20"/>
          <w:spacing w:val="-36"/>
          <w:sz w:val="44"/>
        </w:rPr>
        <w:t xml:space="preserve"> </w:t>
      </w:r>
      <w:r w:rsidRPr="00533E2A">
        <w:rPr>
          <w:rFonts w:asciiTheme="minorHAnsi" w:hAnsiTheme="minorHAnsi" w:cstheme="minorHAnsi"/>
          <w:color w:val="231F20"/>
          <w:spacing w:val="-8"/>
          <w:sz w:val="44"/>
        </w:rPr>
        <w:t>of</w:t>
      </w:r>
      <w:r w:rsidRPr="00533E2A">
        <w:rPr>
          <w:rFonts w:asciiTheme="minorHAnsi" w:hAnsiTheme="minorHAnsi" w:cstheme="minorHAnsi"/>
          <w:color w:val="231F20"/>
          <w:spacing w:val="-35"/>
          <w:sz w:val="44"/>
        </w:rPr>
        <w:t xml:space="preserve"> </w:t>
      </w:r>
      <w:r w:rsidRPr="00533E2A">
        <w:rPr>
          <w:rFonts w:asciiTheme="minorHAnsi" w:hAnsiTheme="minorHAnsi" w:cstheme="minorHAnsi"/>
          <w:color w:val="231F20"/>
          <w:spacing w:val="-9"/>
          <w:sz w:val="44"/>
        </w:rPr>
        <w:t>Reference</w:t>
      </w:r>
    </w:p>
    <w:p w14:paraId="17199DA7" w14:textId="77777777" w:rsidR="004345D9" w:rsidRPr="00533E2A" w:rsidRDefault="004345D9" w:rsidP="001B2709">
      <w:pPr>
        <w:pStyle w:val="Heading1"/>
        <w:ind w:left="130" w:firstLine="720"/>
        <w:rPr>
          <w:rFonts w:eastAsia="Century Gothic"/>
        </w:rPr>
      </w:pPr>
      <w:bookmarkStart w:id="65" w:name="_Toc130218793"/>
      <w:bookmarkStart w:id="66" w:name="_Toc130226883"/>
      <w:bookmarkStart w:id="67" w:name="_Toc130307400"/>
      <w:bookmarkStart w:id="68" w:name="_Toc130307607"/>
      <w:bookmarkStart w:id="69" w:name="_Toc130307691"/>
      <w:bookmarkStart w:id="70" w:name="_Toc130310324"/>
      <w:bookmarkStart w:id="71" w:name="_Toc130311736"/>
      <w:bookmarkStart w:id="72" w:name="_Toc130312381"/>
      <w:bookmarkStart w:id="73" w:name="_Toc130465888"/>
      <w:r w:rsidRPr="00533E2A">
        <w:t>Context</w:t>
      </w:r>
      <w:bookmarkEnd w:id="65"/>
      <w:bookmarkEnd w:id="66"/>
      <w:bookmarkEnd w:id="67"/>
      <w:bookmarkEnd w:id="68"/>
      <w:bookmarkEnd w:id="69"/>
      <w:bookmarkEnd w:id="70"/>
      <w:bookmarkEnd w:id="71"/>
      <w:bookmarkEnd w:id="72"/>
      <w:bookmarkEnd w:id="73"/>
    </w:p>
    <w:p w14:paraId="4CC1D666" w14:textId="77777777" w:rsidR="00BF0B31" w:rsidRPr="00533E2A" w:rsidRDefault="00D771DC">
      <w:pPr>
        <w:spacing w:before="272" w:line="331" w:lineRule="auto"/>
        <w:ind w:left="850" w:right="237"/>
        <w:rPr>
          <w:rFonts w:asciiTheme="minorHAnsi" w:hAnsiTheme="minorHAnsi" w:cstheme="minorHAnsi"/>
          <w:sz w:val="24"/>
        </w:rPr>
      </w:pPr>
      <w:r w:rsidRPr="00533E2A">
        <w:rPr>
          <w:rFonts w:asciiTheme="minorHAnsi" w:hAnsiTheme="minorHAnsi" w:cstheme="minorHAnsi"/>
          <w:color w:val="41778F"/>
          <w:w w:val="105"/>
          <w:sz w:val="24"/>
        </w:rPr>
        <w:t>A</w:t>
      </w:r>
      <w:r w:rsidRPr="00533E2A">
        <w:rPr>
          <w:rFonts w:asciiTheme="minorHAnsi" w:hAnsiTheme="minorHAnsi" w:cstheme="minorHAnsi"/>
          <w:color w:val="41778F"/>
          <w:spacing w:val="-1"/>
          <w:w w:val="105"/>
          <w:sz w:val="24"/>
        </w:rPr>
        <w:t xml:space="preserve"> </w:t>
      </w:r>
      <w:r w:rsidRPr="00533E2A">
        <w:rPr>
          <w:rFonts w:asciiTheme="minorHAnsi" w:hAnsiTheme="minorHAnsi" w:cstheme="minorHAnsi"/>
          <w:color w:val="41778F"/>
          <w:w w:val="105"/>
          <w:sz w:val="24"/>
        </w:rPr>
        <w:t>March</w:t>
      </w:r>
      <w:r w:rsidRPr="00533E2A">
        <w:rPr>
          <w:rFonts w:asciiTheme="minorHAnsi" w:hAnsiTheme="minorHAnsi" w:cstheme="minorHAnsi"/>
          <w:color w:val="41778F"/>
          <w:spacing w:val="-1"/>
          <w:w w:val="105"/>
          <w:sz w:val="24"/>
        </w:rPr>
        <w:t xml:space="preserve"> </w:t>
      </w:r>
      <w:r w:rsidRPr="00533E2A">
        <w:rPr>
          <w:rFonts w:asciiTheme="minorHAnsi" w:hAnsiTheme="minorHAnsi" w:cstheme="minorHAnsi"/>
          <w:color w:val="41778F"/>
          <w:w w:val="105"/>
          <w:sz w:val="24"/>
        </w:rPr>
        <w:t>2021</w:t>
      </w:r>
      <w:r w:rsidRPr="00533E2A">
        <w:rPr>
          <w:rFonts w:asciiTheme="minorHAnsi" w:hAnsiTheme="minorHAnsi" w:cstheme="minorHAnsi"/>
          <w:color w:val="41778F"/>
          <w:spacing w:val="-1"/>
          <w:w w:val="105"/>
          <w:sz w:val="24"/>
        </w:rPr>
        <w:t xml:space="preserve"> </w:t>
      </w:r>
      <w:r w:rsidRPr="00533E2A">
        <w:rPr>
          <w:rFonts w:asciiTheme="minorHAnsi" w:hAnsiTheme="minorHAnsi" w:cstheme="minorHAnsi"/>
          <w:color w:val="41778F"/>
          <w:w w:val="105"/>
          <w:sz w:val="24"/>
        </w:rPr>
        <w:t>survey</w:t>
      </w:r>
      <w:r w:rsidRPr="00533E2A">
        <w:rPr>
          <w:rFonts w:asciiTheme="minorHAnsi" w:hAnsiTheme="minorHAnsi" w:cstheme="minorHAnsi"/>
          <w:color w:val="41778F"/>
          <w:spacing w:val="-1"/>
          <w:w w:val="105"/>
          <w:sz w:val="24"/>
        </w:rPr>
        <w:t xml:space="preserve"> </w:t>
      </w:r>
      <w:r w:rsidRPr="00533E2A">
        <w:rPr>
          <w:rFonts w:asciiTheme="minorHAnsi" w:hAnsiTheme="minorHAnsi" w:cstheme="minorHAnsi"/>
          <w:color w:val="41778F"/>
          <w:w w:val="105"/>
          <w:sz w:val="24"/>
        </w:rPr>
        <w:t>of</w:t>
      </w:r>
      <w:r w:rsidRPr="00533E2A">
        <w:rPr>
          <w:rFonts w:asciiTheme="minorHAnsi" w:hAnsiTheme="minorHAnsi" w:cstheme="minorHAnsi"/>
          <w:color w:val="41778F"/>
          <w:spacing w:val="-1"/>
          <w:w w:val="105"/>
          <w:sz w:val="24"/>
        </w:rPr>
        <w:t xml:space="preserve"> </w:t>
      </w:r>
      <w:r w:rsidRPr="00533E2A">
        <w:rPr>
          <w:rFonts w:asciiTheme="minorHAnsi" w:hAnsiTheme="minorHAnsi" w:cstheme="minorHAnsi"/>
          <w:color w:val="41778F"/>
          <w:w w:val="105"/>
          <w:sz w:val="24"/>
        </w:rPr>
        <w:t xml:space="preserve">Commonwealth secrecy legislation conducted by the </w:t>
      </w:r>
      <w:r w:rsidRPr="00533E2A">
        <w:rPr>
          <w:rFonts w:asciiTheme="minorHAnsi" w:hAnsiTheme="minorHAnsi" w:cstheme="minorHAnsi"/>
          <w:color w:val="41778F"/>
          <w:sz w:val="24"/>
        </w:rPr>
        <w:t xml:space="preserve">Attorney-General’s Department found there </w:t>
      </w:r>
      <w:r w:rsidRPr="00533E2A">
        <w:rPr>
          <w:rFonts w:asciiTheme="minorHAnsi" w:hAnsiTheme="minorHAnsi" w:cstheme="minorHAnsi"/>
          <w:color w:val="41778F"/>
          <w:w w:val="105"/>
          <w:sz w:val="24"/>
        </w:rPr>
        <w:t xml:space="preserve">are 11 general secrecy offences and 487 </w:t>
      </w:r>
      <w:r w:rsidRPr="00533E2A">
        <w:rPr>
          <w:rFonts w:asciiTheme="minorHAnsi" w:hAnsiTheme="minorHAnsi" w:cstheme="minorHAnsi"/>
          <w:color w:val="41778F"/>
          <w:sz w:val="24"/>
        </w:rPr>
        <w:t xml:space="preserve">specific secrecy offences in Commonwealth </w:t>
      </w:r>
      <w:r w:rsidRPr="00533E2A">
        <w:rPr>
          <w:rFonts w:asciiTheme="minorHAnsi" w:hAnsiTheme="minorHAnsi" w:cstheme="minorHAnsi"/>
          <w:color w:val="41778F"/>
          <w:w w:val="105"/>
          <w:sz w:val="24"/>
        </w:rPr>
        <w:t>legislation. Separately, over 200</w:t>
      </w:r>
    </w:p>
    <w:p w14:paraId="434AF2E0" w14:textId="77777777" w:rsidR="00BF0B31" w:rsidRPr="00533E2A" w:rsidRDefault="00D771DC">
      <w:pPr>
        <w:spacing w:line="331" w:lineRule="auto"/>
        <w:ind w:left="850"/>
        <w:rPr>
          <w:rFonts w:asciiTheme="minorHAnsi" w:hAnsiTheme="minorHAnsi" w:cstheme="minorHAnsi"/>
          <w:sz w:val="18"/>
        </w:rPr>
      </w:pPr>
      <w:r w:rsidRPr="00533E2A">
        <w:rPr>
          <w:rFonts w:asciiTheme="minorHAnsi" w:hAnsiTheme="minorHAnsi" w:cstheme="minorHAnsi"/>
          <w:color w:val="41778F"/>
          <w:w w:val="105"/>
          <w:sz w:val="24"/>
        </w:rPr>
        <w:t>non-disclosure duties function as specific secrecy offences because a breach of these duties</w:t>
      </w:r>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is</w:t>
      </w:r>
      <w:r w:rsidRPr="00533E2A">
        <w:rPr>
          <w:rFonts w:asciiTheme="minorHAnsi" w:hAnsiTheme="minorHAnsi" w:cstheme="minorHAnsi"/>
          <w:color w:val="41778F"/>
          <w:spacing w:val="-2"/>
          <w:w w:val="105"/>
          <w:sz w:val="24"/>
        </w:rPr>
        <w:t xml:space="preserve"> </w:t>
      </w:r>
      <w:proofErr w:type="spellStart"/>
      <w:r w:rsidRPr="00533E2A">
        <w:rPr>
          <w:rFonts w:asciiTheme="minorHAnsi" w:hAnsiTheme="minorHAnsi" w:cstheme="minorHAnsi"/>
          <w:color w:val="41778F"/>
          <w:w w:val="105"/>
          <w:sz w:val="24"/>
        </w:rPr>
        <w:t>criminalised</w:t>
      </w:r>
      <w:proofErr w:type="spellEnd"/>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by</w:t>
      </w:r>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section</w:t>
      </w:r>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122.4</w:t>
      </w:r>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of</w:t>
      </w:r>
      <w:r w:rsidRPr="00533E2A">
        <w:rPr>
          <w:rFonts w:asciiTheme="minorHAnsi" w:hAnsiTheme="minorHAnsi" w:cstheme="minorHAnsi"/>
          <w:color w:val="41778F"/>
          <w:spacing w:val="-2"/>
          <w:w w:val="105"/>
          <w:sz w:val="24"/>
        </w:rPr>
        <w:t xml:space="preserve"> </w:t>
      </w:r>
      <w:r w:rsidRPr="00533E2A">
        <w:rPr>
          <w:rFonts w:asciiTheme="minorHAnsi" w:hAnsiTheme="minorHAnsi" w:cstheme="minorHAnsi"/>
          <w:color w:val="41778F"/>
          <w:w w:val="105"/>
          <w:sz w:val="24"/>
        </w:rPr>
        <w:t>the Schedule</w:t>
      </w:r>
      <w:r w:rsidRPr="00533E2A">
        <w:rPr>
          <w:rFonts w:asciiTheme="minorHAnsi" w:hAnsiTheme="minorHAnsi" w:cstheme="minorHAnsi"/>
          <w:color w:val="41778F"/>
          <w:spacing w:val="-7"/>
          <w:w w:val="105"/>
          <w:sz w:val="24"/>
        </w:rPr>
        <w:t xml:space="preserve"> </w:t>
      </w:r>
      <w:r w:rsidRPr="00533E2A">
        <w:rPr>
          <w:rFonts w:asciiTheme="minorHAnsi" w:hAnsiTheme="minorHAnsi" w:cstheme="minorHAnsi"/>
          <w:color w:val="41778F"/>
          <w:w w:val="105"/>
          <w:sz w:val="24"/>
        </w:rPr>
        <w:t>to</w:t>
      </w:r>
      <w:r w:rsidRPr="00533E2A">
        <w:rPr>
          <w:rFonts w:asciiTheme="minorHAnsi" w:hAnsiTheme="minorHAnsi" w:cstheme="minorHAnsi"/>
          <w:color w:val="41778F"/>
          <w:spacing w:val="-7"/>
          <w:w w:val="105"/>
          <w:sz w:val="24"/>
        </w:rPr>
        <w:t xml:space="preserve"> </w:t>
      </w:r>
      <w:r w:rsidRPr="00533E2A">
        <w:rPr>
          <w:rFonts w:asciiTheme="minorHAnsi" w:hAnsiTheme="minorHAnsi" w:cstheme="minorHAnsi"/>
          <w:color w:val="41778F"/>
          <w:w w:val="105"/>
          <w:sz w:val="24"/>
        </w:rPr>
        <w:t>the</w:t>
      </w:r>
      <w:r w:rsidRPr="00533E2A">
        <w:rPr>
          <w:rFonts w:asciiTheme="minorHAnsi" w:hAnsiTheme="minorHAnsi" w:cstheme="minorHAnsi"/>
          <w:color w:val="41778F"/>
          <w:spacing w:val="-7"/>
          <w:w w:val="105"/>
          <w:sz w:val="24"/>
        </w:rPr>
        <w:t xml:space="preserve"> </w:t>
      </w:r>
      <w:r w:rsidRPr="00533E2A">
        <w:rPr>
          <w:rFonts w:asciiTheme="minorHAnsi" w:hAnsiTheme="minorHAnsi" w:cstheme="minorHAnsi"/>
          <w:i/>
          <w:color w:val="41778F"/>
          <w:w w:val="105"/>
          <w:sz w:val="24"/>
        </w:rPr>
        <w:t>Criminal</w:t>
      </w:r>
      <w:r w:rsidRPr="00533E2A">
        <w:rPr>
          <w:rFonts w:asciiTheme="minorHAnsi" w:hAnsiTheme="minorHAnsi" w:cstheme="minorHAnsi"/>
          <w:i/>
          <w:color w:val="41778F"/>
          <w:spacing w:val="-16"/>
          <w:w w:val="105"/>
          <w:sz w:val="24"/>
        </w:rPr>
        <w:t xml:space="preserve"> </w:t>
      </w:r>
      <w:r w:rsidRPr="00533E2A">
        <w:rPr>
          <w:rFonts w:asciiTheme="minorHAnsi" w:hAnsiTheme="minorHAnsi" w:cstheme="minorHAnsi"/>
          <w:i/>
          <w:color w:val="41778F"/>
          <w:w w:val="105"/>
          <w:sz w:val="24"/>
        </w:rPr>
        <w:t>Code</w:t>
      </w:r>
      <w:r w:rsidRPr="00533E2A">
        <w:rPr>
          <w:rFonts w:asciiTheme="minorHAnsi" w:hAnsiTheme="minorHAnsi" w:cstheme="minorHAnsi"/>
          <w:i/>
          <w:color w:val="41778F"/>
          <w:spacing w:val="-16"/>
          <w:w w:val="105"/>
          <w:sz w:val="24"/>
        </w:rPr>
        <w:t xml:space="preserve"> </w:t>
      </w:r>
      <w:r w:rsidRPr="00533E2A">
        <w:rPr>
          <w:rFonts w:asciiTheme="minorHAnsi" w:hAnsiTheme="minorHAnsi" w:cstheme="minorHAnsi"/>
          <w:i/>
          <w:color w:val="41778F"/>
          <w:w w:val="105"/>
          <w:sz w:val="24"/>
        </w:rPr>
        <w:t>Act</w:t>
      </w:r>
      <w:r w:rsidRPr="00533E2A">
        <w:rPr>
          <w:rFonts w:asciiTheme="minorHAnsi" w:hAnsiTheme="minorHAnsi" w:cstheme="minorHAnsi"/>
          <w:i/>
          <w:color w:val="41778F"/>
          <w:spacing w:val="-16"/>
          <w:w w:val="105"/>
          <w:sz w:val="24"/>
        </w:rPr>
        <w:t xml:space="preserve"> </w:t>
      </w:r>
      <w:r w:rsidRPr="00533E2A">
        <w:rPr>
          <w:rFonts w:asciiTheme="minorHAnsi" w:hAnsiTheme="minorHAnsi" w:cstheme="minorHAnsi"/>
          <w:i/>
          <w:color w:val="41778F"/>
          <w:w w:val="105"/>
          <w:sz w:val="24"/>
        </w:rPr>
        <w:t>1995</w:t>
      </w:r>
      <w:r w:rsidRPr="00533E2A">
        <w:rPr>
          <w:rFonts w:asciiTheme="minorHAnsi" w:hAnsiTheme="minorHAnsi" w:cstheme="minorHAnsi"/>
          <w:i/>
          <w:color w:val="41778F"/>
          <w:spacing w:val="-16"/>
          <w:w w:val="105"/>
          <w:sz w:val="24"/>
        </w:rPr>
        <w:t xml:space="preserve"> </w:t>
      </w:r>
      <w:r w:rsidRPr="00533E2A">
        <w:rPr>
          <w:rFonts w:asciiTheme="minorHAnsi" w:hAnsiTheme="minorHAnsi" w:cstheme="minorHAnsi"/>
          <w:color w:val="41778F"/>
          <w:w w:val="105"/>
          <w:sz w:val="24"/>
        </w:rPr>
        <w:t>(</w:t>
      </w:r>
      <w:proofErr w:type="spellStart"/>
      <w:r w:rsidRPr="00533E2A">
        <w:rPr>
          <w:rFonts w:asciiTheme="minorHAnsi" w:hAnsiTheme="minorHAnsi" w:cstheme="minorHAnsi"/>
          <w:color w:val="41778F"/>
          <w:w w:val="105"/>
          <w:sz w:val="24"/>
        </w:rPr>
        <w:t>Cth</w:t>
      </w:r>
      <w:proofErr w:type="spellEnd"/>
      <w:r w:rsidRPr="00533E2A">
        <w:rPr>
          <w:rFonts w:asciiTheme="minorHAnsi" w:hAnsiTheme="minorHAnsi" w:cstheme="minorHAnsi"/>
          <w:color w:val="41778F"/>
          <w:w w:val="105"/>
          <w:sz w:val="24"/>
        </w:rPr>
        <w:t xml:space="preserve">) </w:t>
      </w:r>
      <w:r w:rsidRPr="00533E2A">
        <w:rPr>
          <w:rFonts w:asciiTheme="minorHAnsi" w:hAnsiTheme="minorHAnsi" w:cstheme="minorHAnsi"/>
          <w:color w:val="41778F"/>
          <w:sz w:val="24"/>
        </w:rPr>
        <w:t xml:space="preserve">(the Criminal Code). Section 122.4 will sunset </w:t>
      </w:r>
      <w:r w:rsidRPr="00533E2A">
        <w:rPr>
          <w:rFonts w:asciiTheme="minorHAnsi" w:hAnsiTheme="minorHAnsi" w:cstheme="minorHAnsi"/>
          <w:color w:val="41778F"/>
          <w:w w:val="105"/>
          <w:sz w:val="24"/>
        </w:rPr>
        <w:t>on 29 December 2023</w:t>
      </w:r>
      <w:r w:rsidRPr="00533E2A">
        <w:rPr>
          <w:rFonts w:asciiTheme="minorHAnsi" w:hAnsiTheme="minorHAnsi" w:cstheme="minorHAnsi"/>
          <w:color w:val="41778F"/>
          <w:w w:val="105"/>
          <w:sz w:val="18"/>
        </w:rPr>
        <w:t>.</w:t>
      </w:r>
    </w:p>
    <w:p w14:paraId="2D5463D4" w14:textId="77777777" w:rsidR="00BF0B31" w:rsidRPr="00533E2A" w:rsidRDefault="00D771DC">
      <w:pPr>
        <w:pStyle w:val="BodyText"/>
        <w:spacing w:before="249" w:line="331" w:lineRule="auto"/>
        <w:ind w:left="850" w:right="443"/>
        <w:rPr>
          <w:rFonts w:asciiTheme="minorHAnsi" w:hAnsiTheme="minorHAnsi" w:cstheme="minorHAnsi"/>
          <w:sz w:val="18"/>
        </w:rPr>
      </w:pPr>
      <w:r w:rsidRPr="00533E2A">
        <w:rPr>
          <w:rFonts w:asciiTheme="minorHAnsi" w:hAnsiTheme="minorHAnsi" w:cstheme="minorHAnsi"/>
          <w:color w:val="231F20"/>
          <w:sz w:val="18"/>
        </w:rPr>
        <w:t xml:space="preserve">Secrecy offences play a legitimate and important role </w:t>
      </w:r>
      <w:r w:rsidRPr="00533E2A">
        <w:rPr>
          <w:rFonts w:asciiTheme="minorHAnsi" w:hAnsiTheme="minorHAnsi" w:cstheme="minorHAnsi"/>
          <w:color w:val="231F20"/>
          <w:spacing w:val="-2"/>
          <w:sz w:val="18"/>
        </w:rPr>
        <w:t>in</w:t>
      </w:r>
      <w:r w:rsidRPr="00533E2A">
        <w:rPr>
          <w:rFonts w:asciiTheme="minorHAnsi" w:hAnsiTheme="minorHAnsi" w:cstheme="minorHAnsi"/>
          <w:color w:val="231F20"/>
          <w:spacing w:val="-3"/>
          <w:sz w:val="18"/>
        </w:rPr>
        <w:t xml:space="preserve"> </w:t>
      </w:r>
      <w:r w:rsidRPr="00533E2A">
        <w:rPr>
          <w:rFonts w:asciiTheme="minorHAnsi" w:hAnsiTheme="minorHAnsi" w:cstheme="minorHAnsi"/>
          <w:color w:val="231F20"/>
          <w:spacing w:val="-2"/>
          <w:sz w:val="18"/>
        </w:rPr>
        <w:t>circumstances where</w:t>
      </w:r>
      <w:r w:rsidRPr="00533E2A">
        <w:rPr>
          <w:rFonts w:asciiTheme="minorHAnsi" w:hAnsiTheme="minorHAnsi" w:cstheme="minorHAnsi"/>
          <w:color w:val="231F20"/>
          <w:spacing w:val="-3"/>
          <w:sz w:val="18"/>
        </w:rPr>
        <w:t xml:space="preserve"> </w:t>
      </w:r>
      <w:r w:rsidRPr="00533E2A">
        <w:rPr>
          <w:rFonts w:asciiTheme="minorHAnsi" w:hAnsiTheme="minorHAnsi" w:cstheme="minorHAnsi"/>
          <w:color w:val="231F20"/>
          <w:spacing w:val="-2"/>
          <w:sz w:val="18"/>
        </w:rPr>
        <w:t xml:space="preserve">the </w:t>
      </w:r>
      <w:proofErr w:type="spellStart"/>
      <w:r w:rsidRPr="00533E2A">
        <w:rPr>
          <w:rFonts w:asciiTheme="minorHAnsi" w:hAnsiTheme="minorHAnsi" w:cstheme="minorHAnsi"/>
          <w:color w:val="231F20"/>
          <w:spacing w:val="-2"/>
          <w:sz w:val="18"/>
        </w:rPr>
        <w:t>unauthorised</w:t>
      </w:r>
      <w:proofErr w:type="spellEnd"/>
      <w:r w:rsidRPr="00533E2A">
        <w:rPr>
          <w:rFonts w:asciiTheme="minorHAnsi" w:hAnsiTheme="minorHAnsi" w:cstheme="minorHAnsi"/>
          <w:color w:val="231F20"/>
          <w:spacing w:val="-3"/>
          <w:sz w:val="18"/>
        </w:rPr>
        <w:t xml:space="preserve"> </w:t>
      </w:r>
      <w:r w:rsidRPr="00533E2A">
        <w:rPr>
          <w:rFonts w:asciiTheme="minorHAnsi" w:hAnsiTheme="minorHAnsi" w:cstheme="minorHAnsi"/>
          <w:color w:val="231F20"/>
          <w:spacing w:val="-2"/>
          <w:sz w:val="18"/>
        </w:rPr>
        <w:t xml:space="preserve">disclosure </w:t>
      </w:r>
      <w:r w:rsidRPr="00533E2A">
        <w:rPr>
          <w:rFonts w:asciiTheme="minorHAnsi" w:hAnsiTheme="minorHAnsi" w:cstheme="minorHAnsi"/>
          <w:color w:val="231F20"/>
          <w:spacing w:val="-5"/>
          <w:sz w:val="18"/>
        </w:rPr>
        <w:t>of</w:t>
      </w:r>
    </w:p>
    <w:p w14:paraId="19867770" w14:textId="77777777" w:rsidR="00BF0B31" w:rsidRPr="00533E2A" w:rsidRDefault="00D771DC">
      <w:pPr>
        <w:pStyle w:val="BodyText"/>
        <w:spacing w:line="331" w:lineRule="auto"/>
        <w:ind w:left="850"/>
        <w:rPr>
          <w:rFonts w:asciiTheme="minorHAnsi" w:hAnsiTheme="minorHAnsi" w:cstheme="minorHAnsi"/>
          <w:sz w:val="18"/>
        </w:rPr>
      </w:pPr>
      <w:r w:rsidRPr="00533E2A">
        <w:rPr>
          <w:rFonts w:asciiTheme="minorHAnsi" w:hAnsiTheme="minorHAnsi" w:cstheme="minorHAnsi"/>
          <w:color w:val="231F20"/>
          <w:sz w:val="18"/>
        </w:rPr>
        <w:t>Commonwealth information may cause harm to essential public interests, such as national security and the safety of the public.</w:t>
      </w:r>
      <w:r w:rsidRPr="00533E2A">
        <w:rPr>
          <w:rFonts w:asciiTheme="minorHAnsi" w:hAnsiTheme="minorHAnsi" w:cstheme="minorHAnsi"/>
          <w:color w:val="231F20"/>
          <w:spacing w:val="40"/>
          <w:sz w:val="18"/>
        </w:rPr>
        <w:t xml:space="preserve"> </w:t>
      </w:r>
      <w:r w:rsidRPr="00533E2A">
        <w:rPr>
          <w:rFonts w:asciiTheme="minorHAnsi" w:hAnsiTheme="minorHAnsi" w:cstheme="minorHAnsi"/>
          <w:color w:val="231F20"/>
          <w:sz w:val="18"/>
        </w:rPr>
        <w:t xml:space="preserve">However multiple reviews, including the 2010 </w:t>
      </w:r>
      <w:r w:rsidRPr="00533E2A">
        <w:rPr>
          <w:rFonts w:asciiTheme="minorHAnsi" w:hAnsiTheme="minorHAnsi" w:cstheme="minorHAnsi"/>
          <w:color w:val="231F20"/>
          <w:spacing w:val="-2"/>
          <w:sz w:val="18"/>
        </w:rPr>
        <w:t>Australian</w:t>
      </w:r>
      <w:r w:rsidRPr="00533E2A">
        <w:rPr>
          <w:rFonts w:asciiTheme="minorHAnsi" w:hAnsiTheme="minorHAnsi" w:cstheme="minorHAnsi"/>
          <w:color w:val="231F20"/>
          <w:spacing w:val="-4"/>
          <w:sz w:val="18"/>
        </w:rPr>
        <w:t xml:space="preserve"> </w:t>
      </w:r>
      <w:r w:rsidRPr="00533E2A">
        <w:rPr>
          <w:rFonts w:asciiTheme="minorHAnsi" w:hAnsiTheme="minorHAnsi" w:cstheme="minorHAnsi"/>
          <w:color w:val="231F20"/>
          <w:spacing w:val="-2"/>
          <w:sz w:val="18"/>
        </w:rPr>
        <w:t>Law</w:t>
      </w:r>
      <w:r w:rsidRPr="00533E2A">
        <w:rPr>
          <w:rFonts w:asciiTheme="minorHAnsi" w:hAnsiTheme="minorHAnsi" w:cstheme="minorHAnsi"/>
          <w:color w:val="231F20"/>
          <w:spacing w:val="-4"/>
          <w:sz w:val="18"/>
        </w:rPr>
        <w:t xml:space="preserve"> </w:t>
      </w:r>
      <w:r w:rsidRPr="00533E2A">
        <w:rPr>
          <w:rFonts w:asciiTheme="minorHAnsi" w:hAnsiTheme="minorHAnsi" w:cstheme="minorHAnsi"/>
          <w:color w:val="231F20"/>
          <w:spacing w:val="-2"/>
          <w:sz w:val="18"/>
        </w:rPr>
        <w:t>Reform</w:t>
      </w:r>
      <w:r w:rsidRPr="00533E2A">
        <w:rPr>
          <w:rFonts w:asciiTheme="minorHAnsi" w:hAnsiTheme="minorHAnsi" w:cstheme="minorHAnsi"/>
          <w:color w:val="231F20"/>
          <w:spacing w:val="-4"/>
          <w:sz w:val="18"/>
        </w:rPr>
        <w:t xml:space="preserve"> </w:t>
      </w:r>
      <w:r w:rsidRPr="00533E2A">
        <w:rPr>
          <w:rFonts w:asciiTheme="minorHAnsi" w:hAnsiTheme="minorHAnsi" w:cstheme="minorHAnsi"/>
          <w:color w:val="231F20"/>
          <w:spacing w:val="-2"/>
          <w:sz w:val="18"/>
        </w:rPr>
        <w:t>Commission</w:t>
      </w:r>
      <w:r w:rsidRPr="00533E2A">
        <w:rPr>
          <w:rFonts w:asciiTheme="minorHAnsi" w:hAnsiTheme="minorHAnsi" w:cstheme="minorHAnsi"/>
          <w:color w:val="231F20"/>
          <w:spacing w:val="-4"/>
          <w:sz w:val="18"/>
        </w:rPr>
        <w:t xml:space="preserve"> </w:t>
      </w:r>
      <w:r w:rsidRPr="00533E2A">
        <w:rPr>
          <w:rFonts w:asciiTheme="minorHAnsi" w:hAnsiTheme="minorHAnsi" w:cstheme="minorHAnsi"/>
          <w:color w:val="231F20"/>
          <w:spacing w:val="-2"/>
          <w:sz w:val="18"/>
        </w:rPr>
        <w:t>(ALRC)</w:t>
      </w:r>
      <w:r w:rsidRPr="00533E2A">
        <w:rPr>
          <w:rFonts w:asciiTheme="minorHAnsi" w:hAnsiTheme="minorHAnsi" w:cstheme="minorHAnsi"/>
          <w:color w:val="231F20"/>
          <w:spacing w:val="-4"/>
          <w:sz w:val="18"/>
        </w:rPr>
        <w:t xml:space="preserve"> </w:t>
      </w:r>
      <w:r w:rsidRPr="00533E2A">
        <w:rPr>
          <w:rFonts w:asciiTheme="minorHAnsi" w:hAnsiTheme="minorHAnsi" w:cstheme="minorHAnsi"/>
          <w:color w:val="231F20"/>
          <w:spacing w:val="-2"/>
          <w:sz w:val="18"/>
        </w:rPr>
        <w:t>report</w:t>
      </w:r>
      <w:r w:rsidRPr="00533E2A">
        <w:rPr>
          <w:rFonts w:asciiTheme="minorHAnsi" w:hAnsiTheme="minorHAnsi" w:cstheme="minorHAnsi"/>
          <w:color w:val="231F20"/>
          <w:spacing w:val="-13"/>
          <w:sz w:val="18"/>
        </w:rPr>
        <w:t xml:space="preserve"> </w:t>
      </w:r>
      <w:r w:rsidRPr="00533E2A">
        <w:rPr>
          <w:rFonts w:asciiTheme="minorHAnsi" w:hAnsiTheme="minorHAnsi" w:cstheme="minorHAnsi"/>
          <w:i/>
          <w:color w:val="231F20"/>
          <w:spacing w:val="-2"/>
          <w:sz w:val="18"/>
        </w:rPr>
        <w:t xml:space="preserve">Secrecy </w:t>
      </w:r>
      <w:r w:rsidRPr="00533E2A">
        <w:rPr>
          <w:rFonts w:asciiTheme="minorHAnsi" w:hAnsiTheme="minorHAnsi" w:cstheme="minorHAnsi"/>
          <w:i/>
          <w:color w:val="231F20"/>
          <w:sz w:val="18"/>
        </w:rPr>
        <w:t>Laws</w:t>
      </w:r>
      <w:r w:rsidRPr="00533E2A">
        <w:rPr>
          <w:rFonts w:asciiTheme="minorHAnsi" w:hAnsiTheme="minorHAnsi" w:cstheme="minorHAnsi"/>
          <w:i/>
          <w:color w:val="231F20"/>
          <w:spacing w:val="-12"/>
          <w:sz w:val="18"/>
        </w:rPr>
        <w:t xml:space="preserve"> </w:t>
      </w:r>
      <w:r w:rsidRPr="00533E2A">
        <w:rPr>
          <w:rFonts w:asciiTheme="minorHAnsi" w:hAnsiTheme="minorHAnsi" w:cstheme="minorHAnsi"/>
          <w:i/>
          <w:color w:val="231F20"/>
          <w:sz w:val="18"/>
        </w:rPr>
        <w:t>and</w:t>
      </w:r>
      <w:r w:rsidRPr="00533E2A">
        <w:rPr>
          <w:rFonts w:asciiTheme="minorHAnsi" w:hAnsiTheme="minorHAnsi" w:cstheme="minorHAnsi"/>
          <w:i/>
          <w:color w:val="231F20"/>
          <w:spacing w:val="-12"/>
          <w:sz w:val="18"/>
        </w:rPr>
        <w:t xml:space="preserve"> </w:t>
      </w:r>
      <w:r w:rsidRPr="00533E2A">
        <w:rPr>
          <w:rFonts w:asciiTheme="minorHAnsi" w:hAnsiTheme="minorHAnsi" w:cstheme="minorHAnsi"/>
          <w:i/>
          <w:color w:val="231F20"/>
          <w:sz w:val="18"/>
        </w:rPr>
        <w:t>Open</w:t>
      </w:r>
      <w:r w:rsidRPr="00533E2A">
        <w:rPr>
          <w:rFonts w:asciiTheme="minorHAnsi" w:hAnsiTheme="minorHAnsi" w:cstheme="minorHAnsi"/>
          <w:i/>
          <w:color w:val="231F20"/>
          <w:spacing w:val="-12"/>
          <w:sz w:val="18"/>
        </w:rPr>
        <w:t xml:space="preserve"> </w:t>
      </w:r>
      <w:r w:rsidRPr="00533E2A">
        <w:rPr>
          <w:rFonts w:asciiTheme="minorHAnsi" w:hAnsiTheme="minorHAnsi" w:cstheme="minorHAnsi"/>
          <w:i/>
          <w:color w:val="231F20"/>
          <w:sz w:val="18"/>
        </w:rPr>
        <w:t>Government</w:t>
      </w:r>
      <w:r w:rsidRPr="00533E2A">
        <w:rPr>
          <w:rFonts w:asciiTheme="minorHAnsi" w:hAnsiTheme="minorHAnsi" w:cstheme="minorHAnsi"/>
          <w:i/>
          <w:color w:val="231F20"/>
          <w:spacing w:val="-12"/>
          <w:sz w:val="18"/>
        </w:rPr>
        <w:t xml:space="preserve"> </w:t>
      </w:r>
      <w:r w:rsidRPr="00533E2A">
        <w:rPr>
          <w:rFonts w:asciiTheme="minorHAnsi" w:hAnsiTheme="minorHAnsi" w:cstheme="minorHAnsi"/>
          <w:i/>
          <w:color w:val="231F20"/>
          <w:sz w:val="18"/>
        </w:rPr>
        <w:t>in</w:t>
      </w:r>
      <w:r w:rsidRPr="00533E2A">
        <w:rPr>
          <w:rFonts w:asciiTheme="minorHAnsi" w:hAnsiTheme="minorHAnsi" w:cstheme="minorHAnsi"/>
          <w:i/>
          <w:color w:val="231F20"/>
          <w:spacing w:val="-12"/>
          <w:sz w:val="18"/>
        </w:rPr>
        <w:t xml:space="preserve"> </w:t>
      </w:r>
      <w:r w:rsidRPr="00533E2A">
        <w:rPr>
          <w:rFonts w:asciiTheme="minorHAnsi" w:hAnsiTheme="minorHAnsi" w:cstheme="minorHAnsi"/>
          <w:i/>
          <w:color w:val="231F20"/>
          <w:sz w:val="18"/>
        </w:rPr>
        <w:t>Australia</w:t>
      </w:r>
      <w:r w:rsidRPr="00533E2A">
        <w:rPr>
          <w:rFonts w:asciiTheme="minorHAnsi" w:hAnsiTheme="minorHAnsi" w:cstheme="minorHAnsi"/>
          <w:color w:val="231F20"/>
          <w:sz w:val="18"/>
        </w:rPr>
        <w:t>,</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have</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raised</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concerns about the number, inconsistency, appropriateness and complexity of a range of Commonwealth secrecy offences.</w:t>
      </w:r>
    </w:p>
    <w:p w14:paraId="56A0B8BC" w14:textId="77777777" w:rsidR="00BF0B31" w:rsidRPr="00533E2A" w:rsidRDefault="00BF0B31">
      <w:pPr>
        <w:pStyle w:val="BodyText"/>
        <w:spacing w:before="5"/>
        <w:rPr>
          <w:rFonts w:asciiTheme="minorHAnsi" w:hAnsiTheme="minorHAnsi" w:cstheme="minorHAnsi"/>
          <w:sz w:val="18"/>
        </w:rPr>
      </w:pPr>
    </w:p>
    <w:p w14:paraId="6EDBF536" w14:textId="77777777" w:rsidR="00BF0B31" w:rsidRPr="00533E2A" w:rsidRDefault="00D771DC">
      <w:pPr>
        <w:spacing w:line="331" w:lineRule="auto"/>
        <w:ind w:left="850"/>
        <w:rPr>
          <w:rFonts w:asciiTheme="minorHAnsi" w:hAnsiTheme="minorHAnsi" w:cstheme="minorHAnsi"/>
          <w:sz w:val="18"/>
        </w:rPr>
      </w:pPr>
      <w:r w:rsidRPr="00533E2A">
        <w:rPr>
          <w:rFonts w:asciiTheme="minorHAnsi" w:hAnsiTheme="minorHAnsi" w:cstheme="minorHAnsi"/>
          <w:color w:val="231F20"/>
          <w:sz w:val="18"/>
        </w:rPr>
        <w:t>In June 2018, the Parliamentary Joint Committee on Intelligence and Security (the Committee) recommended that,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following</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enactment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general</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secrecy</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 xml:space="preserve">offences in Schedule 2 of the </w:t>
      </w:r>
      <w:r w:rsidRPr="00533E2A">
        <w:rPr>
          <w:rFonts w:asciiTheme="minorHAnsi" w:hAnsiTheme="minorHAnsi" w:cstheme="minorHAnsi"/>
          <w:i/>
          <w:color w:val="231F20"/>
          <w:sz w:val="18"/>
        </w:rPr>
        <w:t>National Security Legislation Amendment (Espionage</w:t>
      </w:r>
      <w:r w:rsidRPr="00533E2A">
        <w:rPr>
          <w:rFonts w:asciiTheme="minorHAnsi" w:hAnsiTheme="minorHAnsi" w:cstheme="minorHAnsi"/>
          <w:i/>
          <w:color w:val="231F20"/>
          <w:spacing w:val="-8"/>
          <w:sz w:val="18"/>
        </w:rPr>
        <w:t xml:space="preserve"> </w:t>
      </w:r>
      <w:r w:rsidRPr="00533E2A">
        <w:rPr>
          <w:rFonts w:asciiTheme="minorHAnsi" w:hAnsiTheme="minorHAnsi" w:cstheme="minorHAnsi"/>
          <w:i/>
          <w:color w:val="231F20"/>
          <w:sz w:val="18"/>
        </w:rPr>
        <w:t>and</w:t>
      </w:r>
      <w:r w:rsidRPr="00533E2A">
        <w:rPr>
          <w:rFonts w:asciiTheme="minorHAnsi" w:hAnsiTheme="minorHAnsi" w:cstheme="minorHAnsi"/>
          <w:i/>
          <w:color w:val="231F20"/>
          <w:spacing w:val="-8"/>
          <w:sz w:val="18"/>
        </w:rPr>
        <w:t xml:space="preserve"> </w:t>
      </w:r>
      <w:r w:rsidRPr="00533E2A">
        <w:rPr>
          <w:rFonts w:asciiTheme="minorHAnsi" w:hAnsiTheme="minorHAnsi" w:cstheme="minorHAnsi"/>
          <w:i/>
          <w:color w:val="231F20"/>
          <w:sz w:val="18"/>
        </w:rPr>
        <w:t>Foreign</w:t>
      </w:r>
      <w:r w:rsidRPr="00533E2A">
        <w:rPr>
          <w:rFonts w:asciiTheme="minorHAnsi" w:hAnsiTheme="minorHAnsi" w:cstheme="minorHAnsi"/>
          <w:i/>
          <w:color w:val="231F20"/>
          <w:spacing w:val="-8"/>
          <w:sz w:val="18"/>
        </w:rPr>
        <w:t xml:space="preserve"> </w:t>
      </w:r>
      <w:r w:rsidRPr="00533E2A">
        <w:rPr>
          <w:rFonts w:asciiTheme="minorHAnsi" w:hAnsiTheme="minorHAnsi" w:cstheme="minorHAnsi"/>
          <w:i/>
          <w:color w:val="231F20"/>
          <w:sz w:val="18"/>
        </w:rPr>
        <w:t>Interference)</w:t>
      </w:r>
      <w:r w:rsidRPr="00533E2A">
        <w:rPr>
          <w:rFonts w:asciiTheme="minorHAnsi" w:hAnsiTheme="minorHAnsi" w:cstheme="minorHAnsi"/>
          <w:i/>
          <w:color w:val="231F20"/>
          <w:spacing w:val="-8"/>
          <w:sz w:val="18"/>
        </w:rPr>
        <w:t xml:space="preserve"> </w:t>
      </w:r>
      <w:r w:rsidRPr="00533E2A">
        <w:rPr>
          <w:rFonts w:asciiTheme="minorHAnsi" w:hAnsiTheme="minorHAnsi" w:cstheme="minorHAnsi"/>
          <w:i/>
          <w:color w:val="231F20"/>
          <w:sz w:val="18"/>
        </w:rPr>
        <w:t>Act</w:t>
      </w:r>
      <w:r w:rsidRPr="00533E2A">
        <w:rPr>
          <w:rFonts w:asciiTheme="minorHAnsi" w:hAnsiTheme="minorHAnsi" w:cstheme="minorHAnsi"/>
          <w:i/>
          <w:color w:val="231F20"/>
          <w:spacing w:val="-8"/>
          <w:sz w:val="18"/>
        </w:rPr>
        <w:t xml:space="preserve"> </w:t>
      </w:r>
      <w:r w:rsidRPr="00533E2A">
        <w:rPr>
          <w:rFonts w:asciiTheme="minorHAnsi" w:hAnsiTheme="minorHAnsi" w:cstheme="minorHAnsi"/>
          <w:i/>
          <w:color w:val="231F20"/>
          <w:sz w:val="18"/>
        </w:rPr>
        <w:t xml:space="preserve">2018 </w:t>
      </w:r>
      <w:r w:rsidRPr="00533E2A">
        <w:rPr>
          <w:rFonts w:asciiTheme="minorHAnsi" w:hAnsiTheme="minorHAnsi" w:cstheme="minorHAnsi"/>
          <w:color w:val="231F20"/>
          <w:sz w:val="18"/>
        </w:rPr>
        <w:t>(the EFI Act),</w:t>
      </w:r>
    </w:p>
    <w:p w14:paraId="075B0E8F" w14:textId="77777777" w:rsidR="00BF0B31" w:rsidRPr="00533E2A" w:rsidRDefault="00D771DC">
      <w:pPr>
        <w:pStyle w:val="BodyText"/>
        <w:spacing w:line="331" w:lineRule="auto"/>
        <w:ind w:left="850" w:right="34"/>
        <w:rPr>
          <w:rFonts w:asciiTheme="minorHAnsi" w:hAnsiTheme="minorHAnsi" w:cstheme="minorHAnsi"/>
          <w:sz w:val="18"/>
        </w:rPr>
      </w:pP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Attorney-General</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initiate</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a</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review</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of</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secrecy</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offences</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in other</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Commonwealth</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legislation,</w:t>
      </w:r>
      <w:r w:rsidRPr="00533E2A">
        <w:rPr>
          <w:rFonts w:asciiTheme="minorHAnsi" w:hAnsiTheme="minorHAnsi" w:cstheme="minorHAnsi"/>
          <w:color w:val="231F20"/>
          <w:spacing w:val="-8"/>
          <w:sz w:val="18"/>
        </w:rPr>
        <w:t xml:space="preserve"> </w:t>
      </w:r>
      <w:proofErr w:type="gramStart"/>
      <w:r w:rsidRPr="00533E2A">
        <w:rPr>
          <w:rFonts w:asciiTheme="minorHAnsi" w:hAnsiTheme="minorHAnsi" w:cstheme="minorHAnsi"/>
          <w:color w:val="231F20"/>
          <w:spacing w:val="-2"/>
          <w:sz w:val="18"/>
        </w:rPr>
        <w:t>taking</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into</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account</w:t>
      </w:r>
      <w:proofErr w:type="gramEnd"/>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2"/>
          <w:sz w:val="18"/>
        </w:rPr>
        <w:t>set of</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principles</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contained</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in</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ALRC</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report,</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Secrecy</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Laws</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pacing w:val="-2"/>
          <w:sz w:val="18"/>
        </w:rPr>
        <w:t xml:space="preserve">and </w:t>
      </w:r>
      <w:r w:rsidRPr="00533E2A">
        <w:rPr>
          <w:rFonts w:asciiTheme="minorHAnsi" w:hAnsiTheme="minorHAnsi" w:cstheme="minorHAnsi"/>
          <w:color w:val="231F20"/>
          <w:sz w:val="18"/>
        </w:rPr>
        <w:t>Open Government in Australia.</w:t>
      </w:r>
    </w:p>
    <w:p w14:paraId="4B4A33D4" w14:textId="77777777" w:rsidR="00BF0B31" w:rsidRPr="00533E2A" w:rsidRDefault="00D771DC">
      <w:pPr>
        <w:rPr>
          <w:rFonts w:asciiTheme="minorHAnsi" w:hAnsiTheme="minorHAnsi" w:cstheme="minorHAnsi"/>
        </w:rPr>
      </w:pPr>
      <w:r w:rsidRPr="00533E2A">
        <w:rPr>
          <w:rFonts w:asciiTheme="minorHAnsi" w:hAnsiTheme="minorHAnsi" w:cstheme="minorHAnsi"/>
          <w:sz w:val="20"/>
        </w:rPr>
        <w:br w:type="column"/>
      </w:r>
    </w:p>
    <w:p w14:paraId="78B32879" w14:textId="77777777" w:rsidR="00023D53" w:rsidRPr="00533E2A" w:rsidRDefault="00023D53" w:rsidP="00023D53">
      <w:pPr>
        <w:keepNext/>
        <w:widowControl/>
        <w:autoSpaceDE/>
        <w:autoSpaceDN/>
        <w:spacing w:before="120" w:after="120" w:line="276" w:lineRule="auto"/>
        <w:ind w:right="783"/>
        <w:contextualSpacing/>
        <w:jc w:val="right"/>
        <w:outlineLvl w:val="1"/>
        <w:rPr>
          <w:rFonts w:asciiTheme="minorHAnsi" w:eastAsia="SimSun" w:hAnsiTheme="minorHAnsi" w:cstheme="minorHAnsi"/>
          <w:b/>
          <w:bCs/>
          <w:iCs/>
          <w:color w:val="4D738A"/>
          <w:w w:val="105"/>
          <w:kern w:val="40"/>
          <w:sz w:val="36"/>
          <w:szCs w:val="40"/>
          <w:lang w:val="en-AU"/>
        </w:rPr>
      </w:pPr>
      <w:bookmarkStart w:id="74" w:name="_Toc130218794"/>
      <w:bookmarkStart w:id="75" w:name="_Toc130226884"/>
      <w:bookmarkStart w:id="76" w:name="_Toc130307401"/>
      <w:bookmarkStart w:id="77" w:name="_Toc130307608"/>
      <w:bookmarkStart w:id="78" w:name="_Toc130307692"/>
      <w:bookmarkStart w:id="79" w:name="_Toc130310325"/>
      <w:bookmarkStart w:id="80" w:name="_Toc130311737"/>
      <w:bookmarkStart w:id="81" w:name="_Toc130312382"/>
      <w:bookmarkStart w:id="82" w:name="_Toc130465889"/>
      <w:r w:rsidRPr="00533E2A">
        <w:rPr>
          <w:rFonts w:asciiTheme="minorHAnsi" w:eastAsia="SimSun" w:hAnsiTheme="minorHAnsi" w:cstheme="minorHAnsi"/>
          <w:b/>
          <w:bCs/>
          <w:iCs/>
          <w:color w:val="4D738A"/>
          <w:w w:val="105"/>
          <w:kern w:val="40"/>
          <w:sz w:val="36"/>
          <w:szCs w:val="40"/>
          <w:lang w:val="en-AU"/>
        </w:rPr>
        <w:t>Attachment A</w:t>
      </w:r>
      <w:bookmarkEnd w:id="74"/>
      <w:bookmarkEnd w:id="75"/>
      <w:bookmarkEnd w:id="76"/>
      <w:bookmarkEnd w:id="77"/>
      <w:bookmarkEnd w:id="78"/>
      <w:bookmarkEnd w:id="79"/>
      <w:bookmarkEnd w:id="80"/>
      <w:bookmarkEnd w:id="81"/>
      <w:bookmarkEnd w:id="82"/>
    </w:p>
    <w:p w14:paraId="0C24AFB5" w14:textId="77777777" w:rsidR="00BF0B31" w:rsidRPr="00533E2A" w:rsidRDefault="00BF0B31">
      <w:pPr>
        <w:pStyle w:val="BodyText"/>
        <w:rPr>
          <w:rFonts w:asciiTheme="minorHAnsi" w:hAnsiTheme="minorHAnsi" w:cstheme="minorHAnsi"/>
          <w:sz w:val="22"/>
        </w:rPr>
      </w:pPr>
    </w:p>
    <w:p w14:paraId="76756F11" w14:textId="77777777" w:rsidR="00BF0B31" w:rsidRPr="00533E2A" w:rsidRDefault="00BF0B31">
      <w:pPr>
        <w:pStyle w:val="BodyText"/>
        <w:spacing w:before="3"/>
        <w:rPr>
          <w:rFonts w:asciiTheme="minorHAnsi" w:hAnsiTheme="minorHAnsi" w:cstheme="minorHAnsi"/>
          <w:sz w:val="22"/>
        </w:rPr>
      </w:pPr>
    </w:p>
    <w:p w14:paraId="1232E7D9" w14:textId="77777777" w:rsidR="00023D53" w:rsidRPr="00533E2A" w:rsidRDefault="00023D53">
      <w:pPr>
        <w:pStyle w:val="BodyText"/>
        <w:spacing w:before="3"/>
        <w:rPr>
          <w:rFonts w:asciiTheme="minorHAnsi" w:hAnsiTheme="minorHAnsi" w:cstheme="minorHAnsi"/>
          <w:sz w:val="22"/>
        </w:rPr>
      </w:pPr>
    </w:p>
    <w:p w14:paraId="45F52F4C" w14:textId="77777777" w:rsidR="00BF0B31" w:rsidRPr="00533E2A" w:rsidRDefault="00D771DC">
      <w:pPr>
        <w:pStyle w:val="BodyText"/>
        <w:spacing w:line="331" w:lineRule="auto"/>
        <w:ind w:left="439" w:right="787"/>
        <w:rPr>
          <w:rFonts w:asciiTheme="minorHAnsi" w:hAnsiTheme="minorHAnsi" w:cstheme="minorHAnsi"/>
          <w:sz w:val="18"/>
        </w:rPr>
      </w:pPr>
      <w:r w:rsidRPr="00533E2A">
        <w:rPr>
          <w:rFonts w:asciiTheme="minorHAnsi" w:hAnsiTheme="minorHAnsi" w:cstheme="minorHAnsi"/>
          <w:color w:val="231F20"/>
          <w:sz w:val="18"/>
        </w:rPr>
        <w:t>In</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its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unanimous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bipartisan</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report,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Committee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noted the</w:t>
      </w:r>
      <w:r w:rsidRPr="00533E2A">
        <w:rPr>
          <w:rFonts w:asciiTheme="minorHAnsi" w:hAnsiTheme="minorHAnsi" w:cstheme="minorHAnsi"/>
          <w:color w:val="231F20"/>
          <w:spacing w:val="-23"/>
          <w:sz w:val="18"/>
        </w:rPr>
        <w:t xml:space="preserve"> </w:t>
      </w:r>
      <w:r w:rsidRPr="00533E2A">
        <w:rPr>
          <w:rFonts w:asciiTheme="minorHAnsi" w:hAnsiTheme="minorHAnsi" w:cstheme="minorHAnsi"/>
          <w:color w:val="231F20"/>
          <w:sz w:val="18"/>
        </w:rPr>
        <w:t>“array of specific secrecy offences … that will continue</w:t>
      </w:r>
    </w:p>
    <w:p w14:paraId="6A244AAD" w14:textId="77777777" w:rsidR="00BF0B31" w:rsidRPr="00533E2A" w:rsidRDefault="00D771DC">
      <w:pPr>
        <w:pStyle w:val="BodyText"/>
        <w:spacing w:line="331" w:lineRule="auto"/>
        <w:ind w:left="439" w:right="787"/>
        <w:rPr>
          <w:rFonts w:asciiTheme="minorHAnsi" w:hAnsiTheme="minorHAnsi" w:cstheme="minorHAnsi"/>
          <w:sz w:val="18"/>
        </w:rPr>
      </w:pPr>
      <w:r w:rsidRPr="00533E2A">
        <w:rPr>
          <w:rFonts w:asciiTheme="minorHAnsi" w:hAnsiTheme="minorHAnsi" w:cstheme="minorHAnsi"/>
          <w:color w:val="231F20"/>
          <w:sz w:val="18"/>
        </w:rPr>
        <w:t xml:space="preserve">to exist once the proposed new general </w:t>
      </w:r>
      <w:proofErr w:type="gramStart"/>
      <w:r w:rsidRPr="00533E2A">
        <w:rPr>
          <w:rFonts w:asciiTheme="minorHAnsi" w:hAnsiTheme="minorHAnsi" w:cstheme="minorHAnsi"/>
          <w:color w:val="231F20"/>
          <w:sz w:val="18"/>
        </w:rPr>
        <w:t>offences”</w:t>
      </w:r>
      <w:proofErr w:type="gramEnd"/>
      <w:r w:rsidRPr="00533E2A">
        <w:rPr>
          <w:rFonts w:asciiTheme="minorHAnsi" w:hAnsiTheme="minorHAnsi" w:cstheme="minorHAnsi"/>
          <w:color w:val="231F20"/>
          <w:spacing w:val="-24"/>
          <w:sz w:val="18"/>
        </w:rPr>
        <w:t xml:space="preserve"> </w:t>
      </w:r>
      <w:r w:rsidRPr="00533E2A">
        <w:rPr>
          <w:rFonts w:asciiTheme="minorHAnsi" w:hAnsiTheme="minorHAnsi" w:cstheme="minorHAnsi"/>
          <w:color w:val="231F20"/>
          <w:sz w:val="18"/>
        </w:rPr>
        <w:t>were introduced</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by</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EFI</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Act,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considered</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it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likely</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that</w:t>
      </w:r>
      <w:r w:rsidRPr="00533E2A">
        <w:rPr>
          <w:rFonts w:asciiTheme="minorHAnsi" w:hAnsiTheme="minorHAnsi" w:cstheme="minorHAnsi"/>
          <w:color w:val="231F20"/>
          <w:spacing w:val="-30"/>
          <w:sz w:val="18"/>
        </w:rPr>
        <w:t xml:space="preserve"> </w:t>
      </w:r>
      <w:r w:rsidRPr="00533E2A">
        <w:rPr>
          <w:rFonts w:asciiTheme="minorHAnsi" w:hAnsiTheme="minorHAnsi" w:cstheme="minorHAnsi"/>
          <w:color w:val="231F20"/>
          <w:sz w:val="18"/>
        </w:rPr>
        <w:t xml:space="preserve">“many of these existing offences will no longer be required, or will </w:t>
      </w:r>
      <w:r w:rsidRPr="00533E2A">
        <w:rPr>
          <w:rFonts w:asciiTheme="minorHAnsi" w:hAnsiTheme="minorHAnsi" w:cstheme="minorHAnsi"/>
          <w:color w:val="231F20"/>
          <w:spacing w:val="-2"/>
          <w:sz w:val="18"/>
        </w:rPr>
        <w:t>require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amendment”.</w:t>
      </w:r>
      <w:r w:rsidRPr="00533E2A">
        <w:rPr>
          <w:rFonts w:asciiTheme="minorHAnsi" w:hAnsiTheme="minorHAnsi" w:cstheme="minorHAnsi"/>
          <w:color w:val="231F20"/>
          <w:spacing w:val="-21"/>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Committee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recommended</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that</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 xml:space="preserve">the </w:t>
      </w:r>
      <w:r w:rsidRPr="00533E2A">
        <w:rPr>
          <w:rFonts w:asciiTheme="minorHAnsi" w:hAnsiTheme="minorHAnsi" w:cstheme="minorHAnsi"/>
          <w:color w:val="231F20"/>
          <w:sz w:val="18"/>
        </w:rPr>
        <w:t>review of secrecy offences commence as soon as possible.</w:t>
      </w:r>
    </w:p>
    <w:p w14:paraId="0D51C769" w14:textId="77777777" w:rsidR="00BF0B31" w:rsidRPr="00533E2A" w:rsidRDefault="00D771DC">
      <w:pPr>
        <w:pStyle w:val="BodyText"/>
        <w:spacing w:line="331" w:lineRule="auto"/>
        <w:ind w:left="439" w:right="787"/>
        <w:rPr>
          <w:rFonts w:asciiTheme="minorHAnsi" w:hAnsiTheme="minorHAnsi" w:cstheme="minorHAnsi"/>
          <w:sz w:val="18"/>
        </w:rPr>
      </w:pPr>
      <w:r w:rsidRPr="00533E2A">
        <w:rPr>
          <w:rFonts w:asciiTheme="minorHAnsi" w:hAnsiTheme="minorHAnsi" w:cstheme="minorHAnsi"/>
          <w:color w:val="231F20"/>
          <w:spacing w:val="-2"/>
          <w:sz w:val="18"/>
        </w:rPr>
        <w:t>However,</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no</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review</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was</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formally</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commenced</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during</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2"/>
          <w:sz w:val="18"/>
        </w:rPr>
        <w:t xml:space="preserve">life </w:t>
      </w:r>
      <w:r w:rsidRPr="00533E2A">
        <w:rPr>
          <w:rFonts w:asciiTheme="minorHAnsi" w:hAnsiTheme="minorHAnsi" w:cstheme="minorHAnsi"/>
          <w:color w:val="231F20"/>
          <w:sz w:val="18"/>
        </w:rPr>
        <w:t>of the 45th Parliament.</w:t>
      </w:r>
    </w:p>
    <w:p w14:paraId="155BC497" w14:textId="77777777" w:rsidR="00BF0B31" w:rsidRPr="00533E2A" w:rsidRDefault="00BF0B31">
      <w:pPr>
        <w:pStyle w:val="BodyText"/>
        <w:spacing w:before="4"/>
        <w:rPr>
          <w:rFonts w:asciiTheme="minorHAnsi" w:hAnsiTheme="minorHAnsi" w:cstheme="minorHAnsi"/>
          <w:sz w:val="22"/>
        </w:rPr>
      </w:pPr>
    </w:p>
    <w:p w14:paraId="7C91863B" w14:textId="77777777" w:rsidR="00BF0B31" w:rsidRPr="00533E2A" w:rsidRDefault="00D771DC">
      <w:pPr>
        <w:spacing w:line="331" w:lineRule="auto"/>
        <w:ind w:left="439" w:right="876"/>
        <w:rPr>
          <w:rFonts w:asciiTheme="minorHAnsi" w:hAnsiTheme="minorHAnsi" w:cstheme="minorHAnsi"/>
          <w:sz w:val="18"/>
        </w:rPr>
      </w:pPr>
      <w:r w:rsidRPr="00533E2A">
        <w:rPr>
          <w:rFonts w:asciiTheme="minorHAnsi" w:hAnsiTheme="minorHAnsi" w:cstheme="minorHAnsi"/>
          <w:color w:val="231F20"/>
          <w:sz w:val="18"/>
        </w:rPr>
        <w:t xml:space="preserve">In August 2020, in its </w:t>
      </w:r>
      <w:r w:rsidRPr="00533E2A">
        <w:rPr>
          <w:rFonts w:asciiTheme="minorHAnsi" w:hAnsiTheme="minorHAnsi" w:cstheme="minorHAnsi"/>
          <w:i/>
          <w:color w:val="231F20"/>
          <w:sz w:val="18"/>
        </w:rPr>
        <w:t>Inquiry into the exercise of law enforcement and intelligence powers on the freedom of the press</w:t>
      </w:r>
      <w:r w:rsidRPr="00533E2A">
        <w:rPr>
          <w:rFonts w:asciiTheme="minorHAnsi" w:hAnsiTheme="minorHAnsi" w:cstheme="minorHAnsi"/>
          <w:color w:val="231F20"/>
          <w:sz w:val="18"/>
        </w:rPr>
        <w:t>,</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Committee</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re-iterated</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its</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recommendation</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for</w:t>
      </w:r>
      <w:r w:rsidRPr="00533E2A">
        <w:rPr>
          <w:rFonts w:asciiTheme="minorHAnsi" w:hAnsiTheme="minorHAnsi" w:cstheme="minorHAnsi"/>
          <w:color w:val="231F20"/>
          <w:spacing w:val="-10"/>
          <w:sz w:val="18"/>
        </w:rPr>
        <w:t xml:space="preserve"> </w:t>
      </w:r>
      <w:r w:rsidRPr="00533E2A">
        <w:rPr>
          <w:rFonts w:asciiTheme="minorHAnsi" w:hAnsiTheme="minorHAnsi" w:cstheme="minorHAnsi"/>
          <w:color w:val="231F20"/>
          <w:sz w:val="18"/>
        </w:rPr>
        <w:t xml:space="preserve">a </w:t>
      </w:r>
      <w:r w:rsidRPr="00533E2A">
        <w:rPr>
          <w:rFonts w:asciiTheme="minorHAnsi" w:hAnsiTheme="minorHAnsi" w:cstheme="minorHAnsi"/>
          <w:color w:val="231F20"/>
          <w:spacing w:val="-2"/>
          <w:sz w:val="18"/>
        </w:rPr>
        <w:t>review</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of</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Commonwealth</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secrecy</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offences.</w:t>
      </w:r>
      <w:r w:rsidRPr="00533E2A">
        <w:rPr>
          <w:rFonts w:asciiTheme="minorHAnsi" w:hAnsiTheme="minorHAnsi" w:cstheme="minorHAnsi"/>
          <w:color w:val="231F20"/>
          <w:spacing w:val="-21"/>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pacing w:val="-2"/>
          <w:sz w:val="18"/>
        </w:rPr>
        <w:t xml:space="preserve">Committee </w:t>
      </w:r>
      <w:r w:rsidRPr="00533E2A">
        <w:rPr>
          <w:rFonts w:asciiTheme="minorHAnsi" w:hAnsiTheme="minorHAnsi" w:cstheme="minorHAnsi"/>
          <w:color w:val="231F20"/>
          <w:sz w:val="18"/>
        </w:rPr>
        <w:t xml:space="preserve">recommended that such a review be </w:t>
      </w:r>
      <w:proofErr w:type="spellStart"/>
      <w:r w:rsidRPr="00533E2A">
        <w:rPr>
          <w:rFonts w:asciiTheme="minorHAnsi" w:hAnsiTheme="minorHAnsi" w:cstheme="minorHAnsi"/>
          <w:color w:val="231F20"/>
          <w:sz w:val="18"/>
        </w:rPr>
        <w:t>prioritised</w:t>
      </w:r>
      <w:proofErr w:type="spellEnd"/>
      <w:r w:rsidRPr="00533E2A">
        <w:rPr>
          <w:rFonts w:asciiTheme="minorHAnsi" w:hAnsiTheme="minorHAnsi" w:cstheme="minorHAnsi"/>
          <w:color w:val="231F20"/>
          <w:sz w:val="18"/>
        </w:rPr>
        <w:t xml:space="preserve"> for </w:t>
      </w:r>
      <w:proofErr w:type="spellStart"/>
      <w:r w:rsidRPr="00533E2A">
        <w:rPr>
          <w:rFonts w:asciiTheme="minorHAnsi" w:hAnsiTheme="minorHAnsi" w:cstheme="minorHAnsi"/>
          <w:color w:val="231F20"/>
          <w:sz w:val="18"/>
        </w:rPr>
        <w:t>finalisation</w:t>
      </w:r>
      <w:proofErr w:type="spellEnd"/>
      <w:r w:rsidRPr="00533E2A">
        <w:rPr>
          <w:rFonts w:asciiTheme="minorHAnsi" w:hAnsiTheme="minorHAnsi" w:cstheme="minorHAnsi"/>
          <w:color w:val="231F20"/>
          <w:sz w:val="18"/>
        </w:rPr>
        <w:t xml:space="preserve"> and report by June 2021, and that the review specifically consider whether relevant Commonwealth legislation adequately protects public interest journalism.</w:t>
      </w:r>
    </w:p>
    <w:p w14:paraId="75D77A2B" w14:textId="77777777" w:rsidR="00BF0B31" w:rsidRPr="00533E2A" w:rsidRDefault="00BF0B31">
      <w:pPr>
        <w:pStyle w:val="BodyText"/>
        <w:spacing w:before="6"/>
        <w:rPr>
          <w:rFonts w:asciiTheme="minorHAnsi" w:hAnsiTheme="minorHAnsi" w:cstheme="minorHAnsi"/>
          <w:sz w:val="18"/>
        </w:rPr>
      </w:pPr>
    </w:p>
    <w:p w14:paraId="6676C3D2" w14:textId="77777777" w:rsidR="00BF0B31" w:rsidRPr="00533E2A" w:rsidRDefault="00D771DC">
      <w:pPr>
        <w:pStyle w:val="BodyText"/>
        <w:spacing w:line="331" w:lineRule="auto"/>
        <w:ind w:left="439" w:right="852"/>
        <w:rPr>
          <w:rFonts w:asciiTheme="minorHAnsi" w:hAnsiTheme="minorHAnsi" w:cstheme="minorHAnsi"/>
          <w:sz w:val="18"/>
        </w:rPr>
      </w:pPr>
      <w:r w:rsidRPr="00533E2A">
        <w:rPr>
          <w:rFonts w:asciiTheme="minorHAnsi" w:hAnsiTheme="minorHAnsi" w:cstheme="minorHAnsi"/>
          <w:color w:val="231F20"/>
          <w:sz w:val="18"/>
        </w:rPr>
        <w:t>On</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15</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February</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2021,</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then-Assistant</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Minister</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to</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z w:val="18"/>
        </w:rPr>
        <w:t xml:space="preserve">the </w:t>
      </w:r>
      <w:r w:rsidRPr="00533E2A">
        <w:rPr>
          <w:rFonts w:asciiTheme="minorHAnsi" w:hAnsiTheme="minorHAnsi" w:cstheme="minorHAnsi"/>
          <w:color w:val="231F20"/>
          <w:spacing w:val="-4"/>
          <w:sz w:val="18"/>
        </w:rPr>
        <w:t>Attorney-General,</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Senator</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the</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Hon</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Amanda</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Stoker,</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 xml:space="preserve">approved </w:t>
      </w:r>
      <w:r w:rsidRPr="00533E2A">
        <w:rPr>
          <w:rFonts w:asciiTheme="minorHAnsi" w:hAnsiTheme="minorHAnsi" w:cstheme="minorHAnsi"/>
          <w:color w:val="231F20"/>
          <w:sz w:val="18"/>
        </w:rPr>
        <w:t>terms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reference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for</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Attorney-General’s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Department</w:t>
      </w:r>
    </w:p>
    <w:p w14:paraId="75434765" w14:textId="77777777" w:rsidR="00BF0B31" w:rsidRPr="00533E2A" w:rsidRDefault="00D771DC">
      <w:pPr>
        <w:pStyle w:val="BodyText"/>
        <w:spacing w:line="331" w:lineRule="auto"/>
        <w:ind w:left="439" w:right="876"/>
        <w:rPr>
          <w:rFonts w:asciiTheme="minorHAnsi" w:hAnsiTheme="minorHAnsi" w:cstheme="minorHAnsi"/>
          <w:sz w:val="18"/>
        </w:rPr>
      </w:pPr>
      <w:r w:rsidRPr="00533E2A">
        <w:rPr>
          <w:rFonts w:asciiTheme="minorHAnsi" w:hAnsiTheme="minorHAnsi" w:cstheme="minorHAnsi"/>
          <w:color w:val="231F20"/>
          <w:sz w:val="18"/>
        </w:rPr>
        <w:t>to conduct a limited review of Commonwealth secrecy offences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with</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a</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specific</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z w:val="18"/>
        </w:rPr>
        <w:t>focus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on</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public</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interest</w:t>
      </w:r>
      <w:r w:rsidRPr="00533E2A">
        <w:rPr>
          <w:rFonts w:asciiTheme="minorHAnsi" w:hAnsiTheme="minorHAnsi" w:cstheme="minorHAnsi"/>
          <w:color w:val="231F20"/>
          <w:spacing w:val="-13"/>
          <w:sz w:val="18"/>
        </w:rPr>
        <w:t xml:space="preserve"> </w:t>
      </w:r>
      <w:r w:rsidRPr="00533E2A">
        <w:rPr>
          <w:rFonts w:asciiTheme="minorHAnsi" w:hAnsiTheme="minorHAnsi" w:cstheme="minorHAnsi"/>
          <w:color w:val="231F20"/>
          <w:sz w:val="18"/>
        </w:rPr>
        <w:t>journalism. However, that review was not completed.</w:t>
      </w:r>
    </w:p>
    <w:p w14:paraId="3116F46A" w14:textId="77777777" w:rsidR="00BF0B31" w:rsidRPr="00533E2A" w:rsidRDefault="00BF0B31">
      <w:pPr>
        <w:pStyle w:val="BodyText"/>
        <w:spacing w:before="6"/>
        <w:rPr>
          <w:rFonts w:asciiTheme="minorHAnsi" w:hAnsiTheme="minorHAnsi" w:cstheme="minorHAnsi"/>
          <w:sz w:val="18"/>
        </w:rPr>
      </w:pPr>
    </w:p>
    <w:p w14:paraId="58AB50C3" w14:textId="77777777" w:rsidR="00BF0B31" w:rsidRPr="00533E2A" w:rsidRDefault="00D771DC">
      <w:pPr>
        <w:spacing w:line="331" w:lineRule="auto"/>
        <w:ind w:left="439" w:right="939"/>
        <w:rPr>
          <w:rFonts w:asciiTheme="minorHAnsi" w:hAnsiTheme="minorHAnsi" w:cstheme="minorHAnsi"/>
          <w:sz w:val="18"/>
        </w:rPr>
      </w:pPr>
      <w:r w:rsidRPr="00533E2A">
        <w:rPr>
          <w:rFonts w:asciiTheme="minorHAnsi" w:hAnsiTheme="minorHAnsi" w:cstheme="minorHAnsi"/>
          <w:color w:val="231F20"/>
          <w:sz w:val="18"/>
        </w:rPr>
        <w:t>On</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28</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July</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2022,</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Attorney-General</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asked</w:t>
      </w:r>
      <w:r w:rsidRPr="00533E2A">
        <w:rPr>
          <w:rFonts w:asciiTheme="minorHAnsi" w:hAnsiTheme="minorHAnsi" w:cstheme="minorHAnsi"/>
          <w:color w:val="231F20"/>
          <w:spacing w:val="-2"/>
          <w:sz w:val="18"/>
        </w:rPr>
        <w:t xml:space="preserve"> </w:t>
      </w:r>
      <w:r w:rsidRPr="00533E2A">
        <w:rPr>
          <w:rFonts w:asciiTheme="minorHAnsi" w:hAnsiTheme="minorHAnsi" w:cstheme="minorHAnsi"/>
          <w:color w:val="231F20"/>
          <w:sz w:val="18"/>
        </w:rPr>
        <w:t xml:space="preserve">the Independent National Security Legislation Monitor (the INSLM) to complete a review into the operation and effectiveness of the </w:t>
      </w:r>
      <w:r w:rsidRPr="00533E2A">
        <w:rPr>
          <w:rFonts w:asciiTheme="minorHAnsi" w:hAnsiTheme="minorHAnsi" w:cstheme="minorHAnsi"/>
          <w:i/>
          <w:color w:val="231F20"/>
          <w:sz w:val="18"/>
        </w:rPr>
        <w:t>National</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Security</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Information</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(Criminal and</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Civil</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Proceedings)</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Act</w:t>
      </w:r>
      <w:r w:rsidRPr="00533E2A">
        <w:rPr>
          <w:rFonts w:asciiTheme="minorHAnsi" w:hAnsiTheme="minorHAnsi" w:cstheme="minorHAnsi"/>
          <w:i/>
          <w:color w:val="231F20"/>
          <w:spacing w:val="-6"/>
          <w:sz w:val="18"/>
        </w:rPr>
        <w:t xml:space="preserve"> </w:t>
      </w:r>
      <w:r w:rsidRPr="00533E2A">
        <w:rPr>
          <w:rFonts w:asciiTheme="minorHAnsi" w:hAnsiTheme="minorHAnsi" w:cstheme="minorHAnsi"/>
          <w:i/>
          <w:color w:val="231F20"/>
          <w:sz w:val="18"/>
        </w:rPr>
        <w:t xml:space="preserve">2004 </w:t>
      </w:r>
      <w:r w:rsidRPr="00533E2A">
        <w:rPr>
          <w:rFonts w:asciiTheme="minorHAnsi" w:hAnsiTheme="minorHAnsi" w:cstheme="minorHAnsi"/>
          <w:color w:val="231F20"/>
          <w:sz w:val="18"/>
        </w:rPr>
        <w:t>(the NSI Act).</w:t>
      </w:r>
    </w:p>
    <w:p w14:paraId="3F4622E7" w14:textId="77777777" w:rsidR="00BF0B31" w:rsidRPr="00533E2A" w:rsidRDefault="00BF0B31">
      <w:pPr>
        <w:pStyle w:val="BodyText"/>
        <w:spacing w:before="6"/>
        <w:rPr>
          <w:rFonts w:asciiTheme="minorHAnsi" w:hAnsiTheme="minorHAnsi" w:cstheme="minorHAnsi"/>
          <w:sz w:val="18"/>
        </w:rPr>
      </w:pPr>
    </w:p>
    <w:p w14:paraId="00B5DE80" w14:textId="77777777" w:rsidR="00BF0B31" w:rsidRPr="00533E2A" w:rsidRDefault="002B574B">
      <w:pPr>
        <w:pStyle w:val="BodyText"/>
        <w:spacing w:line="331" w:lineRule="auto"/>
        <w:ind w:left="439" w:right="1156"/>
        <w:rPr>
          <w:rFonts w:asciiTheme="minorHAnsi" w:hAnsiTheme="minorHAnsi" w:cstheme="minorHAnsi"/>
          <w:sz w:val="18"/>
        </w:rPr>
      </w:pPr>
      <w:r w:rsidRPr="00533E2A">
        <w:rPr>
          <w:rFonts w:asciiTheme="minorHAnsi" w:hAnsiTheme="minorHAnsi" w:cstheme="minorHAnsi"/>
          <w:noProof/>
          <w:sz w:val="18"/>
        </w:rPr>
        <mc:AlternateContent>
          <mc:Choice Requires="wps">
            <w:drawing>
              <wp:anchor distT="0" distB="0" distL="114300" distR="114300" simplePos="0" relativeHeight="15729152" behindDoc="0" locked="0" layoutInCell="1" allowOverlap="1" wp14:anchorId="652B94E7" wp14:editId="53FC5B3A">
                <wp:simplePos x="0" y="0"/>
                <wp:positionH relativeFrom="page">
                  <wp:posOffset>7312660</wp:posOffset>
                </wp:positionH>
                <wp:positionV relativeFrom="paragraph">
                  <wp:posOffset>402590</wp:posOffset>
                </wp:positionV>
                <wp:extent cx="146050" cy="714375"/>
                <wp:effectExtent l="0" t="0" r="0" b="0"/>
                <wp:wrapNone/>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939D" w14:textId="77777777" w:rsidR="00BD6A1E" w:rsidRDefault="00BD6A1E">
                            <w:pPr>
                              <w:spacing w:before="21"/>
                              <w:ind w:left="20"/>
                              <w:rPr>
                                <w:sz w:val="16"/>
                              </w:rPr>
                            </w:pPr>
                            <w:r>
                              <w:rPr>
                                <w:color w:val="231F20"/>
                                <w:sz w:val="16"/>
                              </w:rPr>
                              <w:t>November</w:t>
                            </w:r>
                            <w:r>
                              <w:rPr>
                                <w:color w:val="231F20"/>
                                <w:spacing w:val="8"/>
                                <w:sz w:val="16"/>
                              </w:rPr>
                              <w:t xml:space="preserve"> </w:t>
                            </w:r>
                            <w:r>
                              <w:rPr>
                                <w:color w:val="231F20"/>
                                <w:spacing w:val="-4"/>
                                <w:sz w:val="16"/>
                              </w:rPr>
                              <w:t>2022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B94E7" id="_x0000_t202" coordsize="21600,21600" o:spt="202" path="m,l,21600r21600,l21600,xe">
                <v:stroke joinstyle="miter"/>
                <v:path gradientshapeok="t" o:connecttype="rect"/>
              </v:shapetype>
              <v:shape id="docshape20" o:spid="_x0000_s1026" type="#_x0000_t202" style="position:absolute;left:0;text-align:left;margin-left:575.8pt;margin-top:31.7pt;width:11.5pt;height:5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9DrAIAAKwFAAAOAAAAZHJzL2Uyb0RvYy54bWysVFtvmzAUfp+0/2D5nXIpuYBKqjaEaVJ3&#10;kbr9AAebYA1sZjuBatp/37EJadJq0rSNB+tgH3/n8n0+N7dD26ADU5pLkeHwKsCIiVJSLnYZ/vql&#10;8JYYaUMEJY0ULMNPTOPb1ds3N32XskjWsqFMIQAROu27DNfGdKnv67JmLdFXsmMCDiupWmLgV+18&#10;qkgP6G3jR0Ew93upaKdkybSG3Xw8xCuHX1WsNJ+qSjODmgxDbsatyq1bu/qrG5LuFOlqXh7TIH+R&#10;RUu4gKAnqJwYgvaKv4JqeamklpW5KmXry6riJXM1QDVh8KKax5p0zNUCzdHdqU36/8GWHw+fFeIU&#10;uLvGSJAWOKKy1DZy5NrTdzoFr8cO/MxwLwdwdaXq7kGW3zQScl0TsWN3Ssm+ZoRCeqFtrH921RKi&#10;U21Btv0HSSEM2RvpgIZKtbZ30A0E6EDT04kaNhhU2pDxPJjBSQlHizC+XsxcBJJOlzulzTsmW2SN&#10;DCtg3oGTw4M2NhmSTi42lpAFbxrHfiMuNsBx3IHQcNWe2SQcmT+SINksN8vYi6P5xouDPPfuinXs&#10;zYtwMcuv8/U6D3/auGGc1pxSJmyYSVhh/GfEHSU+SuIkLS0bTi2cTUmr3XbdKHQgIOzCfceGnLn5&#10;l2m4JkAtL0oKozi4jxKvmC8XXlzEMy9ZBEsvCJP7ZB7ESZwXlyU9cMH+vSTUZziZRbNRS7+tLXDf&#10;69pI2nIDo6PhbYaXJyeSWgVuBHXUGsKb0T5rhU3/uRVA90S006uV6ChWM2wHQLG63Ur6BMpVEpQF&#10;IoR5B4ZdowX89jA+Mqy/74liGDXvBTwA2DaToSZjOxlElLWEKWQwGs21GWfSvlN8VwP4+MSEvINH&#10;UnEn4OdEjk8LRoKr4zi+7Mw5/3dez0N29QsAAP//AwBQSwMEFAAGAAgAAAAhAOO2X7LfAAAADAEA&#10;AA8AAABkcnMvZG93bnJldi54bWxMj8FOwzAQRO9I/IO1lbhRJ6RxIY1ToUgVt0qUfoAbmySqvQ6x&#10;26R/z/YEt53d0eybcjs7y65mDL1HCekyAWaw8brHVsLxa/f8CixEhVpZj0bCzQTYVo8PpSq0n/DT&#10;XA+xZRSCoVASuhiHgvPQdMapsPSDQbp9+9GpSHJsuR7VROHO8pckEdypHulDpwZTd6Y5Hy5Owv7G&#10;uylz+bGpa7EX2c9OnT+slE+L+X0DLJo5/pnhjk/oUBHTyV9QB2ZJp3kqyCtBZCtgd0e6XtHmRNM6&#10;fwNelfx/ieoXAAD//wMAUEsBAi0AFAAGAAgAAAAhALaDOJL+AAAA4QEAABMAAAAAAAAAAAAAAAAA&#10;AAAAAFtDb250ZW50X1R5cGVzXS54bWxQSwECLQAUAAYACAAAACEAOP0h/9YAAACUAQAACwAAAAAA&#10;AAAAAAAAAAAvAQAAX3JlbHMvLnJlbHNQSwECLQAUAAYACAAAACEAla1/Q6wCAACsBQAADgAAAAAA&#10;AAAAAAAAAAAuAgAAZHJzL2Uyb0RvYy54bWxQSwECLQAUAAYACAAAACEA47Zfst8AAAAMAQAADwAA&#10;AAAAAAAAAAAAAAAGBQAAZHJzL2Rvd25yZXYueG1sUEsFBgAAAAAEAAQA8wAAABIGAAAAAA==&#10;" filled="f" stroked="f">
                <v:textbox style="layout-flow:vertical;mso-layout-flow-alt:bottom-to-top" inset="0,0,0,0">
                  <w:txbxContent>
                    <w:p w14:paraId="7749939D" w14:textId="77777777" w:rsidR="00BD6A1E" w:rsidRDefault="00BD6A1E">
                      <w:pPr>
                        <w:spacing w:before="21"/>
                        <w:ind w:left="20"/>
                        <w:rPr>
                          <w:sz w:val="16"/>
                        </w:rPr>
                      </w:pPr>
                      <w:r>
                        <w:rPr>
                          <w:color w:val="231F20"/>
                          <w:sz w:val="16"/>
                        </w:rPr>
                        <w:t>November</w:t>
                      </w:r>
                      <w:r>
                        <w:rPr>
                          <w:color w:val="231F20"/>
                          <w:spacing w:val="8"/>
                          <w:sz w:val="16"/>
                        </w:rPr>
                        <w:t xml:space="preserve"> </w:t>
                      </w:r>
                      <w:r>
                        <w:rPr>
                          <w:color w:val="231F20"/>
                          <w:spacing w:val="-4"/>
                          <w:sz w:val="16"/>
                        </w:rPr>
                        <w:t>2022</w:t>
                      </w:r>
                    </w:p>
                  </w:txbxContent>
                </v:textbox>
                <w10:wrap anchorx="page"/>
              </v:shape>
            </w:pict>
          </mc:Fallback>
        </mc:AlternateContent>
      </w:r>
      <w:r w:rsidR="00D771DC" w:rsidRPr="00533E2A">
        <w:rPr>
          <w:rFonts w:asciiTheme="minorHAnsi" w:hAnsiTheme="minorHAnsi" w:cstheme="minorHAnsi"/>
          <w:color w:val="231F20"/>
          <w:spacing w:val="-2"/>
          <w:sz w:val="18"/>
        </w:rPr>
        <w:t>Separately,</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the</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INSLM</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has</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also</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commenced</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a</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review</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pacing w:val="-2"/>
          <w:sz w:val="18"/>
        </w:rPr>
        <w:t xml:space="preserve">of </w:t>
      </w:r>
      <w:r w:rsidR="00D771DC" w:rsidRPr="00533E2A">
        <w:rPr>
          <w:rFonts w:asciiTheme="minorHAnsi" w:hAnsiTheme="minorHAnsi" w:cstheme="minorHAnsi"/>
          <w:color w:val="231F20"/>
          <w:sz w:val="18"/>
        </w:rPr>
        <w:t>the EFI Act, including the general secrecy offences</w:t>
      </w:r>
    </w:p>
    <w:p w14:paraId="5C257B29" w14:textId="77777777" w:rsidR="00BF0B31" w:rsidRPr="00533E2A" w:rsidRDefault="00D771DC">
      <w:pPr>
        <w:pStyle w:val="BodyText"/>
        <w:spacing w:line="331" w:lineRule="auto"/>
        <w:ind w:left="439" w:right="939"/>
        <w:rPr>
          <w:rFonts w:asciiTheme="minorHAnsi" w:hAnsiTheme="minorHAnsi" w:cstheme="minorHAnsi"/>
          <w:sz w:val="18"/>
        </w:rPr>
      </w:pPr>
      <w:r w:rsidRPr="00533E2A">
        <w:rPr>
          <w:rFonts w:asciiTheme="minorHAnsi" w:hAnsiTheme="minorHAnsi" w:cstheme="minorHAnsi"/>
          <w:color w:val="231F20"/>
          <w:spacing w:val="-4"/>
          <w:sz w:val="18"/>
        </w:rPr>
        <w:t>introduced</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by</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that</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Act.</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However,</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the</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INSLM</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is</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not</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pacing w:val="-4"/>
          <w:sz w:val="18"/>
        </w:rPr>
        <w:t xml:space="preserve">expected </w:t>
      </w:r>
      <w:r w:rsidRPr="00533E2A">
        <w:rPr>
          <w:rFonts w:asciiTheme="minorHAnsi" w:hAnsiTheme="minorHAnsi" w:cstheme="minorHAnsi"/>
          <w:color w:val="231F20"/>
          <w:sz w:val="18"/>
        </w:rPr>
        <w:t>to report until 2024.</w:t>
      </w:r>
    </w:p>
    <w:p w14:paraId="24F2C99C" w14:textId="77777777" w:rsidR="00BF0B31" w:rsidRPr="00533E2A" w:rsidRDefault="00BF0B31">
      <w:pPr>
        <w:spacing w:line="331" w:lineRule="auto"/>
        <w:rPr>
          <w:rFonts w:asciiTheme="minorHAnsi" w:hAnsiTheme="minorHAnsi" w:cstheme="minorHAnsi"/>
          <w:sz w:val="20"/>
        </w:rPr>
        <w:sectPr w:rsidR="00BF0B31" w:rsidRPr="00533E2A" w:rsidSect="001B4D5D">
          <w:headerReference w:type="first" r:id="rId17"/>
          <w:footerReference w:type="first" r:id="rId18"/>
          <w:pgSz w:w="11910" w:h="16840"/>
          <w:pgMar w:top="0" w:right="0" w:bottom="520" w:left="0" w:header="0" w:footer="332" w:gutter="0"/>
          <w:cols w:num="2" w:space="720" w:equalWidth="0">
            <w:col w:w="5700" w:space="40"/>
            <w:col w:w="6170"/>
          </w:cols>
          <w:titlePg/>
          <w:docGrid w:linePitch="299"/>
        </w:sectPr>
      </w:pPr>
    </w:p>
    <w:p w14:paraId="112D3254" w14:textId="77777777" w:rsidR="00BF0B31" w:rsidRPr="00533E2A" w:rsidRDefault="00BF0B31">
      <w:pPr>
        <w:pStyle w:val="BodyText"/>
        <w:rPr>
          <w:rFonts w:asciiTheme="minorHAnsi" w:hAnsiTheme="minorHAnsi" w:cstheme="minorHAnsi"/>
          <w:sz w:val="18"/>
        </w:rPr>
      </w:pPr>
    </w:p>
    <w:p w14:paraId="0DF06D07" w14:textId="77777777" w:rsidR="00BF0B31" w:rsidRPr="00533E2A" w:rsidRDefault="00BF0B31">
      <w:pPr>
        <w:pStyle w:val="BodyText"/>
        <w:rPr>
          <w:rFonts w:asciiTheme="minorHAnsi" w:hAnsiTheme="minorHAnsi" w:cstheme="minorHAnsi"/>
          <w:sz w:val="18"/>
        </w:rPr>
      </w:pPr>
    </w:p>
    <w:p w14:paraId="5B9354F9" w14:textId="77777777" w:rsidR="00BF0B31" w:rsidRPr="00533E2A" w:rsidRDefault="00BF0B31">
      <w:pPr>
        <w:pStyle w:val="BodyText"/>
        <w:rPr>
          <w:rFonts w:asciiTheme="minorHAnsi" w:hAnsiTheme="minorHAnsi" w:cstheme="minorHAnsi"/>
          <w:sz w:val="18"/>
        </w:rPr>
      </w:pPr>
    </w:p>
    <w:p w14:paraId="3E2FAD79" w14:textId="77777777" w:rsidR="00BF0B31" w:rsidRPr="00533E2A" w:rsidRDefault="00BF0B31">
      <w:pPr>
        <w:rPr>
          <w:rFonts w:asciiTheme="minorHAnsi" w:hAnsiTheme="minorHAnsi" w:cstheme="minorHAnsi"/>
          <w:sz w:val="20"/>
        </w:rPr>
        <w:sectPr w:rsidR="00BF0B31" w:rsidRPr="00533E2A">
          <w:headerReference w:type="default" r:id="rId19"/>
          <w:footerReference w:type="default" r:id="rId20"/>
          <w:pgSz w:w="11910" w:h="16840"/>
          <w:pgMar w:top="0" w:right="0" w:bottom="520" w:left="0" w:header="0" w:footer="332" w:gutter="0"/>
          <w:cols w:space="720"/>
        </w:sectPr>
      </w:pPr>
    </w:p>
    <w:p w14:paraId="461ECCB4" w14:textId="77777777" w:rsidR="00BF0B31" w:rsidRPr="00533E2A" w:rsidRDefault="00D771DC" w:rsidP="00CB1B34">
      <w:pPr>
        <w:pStyle w:val="BodyText"/>
        <w:spacing w:before="101" w:line="331" w:lineRule="auto"/>
        <w:ind w:left="720"/>
        <w:rPr>
          <w:rFonts w:asciiTheme="minorHAnsi" w:hAnsiTheme="minorHAnsi" w:cstheme="minorHAnsi"/>
          <w:sz w:val="18"/>
        </w:rPr>
      </w:pPr>
      <w:r w:rsidRPr="00533E2A">
        <w:rPr>
          <w:rFonts w:asciiTheme="minorHAnsi" w:hAnsiTheme="minorHAnsi" w:cstheme="minorHAnsi"/>
          <w:color w:val="231F20"/>
          <w:sz w:val="18"/>
        </w:rPr>
        <w:t>On</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11</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August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2022,</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Interim</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Report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 xml:space="preserve">Royal </w:t>
      </w:r>
      <w:r w:rsidRPr="00533E2A">
        <w:rPr>
          <w:rFonts w:asciiTheme="minorHAnsi" w:hAnsiTheme="minorHAnsi" w:cstheme="minorHAnsi"/>
          <w:color w:val="231F20"/>
          <w:spacing w:val="-4"/>
          <w:sz w:val="18"/>
        </w:rPr>
        <w:t>Commission</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4"/>
          <w:sz w:val="18"/>
        </w:rPr>
        <w:t>into</w:t>
      </w:r>
      <w:r w:rsidRPr="00533E2A">
        <w:rPr>
          <w:rFonts w:asciiTheme="minorHAnsi" w:hAnsiTheme="minorHAnsi" w:cstheme="minorHAnsi"/>
          <w:color w:val="231F20"/>
          <w:spacing w:val="-6"/>
          <w:sz w:val="18"/>
        </w:rPr>
        <w:t xml:space="preserve"> </w:t>
      </w:r>
      <w:proofErr w:type="spellStart"/>
      <w:r w:rsidRPr="00533E2A">
        <w:rPr>
          <w:rFonts w:asciiTheme="minorHAnsi" w:hAnsiTheme="minorHAnsi" w:cstheme="minorHAnsi"/>
          <w:color w:val="231F20"/>
          <w:spacing w:val="-4"/>
          <w:sz w:val="18"/>
        </w:rPr>
        <w:t>Defence</w:t>
      </w:r>
      <w:proofErr w:type="spellEnd"/>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4"/>
          <w:sz w:val="18"/>
        </w:rPr>
        <w:t>and</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4"/>
          <w:sz w:val="18"/>
        </w:rPr>
        <w:t>Veteran</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4"/>
          <w:sz w:val="18"/>
        </w:rPr>
        <w:t>Suicide</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4"/>
          <w:sz w:val="18"/>
        </w:rPr>
        <w:t xml:space="preserve">recommended </w:t>
      </w:r>
      <w:r w:rsidRPr="00533E2A">
        <w:rPr>
          <w:rFonts w:asciiTheme="minorHAnsi" w:hAnsiTheme="minorHAnsi" w:cstheme="minorHAnsi"/>
          <w:color w:val="231F20"/>
          <w:sz w:val="18"/>
        </w:rPr>
        <w:t>(among other things):</w:t>
      </w:r>
    </w:p>
    <w:p w14:paraId="269FF5C0" w14:textId="77777777" w:rsidR="00BF0B31" w:rsidRPr="00533E2A" w:rsidRDefault="00D771DC">
      <w:pPr>
        <w:spacing w:before="150" w:line="309" w:lineRule="auto"/>
        <w:ind w:left="850" w:right="35"/>
        <w:rPr>
          <w:rFonts w:asciiTheme="minorHAnsi" w:hAnsiTheme="minorHAnsi" w:cstheme="minorHAnsi"/>
          <w:i/>
          <w:sz w:val="18"/>
        </w:rPr>
      </w:pPr>
      <w:r w:rsidRPr="00533E2A">
        <w:rPr>
          <w:rFonts w:asciiTheme="minorHAnsi" w:hAnsiTheme="minorHAnsi" w:cstheme="minorHAnsi"/>
          <w:i/>
          <w:color w:val="231F20"/>
          <w:w w:val="110"/>
          <w:sz w:val="18"/>
        </w:rPr>
        <w:t>For</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serving</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and</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ex-serving</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ADF</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members</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whose</w:t>
      </w:r>
      <w:r w:rsidRPr="00533E2A">
        <w:rPr>
          <w:rFonts w:asciiTheme="minorHAnsi" w:hAnsiTheme="minorHAnsi" w:cstheme="minorHAnsi"/>
          <w:i/>
          <w:color w:val="231F20"/>
          <w:spacing w:val="-1"/>
          <w:w w:val="110"/>
          <w:sz w:val="18"/>
        </w:rPr>
        <w:t xml:space="preserve"> </w:t>
      </w:r>
      <w:r w:rsidRPr="00533E2A">
        <w:rPr>
          <w:rFonts w:asciiTheme="minorHAnsi" w:hAnsiTheme="minorHAnsi" w:cstheme="minorHAnsi"/>
          <w:i/>
          <w:color w:val="231F20"/>
          <w:w w:val="110"/>
          <w:sz w:val="18"/>
        </w:rPr>
        <w:t>lived experience</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is</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intrinsically</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linked</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to</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security</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classified</w:t>
      </w:r>
      <w:r w:rsidRPr="00533E2A">
        <w:rPr>
          <w:rFonts w:asciiTheme="minorHAnsi" w:hAnsiTheme="minorHAnsi" w:cstheme="minorHAnsi"/>
          <w:i/>
          <w:color w:val="231F20"/>
          <w:spacing w:val="-5"/>
          <w:w w:val="110"/>
          <w:sz w:val="18"/>
        </w:rPr>
        <w:t xml:space="preserve"> </w:t>
      </w:r>
      <w:r w:rsidRPr="00533E2A">
        <w:rPr>
          <w:rFonts w:asciiTheme="minorHAnsi" w:hAnsiTheme="minorHAnsi" w:cstheme="minorHAnsi"/>
          <w:i/>
          <w:color w:val="231F20"/>
          <w:w w:val="110"/>
          <w:sz w:val="18"/>
        </w:rPr>
        <w:t xml:space="preserve">or operationally sensitive information, the </w:t>
      </w:r>
      <w:proofErr w:type="spellStart"/>
      <w:r w:rsidRPr="00533E2A">
        <w:rPr>
          <w:rFonts w:asciiTheme="minorHAnsi" w:hAnsiTheme="minorHAnsi" w:cstheme="minorHAnsi"/>
          <w:i/>
          <w:color w:val="231F20"/>
          <w:w w:val="110"/>
          <w:sz w:val="18"/>
        </w:rPr>
        <w:t>defence</w:t>
      </w:r>
      <w:proofErr w:type="spellEnd"/>
      <w:r w:rsidRPr="00533E2A">
        <w:rPr>
          <w:rFonts w:asciiTheme="minorHAnsi" w:hAnsiTheme="minorHAnsi" w:cstheme="minorHAnsi"/>
          <w:i/>
          <w:color w:val="231F20"/>
          <w:w w:val="110"/>
          <w:sz w:val="18"/>
        </w:rPr>
        <w:t xml:space="preserve"> available </w:t>
      </w:r>
      <w:r w:rsidRPr="00533E2A">
        <w:rPr>
          <w:rFonts w:asciiTheme="minorHAnsi" w:hAnsiTheme="minorHAnsi" w:cstheme="minorHAnsi"/>
          <w:i/>
          <w:color w:val="231F20"/>
          <w:sz w:val="18"/>
        </w:rPr>
        <w:t xml:space="preserve">under the Criminal Code section 122.5(5) should be extended </w:t>
      </w:r>
      <w:r w:rsidRPr="00533E2A">
        <w:rPr>
          <w:rFonts w:asciiTheme="minorHAnsi" w:hAnsiTheme="minorHAnsi" w:cstheme="minorHAnsi"/>
          <w:i/>
          <w:color w:val="231F20"/>
          <w:w w:val="110"/>
          <w:sz w:val="18"/>
        </w:rPr>
        <w:t>to</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cover</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information</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communicated</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to</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a</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Royal</w:t>
      </w:r>
      <w:r w:rsidRPr="00533E2A">
        <w:rPr>
          <w:rFonts w:asciiTheme="minorHAnsi" w:hAnsiTheme="minorHAnsi" w:cstheme="minorHAnsi"/>
          <w:i/>
          <w:color w:val="231F20"/>
          <w:spacing w:val="-17"/>
          <w:w w:val="110"/>
          <w:sz w:val="18"/>
        </w:rPr>
        <w:t xml:space="preserve"> </w:t>
      </w:r>
      <w:r w:rsidRPr="00533E2A">
        <w:rPr>
          <w:rFonts w:asciiTheme="minorHAnsi" w:hAnsiTheme="minorHAnsi" w:cstheme="minorHAnsi"/>
          <w:i/>
          <w:color w:val="231F20"/>
          <w:w w:val="110"/>
          <w:sz w:val="18"/>
        </w:rPr>
        <w:t>Commission. A</w:t>
      </w:r>
      <w:r w:rsidRPr="00533E2A">
        <w:rPr>
          <w:rFonts w:asciiTheme="minorHAnsi" w:hAnsiTheme="minorHAnsi" w:cstheme="minorHAnsi"/>
          <w:i/>
          <w:color w:val="231F20"/>
          <w:spacing w:val="-11"/>
          <w:w w:val="110"/>
          <w:sz w:val="18"/>
        </w:rPr>
        <w:t xml:space="preserve"> </w:t>
      </w:r>
      <w:proofErr w:type="spellStart"/>
      <w:r w:rsidRPr="00533E2A">
        <w:rPr>
          <w:rFonts w:asciiTheme="minorHAnsi" w:hAnsiTheme="minorHAnsi" w:cstheme="minorHAnsi"/>
          <w:i/>
          <w:color w:val="231F20"/>
          <w:w w:val="110"/>
          <w:sz w:val="18"/>
        </w:rPr>
        <w:t>defence</w:t>
      </w:r>
      <w:proofErr w:type="spellEnd"/>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to</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other</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secrecy</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offences</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will</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also</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be</w:t>
      </w:r>
      <w:r w:rsidRPr="00533E2A">
        <w:rPr>
          <w:rFonts w:asciiTheme="minorHAnsi" w:hAnsiTheme="minorHAnsi" w:cstheme="minorHAnsi"/>
          <w:i/>
          <w:color w:val="231F20"/>
          <w:spacing w:val="-11"/>
          <w:w w:val="110"/>
          <w:sz w:val="18"/>
        </w:rPr>
        <w:t xml:space="preserve"> </w:t>
      </w:r>
      <w:r w:rsidRPr="00533E2A">
        <w:rPr>
          <w:rFonts w:asciiTheme="minorHAnsi" w:hAnsiTheme="minorHAnsi" w:cstheme="minorHAnsi"/>
          <w:i/>
          <w:color w:val="231F20"/>
          <w:w w:val="110"/>
          <w:sz w:val="18"/>
        </w:rPr>
        <w:t>needed.</w:t>
      </w:r>
    </w:p>
    <w:p w14:paraId="61A390DA" w14:textId="77777777" w:rsidR="00BF0B31" w:rsidRPr="00533E2A" w:rsidRDefault="00D771DC" w:rsidP="001F4398">
      <w:pPr>
        <w:pStyle w:val="Heading1"/>
        <w:ind w:firstLine="720"/>
      </w:pPr>
      <w:bookmarkStart w:id="83" w:name="_Toc129709864"/>
      <w:bookmarkStart w:id="84" w:name="_Toc129710822"/>
      <w:bookmarkStart w:id="85" w:name="_Toc130218795"/>
      <w:bookmarkStart w:id="86" w:name="_Toc130226885"/>
      <w:bookmarkStart w:id="87" w:name="_Toc130307402"/>
      <w:bookmarkStart w:id="88" w:name="_Toc130307609"/>
      <w:bookmarkStart w:id="89" w:name="_Toc130307693"/>
      <w:bookmarkStart w:id="90" w:name="_Toc130310326"/>
      <w:bookmarkStart w:id="91" w:name="_Toc130311738"/>
      <w:bookmarkStart w:id="92" w:name="_Toc130312383"/>
      <w:bookmarkStart w:id="93" w:name="_Toc130465890"/>
      <w:r w:rsidRPr="00533E2A">
        <w:t>Scope of the Review</w:t>
      </w:r>
      <w:bookmarkEnd w:id="83"/>
      <w:bookmarkEnd w:id="84"/>
      <w:bookmarkEnd w:id="85"/>
      <w:bookmarkEnd w:id="86"/>
      <w:bookmarkEnd w:id="87"/>
      <w:bookmarkEnd w:id="88"/>
      <w:bookmarkEnd w:id="89"/>
      <w:bookmarkEnd w:id="90"/>
      <w:bookmarkEnd w:id="91"/>
      <w:bookmarkEnd w:id="92"/>
      <w:bookmarkEnd w:id="93"/>
    </w:p>
    <w:p w14:paraId="5AF8EDAF" w14:textId="77777777" w:rsidR="00BF0B31" w:rsidRPr="00533E2A" w:rsidRDefault="00D771DC">
      <w:pPr>
        <w:pStyle w:val="BodyText"/>
        <w:spacing w:before="218" w:line="309" w:lineRule="auto"/>
        <w:ind w:left="850" w:right="494"/>
        <w:rPr>
          <w:rFonts w:asciiTheme="minorHAnsi" w:hAnsiTheme="minorHAnsi" w:cstheme="minorHAnsi"/>
          <w:sz w:val="18"/>
        </w:rPr>
      </w:pPr>
      <w:r w:rsidRPr="00533E2A">
        <w:rPr>
          <w:rFonts w:asciiTheme="minorHAnsi" w:hAnsiTheme="minorHAnsi" w:cstheme="minorHAnsi"/>
          <w:color w:val="231F20"/>
          <w:sz w:val="18"/>
        </w:rPr>
        <w:t xml:space="preserve">Having regard to the context set out above, the </w:t>
      </w:r>
      <w:r w:rsidRPr="00533E2A">
        <w:rPr>
          <w:rFonts w:asciiTheme="minorHAnsi" w:hAnsiTheme="minorHAnsi" w:cstheme="minorHAnsi"/>
          <w:color w:val="231F20"/>
          <w:spacing w:val="-2"/>
          <w:sz w:val="18"/>
        </w:rPr>
        <w:t>Attorney-General’s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Department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will</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conduct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an</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 xml:space="preserve">inquiry </w:t>
      </w:r>
      <w:r w:rsidRPr="00533E2A">
        <w:rPr>
          <w:rFonts w:asciiTheme="minorHAnsi" w:hAnsiTheme="minorHAnsi" w:cstheme="minorHAnsi"/>
          <w:color w:val="231F20"/>
          <w:sz w:val="18"/>
        </w:rPr>
        <w:t>and report on:</w:t>
      </w:r>
    </w:p>
    <w:p w14:paraId="1AC34165" w14:textId="77777777" w:rsidR="00BF0B31" w:rsidRPr="00533E2A" w:rsidRDefault="00D771DC">
      <w:pPr>
        <w:pStyle w:val="ListParagraph"/>
        <w:numPr>
          <w:ilvl w:val="0"/>
          <w:numId w:val="2"/>
        </w:numPr>
        <w:tabs>
          <w:tab w:val="left" w:pos="1190"/>
          <w:tab w:val="left" w:pos="1191"/>
        </w:tabs>
        <w:spacing w:line="307" w:lineRule="auto"/>
        <w:rPr>
          <w:rFonts w:asciiTheme="minorHAnsi" w:hAnsiTheme="minorHAnsi" w:cstheme="minorHAnsi"/>
          <w:sz w:val="18"/>
        </w:rPr>
      </w:pPr>
      <w:r w:rsidRPr="00533E2A">
        <w:rPr>
          <w:rFonts w:asciiTheme="minorHAnsi" w:hAnsiTheme="minorHAnsi" w:cstheme="minorHAnsi"/>
          <w:color w:val="231F20"/>
          <w:sz w:val="18"/>
        </w:rPr>
        <w:t>any specific secrecy offences in Commonwealth legislation</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that</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are</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no</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longer</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required</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in</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light</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 xml:space="preserve">the </w:t>
      </w:r>
      <w:r w:rsidRPr="00533E2A">
        <w:rPr>
          <w:rFonts w:asciiTheme="minorHAnsi" w:hAnsiTheme="minorHAnsi" w:cstheme="minorHAnsi"/>
          <w:color w:val="231F20"/>
          <w:spacing w:val="-4"/>
          <w:sz w:val="18"/>
        </w:rPr>
        <w:t>introduction</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of</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the</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general</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secrecy</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offences</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in</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the</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EFI</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4"/>
          <w:sz w:val="18"/>
        </w:rPr>
        <w:t>Act;</w:t>
      </w:r>
    </w:p>
    <w:p w14:paraId="4FB08BF8" w14:textId="77777777" w:rsidR="00BF0B31" w:rsidRPr="00533E2A" w:rsidRDefault="00D771DC">
      <w:pPr>
        <w:pStyle w:val="ListParagraph"/>
        <w:numPr>
          <w:ilvl w:val="0"/>
          <w:numId w:val="2"/>
        </w:numPr>
        <w:tabs>
          <w:tab w:val="left" w:pos="1190"/>
          <w:tab w:val="left" w:pos="1191"/>
        </w:tabs>
        <w:spacing w:before="47" w:line="307" w:lineRule="auto"/>
        <w:ind w:right="313"/>
        <w:rPr>
          <w:rFonts w:asciiTheme="minorHAnsi" w:hAnsiTheme="minorHAnsi" w:cstheme="minorHAnsi"/>
          <w:sz w:val="18"/>
        </w:rPr>
      </w:pPr>
      <w:r w:rsidRPr="00533E2A">
        <w:rPr>
          <w:rFonts w:asciiTheme="minorHAnsi" w:hAnsiTheme="minorHAnsi" w:cstheme="minorHAnsi"/>
          <w:color w:val="231F20"/>
          <w:sz w:val="18"/>
        </w:rPr>
        <w:t>the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suitability</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appropriate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framing</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general and specific secrecy offences in Commonwealth legislation, having particular regard to:</w:t>
      </w:r>
    </w:p>
    <w:p w14:paraId="42F67F7C" w14:textId="77777777" w:rsidR="00BF0B31" w:rsidRPr="00533E2A" w:rsidRDefault="00D771DC">
      <w:pPr>
        <w:pStyle w:val="ListParagraph"/>
        <w:numPr>
          <w:ilvl w:val="1"/>
          <w:numId w:val="2"/>
        </w:numPr>
        <w:tabs>
          <w:tab w:val="left" w:pos="1530"/>
          <w:tab w:val="left" w:pos="1531"/>
        </w:tabs>
        <w:spacing w:before="103" w:line="307" w:lineRule="auto"/>
        <w:ind w:right="153"/>
        <w:rPr>
          <w:rFonts w:asciiTheme="minorHAnsi" w:hAnsiTheme="minorHAnsi" w:cstheme="minorHAnsi"/>
          <w:sz w:val="18"/>
        </w:rPr>
      </w:pP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principles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outlined</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in</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ALRC’s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report</w:t>
      </w:r>
      <w:r w:rsidRPr="00533E2A">
        <w:rPr>
          <w:rFonts w:asciiTheme="minorHAnsi" w:hAnsiTheme="minorHAnsi" w:cstheme="minorHAnsi"/>
          <w:color w:val="231F20"/>
          <w:spacing w:val="-15"/>
          <w:sz w:val="18"/>
        </w:rPr>
        <w:t xml:space="preserve"> </w:t>
      </w:r>
      <w:r w:rsidRPr="00533E2A">
        <w:rPr>
          <w:rFonts w:asciiTheme="minorHAnsi" w:hAnsiTheme="minorHAnsi" w:cstheme="minorHAnsi"/>
          <w:i/>
          <w:color w:val="231F20"/>
          <w:spacing w:val="-2"/>
          <w:sz w:val="18"/>
        </w:rPr>
        <w:t xml:space="preserve">Secrecy </w:t>
      </w:r>
      <w:r w:rsidRPr="00533E2A">
        <w:rPr>
          <w:rFonts w:asciiTheme="minorHAnsi" w:hAnsiTheme="minorHAnsi" w:cstheme="minorHAnsi"/>
          <w:i/>
          <w:color w:val="231F20"/>
          <w:w w:val="105"/>
          <w:sz w:val="18"/>
        </w:rPr>
        <w:t>Laws and Open Government in Australia</w:t>
      </w:r>
      <w:r w:rsidRPr="00533E2A">
        <w:rPr>
          <w:rFonts w:asciiTheme="minorHAnsi" w:hAnsiTheme="minorHAnsi" w:cstheme="minorHAnsi"/>
          <w:color w:val="231F20"/>
          <w:w w:val="105"/>
          <w:sz w:val="18"/>
        </w:rPr>
        <w:t>; and</w:t>
      </w:r>
    </w:p>
    <w:p w14:paraId="0585A273" w14:textId="77777777" w:rsidR="00BF0B31" w:rsidRPr="00533E2A" w:rsidRDefault="00D771DC">
      <w:pPr>
        <w:pStyle w:val="ListParagraph"/>
        <w:numPr>
          <w:ilvl w:val="1"/>
          <w:numId w:val="2"/>
        </w:numPr>
        <w:tabs>
          <w:tab w:val="left" w:pos="1530"/>
          <w:tab w:val="left" w:pos="1531"/>
        </w:tabs>
        <w:spacing w:line="309" w:lineRule="auto"/>
        <w:ind w:right="310"/>
        <w:rPr>
          <w:rFonts w:asciiTheme="minorHAnsi" w:hAnsiTheme="minorHAnsi" w:cstheme="minorHAnsi"/>
          <w:sz w:val="18"/>
        </w:rPr>
      </w:pPr>
      <w:r w:rsidRPr="00533E2A">
        <w:rPr>
          <w:rFonts w:asciiTheme="minorHAnsi" w:hAnsiTheme="minorHAnsi" w:cstheme="minorHAnsi"/>
          <w:color w:val="231F20"/>
          <w:spacing w:val="-4"/>
          <w:sz w:val="18"/>
        </w:rPr>
        <w:t>other</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relevant</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principles,</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including</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but</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not</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pacing w:val="-4"/>
          <w:sz w:val="18"/>
        </w:rPr>
        <w:t xml:space="preserve">limited </w:t>
      </w:r>
      <w:r w:rsidRPr="00533E2A">
        <w:rPr>
          <w:rFonts w:asciiTheme="minorHAnsi" w:hAnsiTheme="minorHAnsi" w:cstheme="minorHAnsi"/>
          <w:color w:val="231F20"/>
          <w:sz w:val="18"/>
        </w:rPr>
        <w:t xml:space="preserve">to those set out in the </w:t>
      </w:r>
      <w:r w:rsidRPr="00533E2A">
        <w:rPr>
          <w:rFonts w:asciiTheme="minorHAnsi" w:hAnsiTheme="minorHAnsi" w:cstheme="minorHAnsi"/>
          <w:i/>
          <w:color w:val="231F20"/>
          <w:sz w:val="18"/>
        </w:rPr>
        <w:t>Guide to Framing Commonwealth Offences, Infringement Notices</w:t>
      </w:r>
      <w:r w:rsidRPr="00533E2A">
        <w:rPr>
          <w:rFonts w:asciiTheme="minorHAnsi" w:hAnsiTheme="minorHAnsi" w:cstheme="minorHAnsi"/>
          <w:i/>
          <w:color w:val="231F20"/>
          <w:spacing w:val="40"/>
          <w:sz w:val="18"/>
        </w:rPr>
        <w:t xml:space="preserve"> </w:t>
      </w:r>
      <w:r w:rsidRPr="00533E2A">
        <w:rPr>
          <w:rFonts w:asciiTheme="minorHAnsi" w:hAnsiTheme="minorHAnsi" w:cstheme="minorHAnsi"/>
          <w:i/>
          <w:color w:val="231F20"/>
          <w:sz w:val="18"/>
        </w:rPr>
        <w:t>and Enforcement Powers</w:t>
      </w:r>
      <w:r w:rsidRPr="00533E2A">
        <w:rPr>
          <w:rFonts w:asciiTheme="minorHAnsi" w:hAnsiTheme="minorHAnsi" w:cstheme="minorHAnsi"/>
          <w:color w:val="231F20"/>
          <w:sz w:val="18"/>
        </w:rPr>
        <w:t>;</w:t>
      </w:r>
    </w:p>
    <w:p w14:paraId="72B5C68E" w14:textId="77777777" w:rsidR="00BF0B31" w:rsidRPr="00533E2A" w:rsidRDefault="00D771DC">
      <w:pPr>
        <w:pStyle w:val="ListParagraph"/>
        <w:numPr>
          <w:ilvl w:val="0"/>
          <w:numId w:val="2"/>
        </w:numPr>
        <w:tabs>
          <w:tab w:val="left" w:pos="1190"/>
          <w:tab w:val="left" w:pos="1191"/>
        </w:tabs>
        <w:spacing w:before="97" w:line="309" w:lineRule="auto"/>
        <w:ind w:right="28"/>
        <w:rPr>
          <w:rFonts w:asciiTheme="minorHAnsi" w:hAnsiTheme="minorHAnsi" w:cstheme="minorHAnsi"/>
          <w:sz w:val="18"/>
        </w:rPr>
      </w:pPr>
      <w:r w:rsidRPr="00533E2A">
        <w:rPr>
          <w:rFonts w:asciiTheme="minorHAnsi" w:hAnsiTheme="minorHAnsi" w:cstheme="minorHAnsi"/>
          <w:color w:val="231F20"/>
          <w:sz w:val="18"/>
        </w:rPr>
        <w:t>any amendments to general and specific secrecy offences in Commonwealth legislation that are necessary</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to</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adequately</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protect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individuals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who</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provide information to Royal Commissions (balanced against other essential public interests); and</w:t>
      </w:r>
    </w:p>
    <w:p w14:paraId="428F18F1" w14:textId="77777777" w:rsidR="00BF0B31" w:rsidRPr="00533E2A" w:rsidRDefault="00D771DC">
      <w:pPr>
        <w:pStyle w:val="ListParagraph"/>
        <w:numPr>
          <w:ilvl w:val="0"/>
          <w:numId w:val="2"/>
        </w:numPr>
        <w:tabs>
          <w:tab w:val="left" w:pos="1190"/>
          <w:tab w:val="left" w:pos="1191"/>
        </w:tabs>
        <w:spacing w:before="42" w:line="307" w:lineRule="auto"/>
        <w:ind w:right="438"/>
        <w:rPr>
          <w:rFonts w:asciiTheme="minorHAnsi" w:hAnsiTheme="minorHAnsi" w:cstheme="minorHAnsi"/>
          <w:sz w:val="18"/>
        </w:rPr>
      </w:pPr>
      <w:r w:rsidRPr="00533E2A">
        <w:rPr>
          <w:rFonts w:asciiTheme="minorHAnsi" w:hAnsiTheme="minorHAnsi" w:cstheme="minorHAnsi"/>
          <w:color w:val="231F20"/>
          <w:sz w:val="18"/>
        </w:rPr>
        <w:t>any amendments that are necessary to adequately protect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public</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interest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journalism</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(balanced</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against other essential public interests).</w:t>
      </w:r>
    </w:p>
    <w:p w14:paraId="06BCAA00" w14:textId="77777777" w:rsidR="00BF0B31" w:rsidRPr="00533E2A" w:rsidRDefault="002B574B">
      <w:pPr>
        <w:pStyle w:val="BodyText"/>
        <w:spacing w:before="62" w:line="309" w:lineRule="auto"/>
        <w:ind w:left="850" w:right="149"/>
        <w:rPr>
          <w:rFonts w:asciiTheme="minorHAnsi" w:hAnsiTheme="minorHAnsi" w:cstheme="minorHAnsi"/>
          <w:sz w:val="18"/>
        </w:rPr>
      </w:pPr>
      <w:r w:rsidRPr="00533E2A">
        <w:rPr>
          <w:rFonts w:asciiTheme="minorHAnsi" w:hAnsiTheme="minorHAnsi" w:cstheme="minorHAnsi"/>
          <w:noProof/>
          <w:sz w:val="18"/>
        </w:rPr>
        <mc:AlternateContent>
          <mc:Choice Requires="wps">
            <w:drawing>
              <wp:anchor distT="0" distB="0" distL="114300" distR="114300" simplePos="0" relativeHeight="15730176" behindDoc="0" locked="0" layoutInCell="1" allowOverlap="1" wp14:anchorId="13449CD6" wp14:editId="4A416C46">
                <wp:simplePos x="0" y="0"/>
                <wp:positionH relativeFrom="page">
                  <wp:posOffset>7312660</wp:posOffset>
                </wp:positionH>
                <wp:positionV relativeFrom="paragraph">
                  <wp:posOffset>1049655</wp:posOffset>
                </wp:positionV>
                <wp:extent cx="146050" cy="71437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BEF3" w14:textId="77777777" w:rsidR="00BD6A1E" w:rsidRDefault="00BD6A1E">
                            <w:pPr>
                              <w:spacing w:before="21"/>
                              <w:ind w:left="20"/>
                              <w:rPr>
                                <w:sz w:val="16"/>
                              </w:rPr>
                            </w:pPr>
                            <w:r>
                              <w:rPr>
                                <w:color w:val="231F20"/>
                                <w:sz w:val="16"/>
                              </w:rPr>
                              <w:t>November</w:t>
                            </w:r>
                            <w:r>
                              <w:rPr>
                                <w:color w:val="231F20"/>
                                <w:spacing w:val="8"/>
                                <w:sz w:val="16"/>
                              </w:rPr>
                              <w:t xml:space="preserve"> </w:t>
                            </w:r>
                            <w:r>
                              <w:rPr>
                                <w:color w:val="231F20"/>
                                <w:spacing w:val="-4"/>
                                <w:sz w:val="16"/>
                              </w:rPr>
                              <w:t>2022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9CD6" id="docshape33" o:spid="_x0000_s1027" type="#_x0000_t202" style="position:absolute;left:0;text-align:left;margin-left:575.8pt;margin-top:82.65pt;width:11.5pt;height:56.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Z5rwIAALMFAAAOAAAAZHJzL2Uyb0RvYy54bWysVNtu2zAMfR+wfxD07voS52KjTtHG8TCg&#10;uwDdPkCR5ViYLXmSErsY9u+j5DhNWwwYtvlBoCXqkIc84vXN0DboyJTmUmQ4vAowYoLKkot9hr9+&#10;KbwVRtoQUZJGCpbhR6bxzfrtm+u+S1kka9mUTCEAETrtuwzXxnSp72tas5boK9kxAYeVVC0x8Kv2&#10;fqlID+ht40dBsPB7qcpOScq0ht18PMRrh19VjJpPVaWZQU2GITfjVuXWnV399TVJ94p0NaenNMhf&#10;ZNESLiDoGSonhqCD4q+gWk6V1LIyV1S2vqwqTpnjAGzC4AWbh5p0zHGB4ujuXCb9/2Dpx+NnhXgJ&#10;vYswEqSFHpWSaht5NrPl6TudgtdDB35muJMDuDqquruX9JtGQm5qIvbsVinZ14yUkF5ob/oXV0cc&#10;bUF2/QdZQhhyMNIBDZVqbe2gGgjQoU2P59awwSBqQ8aLYA4nFI6WYTxbzl0Ekk6XO6XNOyZbZI0M&#10;K+i8AyfHe21sMiSdXGwsIQveNK77jXi2AY7jDoSGq/bMJuGa+SMJku1qu4q9OFpsvTjIc++22MTe&#10;ogiX83yWbzZ5+NPGDeO05mXJhA0zCSuM/6xxJ4mPkjhLS8uGlxbOpqTVfrdpFDoSEHbhvlNBLtz8&#10;52m4IgCXF5TCKA7uosQrFqulFxfx3EuWwcoLwuQuWQRxEufFc0r3XLB/p4T6DCfzaD5q6bfcAve9&#10;5kbSlhsYHQ1vM7w6O5HUKnArStdaQ3gz2helsOk/lQLaPTXa6dVKdBSrGXbD+DJsdKvlnSwfQcBK&#10;gsBAizD2wLBrtITfHqZIhvX3A1EMo+a9gHcA22Yy1GTsJoMIWksYRgaj0dyYcTQdOsX3NYCPL03I&#10;W3grFXc6fkrk9MJgMjg6pylmR8/lv/N6mrXrXwAAAP//AwBQSwMEFAAGAAgAAAAhAHx5uk7gAAAA&#10;DQEAAA8AAABkcnMvZG93bnJldi54bWxMj8FugzAQRO+V+g/WVuqtMYRiIoqJKqSot0hN8wEOuBjF&#10;XlPsBPL33Zza287uaPZNtV2cZVc9hcGjhHSVANPY+m7AXsLxa/eyARaiwk5Zj1rCTQfY1o8PlSo7&#10;P+Onvh5izygEQ6kkmBjHkvPQGu1UWPlRI92+/eRUJDn1vJvUTOHO8nWSCO7UgPTBqFE3Rrfnw8VJ&#10;2N+4mTOXH9umEXuR/ezU+cNK+fy0vL8Bi3qJf2a44xM61MR08hfsArOk0zwV5KVJ5BmwuyUtXml1&#10;krAuig3wuuL/W9S/AAAA//8DAFBLAQItABQABgAIAAAAIQC2gziS/gAAAOEBAAATAAAAAAAAAAAA&#10;AAAAAAAAAABbQ29udGVudF9UeXBlc10ueG1sUEsBAi0AFAAGAAgAAAAhADj9If/WAAAAlAEAAAsA&#10;AAAAAAAAAAAAAAAALwEAAF9yZWxzLy5yZWxzUEsBAi0AFAAGAAgAAAAhAIbdZnmvAgAAswUAAA4A&#10;AAAAAAAAAAAAAAAALgIAAGRycy9lMm9Eb2MueG1sUEsBAi0AFAAGAAgAAAAhAHx5uk7gAAAADQEA&#10;AA8AAAAAAAAAAAAAAAAACQUAAGRycy9kb3ducmV2LnhtbFBLBQYAAAAABAAEAPMAAAAWBgAAAAA=&#10;" filled="f" stroked="f">
                <v:textbox style="layout-flow:vertical;mso-layout-flow-alt:bottom-to-top" inset="0,0,0,0">
                  <w:txbxContent>
                    <w:p w14:paraId="0A09BEF3" w14:textId="77777777" w:rsidR="00BD6A1E" w:rsidRDefault="00BD6A1E">
                      <w:pPr>
                        <w:spacing w:before="21"/>
                        <w:ind w:left="20"/>
                        <w:rPr>
                          <w:sz w:val="16"/>
                        </w:rPr>
                      </w:pPr>
                      <w:r>
                        <w:rPr>
                          <w:color w:val="231F20"/>
                          <w:sz w:val="16"/>
                        </w:rPr>
                        <w:t>November</w:t>
                      </w:r>
                      <w:r>
                        <w:rPr>
                          <w:color w:val="231F20"/>
                          <w:spacing w:val="8"/>
                          <w:sz w:val="16"/>
                        </w:rPr>
                        <w:t xml:space="preserve"> </w:t>
                      </w:r>
                      <w:r>
                        <w:rPr>
                          <w:color w:val="231F20"/>
                          <w:spacing w:val="-4"/>
                          <w:sz w:val="16"/>
                        </w:rPr>
                        <w:t>2022</w:t>
                      </w:r>
                    </w:p>
                  </w:txbxContent>
                </v:textbox>
                <w10:wrap anchorx="page"/>
              </v:shape>
            </w:pict>
          </mc:Fallback>
        </mc:AlternateContent>
      </w:r>
      <w:r w:rsidR="00D771DC" w:rsidRPr="00533E2A">
        <w:rPr>
          <w:rFonts w:asciiTheme="minorHAnsi" w:hAnsiTheme="minorHAnsi" w:cstheme="minorHAnsi"/>
          <w:color w:val="231F20"/>
          <w:sz w:val="18"/>
        </w:rPr>
        <w:t>The</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Department’s</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inquiry</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and</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report</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should</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not</w:t>
      </w:r>
      <w:r w:rsidR="00D771DC" w:rsidRPr="00533E2A">
        <w:rPr>
          <w:rFonts w:asciiTheme="minorHAnsi" w:hAnsiTheme="minorHAnsi" w:cstheme="minorHAnsi"/>
          <w:color w:val="231F20"/>
          <w:spacing w:val="-9"/>
          <w:sz w:val="18"/>
        </w:rPr>
        <w:t xml:space="preserve"> </w:t>
      </w:r>
      <w:r w:rsidR="00D771DC" w:rsidRPr="00533E2A">
        <w:rPr>
          <w:rFonts w:asciiTheme="minorHAnsi" w:hAnsiTheme="minorHAnsi" w:cstheme="minorHAnsi"/>
          <w:color w:val="231F20"/>
          <w:sz w:val="18"/>
        </w:rPr>
        <w:t xml:space="preserve">include </w:t>
      </w:r>
      <w:r w:rsidR="00D771DC" w:rsidRPr="00533E2A">
        <w:rPr>
          <w:rFonts w:asciiTheme="minorHAnsi" w:hAnsiTheme="minorHAnsi" w:cstheme="minorHAnsi"/>
          <w:color w:val="231F20"/>
          <w:spacing w:val="-2"/>
          <w:sz w:val="18"/>
        </w:rPr>
        <w:t>recommendations</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for</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amendments</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to</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the</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secrecy</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offences in</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the</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NSI</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Act,</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noting</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that</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the</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INSLM</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is</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likely</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to</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complete</w:t>
      </w:r>
      <w:r w:rsidR="00D771DC" w:rsidRPr="00533E2A">
        <w:rPr>
          <w:rFonts w:asciiTheme="minorHAnsi" w:hAnsiTheme="minorHAnsi" w:cstheme="minorHAnsi"/>
          <w:color w:val="231F20"/>
          <w:spacing w:val="-16"/>
          <w:sz w:val="18"/>
        </w:rPr>
        <w:t xml:space="preserve"> </w:t>
      </w:r>
      <w:r w:rsidR="00D771DC" w:rsidRPr="00533E2A">
        <w:rPr>
          <w:rFonts w:asciiTheme="minorHAnsi" w:hAnsiTheme="minorHAnsi" w:cstheme="minorHAnsi"/>
          <w:color w:val="231F20"/>
          <w:spacing w:val="-2"/>
          <w:sz w:val="18"/>
        </w:rPr>
        <w:t xml:space="preserve">a </w:t>
      </w:r>
      <w:r w:rsidR="00D771DC" w:rsidRPr="00533E2A">
        <w:rPr>
          <w:rFonts w:asciiTheme="minorHAnsi" w:hAnsiTheme="minorHAnsi" w:cstheme="minorHAnsi"/>
          <w:color w:val="231F20"/>
          <w:sz w:val="18"/>
        </w:rPr>
        <w:t>review</w:t>
      </w:r>
      <w:r w:rsidR="00D771DC" w:rsidRPr="00533E2A">
        <w:rPr>
          <w:rFonts w:asciiTheme="minorHAnsi" w:hAnsiTheme="minorHAnsi" w:cstheme="minorHAnsi"/>
          <w:color w:val="231F20"/>
          <w:spacing w:val="-6"/>
          <w:sz w:val="18"/>
        </w:rPr>
        <w:t xml:space="preserve"> </w:t>
      </w:r>
      <w:r w:rsidR="00D771DC" w:rsidRPr="00533E2A">
        <w:rPr>
          <w:rFonts w:asciiTheme="minorHAnsi" w:hAnsiTheme="minorHAnsi" w:cstheme="minorHAnsi"/>
          <w:color w:val="231F20"/>
          <w:sz w:val="18"/>
        </w:rPr>
        <w:t>of</w:t>
      </w:r>
      <w:r w:rsidR="00D771DC" w:rsidRPr="00533E2A">
        <w:rPr>
          <w:rFonts w:asciiTheme="minorHAnsi" w:hAnsiTheme="minorHAnsi" w:cstheme="minorHAnsi"/>
          <w:color w:val="231F20"/>
          <w:spacing w:val="-6"/>
          <w:sz w:val="18"/>
        </w:rPr>
        <w:t xml:space="preserve"> </w:t>
      </w:r>
      <w:r w:rsidR="00D771DC" w:rsidRPr="00533E2A">
        <w:rPr>
          <w:rFonts w:asciiTheme="minorHAnsi" w:hAnsiTheme="minorHAnsi" w:cstheme="minorHAnsi"/>
          <w:color w:val="231F20"/>
          <w:sz w:val="18"/>
        </w:rPr>
        <w:t>those</w:t>
      </w:r>
      <w:r w:rsidR="00D771DC" w:rsidRPr="00533E2A">
        <w:rPr>
          <w:rFonts w:asciiTheme="minorHAnsi" w:hAnsiTheme="minorHAnsi" w:cstheme="minorHAnsi"/>
          <w:color w:val="231F20"/>
          <w:spacing w:val="-6"/>
          <w:sz w:val="18"/>
        </w:rPr>
        <w:t xml:space="preserve"> </w:t>
      </w:r>
      <w:r w:rsidR="00D771DC" w:rsidRPr="00533E2A">
        <w:rPr>
          <w:rFonts w:asciiTheme="minorHAnsi" w:hAnsiTheme="minorHAnsi" w:cstheme="minorHAnsi"/>
          <w:color w:val="231F20"/>
          <w:sz w:val="18"/>
        </w:rPr>
        <w:t>provisions</w:t>
      </w:r>
      <w:r w:rsidR="00D771DC" w:rsidRPr="00533E2A">
        <w:rPr>
          <w:rFonts w:asciiTheme="minorHAnsi" w:hAnsiTheme="minorHAnsi" w:cstheme="minorHAnsi"/>
          <w:color w:val="231F20"/>
          <w:spacing w:val="-6"/>
          <w:sz w:val="18"/>
        </w:rPr>
        <w:t xml:space="preserve"> </w:t>
      </w:r>
      <w:r w:rsidR="00D771DC" w:rsidRPr="00533E2A">
        <w:rPr>
          <w:rFonts w:asciiTheme="minorHAnsi" w:hAnsiTheme="minorHAnsi" w:cstheme="minorHAnsi"/>
          <w:color w:val="231F20"/>
          <w:sz w:val="18"/>
        </w:rPr>
        <w:t>in</w:t>
      </w:r>
      <w:r w:rsidR="00D771DC" w:rsidRPr="00533E2A">
        <w:rPr>
          <w:rFonts w:asciiTheme="minorHAnsi" w:hAnsiTheme="minorHAnsi" w:cstheme="minorHAnsi"/>
          <w:color w:val="231F20"/>
          <w:spacing w:val="-6"/>
          <w:sz w:val="18"/>
        </w:rPr>
        <w:t xml:space="preserve"> </w:t>
      </w:r>
      <w:r w:rsidR="00D771DC" w:rsidRPr="00533E2A">
        <w:rPr>
          <w:rFonts w:asciiTheme="minorHAnsi" w:hAnsiTheme="minorHAnsi" w:cstheme="minorHAnsi"/>
          <w:color w:val="231F20"/>
          <w:sz w:val="18"/>
        </w:rPr>
        <w:t>2023.</w:t>
      </w:r>
    </w:p>
    <w:p w14:paraId="0ED26A51" w14:textId="77777777" w:rsidR="002B574B" w:rsidRPr="00533E2A" w:rsidRDefault="002B574B">
      <w:pPr>
        <w:pStyle w:val="BodyText"/>
        <w:spacing w:before="101" w:line="309" w:lineRule="auto"/>
        <w:ind w:left="430" w:right="948"/>
        <w:rPr>
          <w:rFonts w:asciiTheme="minorHAnsi" w:hAnsiTheme="minorHAnsi" w:cstheme="minorHAnsi"/>
          <w:sz w:val="18"/>
        </w:rPr>
      </w:pPr>
    </w:p>
    <w:p w14:paraId="39454E43" w14:textId="77777777" w:rsidR="00BF0B31" w:rsidRPr="00533E2A" w:rsidRDefault="00D771DC">
      <w:pPr>
        <w:pStyle w:val="BodyText"/>
        <w:spacing w:before="101" w:line="309" w:lineRule="auto"/>
        <w:ind w:left="430" w:right="948"/>
        <w:rPr>
          <w:rFonts w:asciiTheme="minorHAnsi" w:hAnsiTheme="minorHAnsi" w:cstheme="minorHAnsi"/>
          <w:sz w:val="18"/>
        </w:rPr>
      </w:pPr>
      <w:r w:rsidRPr="00533E2A">
        <w:rPr>
          <w:rFonts w:asciiTheme="minorHAnsi" w:hAnsiTheme="minorHAnsi" w:cstheme="minorHAnsi"/>
          <w:sz w:val="18"/>
        </w:rPr>
        <w:br w:type="column"/>
      </w:r>
      <w:r w:rsidRPr="00533E2A">
        <w:rPr>
          <w:rFonts w:asciiTheme="minorHAnsi" w:hAnsiTheme="minorHAnsi" w:cstheme="minorHAnsi"/>
          <w:color w:val="231F20"/>
          <w:sz w:val="18"/>
        </w:rPr>
        <w:t>The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Department’s</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report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should</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identify</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have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regard</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 xml:space="preserve">to </w:t>
      </w:r>
      <w:r w:rsidRPr="00533E2A">
        <w:rPr>
          <w:rFonts w:asciiTheme="minorHAnsi" w:hAnsiTheme="minorHAnsi" w:cstheme="minorHAnsi"/>
          <w:color w:val="231F20"/>
          <w:spacing w:val="-2"/>
          <w:sz w:val="18"/>
        </w:rPr>
        <w:t>existing</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reports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and</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inquiries,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including</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but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not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limited</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to</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the INSLM’s</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report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on</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impact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on</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journalists</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of</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section</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35P</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pacing w:val="-2"/>
          <w:sz w:val="18"/>
        </w:rPr>
        <w:t xml:space="preserve">of </w:t>
      </w:r>
      <w:r w:rsidRPr="00533E2A">
        <w:rPr>
          <w:rFonts w:asciiTheme="minorHAnsi" w:hAnsiTheme="minorHAnsi" w:cstheme="minorHAnsi"/>
          <w:color w:val="231F20"/>
          <w:sz w:val="18"/>
        </w:rPr>
        <w:t>the</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Australian</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Security</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Intelligence</w:t>
      </w:r>
      <w:r w:rsidRPr="00533E2A">
        <w:rPr>
          <w:rFonts w:asciiTheme="minorHAnsi" w:hAnsiTheme="minorHAnsi" w:cstheme="minorHAnsi"/>
          <w:color w:val="231F20"/>
          <w:spacing w:val="-16"/>
          <w:sz w:val="18"/>
        </w:rPr>
        <w:t xml:space="preserve"> </w:t>
      </w:r>
      <w:proofErr w:type="spellStart"/>
      <w:r w:rsidRPr="00533E2A">
        <w:rPr>
          <w:rFonts w:asciiTheme="minorHAnsi" w:hAnsiTheme="minorHAnsi" w:cstheme="minorHAnsi"/>
          <w:color w:val="231F20"/>
          <w:sz w:val="18"/>
        </w:rPr>
        <w:t>Organisation</w:t>
      </w:r>
      <w:proofErr w:type="spellEnd"/>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Act</w:t>
      </w:r>
      <w:r w:rsidRPr="00533E2A">
        <w:rPr>
          <w:rFonts w:asciiTheme="minorHAnsi" w:hAnsiTheme="minorHAnsi" w:cstheme="minorHAnsi"/>
          <w:color w:val="231F20"/>
          <w:spacing w:val="-16"/>
          <w:sz w:val="18"/>
        </w:rPr>
        <w:t xml:space="preserve"> </w:t>
      </w:r>
      <w:r w:rsidRPr="00533E2A">
        <w:rPr>
          <w:rFonts w:asciiTheme="minorHAnsi" w:hAnsiTheme="minorHAnsi" w:cstheme="minorHAnsi"/>
          <w:color w:val="231F20"/>
          <w:sz w:val="18"/>
        </w:rPr>
        <w:t>1979.</w:t>
      </w:r>
    </w:p>
    <w:p w14:paraId="32D839F5" w14:textId="77777777" w:rsidR="00BF0B31" w:rsidRPr="00533E2A" w:rsidRDefault="00D771DC">
      <w:pPr>
        <w:pStyle w:val="BodyText"/>
        <w:spacing w:before="173" w:line="309" w:lineRule="auto"/>
        <w:ind w:left="429" w:right="1208"/>
        <w:rPr>
          <w:rFonts w:asciiTheme="minorHAnsi" w:hAnsiTheme="minorHAnsi" w:cstheme="minorHAnsi"/>
          <w:sz w:val="18"/>
        </w:rPr>
      </w:pPr>
      <w:r w:rsidRPr="00533E2A">
        <w:rPr>
          <w:rFonts w:asciiTheme="minorHAnsi" w:hAnsiTheme="minorHAnsi" w:cstheme="minorHAnsi"/>
          <w:color w:val="231F20"/>
          <w:sz w:val="18"/>
        </w:rPr>
        <w:t>For</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purposes</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this</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document,</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a</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reference</w:t>
      </w:r>
      <w:r w:rsidRPr="00533E2A">
        <w:rPr>
          <w:rFonts w:asciiTheme="minorHAnsi" w:hAnsiTheme="minorHAnsi" w:cstheme="minorHAnsi"/>
          <w:color w:val="231F20"/>
          <w:spacing w:val="-5"/>
          <w:sz w:val="18"/>
        </w:rPr>
        <w:t xml:space="preserve"> </w:t>
      </w:r>
      <w:r w:rsidRPr="00533E2A">
        <w:rPr>
          <w:rFonts w:asciiTheme="minorHAnsi" w:hAnsiTheme="minorHAnsi" w:cstheme="minorHAnsi"/>
          <w:color w:val="231F20"/>
          <w:sz w:val="18"/>
        </w:rPr>
        <w:t xml:space="preserve">to </w:t>
      </w:r>
      <w:r w:rsidRPr="00533E2A">
        <w:rPr>
          <w:rFonts w:asciiTheme="minorHAnsi" w:hAnsiTheme="minorHAnsi" w:cstheme="minorHAnsi"/>
          <w:color w:val="231F20"/>
          <w:spacing w:val="-2"/>
          <w:sz w:val="18"/>
        </w:rPr>
        <w:t>“specific</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secrecy</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offences”</w:t>
      </w:r>
      <w:r w:rsidRPr="00533E2A">
        <w:rPr>
          <w:rFonts w:asciiTheme="minorHAnsi" w:hAnsiTheme="minorHAnsi" w:cstheme="minorHAnsi"/>
          <w:color w:val="231F20"/>
          <w:spacing w:val="-35"/>
          <w:sz w:val="18"/>
        </w:rPr>
        <w:t xml:space="preserve"> </w:t>
      </w:r>
      <w:r w:rsidRPr="00533E2A">
        <w:rPr>
          <w:rFonts w:asciiTheme="minorHAnsi" w:hAnsiTheme="minorHAnsi" w:cstheme="minorHAnsi"/>
          <w:color w:val="231F20"/>
          <w:spacing w:val="-2"/>
          <w:sz w:val="18"/>
        </w:rPr>
        <w:t>includes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a</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reference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to</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 xml:space="preserve">200 </w:t>
      </w:r>
      <w:r w:rsidRPr="00533E2A">
        <w:rPr>
          <w:rFonts w:asciiTheme="minorHAnsi" w:hAnsiTheme="minorHAnsi" w:cstheme="minorHAnsi"/>
          <w:color w:val="231F20"/>
          <w:sz w:val="18"/>
        </w:rPr>
        <w:t>non-disclosure duties that function as specific secrecy</w:t>
      </w:r>
    </w:p>
    <w:p w14:paraId="2C3428C6" w14:textId="77777777" w:rsidR="00BF0B31" w:rsidRPr="00533E2A" w:rsidRDefault="00D771DC">
      <w:pPr>
        <w:pStyle w:val="BodyText"/>
        <w:spacing w:before="23" w:line="331" w:lineRule="auto"/>
        <w:ind w:left="429" w:right="490"/>
        <w:rPr>
          <w:rFonts w:asciiTheme="minorHAnsi" w:hAnsiTheme="minorHAnsi" w:cstheme="minorHAnsi"/>
          <w:sz w:val="18"/>
        </w:rPr>
      </w:pPr>
      <w:r w:rsidRPr="00533E2A">
        <w:rPr>
          <w:rFonts w:asciiTheme="minorHAnsi" w:hAnsiTheme="minorHAnsi" w:cstheme="minorHAnsi"/>
          <w:color w:val="231F20"/>
          <w:sz w:val="18"/>
        </w:rPr>
        <w:t>offences</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because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a</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breach</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these</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duties</w:t>
      </w:r>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is</w:t>
      </w:r>
      <w:r w:rsidRPr="00533E2A">
        <w:rPr>
          <w:rFonts w:asciiTheme="minorHAnsi" w:hAnsiTheme="minorHAnsi" w:cstheme="minorHAnsi"/>
          <w:color w:val="231F20"/>
          <w:spacing w:val="-12"/>
          <w:sz w:val="18"/>
        </w:rPr>
        <w:t xml:space="preserve"> </w:t>
      </w:r>
      <w:proofErr w:type="spellStart"/>
      <w:r w:rsidRPr="00533E2A">
        <w:rPr>
          <w:rFonts w:asciiTheme="minorHAnsi" w:hAnsiTheme="minorHAnsi" w:cstheme="minorHAnsi"/>
          <w:color w:val="231F20"/>
          <w:sz w:val="18"/>
        </w:rPr>
        <w:t>criminalised</w:t>
      </w:r>
      <w:proofErr w:type="spellEnd"/>
      <w:r w:rsidRPr="00533E2A">
        <w:rPr>
          <w:rFonts w:asciiTheme="minorHAnsi" w:hAnsiTheme="minorHAnsi" w:cstheme="minorHAnsi"/>
          <w:color w:val="231F20"/>
          <w:spacing w:val="-12"/>
          <w:sz w:val="18"/>
        </w:rPr>
        <w:t xml:space="preserve"> </w:t>
      </w:r>
      <w:r w:rsidRPr="00533E2A">
        <w:rPr>
          <w:rFonts w:asciiTheme="minorHAnsi" w:hAnsiTheme="minorHAnsi" w:cstheme="minorHAnsi"/>
          <w:color w:val="231F20"/>
          <w:sz w:val="18"/>
        </w:rPr>
        <w:t>by section</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122.4</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Schedule</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to</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Criminal</w:t>
      </w:r>
      <w:r w:rsidRPr="00533E2A">
        <w:rPr>
          <w:rFonts w:asciiTheme="minorHAnsi" w:hAnsiTheme="minorHAnsi" w:cstheme="minorHAnsi"/>
          <w:color w:val="231F20"/>
          <w:spacing w:val="-7"/>
          <w:sz w:val="18"/>
        </w:rPr>
        <w:t xml:space="preserve"> </w:t>
      </w:r>
      <w:r w:rsidRPr="00533E2A">
        <w:rPr>
          <w:rFonts w:asciiTheme="minorHAnsi" w:hAnsiTheme="minorHAnsi" w:cstheme="minorHAnsi"/>
          <w:color w:val="231F20"/>
          <w:sz w:val="18"/>
        </w:rPr>
        <w:t>Code.</w:t>
      </w:r>
    </w:p>
    <w:p w14:paraId="680CF351" w14:textId="77777777" w:rsidR="00BF0B31" w:rsidRPr="00533E2A" w:rsidRDefault="00D771DC" w:rsidP="001B2709">
      <w:pPr>
        <w:pStyle w:val="Heading1"/>
      </w:pPr>
      <w:bookmarkStart w:id="94" w:name="_Toc129709865"/>
      <w:bookmarkStart w:id="95" w:name="_Toc129710823"/>
      <w:bookmarkStart w:id="96" w:name="_Toc130218796"/>
      <w:bookmarkStart w:id="97" w:name="_Toc130226886"/>
      <w:bookmarkStart w:id="98" w:name="_Toc130307403"/>
      <w:bookmarkStart w:id="99" w:name="_Toc130307610"/>
      <w:bookmarkStart w:id="100" w:name="_Toc130307694"/>
      <w:bookmarkStart w:id="101" w:name="_Toc130310327"/>
      <w:bookmarkStart w:id="102" w:name="_Toc130311739"/>
      <w:bookmarkStart w:id="103" w:name="_Toc130312384"/>
      <w:bookmarkStart w:id="104" w:name="_Toc130465891"/>
      <w:r w:rsidRPr="00533E2A">
        <w:t>Timeframe</w:t>
      </w:r>
      <w:bookmarkEnd w:id="94"/>
      <w:bookmarkEnd w:id="95"/>
      <w:bookmarkEnd w:id="96"/>
      <w:bookmarkEnd w:id="97"/>
      <w:bookmarkEnd w:id="98"/>
      <w:bookmarkEnd w:id="99"/>
      <w:bookmarkEnd w:id="100"/>
      <w:bookmarkEnd w:id="101"/>
      <w:bookmarkEnd w:id="102"/>
      <w:bookmarkEnd w:id="103"/>
      <w:bookmarkEnd w:id="104"/>
    </w:p>
    <w:p w14:paraId="53DF5DE4" w14:textId="77777777" w:rsidR="00BF0B31" w:rsidRPr="00533E2A" w:rsidRDefault="00D771DC">
      <w:pPr>
        <w:pStyle w:val="BodyText"/>
        <w:spacing w:before="238" w:line="331" w:lineRule="auto"/>
        <w:ind w:left="429" w:right="2151"/>
        <w:rPr>
          <w:rFonts w:asciiTheme="minorHAnsi" w:hAnsiTheme="minorHAnsi" w:cstheme="minorHAnsi"/>
          <w:sz w:val="18"/>
        </w:rPr>
      </w:pP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Department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will</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work</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towards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pacing w:val="-2"/>
          <w:sz w:val="18"/>
        </w:rPr>
        <w:t xml:space="preserve">providing </w:t>
      </w:r>
      <w:r w:rsidRPr="00533E2A">
        <w:rPr>
          <w:rFonts w:asciiTheme="minorHAnsi" w:hAnsiTheme="minorHAnsi" w:cstheme="minorHAnsi"/>
          <w:color w:val="231F20"/>
          <w:sz w:val="18"/>
        </w:rPr>
        <w:t>government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with:</w:t>
      </w:r>
    </w:p>
    <w:p w14:paraId="3B21CA25" w14:textId="77777777" w:rsidR="00BF0B31" w:rsidRPr="00533E2A" w:rsidRDefault="00D771DC">
      <w:pPr>
        <w:pStyle w:val="ListParagraph"/>
        <w:numPr>
          <w:ilvl w:val="0"/>
          <w:numId w:val="1"/>
        </w:numPr>
        <w:tabs>
          <w:tab w:val="left" w:pos="769"/>
          <w:tab w:val="left" w:pos="771"/>
        </w:tabs>
        <w:spacing w:before="98" w:line="326" w:lineRule="auto"/>
        <w:ind w:right="1271"/>
        <w:rPr>
          <w:rFonts w:asciiTheme="minorHAnsi" w:hAnsiTheme="minorHAnsi" w:cstheme="minorHAnsi"/>
          <w:sz w:val="18"/>
        </w:rPr>
      </w:pPr>
      <w:r w:rsidRPr="00533E2A">
        <w:rPr>
          <w:rFonts w:asciiTheme="minorHAnsi" w:hAnsiTheme="minorHAnsi" w:cstheme="minorHAnsi"/>
          <w:color w:val="231F20"/>
          <w:sz w:val="18"/>
        </w:rPr>
        <w:t xml:space="preserve">an interim report on any amendments to general </w:t>
      </w:r>
      <w:r w:rsidRPr="00533E2A">
        <w:rPr>
          <w:rFonts w:asciiTheme="minorHAnsi" w:hAnsiTheme="minorHAnsi" w:cstheme="minorHAnsi"/>
          <w:color w:val="231F20"/>
          <w:spacing w:val="-2"/>
          <w:sz w:val="18"/>
        </w:rPr>
        <w:t>and</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specific</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secrecy</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provisions</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that</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are</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necessary</w:t>
      </w:r>
      <w:r w:rsidRPr="00533E2A">
        <w:rPr>
          <w:rFonts w:asciiTheme="minorHAnsi" w:hAnsiTheme="minorHAnsi" w:cstheme="minorHAnsi"/>
          <w:color w:val="231F20"/>
          <w:spacing w:val="-11"/>
          <w:sz w:val="18"/>
        </w:rPr>
        <w:t xml:space="preserve"> </w:t>
      </w:r>
      <w:r w:rsidRPr="00533E2A">
        <w:rPr>
          <w:rFonts w:asciiTheme="minorHAnsi" w:hAnsiTheme="minorHAnsi" w:cstheme="minorHAnsi"/>
          <w:color w:val="231F20"/>
          <w:spacing w:val="-2"/>
          <w:sz w:val="18"/>
        </w:rPr>
        <w:t>to</w:t>
      </w:r>
    </w:p>
    <w:p w14:paraId="1A54D0E0" w14:textId="77777777" w:rsidR="00BF0B31" w:rsidRPr="00533E2A" w:rsidRDefault="00D771DC">
      <w:pPr>
        <w:pStyle w:val="BodyText"/>
        <w:spacing w:before="4" w:line="331" w:lineRule="auto"/>
        <w:ind w:left="770" w:right="948"/>
        <w:rPr>
          <w:rFonts w:asciiTheme="minorHAnsi" w:hAnsiTheme="minorHAnsi" w:cstheme="minorHAnsi"/>
          <w:sz w:val="18"/>
        </w:rPr>
      </w:pPr>
      <w:r w:rsidRPr="00533E2A">
        <w:rPr>
          <w:rFonts w:asciiTheme="minorHAnsi" w:hAnsiTheme="minorHAnsi" w:cstheme="minorHAnsi"/>
          <w:color w:val="231F20"/>
          <w:sz w:val="18"/>
        </w:rPr>
        <w:t>adequately</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protect</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individuals</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who</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provide</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information to Royal Commissions by 31 January 2023; and</w:t>
      </w:r>
    </w:p>
    <w:p w14:paraId="42DDD646" w14:textId="77777777" w:rsidR="00BF0B31" w:rsidRPr="00533E2A" w:rsidRDefault="00D771DC">
      <w:pPr>
        <w:pStyle w:val="ListParagraph"/>
        <w:numPr>
          <w:ilvl w:val="0"/>
          <w:numId w:val="1"/>
        </w:numPr>
        <w:tabs>
          <w:tab w:val="left" w:pos="769"/>
          <w:tab w:val="left" w:pos="771"/>
        </w:tabs>
        <w:spacing w:before="42"/>
        <w:ind w:hanging="342"/>
        <w:rPr>
          <w:rFonts w:asciiTheme="minorHAnsi" w:hAnsiTheme="minorHAnsi" w:cstheme="minorHAnsi"/>
          <w:sz w:val="18"/>
        </w:rPr>
      </w:pPr>
      <w:r w:rsidRPr="00533E2A">
        <w:rPr>
          <w:rFonts w:asciiTheme="minorHAnsi" w:hAnsiTheme="minorHAnsi" w:cstheme="minorHAnsi"/>
          <w:color w:val="231F20"/>
          <w:sz w:val="18"/>
        </w:rPr>
        <w:t>a</w:t>
      </w:r>
      <w:r w:rsidRPr="00533E2A">
        <w:rPr>
          <w:rFonts w:asciiTheme="minorHAnsi" w:hAnsiTheme="minorHAnsi" w:cstheme="minorHAnsi"/>
          <w:color w:val="231F20"/>
          <w:spacing w:val="-15"/>
          <w:sz w:val="18"/>
        </w:rPr>
        <w:t xml:space="preserve"> </w:t>
      </w:r>
      <w:r w:rsidRPr="00533E2A">
        <w:rPr>
          <w:rFonts w:asciiTheme="minorHAnsi" w:hAnsiTheme="minorHAnsi" w:cstheme="minorHAnsi"/>
          <w:color w:val="231F20"/>
          <w:sz w:val="18"/>
        </w:rPr>
        <w:t>final</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report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by</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30</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z w:val="18"/>
        </w:rPr>
        <w:t>June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2023.</w:t>
      </w:r>
    </w:p>
    <w:p w14:paraId="53721E69" w14:textId="77777777" w:rsidR="00BF0B31" w:rsidRPr="00533E2A" w:rsidRDefault="00BF0B31">
      <w:pPr>
        <w:pStyle w:val="BodyText"/>
        <w:spacing w:before="1"/>
        <w:rPr>
          <w:rFonts w:asciiTheme="minorHAnsi" w:hAnsiTheme="minorHAnsi" w:cstheme="minorHAnsi"/>
          <w:sz w:val="18"/>
        </w:rPr>
      </w:pPr>
    </w:p>
    <w:p w14:paraId="5C0579F6" w14:textId="77777777" w:rsidR="00BF0B31" w:rsidRPr="00533E2A" w:rsidRDefault="00D771DC" w:rsidP="001B2709">
      <w:pPr>
        <w:pStyle w:val="Heading1"/>
      </w:pPr>
      <w:bookmarkStart w:id="105" w:name="_Toc129709866"/>
      <w:bookmarkStart w:id="106" w:name="_Toc129710824"/>
      <w:bookmarkStart w:id="107" w:name="_Toc130218797"/>
      <w:bookmarkStart w:id="108" w:name="_Toc130226887"/>
      <w:bookmarkStart w:id="109" w:name="_Toc130307404"/>
      <w:bookmarkStart w:id="110" w:name="_Toc130307611"/>
      <w:bookmarkStart w:id="111" w:name="_Toc130307695"/>
      <w:bookmarkStart w:id="112" w:name="_Toc130310328"/>
      <w:bookmarkStart w:id="113" w:name="_Toc130311740"/>
      <w:bookmarkStart w:id="114" w:name="_Toc130312385"/>
      <w:bookmarkStart w:id="115" w:name="_Toc130465892"/>
      <w:r w:rsidRPr="00533E2A">
        <w:t>Consultation</w:t>
      </w:r>
      <w:bookmarkEnd w:id="105"/>
      <w:bookmarkEnd w:id="106"/>
      <w:bookmarkEnd w:id="107"/>
      <w:bookmarkEnd w:id="108"/>
      <w:bookmarkEnd w:id="109"/>
      <w:bookmarkEnd w:id="110"/>
      <w:bookmarkEnd w:id="111"/>
      <w:bookmarkEnd w:id="112"/>
      <w:bookmarkEnd w:id="113"/>
      <w:bookmarkEnd w:id="114"/>
      <w:bookmarkEnd w:id="115"/>
    </w:p>
    <w:p w14:paraId="5924A7B6" w14:textId="77777777" w:rsidR="00BF0B31" w:rsidRPr="00533E2A" w:rsidRDefault="00D771DC">
      <w:pPr>
        <w:pStyle w:val="BodyText"/>
        <w:spacing w:before="239" w:line="331" w:lineRule="auto"/>
        <w:ind w:left="429" w:right="373"/>
        <w:rPr>
          <w:rFonts w:asciiTheme="minorHAnsi" w:hAnsiTheme="minorHAnsi" w:cstheme="minorHAnsi"/>
          <w:color w:val="231F20"/>
          <w:sz w:val="18"/>
        </w:rPr>
      </w:pP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Department</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should</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consult</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widely</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with</w:t>
      </w:r>
      <w:r w:rsidRPr="00533E2A">
        <w:rPr>
          <w:rFonts w:asciiTheme="minorHAnsi" w:hAnsiTheme="minorHAnsi" w:cstheme="minorHAnsi"/>
          <w:color w:val="231F20"/>
          <w:spacing w:val="-6"/>
          <w:sz w:val="18"/>
        </w:rPr>
        <w:t xml:space="preserve"> </w:t>
      </w:r>
      <w:r w:rsidRPr="00533E2A">
        <w:rPr>
          <w:rFonts w:asciiTheme="minorHAnsi" w:hAnsiTheme="minorHAnsi" w:cstheme="minorHAnsi"/>
          <w:color w:val="231F20"/>
          <w:spacing w:val="-2"/>
          <w:sz w:val="18"/>
        </w:rPr>
        <w:t xml:space="preserve">Commonwealth </w:t>
      </w:r>
      <w:r w:rsidRPr="00533E2A">
        <w:rPr>
          <w:rFonts w:asciiTheme="minorHAnsi" w:hAnsiTheme="minorHAnsi" w:cstheme="minorHAnsi"/>
          <w:color w:val="231F20"/>
          <w:sz w:val="18"/>
        </w:rPr>
        <w:t xml:space="preserve">departments and agencies, civil society (including media </w:t>
      </w:r>
      <w:proofErr w:type="spellStart"/>
      <w:r w:rsidRPr="00533E2A">
        <w:rPr>
          <w:rFonts w:asciiTheme="minorHAnsi" w:hAnsiTheme="minorHAnsi" w:cstheme="minorHAnsi"/>
          <w:color w:val="231F20"/>
          <w:sz w:val="18"/>
        </w:rPr>
        <w:t>organisations</w:t>
      </w:r>
      <w:proofErr w:type="spellEnd"/>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legal</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experts)</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and,</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for</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the</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purposes</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of</w:t>
      </w:r>
      <w:r w:rsidRPr="00533E2A">
        <w:rPr>
          <w:rFonts w:asciiTheme="minorHAnsi" w:hAnsiTheme="minorHAnsi" w:cstheme="minorHAnsi"/>
          <w:color w:val="231F20"/>
          <w:spacing w:val="-8"/>
          <w:sz w:val="18"/>
        </w:rPr>
        <w:t xml:space="preserve"> </w:t>
      </w:r>
      <w:r w:rsidRPr="00533E2A">
        <w:rPr>
          <w:rFonts w:asciiTheme="minorHAnsi" w:hAnsiTheme="minorHAnsi" w:cstheme="minorHAnsi"/>
          <w:color w:val="231F20"/>
          <w:sz w:val="18"/>
        </w:rPr>
        <w:t xml:space="preserve">the </w:t>
      </w:r>
      <w:r w:rsidRPr="00533E2A">
        <w:rPr>
          <w:rFonts w:asciiTheme="minorHAnsi" w:hAnsiTheme="minorHAnsi" w:cstheme="minorHAnsi"/>
          <w:color w:val="231F20"/>
          <w:spacing w:val="-2"/>
          <w:sz w:val="18"/>
        </w:rPr>
        <w:t>interim</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report,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current</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royal</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commissions</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including</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the</w:t>
      </w:r>
      <w:r w:rsidRPr="00533E2A">
        <w:rPr>
          <w:rFonts w:asciiTheme="minorHAnsi" w:hAnsiTheme="minorHAnsi" w:cstheme="minorHAnsi"/>
          <w:color w:val="231F20"/>
          <w:spacing w:val="-14"/>
          <w:sz w:val="18"/>
        </w:rPr>
        <w:t xml:space="preserve"> </w:t>
      </w:r>
      <w:r w:rsidRPr="00533E2A">
        <w:rPr>
          <w:rFonts w:asciiTheme="minorHAnsi" w:hAnsiTheme="minorHAnsi" w:cstheme="minorHAnsi"/>
          <w:color w:val="231F20"/>
          <w:spacing w:val="-2"/>
          <w:sz w:val="18"/>
        </w:rPr>
        <w:t xml:space="preserve">Royal </w:t>
      </w:r>
      <w:r w:rsidRPr="00533E2A">
        <w:rPr>
          <w:rFonts w:asciiTheme="minorHAnsi" w:hAnsiTheme="minorHAnsi" w:cstheme="minorHAnsi"/>
          <w:color w:val="231F20"/>
          <w:sz w:val="18"/>
        </w:rPr>
        <w:t xml:space="preserve">Commission into </w:t>
      </w:r>
      <w:proofErr w:type="spellStart"/>
      <w:r w:rsidRPr="00533E2A">
        <w:rPr>
          <w:rFonts w:asciiTheme="minorHAnsi" w:hAnsiTheme="minorHAnsi" w:cstheme="minorHAnsi"/>
          <w:color w:val="231F20"/>
          <w:sz w:val="18"/>
        </w:rPr>
        <w:t>Defence</w:t>
      </w:r>
      <w:proofErr w:type="spellEnd"/>
      <w:r w:rsidRPr="00533E2A">
        <w:rPr>
          <w:rFonts w:asciiTheme="minorHAnsi" w:hAnsiTheme="minorHAnsi" w:cstheme="minorHAnsi"/>
          <w:color w:val="231F20"/>
          <w:sz w:val="18"/>
        </w:rPr>
        <w:t xml:space="preserve"> and</w:t>
      </w:r>
      <w:r w:rsidRPr="00533E2A">
        <w:rPr>
          <w:rFonts w:asciiTheme="minorHAnsi" w:hAnsiTheme="minorHAnsi" w:cstheme="minorHAnsi"/>
          <w:color w:val="231F20"/>
          <w:spacing w:val="-9"/>
          <w:sz w:val="18"/>
        </w:rPr>
        <w:t xml:space="preserve"> </w:t>
      </w:r>
      <w:r w:rsidRPr="00533E2A">
        <w:rPr>
          <w:rFonts w:asciiTheme="minorHAnsi" w:hAnsiTheme="minorHAnsi" w:cstheme="minorHAnsi"/>
          <w:color w:val="231F20"/>
          <w:sz w:val="18"/>
        </w:rPr>
        <w:t>Veteran Suicide.</w:t>
      </w:r>
    </w:p>
    <w:p w14:paraId="6E42C6AF" w14:textId="77777777" w:rsidR="002B574B" w:rsidRPr="00533E2A" w:rsidRDefault="002B574B">
      <w:pPr>
        <w:pStyle w:val="BodyText"/>
        <w:spacing w:before="239" w:line="331" w:lineRule="auto"/>
        <w:ind w:left="429" w:right="373"/>
        <w:rPr>
          <w:sz w:val="18"/>
        </w:rPr>
      </w:pPr>
    </w:p>
    <w:p w14:paraId="12CD120D" w14:textId="77777777" w:rsidR="002B574B" w:rsidRDefault="002B574B">
      <w:pPr>
        <w:pStyle w:val="BodyText"/>
        <w:spacing w:before="239" w:line="331" w:lineRule="auto"/>
        <w:ind w:left="429" w:right="373"/>
        <w:sectPr w:rsidR="002B574B">
          <w:type w:val="continuous"/>
          <w:pgSz w:w="11910" w:h="16840"/>
          <w:pgMar w:top="0" w:right="0" w:bottom="520" w:left="0" w:header="0" w:footer="332" w:gutter="0"/>
          <w:cols w:num="2" w:space="720" w:equalWidth="0">
            <w:col w:w="5710" w:space="40"/>
            <w:col w:w="6160"/>
          </w:cols>
        </w:sectPr>
      </w:pPr>
    </w:p>
    <w:p w14:paraId="603A348B" w14:textId="77777777" w:rsidR="00023D53" w:rsidRPr="00023D53" w:rsidRDefault="00023D53" w:rsidP="00023D53">
      <w:pPr>
        <w:keepNext/>
        <w:widowControl/>
        <w:autoSpaceDE/>
        <w:autoSpaceDN/>
        <w:spacing w:before="120" w:after="120" w:line="276" w:lineRule="auto"/>
        <w:contextualSpacing/>
        <w:jc w:val="right"/>
        <w:outlineLvl w:val="1"/>
        <w:rPr>
          <w:rFonts w:ascii="Calibri" w:eastAsia="SimSun" w:hAnsi="Calibri" w:cs="Angsana New"/>
          <w:b/>
          <w:bCs/>
          <w:iCs/>
          <w:color w:val="4D738A"/>
          <w:w w:val="105"/>
          <w:kern w:val="40"/>
          <w:sz w:val="40"/>
          <w:szCs w:val="40"/>
          <w:lang w:val="en-AU"/>
        </w:rPr>
      </w:pPr>
      <w:bookmarkStart w:id="116" w:name="_Toc130218798"/>
      <w:bookmarkStart w:id="117" w:name="_Toc130226888"/>
      <w:bookmarkStart w:id="118" w:name="_Toc130307405"/>
      <w:bookmarkStart w:id="119" w:name="_Toc130307612"/>
      <w:bookmarkStart w:id="120" w:name="_Toc130307696"/>
      <w:bookmarkStart w:id="121" w:name="_Toc130310329"/>
      <w:bookmarkStart w:id="122" w:name="_Toc130311741"/>
      <w:bookmarkStart w:id="123" w:name="_Toc130312386"/>
      <w:bookmarkStart w:id="124" w:name="_Toc130465893"/>
      <w:bookmarkStart w:id="125" w:name="_Toc129709867"/>
      <w:bookmarkStart w:id="126" w:name="_Toc129710825"/>
      <w:r>
        <w:rPr>
          <w:rFonts w:ascii="Calibri" w:eastAsia="SimSun" w:hAnsi="Calibri" w:cs="Angsana New"/>
          <w:b/>
          <w:bCs/>
          <w:iCs/>
          <w:color w:val="4D738A"/>
          <w:w w:val="105"/>
          <w:kern w:val="40"/>
          <w:sz w:val="40"/>
          <w:szCs w:val="40"/>
          <w:lang w:val="en-AU"/>
        </w:rPr>
        <w:lastRenderedPageBreak/>
        <w:t>Attachment</w:t>
      </w:r>
      <w:r w:rsidRPr="002B574B">
        <w:rPr>
          <w:rFonts w:ascii="Calibri" w:eastAsia="SimSun" w:hAnsi="Calibri" w:cs="Angsana New"/>
          <w:b/>
          <w:bCs/>
          <w:iCs/>
          <w:color w:val="4D738A"/>
          <w:w w:val="105"/>
          <w:kern w:val="40"/>
          <w:sz w:val="40"/>
          <w:szCs w:val="40"/>
          <w:lang w:val="en-AU"/>
        </w:rPr>
        <w:t xml:space="preserve"> </w:t>
      </w:r>
      <w:r>
        <w:rPr>
          <w:rFonts w:ascii="Calibri" w:eastAsia="SimSun" w:hAnsi="Calibri" w:cs="Angsana New"/>
          <w:b/>
          <w:bCs/>
          <w:iCs/>
          <w:color w:val="4D738A"/>
          <w:w w:val="105"/>
          <w:kern w:val="40"/>
          <w:sz w:val="40"/>
          <w:szCs w:val="40"/>
          <w:lang w:val="en-AU"/>
        </w:rPr>
        <w:t>B</w:t>
      </w:r>
      <w:bookmarkEnd w:id="116"/>
      <w:bookmarkEnd w:id="117"/>
      <w:bookmarkEnd w:id="118"/>
      <w:bookmarkEnd w:id="119"/>
      <w:bookmarkEnd w:id="120"/>
      <w:bookmarkEnd w:id="121"/>
      <w:bookmarkEnd w:id="122"/>
      <w:bookmarkEnd w:id="123"/>
      <w:bookmarkEnd w:id="124"/>
    </w:p>
    <w:p w14:paraId="33FE9EB3" w14:textId="77777777" w:rsidR="001B4D5D" w:rsidRPr="001B4D5D" w:rsidRDefault="001B4D5D" w:rsidP="001B4D5D">
      <w:pPr>
        <w:keepNext/>
        <w:widowControl/>
        <w:autoSpaceDE/>
        <w:autoSpaceDN/>
        <w:spacing w:after="120"/>
        <w:outlineLvl w:val="0"/>
        <w:rPr>
          <w:rFonts w:ascii="Calibri" w:eastAsia="SimSun" w:hAnsi="Calibri" w:cs="Angsana New"/>
          <w:b/>
          <w:bCs/>
          <w:color w:val="404040"/>
          <w:w w:val="105"/>
          <w:kern w:val="32"/>
          <w:sz w:val="48"/>
          <w:szCs w:val="48"/>
          <w:lang w:val="en-AU"/>
        </w:rPr>
      </w:pPr>
      <w:bookmarkStart w:id="127" w:name="_Toc130218799"/>
      <w:bookmarkStart w:id="128" w:name="_Toc130226889"/>
      <w:bookmarkStart w:id="129" w:name="_Toc130307406"/>
      <w:bookmarkStart w:id="130" w:name="_Toc130307613"/>
      <w:bookmarkStart w:id="131" w:name="_Toc130307697"/>
      <w:bookmarkStart w:id="132" w:name="_Toc130310330"/>
      <w:bookmarkStart w:id="133" w:name="_Toc130311742"/>
      <w:bookmarkStart w:id="134" w:name="_Toc130312387"/>
      <w:bookmarkStart w:id="135" w:name="_Toc130465894"/>
      <w:r w:rsidRPr="001B4D5D">
        <w:rPr>
          <w:rFonts w:ascii="Calibri" w:eastAsia="SimSun" w:hAnsi="Calibri" w:cs="Angsana New"/>
          <w:b/>
          <w:bCs/>
          <w:color w:val="404040"/>
          <w:w w:val="105"/>
          <w:kern w:val="32"/>
          <w:sz w:val="48"/>
          <w:szCs w:val="48"/>
          <w:lang w:val="en-AU"/>
        </w:rPr>
        <w:t>Secrecy Provisions in Commonwealth laws</w:t>
      </w:r>
      <w:bookmarkEnd w:id="125"/>
      <w:bookmarkEnd w:id="126"/>
      <w:bookmarkEnd w:id="127"/>
      <w:bookmarkEnd w:id="128"/>
      <w:bookmarkEnd w:id="129"/>
      <w:bookmarkEnd w:id="130"/>
      <w:bookmarkEnd w:id="131"/>
      <w:bookmarkEnd w:id="132"/>
      <w:bookmarkEnd w:id="133"/>
      <w:bookmarkEnd w:id="134"/>
      <w:bookmarkEnd w:id="135"/>
    </w:p>
    <w:p w14:paraId="4A1B0993" w14:textId="77777777" w:rsidR="001B4D5D" w:rsidRPr="001B4D5D" w:rsidRDefault="001B4D5D" w:rsidP="001B2709">
      <w:pPr>
        <w:widowControl/>
        <w:autoSpaceDE/>
        <w:autoSpaceDN/>
        <w:spacing w:after="120" w:line="276" w:lineRule="auto"/>
        <w:rPr>
          <w:rFonts w:ascii="Calibri" w:eastAsia="Calibri" w:hAnsi="Calibri" w:cs="Calibri"/>
          <w:w w:val="105"/>
          <w:kern w:val="40"/>
          <w:lang w:val="en-AU"/>
        </w:rPr>
      </w:pPr>
      <w:r w:rsidRPr="001B4D5D">
        <w:rPr>
          <w:rFonts w:ascii="Calibri" w:eastAsia="Calibri" w:hAnsi="Calibri" w:cs="Calibri"/>
          <w:w w:val="105"/>
          <w:kern w:val="40"/>
          <w:lang w:val="en-AU"/>
        </w:rPr>
        <w:t>As at January 2023, the landscape of Commonwealth secrecy provisions</w:t>
      </w:r>
      <w:r w:rsidRPr="001B4D5D">
        <w:rPr>
          <w:rFonts w:ascii="Calibri" w:eastAsia="Calibri" w:hAnsi="Calibri" w:cs="Calibri"/>
          <w:b/>
          <w:w w:val="105"/>
          <w:kern w:val="40"/>
          <w:vertAlign w:val="superscript"/>
          <w:lang w:val="en-AU"/>
        </w:rPr>
        <w:footnoteReference w:id="32"/>
      </w:r>
      <w:r w:rsidRPr="001B4D5D">
        <w:rPr>
          <w:rFonts w:ascii="Calibri" w:eastAsia="Calibri" w:hAnsi="Calibri" w:cs="Calibri"/>
          <w:w w:val="105"/>
          <w:kern w:val="40"/>
          <w:lang w:val="en-AU"/>
        </w:rPr>
        <w:t xml:space="preserve"> comprises:</w:t>
      </w:r>
    </w:p>
    <w:p w14:paraId="0A4B305C" w14:textId="77777777" w:rsidR="001B4D5D" w:rsidRPr="001B4D5D" w:rsidRDefault="001B4D5D" w:rsidP="003C25B1">
      <w:pPr>
        <w:widowControl/>
        <w:numPr>
          <w:ilvl w:val="0"/>
          <w:numId w:val="5"/>
        </w:numPr>
        <w:autoSpaceDE/>
        <w:autoSpaceDN/>
        <w:spacing w:after="120" w:line="276" w:lineRule="auto"/>
        <w:contextualSpacing/>
        <w:rPr>
          <w:rFonts w:asciiTheme="minorHAnsi" w:eastAsiaTheme="minorHAnsi" w:hAnsiTheme="minorHAnsi" w:cstheme="minorBidi"/>
          <w:lang w:val="en-AU"/>
        </w:rPr>
      </w:pPr>
      <w:r w:rsidRPr="001B4D5D">
        <w:rPr>
          <w:rFonts w:asciiTheme="minorHAnsi" w:eastAsiaTheme="minorHAnsi" w:hAnsiTheme="minorHAnsi" w:cstheme="minorBidi"/>
          <w:lang w:val="en-AU"/>
        </w:rPr>
        <w:t xml:space="preserve">11 general secrecy offences in Part 5.6 of the Criminal Code </w:t>
      </w:r>
    </w:p>
    <w:p w14:paraId="018AF8BE" w14:textId="773FC835" w:rsidR="001B4D5D" w:rsidRPr="001B4D5D" w:rsidRDefault="001B4D5D" w:rsidP="003C25B1">
      <w:pPr>
        <w:widowControl/>
        <w:numPr>
          <w:ilvl w:val="0"/>
          <w:numId w:val="5"/>
        </w:numPr>
        <w:autoSpaceDE/>
        <w:autoSpaceDN/>
        <w:spacing w:after="120" w:line="276" w:lineRule="auto"/>
        <w:contextualSpacing/>
        <w:rPr>
          <w:rFonts w:asciiTheme="minorHAnsi" w:eastAsiaTheme="minorHAnsi" w:hAnsiTheme="minorHAnsi" w:cstheme="minorBidi"/>
          <w:lang w:val="en-AU"/>
        </w:rPr>
      </w:pPr>
      <w:r w:rsidRPr="001B4D5D">
        <w:rPr>
          <w:rFonts w:asciiTheme="minorHAnsi" w:eastAsiaTheme="minorHAnsi" w:hAnsiTheme="minorHAnsi" w:cstheme="minorBidi"/>
          <w:lang w:val="en-AU"/>
        </w:rPr>
        <w:t>5</w:t>
      </w:r>
      <w:r w:rsidR="00220B46">
        <w:rPr>
          <w:rFonts w:asciiTheme="minorHAnsi" w:eastAsiaTheme="minorHAnsi" w:hAnsiTheme="minorHAnsi" w:cstheme="minorBidi"/>
          <w:lang w:val="en-AU"/>
        </w:rPr>
        <w:t>4</w:t>
      </w:r>
      <w:r w:rsidR="00D82BCA">
        <w:rPr>
          <w:rFonts w:asciiTheme="minorHAnsi" w:eastAsiaTheme="minorHAnsi" w:hAnsiTheme="minorHAnsi" w:cstheme="minorBidi"/>
          <w:lang w:val="en-AU"/>
        </w:rPr>
        <w:t>2</w:t>
      </w:r>
      <w:r w:rsidRPr="001B4D5D">
        <w:rPr>
          <w:rFonts w:asciiTheme="minorHAnsi" w:eastAsiaTheme="minorHAnsi" w:hAnsiTheme="minorHAnsi" w:cstheme="minorBidi"/>
          <w:lang w:val="en-AU"/>
        </w:rPr>
        <w:t xml:space="preserve"> specific secrecy offences in 1</w:t>
      </w:r>
      <w:r w:rsidR="000243B9">
        <w:rPr>
          <w:rFonts w:asciiTheme="minorHAnsi" w:eastAsiaTheme="minorHAnsi" w:hAnsiTheme="minorHAnsi" w:cstheme="minorBidi"/>
          <w:lang w:val="en-AU"/>
        </w:rPr>
        <w:t>78</w:t>
      </w:r>
      <w:r w:rsidRPr="001B4D5D">
        <w:rPr>
          <w:rFonts w:asciiTheme="minorHAnsi" w:eastAsiaTheme="minorHAnsi" w:hAnsiTheme="minorHAnsi" w:cstheme="minorBidi"/>
          <w:lang w:val="en-AU"/>
        </w:rPr>
        <w:t xml:space="preserve"> Commonwealth laws (see table 2 below, pages 2-10)</w:t>
      </w:r>
    </w:p>
    <w:p w14:paraId="4B7530CB" w14:textId="7BDA5F14" w:rsidR="001B4D5D" w:rsidRPr="001B4D5D" w:rsidRDefault="00220B46" w:rsidP="003C25B1">
      <w:pPr>
        <w:widowControl/>
        <w:numPr>
          <w:ilvl w:val="0"/>
          <w:numId w:val="5"/>
        </w:numPr>
        <w:autoSpaceDE/>
        <w:autoSpaceDN/>
        <w:spacing w:after="120" w:line="276" w:lineRule="auto"/>
        <w:contextualSpacing/>
        <w:rPr>
          <w:rFonts w:asciiTheme="minorHAnsi" w:eastAsiaTheme="minorHAnsi" w:hAnsiTheme="minorHAnsi" w:cstheme="minorBidi"/>
          <w:b/>
          <w:lang w:val="en-AU"/>
        </w:rPr>
      </w:pPr>
      <w:r>
        <w:rPr>
          <w:rFonts w:asciiTheme="minorHAnsi" w:eastAsiaTheme="minorHAnsi" w:hAnsiTheme="minorHAnsi" w:cstheme="minorBidi"/>
          <w:lang w:val="en-AU"/>
        </w:rPr>
        <w:t>296</w:t>
      </w:r>
      <w:r w:rsidR="001B4D5D" w:rsidRPr="001B4D5D">
        <w:rPr>
          <w:rFonts w:asciiTheme="minorHAnsi" w:eastAsiaTheme="minorHAnsi" w:hAnsiTheme="minorHAnsi" w:cstheme="minorBidi"/>
          <w:lang w:val="en-AU"/>
        </w:rPr>
        <w:t xml:space="preserve"> non-disclosure duties in 10</w:t>
      </w:r>
      <w:r w:rsidR="000243B9">
        <w:rPr>
          <w:rFonts w:asciiTheme="minorHAnsi" w:eastAsiaTheme="minorHAnsi" w:hAnsiTheme="minorHAnsi" w:cstheme="minorBidi"/>
          <w:lang w:val="en-AU"/>
        </w:rPr>
        <w:t>7</w:t>
      </w:r>
      <w:r w:rsidR="001B4D5D" w:rsidRPr="001B4D5D">
        <w:rPr>
          <w:rFonts w:asciiTheme="minorHAnsi" w:eastAsiaTheme="minorHAnsi" w:hAnsiTheme="minorHAnsi" w:cstheme="minorBidi"/>
          <w:lang w:val="en-AU"/>
        </w:rPr>
        <w:t xml:space="preserve"> Commonwealth laws which attract criminal liability for unauthorised disclosure of information by current or former Commonwealth officers under section 122.4 of the Criminal Code (see table 3 below, pages 11-16)</w:t>
      </w:r>
    </w:p>
    <w:p w14:paraId="69DDB62F" w14:textId="77777777" w:rsidR="00F6672A" w:rsidRPr="00F6672A" w:rsidRDefault="001B4D5D" w:rsidP="003C25B1">
      <w:pPr>
        <w:widowControl/>
        <w:numPr>
          <w:ilvl w:val="0"/>
          <w:numId w:val="5"/>
        </w:numPr>
        <w:autoSpaceDE/>
        <w:autoSpaceDN/>
        <w:spacing w:after="120" w:line="276" w:lineRule="auto"/>
        <w:ind w:left="714" w:hanging="357"/>
        <w:rPr>
          <w:rFonts w:asciiTheme="minorHAnsi" w:eastAsiaTheme="minorHAnsi" w:hAnsiTheme="minorHAnsi" w:cstheme="minorBidi"/>
          <w:b/>
          <w:lang w:val="en-AU"/>
        </w:rPr>
      </w:pPr>
      <w:r w:rsidRPr="001B4D5D">
        <w:rPr>
          <w:rFonts w:asciiTheme="minorHAnsi" w:eastAsiaTheme="minorHAnsi" w:hAnsiTheme="minorHAnsi" w:cstheme="minorBidi"/>
          <w:lang w:val="en-AU"/>
        </w:rPr>
        <w:t>21 override provisions in 18 Commonwealth laws that operate to exclude secrecy provisions in other Commonwealth laws (see table 4 below, pages 16-17).</w:t>
      </w:r>
    </w:p>
    <w:p w14:paraId="00CCF8FD" w14:textId="77777777" w:rsidR="00831411" w:rsidRPr="00831411" w:rsidRDefault="00831411" w:rsidP="003C25B1">
      <w:pPr>
        <w:spacing w:before="120" w:after="120" w:line="276" w:lineRule="auto"/>
        <w:jc w:val="both"/>
        <w:rPr>
          <w:rFonts w:asciiTheme="minorHAnsi" w:hAnsiTheme="minorHAnsi" w:cstheme="minorHAnsi"/>
          <w:i/>
          <w:sz w:val="28"/>
          <w:szCs w:val="28"/>
        </w:rPr>
      </w:pPr>
      <w:r w:rsidRPr="00831411">
        <w:rPr>
          <w:rFonts w:asciiTheme="minorHAnsi" w:hAnsiTheme="minorHAnsi" w:cstheme="minorHAnsi"/>
          <w:b/>
          <w:sz w:val="28"/>
          <w:szCs w:val="28"/>
        </w:rPr>
        <w:t xml:space="preserve">General secrecy offences </w:t>
      </w:r>
    </w:p>
    <w:p w14:paraId="5278C293" w14:textId="77777777" w:rsidR="00831411" w:rsidRPr="0051093C" w:rsidRDefault="00831411" w:rsidP="003C25B1">
      <w:pPr>
        <w:spacing w:before="120" w:after="120" w:line="276" w:lineRule="auto"/>
        <w:jc w:val="both"/>
        <w:rPr>
          <w:rFonts w:asciiTheme="minorHAnsi" w:hAnsiTheme="minorHAnsi" w:cstheme="minorHAnsi"/>
        </w:rPr>
      </w:pPr>
      <w:r w:rsidRPr="0051093C">
        <w:rPr>
          <w:rFonts w:asciiTheme="minorHAnsi" w:hAnsiTheme="minorHAnsi" w:cstheme="minorHAnsi"/>
        </w:rPr>
        <w:t xml:space="preserve">Part 5.6 of the Criminal Code contains 11 general secrecy offences that protect against harm to essential public interests caused by the </w:t>
      </w:r>
      <w:proofErr w:type="spellStart"/>
      <w:r w:rsidRPr="0051093C">
        <w:rPr>
          <w:rFonts w:asciiTheme="minorHAnsi" w:hAnsiTheme="minorHAnsi" w:cstheme="minorHAnsi"/>
        </w:rPr>
        <w:t>unauthorised</w:t>
      </w:r>
      <w:proofErr w:type="spellEnd"/>
      <w:r w:rsidRPr="0051093C">
        <w:rPr>
          <w:rFonts w:asciiTheme="minorHAnsi" w:hAnsiTheme="minorHAnsi" w:cstheme="minorHAnsi"/>
        </w:rPr>
        <w:t xml:space="preserve"> disclosure of inherently harmful information, which includes sensitive government information or protected information. These criminal offences apply generally to people working in or who receive information from the Commonwealth and require a general standard of conduct from these groups of people. </w:t>
      </w:r>
    </w:p>
    <w:tbl>
      <w:tblPr>
        <w:tblW w:w="9360" w:type="dxa"/>
        <w:tblLook w:val="04A0" w:firstRow="1" w:lastRow="0" w:firstColumn="1" w:lastColumn="0" w:noHBand="0" w:noVBand="1"/>
      </w:tblPr>
      <w:tblGrid>
        <w:gridCol w:w="5669"/>
        <w:gridCol w:w="3691"/>
      </w:tblGrid>
      <w:tr w:rsidR="00831411" w:rsidRPr="00831411" w14:paraId="48CAE6D3" w14:textId="77777777" w:rsidTr="00485D14">
        <w:trPr>
          <w:trHeight w:val="567"/>
        </w:trPr>
        <w:tc>
          <w:tcPr>
            <w:tcW w:w="9360" w:type="dxa"/>
            <w:gridSpan w:val="2"/>
            <w:tcBorders>
              <w:top w:val="single" w:sz="4" w:space="0" w:color="auto"/>
              <w:left w:val="single" w:sz="4" w:space="0" w:color="auto"/>
              <w:bottom w:val="single" w:sz="4" w:space="0" w:color="auto"/>
              <w:right w:val="single" w:sz="4" w:space="0" w:color="auto"/>
            </w:tcBorders>
            <w:shd w:val="clear" w:color="auto" w:fill="50748A"/>
            <w:vAlign w:val="center"/>
          </w:tcPr>
          <w:p w14:paraId="7DCD51E0" w14:textId="77777777" w:rsidR="00831411" w:rsidRPr="003C25B1" w:rsidRDefault="00831411" w:rsidP="001F4398">
            <w:pPr>
              <w:pStyle w:val="Heading2"/>
              <w:jc w:val="center"/>
              <w:rPr>
                <w:rFonts w:asciiTheme="minorHAnsi" w:hAnsiTheme="minorHAnsi" w:cstheme="minorHAnsi"/>
                <w:b/>
              </w:rPr>
            </w:pPr>
            <w:bookmarkStart w:id="136" w:name="_Toc130465895"/>
            <w:r w:rsidRPr="003C25B1">
              <w:rPr>
                <w:rFonts w:asciiTheme="minorHAnsi" w:hAnsiTheme="minorHAnsi" w:cstheme="minorHAnsi"/>
                <w:b/>
                <w:color w:val="FFFFFF" w:themeColor="background1"/>
                <w:sz w:val="28"/>
              </w:rPr>
              <w:t>Table 1 - General secrecy offences</w:t>
            </w:r>
            <w:bookmarkEnd w:id="136"/>
          </w:p>
        </w:tc>
      </w:tr>
      <w:tr w:rsidR="00831411" w:rsidRPr="00831411" w14:paraId="641157FE" w14:textId="77777777" w:rsidTr="00485D14">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B8CBD6"/>
            <w:vAlign w:val="center"/>
            <w:hideMark/>
          </w:tcPr>
          <w:p w14:paraId="2B060E96" w14:textId="77777777" w:rsidR="00831411" w:rsidRPr="003C25B1" w:rsidRDefault="00831411" w:rsidP="001F4398">
            <w:pPr>
              <w:pStyle w:val="Heading3"/>
              <w:rPr>
                <w:rFonts w:asciiTheme="minorHAnsi" w:hAnsiTheme="minorHAnsi" w:cstheme="minorHAnsi"/>
                <w:b/>
                <w:color w:val="404040"/>
                <w:sz w:val="28"/>
                <w:szCs w:val="28"/>
                <w:lang w:eastAsia="en-AU"/>
              </w:rPr>
            </w:pPr>
            <w:bookmarkStart w:id="137" w:name="_Toc130465896"/>
            <w:r w:rsidRPr="003C25B1">
              <w:rPr>
                <w:rFonts w:asciiTheme="minorHAnsi" w:hAnsiTheme="minorHAnsi" w:cstheme="minorHAnsi"/>
                <w:b/>
                <w:color w:val="404040"/>
                <w:sz w:val="28"/>
                <w:szCs w:val="28"/>
                <w:lang w:eastAsia="en-AU"/>
              </w:rPr>
              <w:t>Legislation</w:t>
            </w:r>
            <w:bookmarkEnd w:id="137"/>
          </w:p>
        </w:tc>
        <w:tc>
          <w:tcPr>
            <w:tcW w:w="3691" w:type="dxa"/>
            <w:tcBorders>
              <w:top w:val="single" w:sz="4" w:space="0" w:color="auto"/>
              <w:left w:val="nil"/>
              <w:bottom w:val="single" w:sz="4" w:space="0" w:color="auto"/>
              <w:right w:val="single" w:sz="4" w:space="0" w:color="auto"/>
            </w:tcBorders>
            <w:shd w:val="clear" w:color="auto" w:fill="B8CBD6"/>
            <w:vAlign w:val="center"/>
            <w:hideMark/>
          </w:tcPr>
          <w:p w14:paraId="226A537B" w14:textId="77777777" w:rsidR="00831411" w:rsidRPr="003C25B1" w:rsidRDefault="00831411" w:rsidP="001F4398">
            <w:pPr>
              <w:pStyle w:val="Heading3"/>
              <w:rPr>
                <w:rFonts w:asciiTheme="minorHAnsi" w:hAnsiTheme="minorHAnsi" w:cstheme="minorHAnsi"/>
                <w:b/>
                <w:color w:val="404040"/>
                <w:sz w:val="28"/>
                <w:szCs w:val="28"/>
                <w:lang w:eastAsia="en-AU"/>
              </w:rPr>
            </w:pPr>
            <w:bookmarkStart w:id="138" w:name="_Toc130465897"/>
            <w:r w:rsidRPr="003C25B1">
              <w:rPr>
                <w:rFonts w:asciiTheme="minorHAnsi" w:hAnsiTheme="minorHAnsi" w:cstheme="minorHAnsi"/>
                <w:b/>
                <w:color w:val="404040"/>
                <w:sz w:val="28"/>
                <w:szCs w:val="28"/>
                <w:lang w:eastAsia="en-AU"/>
              </w:rPr>
              <w:t>Provision</w:t>
            </w:r>
            <w:bookmarkEnd w:id="138"/>
          </w:p>
        </w:tc>
      </w:tr>
      <w:tr w:rsidR="00831411" w:rsidRPr="00831411" w14:paraId="117CB98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869A1F7" w14:textId="77777777" w:rsidR="00831411" w:rsidRPr="003C25B1" w:rsidRDefault="00831411" w:rsidP="00485D14">
            <w:pPr>
              <w:rPr>
                <w:rFonts w:asciiTheme="minorHAnsi" w:eastAsia="Times New Roman" w:hAnsiTheme="minorHAnsi" w:cstheme="minorHAnsi"/>
                <w:i/>
                <w:color w:val="000000"/>
                <w:lang w:eastAsia="en-AU"/>
              </w:rPr>
            </w:pPr>
            <w:r w:rsidRPr="003C25B1">
              <w:rPr>
                <w:rFonts w:asciiTheme="minorHAnsi" w:eastAsia="Times New Roman" w:hAnsiTheme="minorHAnsi" w:cstheme="minorHAnsi"/>
                <w:i/>
                <w:color w:val="000000"/>
                <w:lang w:eastAsia="en-AU"/>
              </w:rPr>
              <w:t xml:space="preserve">Criminal Code Act 1995 – Part 5.6 </w:t>
            </w:r>
          </w:p>
        </w:tc>
        <w:tc>
          <w:tcPr>
            <w:tcW w:w="3691" w:type="dxa"/>
            <w:tcBorders>
              <w:top w:val="single" w:sz="4" w:space="0" w:color="auto"/>
              <w:left w:val="nil"/>
              <w:bottom w:val="single" w:sz="4" w:space="0" w:color="auto"/>
              <w:right w:val="single" w:sz="4" w:space="0" w:color="auto"/>
            </w:tcBorders>
            <w:shd w:val="clear" w:color="auto" w:fill="auto"/>
            <w:vAlign w:val="center"/>
          </w:tcPr>
          <w:p w14:paraId="5777296A" w14:textId="77777777" w:rsidR="00831411" w:rsidRPr="003C25B1" w:rsidRDefault="00831411" w:rsidP="00485D14">
            <w:pPr>
              <w:rPr>
                <w:rFonts w:asciiTheme="minorHAnsi" w:eastAsia="Times New Roman" w:hAnsiTheme="minorHAnsi" w:cstheme="minorHAnsi"/>
                <w:color w:val="000000"/>
                <w:lang w:eastAsia="en-AU"/>
              </w:rPr>
            </w:pPr>
            <w:r w:rsidRPr="003C25B1">
              <w:rPr>
                <w:rFonts w:asciiTheme="minorHAnsi" w:eastAsia="Times New Roman" w:hAnsiTheme="minorHAnsi" w:cstheme="minorHAnsi"/>
                <w:color w:val="000000"/>
                <w:lang w:eastAsia="en-AU"/>
              </w:rPr>
              <w:t>ss 122.1(1), (2), (3), (4); 122.2(1), (2), (3), (4); 122.3(1); 122.4</w:t>
            </w:r>
            <w:proofErr w:type="gramStart"/>
            <w:r w:rsidRPr="003C25B1">
              <w:rPr>
                <w:rFonts w:asciiTheme="minorHAnsi" w:eastAsia="Times New Roman" w:hAnsiTheme="minorHAnsi" w:cstheme="minorHAnsi"/>
                <w:color w:val="000000"/>
                <w:lang w:eastAsia="en-AU"/>
              </w:rPr>
              <w:t>A(</w:t>
            </w:r>
            <w:proofErr w:type="gramEnd"/>
            <w:r w:rsidRPr="003C25B1">
              <w:rPr>
                <w:rFonts w:asciiTheme="minorHAnsi" w:eastAsia="Times New Roman" w:hAnsiTheme="minorHAnsi" w:cstheme="minorHAnsi"/>
                <w:color w:val="000000"/>
                <w:lang w:eastAsia="en-AU"/>
              </w:rPr>
              <w:t xml:space="preserve">1), (2) </w:t>
            </w:r>
          </w:p>
        </w:tc>
      </w:tr>
    </w:tbl>
    <w:p w14:paraId="78E71B3A" w14:textId="77777777" w:rsidR="00831411" w:rsidRPr="00831411" w:rsidRDefault="00831411" w:rsidP="003C25B1">
      <w:pPr>
        <w:spacing w:before="120" w:after="120" w:line="276" w:lineRule="auto"/>
        <w:jc w:val="both"/>
        <w:rPr>
          <w:rFonts w:asciiTheme="minorHAnsi" w:hAnsiTheme="minorHAnsi" w:cstheme="minorHAnsi"/>
          <w:b/>
          <w:sz w:val="28"/>
          <w:szCs w:val="28"/>
        </w:rPr>
      </w:pPr>
      <w:r w:rsidRPr="00831411">
        <w:rPr>
          <w:rFonts w:asciiTheme="minorHAnsi" w:hAnsiTheme="minorHAnsi" w:cstheme="minorHAnsi"/>
          <w:b/>
          <w:sz w:val="28"/>
          <w:szCs w:val="28"/>
        </w:rPr>
        <w:t xml:space="preserve">Specific secrecy offences </w:t>
      </w:r>
    </w:p>
    <w:p w14:paraId="550C8B70" w14:textId="77777777" w:rsidR="00831411" w:rsidRPr="0051093C" w:rsidRDefault="00831411" w:rsidP="003C25B1">
      <w:pPr>
        <w:spacing w:line="276" w:lineRule="auto"/>
        <w:rPr>
          <w:rFonts w:asciiTheme="minorHAnsi" w:hAnsiTheme="minorHAnsi" w:cstheme="minorHAnsi"/>
        </w:rPr>
      </w:pPr>
      <w:r w:rsidRPr="0051093C">
        <w:rPr>
          <w:rFonts w:asciiTheme="minorHAnsi" w:hAnsiTheme="minorHAnsi" w:cstheme="minorHAnsi"/>
        </w:rPr>
        <w:t>Specific secrecy offences in Commonwealth laws apply to particular types of information and to particular agencies or individuals. Often specific secrecy offences are created in legislation establishing an agency or a regulatory scheme, in order to govern the handling and protection of information within that agency or scheme. Specific secrecy offences</w:t>
      </w:r>
      <w:r w:rsidRPr="0051093C">
        <w:rPr>
          <w:rFonts w:asciiTheme="minorHAnsi" w:hAnsiTheme="minorHAnsi" w:cstheme="minorHAnsi"/>
          <w:b/>
        </w:rPr>
        <w:t xml:space="preserve"> </w:t>
      </w:r>
      <w:r w:rsidRPr="0051093C">
        <w:rPr>
          <w:rFonts w:asciiTheme="minorHAnsi" w:hAnsiTheme="minorHAnsi" w:cstheme="minorHAnsi"/>
        </w:rPr>
        <w:t xml:space="preserve">apply in addition to the general secrecy offences and permit secrecy obligations to be adjusted for the particular information, agencies or individuals. For example, specific secrecy offences that protect personal, commercial, national security or law enforcement information ensure that agencies appropriately deal with these sensitive types of information to protect personal privacy, commercial interests, national security and integrity of law enforcement.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3914"/>
      </w:tblGrid>
      <w:tr w:rsidR="00831411" w:rsidRPr="00831411" w14:paraId="188E938C" w14:textId="77777777" w:rsidTr="00485D14">
        <w:trPr>
          <w:trHeight w:val="567"/>
          <w:tblHeader/>
        </w:trPr>
        <w:tc>
          <w:tcPr>
            <w:tcW w:w="9354" w:type="dxa"/>
            <w:gridSpan w:val="2"/>
            <w:shd w:val="clear" w:color="auto" w:fill="50748A"/>
            <w:vAlign w:val="center"/>
          </w:tcPr>
          <w:p w14:paraId="5D4E1BD5" w14:textId="77777777" w:rsidR="00831411" w:rsidRPr="003C25B1" w:rsidRDefault="00831411" w:rsidP="001F4398">
            <w:pPr>
              <w:pStyle w:val="Heading2"/>
              <w:jc w:val="center"/>
              <w:rPr>
                <w:rFonts w:asciiTheme="minorHAnsi" w:hAnsiTheme="minorHAnsi" w:cstheme="minorHAnsi"/>
                <w:b/>
                <w:sz w:val="28"/>
                <w:szCs w:val="28"/>
              </w:rPr>
            </w:pPr>
            <w:bookmarkStart w:id="139" w:name="_Toc130465898"/>
            <w:r w:rsidRPr="003C25B1">
              <w:rPr>
                <w:rFonts w:asciiTheme="minorHAnsi" w:hAnsiTheme="minorHAnsi" w:cstheme="minorHAnsi"/>
                <w:b/>
                <w:color w:val="FFFFFF" w:themeColor="background1"/>
                <w:sz w:val="28"/>
                <w:szCs w:val="28"/>
              </w:rPr>
              <w:lastRenderedPageBreak/>
              <w:t>Table 2 - Specific secrecy offences</w:t>
            </w:r>
            <w:bookmarkEnd w:id="139"/>
          </w:p>
        </w:tc>
      </w:tr>
      <w:tr w:rsidR="00831411" w:rsidRPr="00831411" w14:paraId="613B0EDE" w14:textId="77777777" w:rsidTr="003C25B1">
        <w:trPr>
          <w:trHeight w:val="454"/>
          <w:tblHeader/>
        </w:trPr>
        <w:tc>
          <w:tcPr>
            <w:tcW w:w="5440" w:type="dxa"/>
            <w:shd w:val="clear" w:color="auto" w:fill="B8CBD6"/>
            <w:vAlign w:val="center"/>
          </w:tcPr>
          <w:p w14:paraId="30BF1B2E" w14:textId="77777777" w:rsidR="00831411" w:rsidRPr="003C25B1" w:rsidRDefault="00831411" w:rsidP="001F4398">
            <w:pPr>
              <w:pStyle w:val="Heading3"/>
              <w:rPr>
                <w:rFonts w:asciiTheme="minorHAnsi" w:hAnsiTheme="minorHAnsi" w:cstheme="minorHAnsi"/>
                <w:b/>
                <w:color w:val="404040"/>
                <w:sz w:val="28"/>
                <w:szCs w:val="28"/>
                <w:lang w:eastAsia="en-AU"/>
              </w:rPr>
            </w:pPr>
            <w:bookmarkStart w:id="140" w:name="_Toc130465899"/>
            <w:r w:rsidRPr="003C25B1">
              <w:rPr>
                <w:rFonts w:asciiTheme="minorHAnsi" w:hAnsiTheme="minorHAnsi" w:cstheme="minorHAnsi"/>
                <w:b/>
                <w:color w:val="404040"/>
                <w:sz w:val="28"/>
                <w:szCs w:val="28"/>
                <w:lang w:eastAsia="en-AU"/>
              </w:rPr>
              <w:t>Legislation</w:t>
            </w:r>
            <w:bookmarkEnd w:id="140"/>
          </w:p>
        </w:tc>
        <w:tc>
          <w:tcPr>
            <w:tcW w:w="3914" w:type="dxa"/>
            <w:shd w:val="clear" w:color="auto" w:fill="B8CBD6"/>
            <w:vAlign w:val="center"/>
          </w:tcPr>
          <w:p w14:paraId="2E828BD4" w14:textId="2E49F9A5" w:rsidR="00831411" w:rsidRPr="003C25B1" w:rsidRDefault="00831411" w:rsidP="001F4398">
            <w:pPr>
              <w:pStyle w:val="Heading3"/>
              <w:rPr>
                <w:rFonts w:asciiTheme="minorHAnsi" w:hAnsiTheme="minorHAnsi" w:cstheme="minorHAnsi"/>
                <w:b/>
                <w:color w:val="404040"/>
                <w:sz w:val="28"/>
                <w:szCs w:val="28"/>
                <w:lang w:eastAsia="en-AU"/>
              </w:rPr>
            </w:pPr>
            <w:bookmarkStart w:id="141" w:name="_Toc130465900"/>
            <w:r w:rsidRPr="003C25B1">
              <w:rPr>
                <w:rFonts w:asciiTheme="minorHAnsi" w:hAnsiTheme="minorHAnsi" w:cstheme="minorHAnsi"/>
                <w:b/>
                <w:color w:val="404040"/>
                <w:sz w:val="28"/>
                <w:szCs w:val="28"/>
                <w:lang w:eastAsia="en-AU"/>
              </w:rPr>
              <w:t>Provision</w:t>
            </w:r>
            <w:bookmarkEnd w:id="141"/>
          </w:p>
        </w:tc>
      </w:tr>
      <w:tr w:rsidR="00831411" w:rsidRPr="00831411" w14:paraId="378A4053" w14:textId="77777777" w:rsidTr="003C25B1">
        <w:trPr>
          <w:trHeight w:val="567"/>
        </w:trPr>
        <w:tc>
          <w:tcPr>
            <w:tcW w:w="5440" w:type="dxa"/>
            <w:shd w:val="clear" w:color="auto" w:fill="auto"/>
            <w:vAlign w:val="center"/>
            <w:hideMark/>
          </w:tcPr>
          <w:p w14:paraId="31B6461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 New Tax System (Australian Business Number) Act 1999</w:t>
            </w:r>
          </w:p>
        </w:tc>
        <w:tc>
          <w:tcPr>
            <w:tcW w:w="3914" w:type="dxa"/>
            <w:shd w:val="clear" w:color="auto" w:fill="auto"/>
            <w:vAlign w:val="center"/>
            <w:hideMark/>
          </w:tcPr>
          <w:p w14:paraId="38ABF2B1" w14:textId="28881A19"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30</w:t>
            </w:r>
          </w:p>
        </w:tc>
      </w:tr>
      <w:tr w:rsidR="00831411" w:rsidRPr="00831411" w14:paraId="116BC3BE" w14:textId="77777777" w:rsidTr="003C25B1">
        <w:trPr>
          <w:trHeight w:val="567"/>
        </w:trPr>
        <w:tc>
          <w:tcPr>
            <w:tcW w:w="5440" w:type="dxa"/>
            <w:shd w:val="clear" w:color="auto" w:fill="auto"/>
            <w:vAlign w:val="center"/>
            <w:hideMark/>
          </w:tcPr>
          <w:p w14:paraId="4DD289B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 New Tax System (Family Assistance) (Administration) Act 1999</w:t>
            </w:r>
          </w:p>
        </w:tc>
        <w:tc>
          <w:tcPr>
            <w:tcW w:w="3914" w:type="dxa"/>
            <w:shd w:val="clear" w:color="auto" w:fill="auto"/>
            <w:vAlign w:val="center"/>
            <w:hideMark/>
          </w:tcPr>
          <w:p w14:paraId="20F9277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163; 164; 165; 166</w:t>
            </w:r>
          </w:p>
        </w:tc>
      </w:tr>
      <w:tr w:rsidR="00831411" w:rsidRPr="00831411" w14:paraId="2DA7319B" w14:textId="77777777" w:rsidTr="003C25B1">
        <w:trPr>
          <w:trHeight w:val="567"/>
        </w:trPr>
        <w:tc>
          <w:tcPr>
            <w:tcW w:w="5440" w:type="dxa"/>
            <w:shd w:val="clear" w:color="auto" w:fill="auto"/>
            <w:vAlign w:val="center"/>
            <w:hideMark/>
          </w:tcPr>
          <w:p w14:paraId="6E411CB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Aboriginal and Torres Strait Islander Act 2005</w:t>
            </w:r>
          </w:p>
        </w:tc>
        <w:tc>
          <w:tcPr>
            <w:tcW w:w="3914" w:type="dxa"/>
            <w:shd w:val="clear" w:color="auto" w:fill="auto"/>
            <w:vAlign w:val="center"/>
            <w:hideMark/>
          </w:tcPr>
          <w:p w14:paraId="52F8CB9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193S; 200A</w:t>
            </w:r>
          </w:p>
        </w:tc>
      </w:tr>
      <w:tr w:rsidR="00831411" w:rsidRPr="00831411" w14:paraId="6108962E" w14:textId="77777777" w:rsidTr="003C25B1">
        <w:trPr>
          <w:trHeight w:val="567"/>
        </w:trPr>
        <w:tc>
          <w:tcPr>
            <w:tcW w:w="5440" w:type="dxa"/>
            <w:shd w:val="clear" w:color="auto" w:fill="auto"/>
            <w:vAlign w:val="center"/>
            <w:hideMark/>
          </w:tcPr>
          <w:p w14:paraId="0226C14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Aboriginal Land Rights (Northern Territory) Act 1976</w:t>
            </w:r>
          </w:p>
        </w:tc>
        <w:tc>
          <w:tcPr>
            <w:tcW w:w="3914" w:type="dxa"/>
            <w:shd w:val="clear" w:color="auto" w:fill="auto"/>
            <w:vAlign w:val="center"/>
            <w:hideMark/>
          </w:tcPr>
          <w:p w14:paraId="23D2977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23E; 54AA</w:t>
            </w:r>
          </w:p>
        </w:tc>
      </w:tr>
      <w:tr w:rsidR="00831411" w:rsidRPr="00831411" w14:paraId="23323662" w14:textId="77777777" w:rsidTr="003C25B1">
        <w:trPr>
          <w:trHeight w:val="567"/>
        </w:trPr>
        <w:tc>
          <w:tcPr>
            <w:tcW w:w="5440" w:type="dxa"/>
            <w:shd w:val="clear" w:color="auto" w:fill="auto"/>
            <w:vAlign w:val="center"/>
            <w:hideMark/>
          </w:tcPr>
          <w:p w14:paraId="2176422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Administrative Appeals Tribunal Act 1975</w:t>
            </w:r>
          </w:p>
        </w:tc>
        <w:tc>
          <w:tcPr>
            <w:tcW w:w="3914" w:type="dxa"/>
            <w:shd w:val="clear" w:color="auto" w:fill="auto"/>
            <w:vAlign w:val="center"/>
            <w:hideMark/>
          </w:tcPr>
          <w:p w14:paraId="50D5553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39A (10)</w:t>
            </w:r>
          </w:p>
        </w:tc>
      </w:tr>
      <w:tr w:rsidR="00831411" w:rsidRPr="00831411" w14:paraId="57152986" w14:textId="77777777" w:rsidTr="003C25B1">
        <w:trPr>
          <w:trHeight w:val="567"/>
        </w:trPr>
        <w:tc>
          <w:tcPr>
            <w:tcW w:w="5440" w:type="dxa"/>
            <w:shd w:val="clear" w:color="auto" w:fill="auto"/>
            <w:vAlign w:val="center"/>
            <w:hideMark/>
          </w:tcPr>
          <w:p w14:paraId="585D118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Age Discrimination Act 2004</w:t>
            </w:r>
          </w:p>
        </w:tc>
        <w:tc>
          <w:tcPr>
            <w:tcW w:w="3914" w:type="dxa"/>
            <w:shd w:val="clear" w:color="auto" w:fill="auto"/>
            <w:vAlign w:val="center"/>
            <w:hideMark/>
          </w:tcPr>
          <w:p w14:paraId="0577917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60 </w:t>
            </w:r>
          </w:p>
        </w:tc>
      </w:tr>
      <w:tr w:rsidR="00831411" w:rsidRPr="00831411" w14:paraId="7FBA23EF" w14:textId="77777777" w:rsidTr="003C25B1">
        <w:trPr>
          <w:trHeight w:val="567"/>
        </w:trPr>
        <w:tc>
          <w:tcPr>
            <w:tcW w:w="5440" w:type="dxa"/>
            <w:shd w:val="clear" w:color="auto" w:fill="auto"/>
            <w:vAlign w:val="center"/>
            <w:hideMark/>
          </w:tcPr>
          <w:p w14:paraId="61E6CD99"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Aged Care Act 1997</w:t>
            </w:r>
          </w:p>
        </w:tc>
        <w:tc>
          <w:tcPr>
            <w:tcW w:w="3914" w:type="dxa"/>
            <w:shd w:val="clear" w:color="auto" w:fill="auto"/>
            <w:vAlign w:val="center"/>
            <w:hideMark/>
          </w:tcPr>
          <w:p w14:paraId="6E6A5134"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ss 86-2(1); </w:t>
            </w:r>
            <w:r w:rsidRPr="00831411">
              <w:rPr>
                <w:rFonts w:asciiTheme="minorHAnsi" w:eastAsia="Times New Roman" w:hAnsiTheme="minorHAnsi" w:cstheme="minorHAnsi"/>
                <w:color w:val="000000"/>
                <w:lang w:eastAsia="en-AU"/>
              </w:rPr>
              <w:t>86-5; 86-6; 86-7</w:t>
            </w:r>
          </w:p>
        </w:tc>
      </w:tr>
      <w:tr w:rsidR="00831411" w:rsidRPr="00831411" w14:paraId="11CA812E" w14:textId="77777777" w:rsidTr="003C25B1">
        <w:trPr>
          <w:trHeight w:val="567"/>
        </w:trPr>
        <w:tc>
          <w:tcPr>
            <w:tcW w:w="5440" w:type="dxa"/>
            <w:shd w:val="clear" w:color="auto" w:fill="auto"/>
            <w:vAlign w:val="center"/>
            <w:hideMark/>
          </w:tcPr>
          <w:p w14:paraId="2301855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Aged Care Quality and Safety Commission Act 2018</w:t>
            </w:r>
          </w:p>
        </w:tc>
        <w:tc>
          <w:tcPr>
            <w:tcW w:w="3914" w:type="dxa"/>
            <w:shd w:val="clear" w:color="auto" w:fill="auto"/>
            <w:vAlign w:val="center"/>
            <w:hideMark/>
          </w:tcPr>
          <w:p w14:paraId="0C64CAF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60(1); 62</w:t>
            </w:r>
          </w:p>
        </w:tc>
      </w:tr>
      <w:tr w:rsidR="00831411" w:rsidRPr="00831411" w14:paraId="79AD7638" w14:textId="77777777" w:rsidTr="003C25B1">
        <w:trPr>
          <w:trHeight w:val="567"/>
        </w:trPr>
        <w:tc>
          <w:tcPr>
            <w:tcW w:w="5440" w:type="dxa"/>
            <w:shd w:val="clear" w:color="auto" w:fill="auto"/>
            <w:vAlign w:val="center"/>
            <w:hideMark/>
          </w:tcPr>
          <w:p w14:paraId="20CA7E5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Agricultural and Veterinary Chemicals Code Act 1994</w:t>
            </w:r>
          </w:p>
        </w:tc>
        <w:tc>
          <w:tcPr>
            <w:tcW w:w="3914" w:type="dxa"/>
            <w:shd w:val="clear" w:color="auto" w:fill="auto"/>
            <w:vAlign w:val="center"/>
            <w:hideMark/>
          </w:tcPr>
          <w:p w14:paraId="135D345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162(1); 163</w:t>
            </w:r>
          </w:p>
        </w:tc>
      </w:tr>
      <w:tr w:rsidR="00831411" w:rsidRPr="00831411" w14:paraId="3E3B54C5" w14:textId="77777777" w:rsidTr="003C25B1">
        <w:trPr>
          <w:trHeight w:val="567"/>
        </w:trPr>
        <w:tc>
          <w:tcPr>
            <w:tcW w:w="5440" w:type="dxa"/>
            <w:shd w:val="clear" w:color="auto" w:fill="auto"/>
            <w:vAlign w:val="center"/>
            <w:hideMark/>
          </w:tcPr>
          <w:p w14:paraId="0E9D3E4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Agricultural and Veterinary Chemicals Code Regulations 1995</w:t>
            </w:r>
          </w:p>
        </w:tc>
        <w:tc>
          <w:tcPr>
            <w:tcW w:w="3914" w:type="dxa"/>
            <w:shd w:val="clear" w:color="auto" w:fill="auto"/>
            <w:vAlign w:val="center"/>
            <w:hideMark/>
          </w:tcPr>
          <w:p w14:paraId="416AEE0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69(3) </w:t>
            </w:r>
          </w:p>
        </w:tc>
      </w:tr>
      <w:tr w:rsidR="00831411" w:rsidRPr="00831411" w14:paraId="177629B0" w14:textId="77777777" w:rsidTr="003C25B1">
        <w:trPr>
          <w:trHeight w:val="567"/>
        </w:trPr>
        <w:tc>
          <w:tcPr>
            <w:tcW w:w="5440" w:type="dxa"/>
            <w:shd w:val="clear" w:color="auto" w:fill="auto"/>
            <w:vAlign w:val="center"/>
            <w:hideMark/>
          </w:tcPr>
          <w:p w14:paraId="052FE09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Anti-Money Laundering and Counter-Terrorism Financing Act 2006</w:t>
            </w:r>
          </w:p>
        </w:tc>
        <w:tc>
          <w:tcPr>
            <w:tcW w:w="3914" w:type="dxa"/>
            <w:shd w:val="clear" w:color="auto" w:fill="auto"/>
            <w:vAlign w:val="center"/>
            <w:hideMark/>
          </w:tcPr>
          <w:p w14:paraId="18C6A35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121(1), (5), (6); 123(1), (2), (5C), (7AA), (7AC), (7B), (8A); 126; 128; 129; 207; 35</w:t>
            </w:r>
            <w:proofErr w:type="gramStart"/>
            <w:r w:rsidRPr="00831411">
              <w:rPr>
                <w:rFonts w:asciiTheme="minorHAnsi" w:eastAsia="Times New Roman" w:hAnsiTheme="minorHAnsi" w:cstheme="minorHAnsi"/>
                <w:color w:val="000000"/>
                <w:lang w:eastAsia="en-AU"/>
              </w:rPr>
              <w:t>H(</w:t>
            </w:r>
            <w:proofErr w:type="gramEnd"/>
            <w:r w:rsidRPr="00831411">
              <w:rPr>
                <w:rFonts w:asciiTheme="minorHAnsi" w:eastAsia="Times New Roman" w:hAnsiTheme="minorHAnsi" w:cstheme="minorHAnsi"/>
                <w:color w:val="000000"/>
                <w:lang w:eastAsia="en-AU"/>
              </w:rPr>
              <w:t xml:space="preserve">1); 35J; 35K(1); 50A(1) </w:t>
            </w:r>
          </w:p>
        </w:tc>
      </w:tr>
      <w:tr w:rsidR="00831411" w:rsidRPr="00831411" w14:paraId="0F33EDD8" w14:textId="77777777" w:rsidTr="003C25B1">
        <w:trPr>
          <w:trHeight w:val="567"/>
        </w:trPr>
        <w:tc>
          <w:tcPr>
            <w:tcW w:w="5440" w:type="dxa"/>
            <w:shd w:val="clear" w:color="auto" w:fill="auto"/>
            <w:vAlign w:val="center"/>
            <w:hideMark/>
          </w:tcPr>
          <w:p w14:paraId="2B2A04E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Auditor-General Act 1997</w:t>
            </w:r>
          </w:p>
        </w:tc>
        <w:tc>
          <w:tcPr>
            <w:tcW w:w="3914" w:type="dxa"/>
            <w:shd w:val="clear" w:color="auto" w:fill="auto"/>
            <w:vAlign w:val="center"/>
            <w:hideMark/>
          </w:tcPr>
          <w:p w14:paraId="060BD69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36; 48</w:t>
            </w:r>
          </w:p>
        </w:tc>
      </w:tr>
      <w:tr w:rsidR="00831411" w:rsidRPr="00831411" w14:paraId="22666C84" w14:textId="77777777" w:rsidTr="003C25B1">
        <w:trPr>
          <w:trHeight w:val="567"/>
        </w:trPr>
        <w:tc>
          <w:tcPr>
            <w:tcW w:w="5440" w:type="dxa"/>
            <w:shd w:val="clear" w:color="auto" w:fill="auto"/>
            <w:vAlign w:val="center"/>
            <w:hideMark/>
          </w:tcPr>
          <w:p w14:paraId="56383788"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AusCheck</w:t>
            </w:r>
            <w:proofErr w:type="spellEnd"/>
            <w:r w:rsidRPr="00831411">
              <w:rPr>
                <w:rFonts w:asciiTheme="minorHAnsi" w:eastAsia="Times New Roman" w:hAnsiTheme="minorHAnsi" w:cstheme="minorHAnsi"/>
                <w:i/>
                <w:color w:val="000000"/>
                <w:lang w:eastAsia="en-AU"/>
              </w:rPr>
              <w:t xml:space="preserve"> Act 2007</w:t>
            </w:r>
          </w:p>
        </w:tc>
        <w:tc>
          <w:tcPr>
            <w:tcW w:w="3914" w:type="dxa"/>
            <w:shd w:val="clear" w:color="auto" w:fill="auto"/>
            <w:vAlign w:val="center"/>
            <w:hideMark/>
          </w:tcPr>
          <w:p w14:paraId="45B741D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15(1), (1A)</w:t>
            </w:r>
          </w:p>
        </w:tc>
      </w:tr>
      <w:tr w:rsidR="00831411" w:rsidRPr="00831411" w14:paraId="147D5754" w14:textId="77777777" w:rsidTr="003C25B1">
        <w:trPr>
          <w:trHeight w:val="567"/>
        </w:trPr>
        <w:tc>
          <w:tcPr>
            <w:tcW w:w="5440" w:type="dxa"/>
            <w:shd w:val="clear" w:color="auto" w:fill="auto"/>
            <w:vAlign w:val="center"/>
            <w:hideMark/>
          </w:tcPr>
          <w:p w14:paraId="4E5DC46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Border Force Act 2015</w:t>
            </w:r>
          </w:p>
        </w:tc>
        <w:tc>
          <w:tcPr>
            <w:tcW w:w="3914" w:type="dxa"/>
            <w:shd w:val="clear" w:color="auto" w:fill="auto"/>
            <w:vAlign w:val="center"/>
            <w:hideMark/>
          </w:tcPr>
          <w:p w14:paraId="7E44124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42</w:t>
            </w:r>
          </w:p>
        </w:tc>
      </w:tr>
      <w:tr w:rsidR="00831411" w:rsidRPr="00831411" w14:paraId="213F9870" w14:textId="77777777" w:rsidTr="003C25B1">
        <w:trPr>
          <w:trHeight w:val="567"/>
        </w:trPr>
        <w:tc>
          <w:tcPr>
            <w:tcW w:w="5440" w:type="dxa"/>
            <w:shd w:val="clear" w:color="auto" w:fill="auto"/>
            <w:vAlign w:val="center"/>
            <w:hideMark/>
          </w:tcPr>
          <w:p w14:paraId="278BF3F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Charities and Not-for-profits Commission Act 2012</w:t>
            </w:r>
          </w:p>
        </w:tc>
        <w:tc>
          <w:tcPr>
            <w:tcW w:w="3914" w:type="dxa"/>
            <w:shd w:val="clear" w:color="auto" w:fill="auto"/>
            <w:vAlign w:val="center"/>
            <w:hideMark/>
          </w:tcPr>
          <w:p w14:paraId="3F1B9C15" w14:textId="77777777" w:rsidR="00831411" w:rsidRPr="00831411" w:rsidRDefault="00831411" w:rsidP="00485D14">
            <w:pPr>
              <w:rPr>
                <w:rFonts w:asciiTheme="minorHAnsi" w:hAnsiTheme="minorHAnsi" w:cstheme="minorHAnsi"/>
                <w:lang w:eastAsia="en-AU"/>
              </w:rPr>
            </w:pPr>
            <w:r w:rsidRPr="00831411">
              <w:rPr>
                <w:rFonts w:asciiTheme="minorHAnsi" w:eastAsia="Times New Roman" w:hAnsiTheme="minorHAnsi" w:cstheme="minorHAnsi"/>
                <w:color w:val="000000"/>
                <w:lang w:eastAsia="en-AU"/>
              </w:rPr>
              <w:t>ss 150-25; 150-55</w:t>
            </w:r>
          </w:p>
        </w:tc>
      </w:tr>
      <w:tr w:rsidR="00831411" w:rsidRPr="00831411" w14:paraId="6891C170" w14:textId="77777777" w:rsidTr="003C25B1">
        <w:trPr>
          <w:trHeight w:val="567"/>
        </w:trPr>
        <w:tc>
          <w:tcPr>
            <w:tcW w:w="5440" w:type="dxa"/>
            <w:shd w:val="clear" w:color="auto" w:fill="auto"/>
            <w:vAlign w:val="center"/>
            <w:hideMark/>
          </w:tcPr>
          <w:p w14:paraId="1FC7CD1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Citizenship Act 2007</w:t>
            </w:r>
          </w:p>
        </w:tc>
        <w:tc>
          <w:tcPr>
            <w:tcW w:w="3914" w:type="dxa"/>
            <w:shd w:val="clear" w:color="auto" w:fill="auto"/>
            <w:vAlign w:val="center"/>
            <w:hideMark/>
          </w:tcPr>
          <w:p w14:paraId="4F14B5D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42; 43</w:t>
            </w:r>
          </w:p>
        </w:tc>
      </w:tr>
      <w:tr w:rsidR="00831411" w:rsidRPr="00831411" w14:paraId="3D1D9FBC" w14:textId="77777777" w:rsidTr="003C25B1">
        <w:trPr>
          <w:trHeight w:val="567"/>
        </w:trPr>
        <w:tc>
          <w:tcPr>
            <w:tcW w:w="5440" w:type="dxa"/>
            <w:shd w:val="clear" w:color="auto" w:fill="auto"/>
            <w:vAlign w:val="center"/>
            <w:hideMark/>
          </w:tcPr>
          <w:p w14:paraId="3AB6E3F1"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Crime Commission Act 2002</w:t>
            </w:r>
          </w:p>
        </w:tc>
        <w:tc>
          <w:tcPr>
            <w:tcW w:w="3914" w:type="dxa"/>
            <w:shd w:val="clear" w:color="auto" w:fill="auto"/>
            <w:vAlign w:val="center"/>
            <w:hideMark/>
          </w:tcPr>
          <w:p w14:paraId="155370D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21</w:t>
            </w:r>
            <w:proofErr w:type="gramStart"/>
            <w:r w:rsidRPr="00831411">
              <w:rPr>
                <w:rFonts w:asciiTheme="minorHAnsi" w:eastAsia="Times New Roman" w:hAnsiTheme="minorHAnsi" w:cstheme="minorHAnsi"/>
                <w:lang w:eastAsia="en-AU"/>
              </w:rPr>
              <w:t>C(</w:t>
            </w:r>
            <w:proofErr w:type="gramEnd"/>
            <w:r w:rsidRPr="00831411">
              <w:rPr>
                <w:rFonts w:asciiTheme="minorHAnsi" w:eastAsia="Times New Roman" w:hAnsiTheme="minorHAnsi" w:cstheme="minorHAnsi"/>
                <w:lang w:eastAsia="en-AU"/>
              </w:rPr>
              <w:t>1); 25A(9);</w:t>
            </w:r>
            <w:r w:rsidRPr="00831411">
              <w:rPr>
                <w:rFonts w:asciiTheme="minorHAnsi" w:eastAsia="Times New Roman" w:hAnsiTheme="minorHAnsi" w:cstheme="minorHAnsi"/>
                <w:color w:val="000000"/>
                <w:lang w:eastAsia="en-AU"/>
              </w:rPr>
              <w:t> 29B; 51; 59AB; 36Q</w:t>
            </w:r>
          </w:p>
        </w:tc>
      </w:tr>
      <w:tr w:rsidR="00831411" w:rsidRPr="00831411" w14:paraId="54176D84" w14:textId="77777777" w:rsidTr="003C25B1">
        <w:trPr>
          <w:trHeight w:val="567"/>
        </w:trPr>
        <w:tc>
          <w:tcPr>
            <w:tcW w:w="5440" w:type="dxa"/>
            <w:shd w:val="clear" w:color="auto" w:fill="auto"/>
            <w:vAlign w:val="center"/>
            <w:hideMark/>
          </w:tcPr>
          <w:p w14:paraId="3485B3C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Federal Police Act 1979</w:t>
            </w:r>
          </w:p>
        </w:tc>
        <w:tc>
          <w:tcPr>
            <w:tcW w:w="3914" w:type="dxa"/>
            <w:shd w:val="clear" w:color="auto" w:fill="auto"/>
            <w:vAlign w:val="center"/>
            <w:hideMark/>
          </w:tcPr>
          <w:p w14:paraId="084EDA4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40ZA; 60A</w:t>
            </w:r>
          </w:p>
        </w:tc>
      </w:tr>
      <w:tr w:rsidR="00831411" w:rsidRPr="00831411" w14:paraId="3BDE6212" w14:textId="77777777" w:rsidTr="003C25B1">
        <w:trPr>
          <w:trHeight w:val="567"/>
        </w:trPr>
        <w:tc>
          <w:tcPr>
            <w:tcW w:w="5440" w:type="dxa"/>
            <w:shd w:val="clear" w:color="auto" w:fill="auto"/>
            <w:vAlign w:val="center"/>
            <w:hideMark/>
          </w:tcPr>
          <w:p w14:paraId="21D1377F"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Hearing Services Act 1991</w:t>
            </w:r>
          </w:p>
        </w:tc>
        <w:tc>
          <w:tcPr>
            <w:tcW w:w="3914" w:type="dxa"/>
            <w:shd w:val="clear" w:color="auto" w:fill="auto"/>
            <w:vAlign w:val="center"/>
            <w:hideMark/>
          </w:tcPr>
          <w:p w14:paraId="724AD51B"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67(8) </w:t>
            </w:r>
          </w:p>
        </w:tc>
      </w:tr>
      <w:tr w:rsidR="00831411" w:rsidRPr="00831411" w14:paraId="50E960F2" w14:textId="77777777" w:rsidTr="003C25B1">
        <w:trPr>
          <w:trHeight w:val="567"/>
        </w:trPr>
        <w:tc>
          <w:tcPr>
            <w:tcW w:w="5440" w:type="dxa"/>
            <w:shd w:val="clear" w:color="auto" w:fill="auto"/>
            <w:vAlign w:val="center"/>
            <w:hideMark/>
          </w:tcPr>
          <w:p w14:paraId="5D6530B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Human Rights Commission Act 1986</w:t>
            </w:r>
          </w:p>
        </w:tc>
        <w:tc>
          <w:tcPr>
            <w:tcW w:w="3914" w:type="dxa"/>
            <w:shd w:val="clear" w:color="auto" w:fill="auto"/>
            <w:vAlign w:val="center"/>
            <w:hideMark/>
          </w:tcPr>
          <w:p w14:paraId="0E0AD71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49</w:t>
            </w:r>
          </w:p>
        </w:tc>
      </w:tr>
      <w:tr w:rsidR="00831411" w:rsidRPr="00831411" w14:paraId="5A3DC9E5" w14:textId="77777777" w:rsidTr="003C25B1">
        <w:trPr>
          <w:trHeight w:val="567"/>
        </w:trPr>
        <w:tc>
          <w:tcPr>
            <w:tcW w:w="5440" w:type="dxa"/>
            <w:shd w:val="clear" w:color="auto" w:fill="auto"/>
            <w:vAlign w:val="center"/>
            <w:hideMark/>
          </w:tcPr>
          <w:p w14:paraId="2438FF7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Australian </w:t>
            </w:r>
            <w:proofErr w:type="spellStart"/>
            <w:r w:rsidRPr="00831411">
              <w:rPr>
                <w:rFonts w:asciiTheme="minorHAnsi" w:eastAsia="Times New Roman" w:hAnsiTheme="minorHAnsi" w:cstheme="minorHAnsi"/>
                <w:i/>
                <w:color w:val="000000"/>
                <w:lang w:eastAsia="en-AU"/>
              </w:rPr>
              <w:t>Immunisation</w:t>
            </w:r>
            <w:proofErr w:type="spellEnd"/>
            <w:r w:rsidRPr="00831411">
              <w:rPr>
                <w:rFonts w:asciiTheme="minorHAnsi" w:eastAsia="Times New Roman" w:hAnsiTheme="minorHAnsi" w:cstheme="minorHAnsi"/>
                <w:i/>
                <w:color w:val="000000"/>
                <w:lang w:eastAsia="en-AU"/>
              </w:rPr>
              <w:t xml:space="preserve"> Register Act 2015</w:t>
            </w:r>
          </w:p>
        </w:tc>
        <w:tc>
          <w:tcPr>
            <w:tcW w:w="3914" w:type="dxa"/>
            <w:shd w:val="clear" w:color="auto" w:fill="auto"/>
            <w:vAlign w:val="center"/>
            <w:hideMark/>
          </w:tcPr>
          <w:p w14:paraId="39ADC3D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23</w:t>
            </w:r>
          </w:p>
        </w:tc>
      </w:tr>
      <w:tr w:rsidR="00831411" w:rsidRPr="00831411" w14:paraId="3BD69F87" w14:textId="77777777" w:rsidTr="003C25B1">
        <w:trPr>
          <w:trHeight w:val="567"/>
        </w:trPr>
        <w:tc>
          <w:tcPr>
            <w:tcW w:w="5440" w:type="dxa"/>
            <w:shd w:val="clear" w:color="auto" w:fill="auto"/>
            <w:vAlign w:val="center"/>
            <w:hideMark/>
          </w:tcPr>
          <w:p w14:paraId="0F772D0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 xml:space="preserve">Australian Information Commissioner Act 2010 </w:t>
            </w:r>
          </w:p>
        </w:tc>
        <w:tc>
          <w:tcPr>
            <w:tcW w:w="3914" w:type="dxa"/>
            <w:shd w:val="clear" w:color="auto" w:fill="auto"/>
            <w:vAlign w:val="center"/>
            <w:hideMark/>
          </w:tcPr>
          <w:p w14:paraId="6A0779C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29 </w:t>
            </w:r>
          </w:p>
        </w:tc>
      </w:tr>
      <w:tr w:rsidR="00831411" w:rsidRPr="00831411" w14:paraId="136ED828" w14:textId="77777777" w:rsidTr="003C25B1">
        <w:trPr>
          <w:trHeight w:val="567"/>
        </w:trPr>
        <w:tc>
          <w:tcPr>
            <w:tcW w:w="5440" w:type="dxa"/>
            <w:shd w:val="clear" w:color="auto" w:fill="auto"/>
            <w:vAlign w:val="center"/>
            <w:hideMark/>
          </w:tcPr>
          <w:p w14:paraId="33B2E3A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Institute of Health and Welfare Act 1987</w:t>
            </w:r>
          </w:p>
        </w:tc>
        <w:tc>
          <w:tcPr>
            <w:tcW w:w="3914" w:type="dxa"/>
            <w:shd w:val="clear" w:color="auto" w:fill="auto"/>
            <w:vAlign w:val="center"/>
            <w:hideMark/>
          </w:tcPr>
          <w:p w14:paraId="70D4167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29(1), (3)</w:t>
            </w:r>
          </w:p>
        </w:tc>
      </w:tr>
      <w:tr w:rsidR="00831411" w:rsidRPr="00831411" w14:paraId="7157A552" w14:textId="77777777" w:rsidTr="003C25B1">
        <w:trPr>
          <w:trHeight w:val="567"/>
        </w:trPr>
        <w:tc>
          <w:tcPr>
            <w:tcW w:w="5440" w:type="dxa"/>
            <w:shd w:val="clear" w:color="auto" w:fill="auto"/>
            <w:vAlign w:val="center"/>
            <w:hideMark/>
          </w:tcPr>
          <w:p w14:paraId="1E67330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Australian Jobs Act 2013 </w:t>
            </w:r>
          </w:p>
        </w:tc>
        <w:tc>
          <w:tcPr>
            <w:tcW w:w="3914" w:type="dxa"/>
            <w:shd w:val="clear" w:color="auto" w:fill="auto"/>
            <w:vAlign w:val="center"/>
            <w:hideMark/>
          </w:tcPr>
          <w:p w14:paraId="781C50E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102 </w:t>
            </w:r>
          </w:p>
        </w:tc>
      </w:tr>
      <w:tr w:rsidR="00831411" w:rsidRPr="00831411" w14:paraId="334BF764" w14:textId="77777777" w:rsidTr="003C25B1">
        <w:trPr>
          <w:trHeight w:val="567"/>
        </w:trPr>
        <w:tc>
          <w:tcPr>
            <w:tcW w:w="5440" w:type="dxa"/>
            <w:shd w:val="clear" w:color="auto" w:fill="auto"/>
            <w:vAlign w:val="center"/>
            <w:hideMark/>
          </w:tcPr>
          <w:p w14:paraId="4A6E360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Australian Postal Corporation Act 1989 </w:t>
            </w:r>
          </w:p>
        </w:tc>
        <w:tc>
          <w:tcPr>
            <w:tcW w:w="3914" w:type="dxa"/>
            <w:shd w:val="clear" w:color="auto" w:fill="auto"/>
            <w:vAlign w:val="center"/>
            <w:hideMark/>
          </w:tcPr>
          <w:p w14:paraId="011C3C8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90H; 90LB; 90LE</w:t>
            </w:r>
          </w:p>
        </w:tc>
      </w:tr>
      <w:tr w:rsidR="00831411" w:rsidRPr="00831411" w14:paraId="2D5BEDD9" w14:textId="77777777" w:rsidTr="003C25B1">
        <w:trPr>
          <w:trHeight w:val="567"/>
        </w:trPr>
        <w:tc>
          <w:tcPr>
            <w:tcW w:w="5440" w:type="dxa"/>
            <w:shd w:val="clear" w:color="auto" w:fill="auto"/>
            <w:vAlign w:val="center"/>
            <w:hideMark/>
          </w:tcPr>
          <w:p w14:paraId="045E8F1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Prudential Regulation Authority Act 1998</w:t>
            </w:r>
          </w:p>
        </w:tc>
        <w:tc>
          <w:tcPr>
            <w:tcW w:w="3914" w:type="dxa"/>
            <w:shd w:val="clear" w:color="auto" w:fill="auto"/>
            <w:vAlign w:val="center"/>
            <w:hideMark/>
          </w:tcPr>
          <w:p w14:paraId="3AA37F6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56 </w:t>
            </w:r>
          </w:p>
        </w:tc>
      </w:tr>
      <w:tr w:rsidR="00831411" w:rsidRPr="00831411" w14:paraId="3722F485" w14:textId="77777777" w:rsidTr="003C25B1">
        <w:trPr>
          <w:trHeight w:val="567"/>
        </w:trPr>
        <w:tc>
          <w:tcPr>
            <w:tcW w:w="5440" w:type="dxa"/>
            <w:shd w:val="clear" w:color="auto" w:fill="auto"/>
            <w:vAlign w:val="center"/>
            <w:hideMark/>
          </w:tcPr>
          <w:p w14:paraId="3AC0620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Securities and Investments Commission Act 2001</w:t>
            </w:r>
          </w:p>
        </w:tc>
        <w:tc>
          <w:tcPr>
            <w:tcW w:w="3914" w:type="dxa"/>
            <w:shd w:val="clear" w:color="auto" w:fill="auto"/>
            <w:vAlign w:val="center"/>
            <w:hideMark/>
          </w:tcPr>
          <w:p w14:paraId="017D188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127(4E), (4EA), (4EB), (4F)</w:t>
            </w:r>
          </w:p>
        </w:tc>
      </w:tr>
      <w:tr w:rsidR="00831411" w:rsidRPr="00831411" w14:paraId="629B537D" w14:textId="77777777" w:rsidTr="003C25B1">
        <w:trPr>
          <w:trHeight w:val="567"/>
        </w:trPr>
        <w:tc>
          <w:tcPr>
            <w:tcW w:w="5440" w:type="dxa"/>
            <w:shd w:val="clear" w:color="auto" w:fill="auto"/>
            <w:vAlign w:val="center"/>
            <w:hideMark/>
          </w:tcPr>
          <w:p w14:paraId="530B675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Australian Security Intelligence </w:t>
            </w:r>
            <w:proofErr w:type="spellStart"/>
            <w:r w:rsidRPr="00831411">
              <w:rPr>
                <w:rFonts w:asciiTheme="minorHAnsi" w:eastAsia="Times New Roman" w:hAnsiTheme="minorHAnsi" w:cstheme="minorHAnsi"/>
                <w:i/>
                <w:color w:val="000000"/>
                <w:lang w:eastAsia="en-AU"/>
              </w:rPr>
              <w:t>Organisation</w:t>
            </w:r>
            <w:proofErr w:type="spellEnd"/>
            <w:r w:rsidRPr="00831411">
              <w:rPr>
                <w:rFonts w:asciiTheme="minorHAnsi" w:eastAsia="Times New Roman" w:hAnsiTheme="minorHAnsi" w:cstheme="minorHAnsi"/>
                <w:i/>
                <w:color w:val="000000"/>
                <w:lang w:eastAsia="en-AU"/>
              </w:rPr>
              <w:t xml:space="preserve"> Act 1979</w:t>
            </w:r>
          </w:p>
        </w:tc>
        <w:tc>
          <w:tcPr>
            <w:tcW w:w="3914" w:type="dxa"/>
            <w:shd w:val="clear" w:color="auto" w:fill="auto"/>
            <w:vAlign w:val="center"/>
            <w:hideMark/>
          </w:tcPr>
          <w:p w14:paraId="77891FF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18(2); 18A; 18B; 34</w:t>
            </w:r>
            <w:proofErr w:type="gramStart"/>
            <w:r w:rsidRPr="00831411">
              <w:rPr>
                <w:rFonts w:asciiTheme="minorHAnsi" w:eastAsia="Times New Roman" w:hAnsiTheme="minorHAnsi" w:cstheme="minorHAnsi"/>
                <w:color w:val="000000"/>
                <w:lang w:eastAsia="en-AU"/>
              </w:rPr>
              <w:t>GE(</w:t>
            </w:r>
            <w:proofErr w:type="gramEnd"/>
            <w:r w:rsidRPr="00831411">
              <w:rPr>
                <w:rFonts w:asciiTheme="minorHAnsi" w:eastAsia="Times New Roman" w:hAnsiTheme="minorHAnsi" w:cstheme="minorHAnsi"/>
                <w:color w:val="000000"/>
                <w:lang w:eastAsia="en-AU"/>
              </w:rPr>
              <w:t>4); 34GF; 35P(1), (1B), (2), (2A); 81; 92(1), (1A)</w:t>
            </w:r>
          </w:p>
        </w:tc>
      </w:tr>
      <w:tr w:rsidR="00831411" w:rsidRPr="00831411" w14:paraId="06A9476A" w14:textId="77777777" w:rsidTr="003C25B1">
        <w:trPr>
          <w:trHeight w:val="567"/>
        </w:trPr>
        <w:tc>
          <w:tcPr>
            <w:tcW w:w="5440" w:type="dxa"/>
            <w:shd w:val="clear" w:color="auto" w:fill="auto"/>
            <w:vAlign w:val="center"/>
            <w:hideMark/>
          </w:tcPr>
          <w:p w14:paraId="7BDED4D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Small Business and Family Enterprise Ombudsman Act 2015</w:t>
            </w:r>
          </w:p>
        </w:tc>
        <w:tc>
          <w:tcPr>
            <w:tcW w:w="3914" w:type="dxa"/>
            <w:shd w:val="clear" w:color="auto" w:fill="auto"/>
            <w:vAlign w:val="center"/>
            <w:hideMark/>
          </w:tcPr>
          <w:p w14:paraId="2E978A8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52; 82; 86; 91</w:t>
            </w:r>
          </w:p>
        </w:tc>
      </w:tr>
      <w:tr w:rsidR="00831411" w:rsidRPr="00831411" w14:paraId="19ED95FA" w14:textId="77777777" w:rsidTr="003C25B1">
        <w:trPr>
          <w:trHeight w:val="567"/>
        </w:trPr>
        <w:tc>
          <w:tcPr>
            <w:tcW w:w="5440" w:type="dxa"/>
            <w:shd w:val="clear" w:color="auto" w:fill="auto"/>
            <w:vAlign w:val="center"/>
            <w:hideMark/>
          </w:tcPr>
          <w:p w14:paraId="27256B1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Trade and Investment Commission Act 1985</w:t>
            </w:r>
          </w:p>
        </w:tc>
        <w:tc>
          <w:tcPr>
            <w:tcW w:w="3914" w:type="dxa"/>
            <w:shd w:val="clear" w:color="auto" w:fill="auto"/>
            <w:vAlign w:val="center"/>
            <w:hideMark/>
          </w:tcPr>
          <w:p w14:paraId="618A83C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94 </w:t>
            </w:r>
          </w:p>
        </w:tc>
      </w:tr>
      <w:tr w:rsidR="00831411" w:rsidRPr="00831411" w14:paraId="236516AC" w14:textId="77777777" w:rsidTr="003C25B1">
        <w:trPr>
          <w:trHeight w:val="567"/>
        </w:trPr>
        <w:tc>
          <w:tcPr>
            <w:tcW w:w="5440" w:type="dxa"/>
            <w:shd w:val="clear" w:color="auto" w:fill="auto"/>
            <w:vAlign w:val="center"/>
            <w:hideMark/>
          </w:tcPr>
          <w:p w14:paraId="4A9F4BE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Aviation Transport Security Act 2004</w:t>
            </w:r>
          </w:p>
        </w:tc>
        <w:tc>
          <w:tcPr>
            <w:tcW w:w="3914" w:type="dxa"/>
            <w:shd w:val="clear" w:color="auto" w:fill="auto"/>
            <w:vAlign w:val="center"/>
            <w:hideMark/>
          </w:tcPr>
          <w:p w14:paraId="5C2F733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74 </w:t>
            </w:r>
          </w:p>
        </w:tc>
      </w:tr>
      <w:tr w:rsidR="00831411" w:rsidRPr="00831411" w14:paraId="2AFA91B1" w14:textId="77777777" w:rsidTr="003C25B1">
        <w:trPr>
          <w:trHeight w:val="567"/>
        </w:trPr>
        <w:tc>
          <w:tcPr>
            <w:tcW w:w="5440" w:type="dxa"/>
            <w:shd w:val="clear" w:color="auto" w:fill="auto"/>
            <w:vAlign w:val="center"/>
            <w:hideMark/>
          </w:tcPr>
          <w:p w14:paraId="782395B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Aviation Transport Security Regulations 2005</w:t>
            </w:r>
          </w:p>
        </w:tc>
        <w:tc>
          <w:tcPr>
            <w:tcW w:w="3914" w:type="dxa"/>
            <w:shd w:val="clear" w:color="auto" w:fill="auto"/>
            <w:vAlign w:val="center"/>
            <w:hideMark/>
          </w:tcPr>
          <w:p w14:paraId="083316B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2.06; 4.41ZH; 4.46H; 4.51H; 4.51J; 6.34</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2); 6.37AB(2);</w:t>
            </w:r>
            <w:r w:rsidRPr="00831411">
              <w:rPr>
                <w:rFonts w:asciiTheme="minorHAnsi" w:eastAsia="Times New Roman" w:hAnsiTheme="minorHAnsi" w:cstheme="minorHAnsi"/>
                <w:lang w:eastAsia="en-AU"/>
              </w:rPr>
              <w:t> 6.34(3); 6.37AA(3)</w:t>
            </w:r>
          </w:p>
        </w:tc>
      </w:tr>
      <w:tr w:rsidR="00831411" w:rsidRPr="00831411" w14:paraId="6B60BDCE" w14:textId="77777777" w:rsidTr="003C25B1">
        <w:trPr>
          <w:trHeight w:val="567"/>
        </w:trPr>
        <w:tc>
          <w:tcPr>
            <w:tcW w:w="5440" w:type="dxa"/>
            <w:shd w:val="clear" w:color="auto" w:fill="auto"/>
            <w:vAlign w:val="center"/>
            <w:hideMark/>
          </w:tcPr>
          <w:p w14:paraId="69B403C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Banking Act 1959</w:t>
            </w:r>
          </w:p>
        </w:tc>
        <w:tc>
          <w:tcPr>
            <w:tcW w:w="3914" w:type="dxa"/>
            <w:shd w:val="clear" w:color="auto" w:fill="auto"/>
            <w:vAlign w:val="center"/>
            <w:hideMark/>
          </w:tcPr>
          <w:p w14:paraId="3A019FE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11CI </w:t>
            </w:r>
          </w:p>
        </w:tc>
      </w:tr>
      <w:tr w:rsidR="00831411" w:rsidRPr="00831411" w14:paraId="2B3EC3FA" w14:textId="77777777" w:rsidTr="003C25B1">
        <w:trPr>
          <w:trHeight w:val="567"/>
        </w:trPr>
        <w:tc>
          <w:tcPr>
            <w:tcW w:w="5440" w:type="dxa"/>
            <w:shd w:val="clear" w:color="auto" w:fill="auto"/>
            <w:vAlign w:val="center"/>
            <w:hideMark/>
          </w:tcPr>
          <w:p w14:paraId="795E73F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Bankruptcy Act 1966 </w:t>
            </w:r>
          </w:p>
        </w:tc>
        <w:tc>
          <w:tcPr>
            <w:tcW w:w="3914" w:type="dxa"/>
            <w:shd w:val="clear" w:color="auto" w:fill="auto"/>
            <w:vAlign w:val="center"/>
            <w:hideMark/>
          </w:tcPr>
          <w:p w14:paraId="37935C0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sch 2, s 50-35</w:t>
            </w:r>
          </w:p>
        </w:tc>
      </w:tr>
      <w:tr w:rsidR="00831411" w:rsidRPr="00831411" w14:paraId="65725AE8" w14:textId="77777777" w:rsidTr="003C25B1">
        <w:trPr>
          <w:trHeight w:val="567"/>
        </w:trPr>
        <w:tc>
          <w:tcPr>
            <w:tcW w:w="5440" w:type="dxa"/>
            <w:shd w:val="clear" w:color="auto" w:fill="auto"/>
            <w:vAlign w:val="center"/>
            <w:hideMark/>
          </w:tcPr>
          <w:p w14:paraId="21F1073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Biosecurity Act 2015</w:t>
            </w:r>
          </w:p>
        </w:tc>
        <w:tc>
          <w:tcPr>
            <w:tcW w:w="3914" w:type="dxa"/>
            <w:shd w:val="clear" w:color="auto" w:fill="auto"/>
            <w:vAlign w:val="center"/>
            <w:hideMark/>
          </w:tcPr>
          <w:p w14:paraId="36AEA81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585</w:t>
            </w:r>
          </w:p>
        </w:tc>
      </w:tr>
      <w:tr w:rsidR="00831411" w:rsidRPr="00831411" w14:paraId="4BA49E1F" w14:textId="77777777" w:rsidTr="003C25B1">
        <w:trPr>
          <w:trHeight w:val="567"/>
        </w:trPr>
        <w:tc>
          <w:tcPr>
            <w:tcW w:w="5440" w:type="dxa"/>
            <w:shd w:val="clear" w:color="auto" w:fill="auto"/>
            <w:vAlign w:val="center"/>
            <w:hideMark/>
          </w:tcPr>
          <w:p w14:paraId="6F16621A"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Broadcasting Services (Transitional Provisions and Consequential Amendments) Act 1992</w:t>
            </w:r>
          </w:p>
        </w:tc>
        <w:tc>
          <w:tcPr>
            <w:tcW w:w="3914" w:type="dxa"/>
            <w:shd w:val="clear" w:color="auto" w:fill="auto"/>
            <w:vAlign w:val="center"/>
            <w:hideMark/>
          </w:tcPr>
          <w:p w14:paraId="48BE67E5"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25 </w:t>
            </w:r>
          </w:p>
        </w:tc>
      </w:tr>
      <w:tr w:rsidR="00831411" w:rsidRPr="00831411" w14:paraId="52643FA8" w14:textId="77777777" w:rsidTr="003C25B1">
        <w:trPr>
          <w:trHeight w:val="567"/>
        </w:trPr>
        <w:tc>
          <w:tcPr>
            <w:tcW w:w="5440" w:type="dxa"/>
            <w:shd w:val="clear" w:color="auto" w:fill="auto"/>
            <w:vAlign w:val="center"/>
            <w:hideMark/>
          </w:tcPr>
          <w:p w14:paraId="0552F49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Building and Construction Industry (Improving Productivity) Act 2016</w:t>
            </w:r>
          </w:p>
        </w:tc>
        <w:tc>
          <w:tcPr>
            <w:tcW w:w="3914" w:type="dxa"/>
            <w:shd w:val="clear" w:color="auto" w:fill="auto"/>
            <w:vAlign w:val="center"/>
            <w:hideMark/>
          </w:tcPr>
          <w:p w14:paraId="5A7EED5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106; 107</w:t>
            </w:r>
          </w:p>
        </w:tc>
      </w:tr>
      <w:tr w:rsidR="00831411" w:rsidRPr="00831411" w14:paraId="07B53FDD" w14:textId="77777777" w:rsidTr="003C25B1">
        <w:trPr>
          <w:trHeight w:val="567"/>
        </w:trPr>
        <w:tc>
          <w:tcPr>
            <w:tcW w:w="5440" w:type="dxa"/>
            <w:shd w:val="clear" w:color="auto" w:fill="auto"/>
            <w:vAlign w:val="center"/>
            <w:hideMark/>
          </w:tcPr>
          <w:p w14:paraId="6AEADF1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Building Energy Efficiency Disclosure Act 2010</w:t>
            </w:r>
          </w:p>
        </w:tc>
        <w:tc>
          <w:tcPr>
            <w:tcW w:w="3914" w:type="dxa"/>
            <w:shd w:val="clear" w:color="auto" w:fill="auto"/>
            <w:vAlign w:val="center"/>
            <w:hideMark/>
          </w:tcPr>
          <w:p w14:paraId="4F7CF44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19; 70</w:t>
            </w:r>
          </w:p>
        </w:tc>
      </w:tr>
      <w:tr w:rsidR="00831411" w:rsidRPr="00831411" w14:paraId="3E3B3A55" w14:textId="77777777" w:rsidTr="003C25B1">
        <w:trPr>
          <w:trHeight w:val="567"/>
        </w:trPr>
        <w:tc>
          <w:tcPr>
            <w:tcW w:w="5440" w:type="dxa"/>
            <w:shd w:val="clear" w:color="auto" w:fill="auto"/>
            <w:vAlign w:val="center"/>
            <w:hideMark/>
          </w:tcPr>
          <w:p w14:paraId="4F5FA77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Business Names Registration Act 2011</w:t>
            </w:r>
          </w:p>
        </w:tc>
        <w:tc>
          <w:tcPr>
            <w:tcW w:w="3914" w:type="dxa"/>
            <w:shd w:val="clear" w:color="auto" w:fill="auto"/>
            <w:vAlign w:val="center"/>
            <w:hideMark/>
          </w:tcPr>
          <w:p w14:paraId="23A9A56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77; 62</w:t>
            </w:r>
            <w:proofErr w:type="gramStart"/>
            <w:r w:rsidRPr="00831411">
              <w:rPr>
                <w:rFonts w:asciiTheme="minorHAnsi" w:eastAsia="Times New Roman" w:hAnsiTheme="minorHAnsi" w:cstheme="minorHAnsi"/>
                <w:color w:val="000000"/>
                <w:lang w:eastAsia="en-AU"/>
              </w:rPr>
              <w:t>L(</w:t>
            </w:r>
            <w:proofErr w:type="gramEnd"/>
            <w:r w:rsidRPr="00831411">
              <w:rPr>
                <w:rFonts w:asciiTheme="minorHAnsi" w:eastAsia="Times New Roman" w:hAnsiTheme="minorHAnsi" w:cstheme="minorHAnsi"/>
                <w:color w:val="000000"/>
                <w:lang w:eastAsia="en-AU"/>
              </w:rPr>
              <w:t>4)</w:t>
            </w:r>
          </w:p>
        </w:tc>
      </w:tr>
      <w:tr w:rsidR="00831411" w:rsidRPr="00831411" w14:paraId="728B3F17" w14:textId="77777777" w:rsidTr="003C25B1">
        <w:trPr>
          <w:trHeight w:val="567"/>
        </w:trPr>
        <w:tc>
          <w:tcPr>
            <w:tcW w:w="5440" w:type="dxa"/>
            <w:shd w:val="clear" w:color="auto" w:fill="auto"/>
            <w:vAlign w:val="center"/>
            <w:hideMark/>
          </w:tcPr>
          <w:p w14:paraId="0139A78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Business Services Wage Assessment Tool Payment Scheme Act 2015 </w:t>
            </w:r>
          </w:p>
        </w:tc>
        <w:tc>
          <w:tcPr>
            <w:tcW w:w="3914" w:type="dxa"/>
            <w:shd w:val="clear" w:color="auto" w:fill="auto"/>
            <w:vAlign w:val="center"/>
            <w:hideMark/>
          </w:tcPr>
          <w:p w14:paraId="1BDC6E9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76; 77; 78; 79</w:t>
            </w:r>
          </w:p>
        </w:tc>
      </w:tr>
      <w:tr w:rsidR="00831411" w:rsidRPr="00831411" w14:paraId="558A06FF" w14:textId="77777777" w:rsidTr="003C25B1">
        <w:trPr>
          <w:trHeight w:val="567"/>
        </w:trPr>
        <w:tc>
          <w:tcPr>
            <w:tcW w:w="5440" w:type="dxa"/>
            <w:shd w:val="clear" w:color="auto" w:fill="auto"/>
            <w:vAlign w:val="center"/>
            <w:hideMark/>
          </w:tcPr>
          <w:p w14:paraId="63004F7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Carbon Credits (Carbon Farming Initiative) Act 2011</w:t>
            </w:r>
          </w:p>
        </w:tc>
        <w:tc>
          <w:tcPr>
            <w:tcW w:w="3914" w:type="dxa"/>
            <w:shd w:val="clear" w:color="auto" w:fill="auto"/>
            <w:vAlign w:val="center"/>
            <w:hideMark/>
          </w:tcPr>
          <w:p w14:paraId="1DF4DB3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270; 276(4); 277; 282; 283</w:t>
            </w:r>
          </w:p>
        </w:tc>
      </w:tr>
      <w:tr w:rsidR="00831411" w:rsidRPr="00831411" w14:paraId="30744D34" w14:textId="77777777" w:rsidTr="003C25B1">
        <w:trPr>
          <w:trHeight w:val="567"/>
        </w:trPr>
        <w:tc>
          <w:tcPr>
            <w:tcW w:w="5440" w:type="dxa"/>
            <w:shd w:val="clear" w:color="auto" w:fill="auto"/>
            <w:vAlign w:val="center"/>
            <w:hideMark/>
          </w:tcPr>
          <w:p w14:paraId="2B3B4BD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Census and Statistics Act 1905</w:t>
            </w:r>
          </w:p>
        </w:tc>
        <w:tc>
          <w:tcPr>
            <w:tcW w:w="3914" w:type="dxa"/>
            <w:shd w:val="clear" w:color="auto" w:fill="auto"/>
            <w:vAlign w:val="center"/>
            <w:hideMark/>
          </w:tcPr>
          <w:p w14:paraId="1CD848F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19 </w:t>
            </w:r>
          </w:p>
        </w:tc>
      </w:tr>
      <w:tr w:rsidR="00831411" w:rsidRPr="00831411" w14:paraId="2D1CE95F" w14:textId="77777777" w:rsidTr="003C25B1">
        <w:trPr>
          <w:trHeight w:val="567"/>
        </w:trPr>
        <w:tc>
          <w:tcPr>
            <w:tcW w:w="5440" w:type="dxa"/>
            <w:shd w:val="clear" w:color="auto" w:fill="auto"/>
            <w:vAlign w:val="center"/>
            <w:hideMark/>
          </w:tcPr>
          <w:p w14:paraId="78C2881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Chemical Weapons (Prohibition) Act 1994</w:t>
            </w:r>
          </w:p>
        </w:tc>
        <w:tc>
          <w:tcPr>
            <w:tcW w:w="3914" w:type="dxa"/>
            <w:shd w:val="clear" w:color="auto" w:fill="auto"/>
            <w:vAlign w:val="center"/>
            <w:hideMark/>
          </w:tcPr>
          <w:p w14:paraId="59EB25F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102</w:t>
            </w:r>
            <w:r w:rsidR="00485D14">
              <w:rPr>
                <w:rFonts w:eastAsia="Times New Roman"/>
                <w:color w:val="000000"/>
                <w:lang w:eastAsia="en-AU"/>
              </w:rPr>
              <w:t>(2), (3A), (3C)</w:t>
            </w:r>
          </w:p>
        </w:tc>
      </w:tr>
      <w:tr w:rsidR="00831411" w:rsidRPr="00831411" w14:paraId="0D52175F" w14:textId="77777777" w:rsidTr="003C25B1">
        <w:trPr>
          <w:trHeight w:val="567"/>
        </w:trPr>
        <w:tc>
          <w:tcPr>
            <w:tcW w:w="5440" w:type="dxa"/>
            <w:shd w:val="clear" w:color="auto" w:fill="auto"/>
            <w:vAlign w:val="center"/>
            <w:hideMark/>
          </w:tcPr>
          <w:p w14:paraId="4931BD8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Child Care Act 1972</w:t>
            </w:r>
          </w:p>
        </w:tc>
        <w:tc>
          <w:tcPr>
            <w:tcW w:w="3914" w:type="dxa"/>
            <w:shd w:val="clear" w:color="auto" w:fill="auto"/>
            <w:vAlign w:val="center"/>
            <w:hideMark/>
          </w:tcPr>
          <w:p w14:paraId="1440999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12K; 12L; 12Q; 12</w:t>
            </w:r>
            <w:proofErr w:type="gramStart"/>
            <w:r w:rsidRPr="00831411">
              <w:rPr>
                <w:rFonts w:asciiTheme="minorHAnsi" w:eastAsia="Times New Roman" w:hAnsiTheme="minorHAnsi" w:cstheme="minorHAnsi"/>
                <w:color w:val="000000"/>
                <w:lang w:eastAsia="en-AU"/>
              </w:rPr>
              <w:t>S(</w:t>
            </w:r>
            <w:proofErr w:type="gramEnd"/>
            <w:r w:rsidRPr="00831411">
              <w:rPr>
                <w:rFonts w:asciiTheme="minorHAnsi" w:eastAsia="Times New Roman" w:hAnsiTheme="minorHAnsi" w:cstheme="minorHAnsi"/>
                <w:color w:val="000000"/>
                <w:lang w:eastAsia="en-AU"/>
              </w:rPr>
              <w:t xml:space="preserve">1), (2) </w:t>
            </w:r>
          </w:p>
        </w:tc>
      </w:tr>
      <w:tr w:rsidR="00831411" w:rsidRPr="00831411" w14:paraId="0ABE139E" w14:textId="77777777" w:rsidTr="003C25B1">
        <w:trPr>
          <w:trHeight w:val="567"/>
        </w:trPr>
        <w:tc>
          <w:tcPr>
            <w:tcW w:w="5440" w:type="dxa"/>
            <w:shd w:val="clear" w:color="auto" w:fill="auto"/>
            <w:vAlign w:val="center"/>
            <w:hideMark/>
          </w:tcPr>
          <w:p w14:paraId="21574A3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Child Support (Assessment) Act 1989</w:t>
            </w:r>
          </w:p>
        </w:tc>
        <w:tc>
          <w:tcPr>
            <w:tcW w:w="3914" w:type="dxa"/>
            <w:shd w:val="clear" w:color="auto" w:fill="auto"/>
            <w:vAlign w:val="center"/>
            <w:hideMark/>
          </w:tcPr>
          <w:p w14:paraId="2CC7DEE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150; 150AA</w:t>
            </w:r>
          </w:p>
        </w:tc>
      </w:tr>
      <w:tr w:rsidR="00831411" w:rsidRPr="00831411" w14:paraId="3735902A" w14:textId="77777777" w:rsidTr="003C25B1">
        <w:trPr>
          <w:trHeight w:val="567"/>
        </w:trPr>
        <w:tc>
          <w:tcPr>
            <w:tcW w:w="5440" w:type="dxa"/>
            <w:shd w:val="clear" w:color="auto" w:fill="auto"/>
            <w:vAlign w:val="center"/>
            <w:hideMark/>
          </w:tcPr>
          <w:p w14:paraId="3903388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Child Support (Registration and Collection) Act 1988</w:t>
            </w:r>
          </w:p>
        </w:tc>
        <w:tc>
          <w:tcPr>
            <w:tcW w:w="3914" w:type="dxa"/>
            <w:shd w:val="clear" w:color="auto" w:fill="auto"/>
            <w:vAlign w:val="center"/>
            <w:hideMark/>
          </w:tcPr>
          <w:p w14:paraId="4B9BE88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16; 16AA; 58</w:t>
            </w:r>
          </w:p>
        </w:tc>
      </w:tr>
      <w:tr w:rsidR="00831411" w:rsidRPr="00831411" w14:paraId="4E8A6B8F" w14:textId="77777777" w:rsidTr="003C25B1">
        <w:trPr>
          <w:trHeight w:val="567"/>
        </w:trPr>
        <w:tc>
          <w:tcPr>
            <w:tcW w:w="5440" w:type="dxa"/>
            <w:shd w:val="clear" w:color="auto" w:fill="auto"/>
            <w:vAlign w:val="center"/>
            <w:hideMark/>
          </w:tcPr>
          <w:p w14:paraId="1CE86969"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Civil Aviation Act 1988</w:t>
            </w:r>
          </w:p>
        </w:tc>
        <w:tc>
          <w:tcPr>
            <w:tcW w:w="3914" w:type="dxa"/>
            <w:shd w:val="clear" w:color="auto" w:fill="auto"/>
            <w:vAlign w:val="center"/>
            <w:hideMark/>
          </w:tcPr>
          <w:p w14:paraId="1B20A5E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32AP </w:t>
            </w:r>
          </w:p>
        </w:tc>
      </w:tr>
      <w:tr w:rsidR="00831411" w:rsidRPr="00831411" w14:paraId="283BF3BF" w14:textId="77777777" w:rsidTr="003C25B1">
        <w:trPr>
          <w:trHeight w:val="567"/>
        </w:trPr>
        <w:tc>
          <w:tcPr>
            <w:tcW w:w="5440" w:type="dxa"/>
            <w:shd w:val="clear" w:color="auto" w:fill="auto"/>
            <w:vAlign w:val="center"/>
          </w:tcPr>
          <w:p w14:paraId="2F4D2D75"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color w:val="000000"/>
                <w:lang w:eastAsia="en-AU"/>
              </w:rPr>
              <w:t>Civil Aviation Safety Regulations 1998</w:t>
            </w:r>
          </w:p>
        </w:tc>
        <w:tc>
          <w:tcPr>
            <w:tcW w:w="3914" w:type="dxa"/>
            <w:shd w:val="clear" w:color="auto" w:fill="auto"/>
            <w:vAlign w:val="center"/>
          </w:tcPr>
          <w:p w14:paraId="3ED5B98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color w:val="000000"/>
                <w:lang w:eastAsia="en-AU"/>
              </w:rPr>
              <w:t>reg 117.030</w:t>
            </w:r>
          </w:p>
        </w:tc>
      </w:tr>
      <w:tr w:rsidR="00831411" w:rsidRPr="00831411" w14:paraId="231E78B0" w14:textId="77777777" w:rsidTr="003C25B1">
        <w:trPr>
          <w:trHeight w:val="567"/>
        </w:trPr>
        <w:tc>
          <w:tcPr>
            <w:tcW w:w="5440" w:type="dxa"/>
            <w:shd w:val="clear" w:color="auto" w:fill="auto"/>
            <w:vAlign w:val="center"/>
            <w:hideMark/>
          </w:tcPr>
          <w:p w14:paraId="1F02AF9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Clean Energy Regulator Act 2011</w:t>
            </w:r>
          </w:p>
        </w:tc>
        <w:tc>
          <w:tcPr>
            <w:tcW w:w="3914" w:type="dxa"/>
            <w:shd w:val="clear" w:color="auto" w:fill="auto"/>
            <w:vAlign w:val="center"/>
            <w:hideMark/>
          </w:tcPr>
          <w:p w14:paraId="45171F7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43; 49(4), (6); 50(4); 55(4)</w:t>
            </w:r>
          </w:p>
        </w:tc>
      </w:tr>
      <w:tr w:rsidR="00831411" w:rsidRPr="00831411" w14:paraId="30D07D79" w14:textId="77777777" w:rsidTr="003C25B1">
        <w:trPr>
          <w:trHeight w:val="567"/>
        </w:trPr>
        <w:tc>
          <w:tcPr>
            <w:tcW w:w="5440" w:type="dxa"/>
            <w:shd w:val="clear" w:color="auto" w:fill="auto"/>
            <w:vAlign w:val="center"/>
            <w:hideMark/>
          </w:tcPr>
          <w:p w14:paraId="6308BFB8"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 xml:space="preserve">Coal Mining Industry (Long Service Leave) Payroll Levy Collection Act 1992 </w:t>
            </w:r>
          </w:p>
        </w:tc>
        <w:tc>
          <w:tcPr>
            <w:tcW w:w="3914" w:type="dxa"/>
            <w:shd w:val="clear" w:color="auto" w:fill="auto"/>
            <w:vAlign w:val="center"/>
            <w:hideMark/>
          </w:tcPr>
          <w:p w14:paraId="61AFD021"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14(3)</w:t>
            </w:r>
          </w:p>
        </w:tc>
      </w:tr>
      <w:tr w:rsidR="00831411" w:rsidRPr="00831411" w14:paraId="7A9151C8" w14:textId="77777777" w:rsidTr="003C25B1">
        <w:trPr>
          <w:trHeight w:val="567"/>
        </w:trPr>
        <w:tc>
          <w:tcPr>
            <w:tcW w:w="5440" w:type="dxa"/>
            <w:shd w:val="clear" w:color="auto" w:fill="auto"/>
            <w:vAlign w:val="center"/>
            <w:hideMark/>
          </w:tcPr>
          <w:p w14:paraId="496A4B9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Commonwealth Electoral Act 1918</w:t>
            </w:r>
          </w:p>
        </w:tc>
        <w:tc>
          <w:tcPr>
            <w:tcW w:w="3914" w:type="dxa"/>
            <w:shd w:val="clear" w:color="auto" w:fill="auto"/>
            <w:vAlign w:val="center"/>
            <w:hideMark/>
          </w:tcPr>
          <w:p w14:paraId="0DE3E33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189</w:t>
            </w:r>
            <w:proofErr w:type="gramStart"/>
            <w:r w:rsidRPr="00831411">
              <w:rPr>
                <w:rFonts w:asciiTheme="minorHAnsi" w:eastAsia="Times New Roman" w:hAnsiTheme="minorHAnsi" w:cstheme="minorHAnsi"/>
                <w:color w:val="000000"/>
                <w:lang w:eastAsia="en-AU"/>
              </w:rPr>
              <w:t>B(</w:t>
            </w:r>
            <w:proofErr w:type="gramEnd"/>
            <w:r w:rsidRPr="00831411">
              <w:rPr>
                <w:rFonts w:asciiTheme="minorHAnsi" w:eastAsia="Times New Roman" w:hAnsiTheme="minorHAnsi" w:cstheme="minorHAnsi"/>
                <w:color w:val="000000"/>
                <w:lang w:eastAsia="en-AU"/>
              </w:rPr>
              <w:t xml:space="preserve">1), (2), (3); 91A(1); 91B(2), (3); 323 </w:t>
            </w:r>
          </w:p>
        </w:tc>
      </w:tr>
      <w:tr w:rsidR="00831411" w:rsidRPr="00831411" w14:paraId="3F51454D" w14:textId="77777777" w:rsidTr="003C25B1">
        <w:trPr>
          <w:trHeight w:val="567"/>
        </w:trPr>
        <w:tc>
          <w:tcPr>
            <w:tcW w:w="5440" w:type="dxa"/>
            <w:shd w:val="clear" w:color="auto" w:fill="auto"/>
            <w:vAlign w:val="center"/>
            <w:hideMark/>
          </w:tcPr>
          <w:p w14:paraId="33FB4F75"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Commonwealth Functions (Statutes Review) Act 1981</w:t>
            </w:r>
          </w:p>
        </w:tc>
        <w:tc>
          <w:tcPr>
            <w:tcW w:w="3914" w:type="dxa"/>
            <w:shd w:val="clear" w:color="auto" w:fill="auto"/>
            <w:vAlign w:val="center"/>
            <w:hideMark/>
          </w:tcPr>
          <w:p w14:paraId="4B240143"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234 </w:t>
            </w:r>
          </w:p>
        </w:tc>
      </w:tr>
      <w:tr w:rsidR="00831411" w:rsidRPr="00831411" w14:paraId="23FEACA7" w14:textId="77777777" w:rsidTr="003C25B1">
        <w:trPr>
          <w:trHeight w:val="567"/>
        </w:trPr>
        <w:tc>
          <w:tcPr>
            <w:tcW w:w="5440" w:type="dxa"/>
            <w:shd w:val="clear" w:color="auto" w:fill="auto"/>
            <w:vAlign w:val="center"/>
            <w:hideMark/>
          </w:tcPr>
          <w:p w14:paraId="2BDC6C4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Commonwealth Registers Act 2020</w:t>
            </w:r>
          </w:p>
        </w:tc>
        <w:tc>
          <w:tcPr>
            <w:tcW w:w="3914" w:type="dxa"/>
            <w:shd w:val="clear" w:color="auto" w:fill="auto"/>
            <w:vAlign w:val="center"/>
            <w:hideMark/>
          </w:tcPr>
          <w:p w14:paraId="42326FF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17 </w:t>
            </w:r>
          </w:p>
        </w:tc>
      </w:tr>
      <w:tr w:rsidR="00831411" w:rsidRPr="00831411" w14:paraId="56130E4F" w14:textId="77777777" w:rsidTr="003C25B1">
        <w:trPr>
          <w:trHeight w:val="567"/>
        </w:trPr>
        <w:tc>
          <w:tcPr>
            <w:tcW w:w="5440" w:type="dxa"/>
            <w:shd w:val="clear" w:color="auto" w:fill="auto"/>
            <w:vAlign w:val="center"/>
            <w:hideMark/>
          </w:tcPr>
          <w:p w14:paraId="7C324C8B"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Competition and Consumer Act 2010</w:t>
            </w:r>
          </w:p>
        </w:tc>
        <w:tc>
          <w:tcPr>
            <w:tcW w:w="3914" w:type="dxa"/>
            <w:shd w:val="clear" w:color="auto" w:fill="auto"/>
            <w:vAlign w:val="center"/>
            <w:hideMark/>
          </w:tcPr>
          <w:p w14:paraId="30AF7472" w14:textId="77777777" w:rsidR="00831411" w:rsidRPr="00831411" w:rsidRDefault="00831411" w:rsidP="00485D14">
            <w:pPr>
              <w:rPr>
                <w:rFonts w:asciiTheme="minorHAnsi" w:eastAsia="Times New Roman" w:hAnsiTheme="minorHAnsi" w:cstheme="minorHAnsi"/>
                <w:lang w:eastAsia="en-AU"/>
              </w:rPr>
            </w:pPr>
            <w:proofErr w:type="spellStart"/>
            <w:r w:rsidRPr="00831411">
              <w:rPr>
                <w:rFonts w:asciiTheme="minorHAnsi" w:eastAsia="Times New Roman" w:hAnsiTheme="minorHAnsi" w:cstheme="minorHAnsi"/>
                <w:lang w:eastAsia="en-AU"/>
              </w:rPr>
              <w:t>pt</w:t>
            </w:r>
            <w:proofErr w:type="spellEnd"/>
            <w:r w:rsidRPr="00831411">
              <w:rPr>
                <w:rFonts w:asciiTheme="minorHAnsi" w:eastAsia="Times New Roman" w:hAnsiTheme="minorHAnsi" w:cstheme="minorHAnsi"/>
                <w:lang w:eastAsia="en-AU"/>
              </w:rPr>
              <w:t xml:space="preserve"> X, s 10.89(4); </w:t>
            </w:r>
            <w:r w:rsidRPr="00831411">
              <w:rPr>
                <w:rFonts w:asciiTheme="minorHAnsi" w:eastAsia="Times New Roman" w:hAnsiTheme="minorHAnsi" w:cstheme="minorHAnsi"/>
                <w:color w:val="000000"/>
                <w:lang w:eastAsia="en-AU"/>
              </w:rPr>
              <w:t>ss 95ZP; 95ZQ</w:t>
            </w:r>
          </w:p>
        </w:tc>
      </w:tr>
      <w:tr w:rsidR="00831411" w:rsidRPr="00831411" w14:paraId="7C7DB67C" w14:textId="77777777" w:rsidTr="003C25B1">
        <w:trPr>
          <w:trHeight w:val="567"/>
        </w:trPr>
        <w:tc>
          <w:tcPr>
            <w:tcW w:w="5440" w:type="dxa"/>
            <w:shd w:val="clear" w:color="auto" w:fill="auto"/>
            <w:vAlign w:val="center"/>
            <w:hideMark/>
          </w:tcPr>
          <w:p w14:paraId="3418BED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Comprehensive Nuclear-Test-Ban Treaty Act 1998</w:t>
            </w:r>
          </w:p>
        </w:tc>
        <w:tc>
          <w:tcPr>
            <w:tcW w:w="3914" w:type="dxa"/>
            <w:shd w:val="clear" w:color="auto" w:fill="auto"/>
            <w:vAlign w:val="center"/>
            <w:hideMark/>
          </w:tcPr>
          <w:p w14:paraId="345D5B2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74  </w:t>
            </w:r>
          </w:p>
        </w:tc>
      </w:tr>
      <w:tr w:rsidR="00831411" w:rsidRPr="00831411" w14:paraId="24C30F59" w14:textId="77777777" w:rsidTr="003C25B1">
        <w:trPr>
          <w:trHeight w:val="567"/>
        </w:trPr>
        <w:tc>
          <w:tcPr>
            <w:tcW w:w="5440" w:type="dxa"/>
            <w:shd w:val="clear" w:color="auto" w:fill="auto"/>
            <w:vAlign w:val="center"/>
            <w:hideMark/>
          </w:tcPr>
          <w:p w14:paraId="7DCEA76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Copyright Act 1968</w:t>
            </w:r>
          </w:p>
        </w:tc>
        <w:tc>
          <w:tcPr>
            <w:tcW w:w="3914" w:type="dxa"/>
            <w:shd w:val="clear" w:color="auto" w:fill="auto"/>
            <w:vAlign w:val="center"/>
            <w:hideMark/>
          </w:tcPr>
          <w:p w14:paraId="7BF9446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203E</w:t>
            </w:r>
          </w:p>
        </w:tc>
      </w:tr>
      <w:tr w:rsidR="00831411" w:rsidRPr="00831411" w14:paraId="7FF12D7F" w14:textId="77777777" w:rsidTr="003C25B1">
        <w:trPr>
          <w:trHeight w:val="567"/>
        </w:trPr>
        <w:tc>
          <w:tcPr>
            <w:tcW w:w="5440" w:type="dxa"/>
            <w:shd w:val="clear" w:color="auto" w:fill="auto"/>
            <w:vAlign w:val="center"/>
            <w:hideMark/>
          </w:tcPr>
          <w:p w14:paraId="6A3085A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Corporations (Aboriginal and Torres Strait Islander) Act 2006</w:t>
            </w:r>
          </w:p>
        </w:tc>
        <w:tc>
          <w:tcPr>
            <w:tcW w:w="3914" w:type="dxa"/>
            <w:shd w:val="clear" w:color="auto" w:fill="auto"/>
            <w:vAlign w:val="center"/>
            <w:hideMark/>
          </w:tcPr>
          <w:p w14:paraId="6284139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175-10; 183-1; 265-25(4); 472-1; 604-15; 604-20; 604-25(8) </w:t>
            </w:r>
          </w:p>
        </w:tc>
      </w:tr>
      <w:tr w:rsidR="00831411" w:rsidRPr="00831411" w14:paraId="0AC21B59" w14:textId="77777777" w:rsidTr="003C25B1">
        <w:trPr>
          <w:trHeight w:val="567"/>
        </w:trPr>
        <w:tc>
          <w:tcPr>
            <w:tcW w:w="5440" w:type="dxa"/>
            <w:shd w:val="clear" w:color="auto" w:fill="auto"/>
            <w:vAlign w:val="center"/>
            <w:hideMark/>
          </w:tcPr>
          <w:p w14:paraId="626B5B9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Corporations Act 2001</w:t>
            </w:r>
          </w:p>
        </w:tc>
        <w:tc>
          <w:tcPr>
            <w:tcW w:w="3914" w:type="dxa"/>
            <w:shd w:val="clear" w:color="auto" w:fill="auto"/>
            <w:vAlign w:val="center"/>
            <w:hideMark/>
          </w:tcPr>
          <w:p w14:paraId="4BA4C26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177; 1270</w:t>
            </w:r>
            <w:proofErr w:type="gramStart"/>
            <w:r w:rsidRPr="00831411">
              <w:rPr>
                <w:rFonts w:asciiTheme="minorHAnsi" w:eastAsia="Times New Roman" w:hAnsiTheme="minorHAnsi" w:cstheme="minorHAnsi"/>
                <w:color w:val="000000"/>
                <w:lang w:eastAsia="en-AU"/>
              </w:rPr>
              <w:t>K(</w:t>
            </w:r>
            <w:proofErr w:type="gramEnd"/>
            <w:r w:rsidRPr="00831411">
              <w:rPr>
                <w:rFonts w:asciiTheme="minorHAnsi" w:eastAsia="Times New Roman" w:hAnsiTheme="minorHAnsi" w:cstheme="minorHAnsi"/>
                <w:color w:val="000000"/>
                <w:lang w:eastAsia="en-AU"/>
              </w:rPr>
              <w:t>4); 1270L(1); 1317AAE(1)</w:t>
            </w:r>
          </w:p>
        </w:tc>
      </w:tr>
      <w:tr w:rsidR="00831411" w:rsidRPr="00831411" w14:paraId="5CE2857D" w14:textId="77777777" w:rsidTr="003C25B1">
        <w:trPr>
          <w:trHeight w:val="567"/>
        </w:trPr>
        <w:tc>
          <w:tcPr>
            <w:tcW w:w="5440" w:type="dxa"/>
            <w:shd w:val="clear" w:color="auto" w:fill="auto"/>
            <w:vAlign w:val="center"/>
            <w:hideMark/>
          </w:tcPr>
          <w:p w14:paraId="539FCE7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Counter-Terrorism (Temporary Exclusion Orders) Act 2019</w:t>
            </w:r>
          </w:p>
        </w:tc>
        <w:tc>
          <w:tcPr>
            <w:tcW w:w="3914" w:type="dxa"/>
            <w:shd w:val="clear" w:color="auto" w:fill="auto"/>
            <w:vAlign w:val="center"/>
            <w:hideMark/>
          </w:tcPr>
          <w:p w14:paraId="34C0A0B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24</w:t>
            </w:r>
          </w:p>
        </w:tc>
      </w:tr>
      <w:tr w:rsidR="00831411" w:rsidRPr="00831411" w14:paraId="10219FA1" w14:textId="77777777" w:rsidTr="003C25B1">
        <w:trPr>
          <w:trHeight w:val="567"/>
        </w:trPr>
        <w:tc>
          <w:tcPr>
            <w:tcW w:w="5440" w:type="dxa"/>
            <w:shd w:val="clear" w:color="auto" w:fill="auto"/>
            <w:vAlign w:val="center"/>
            <w:hideMark/>
          </w:tcPr>
          <w:p w14:paraId="7927F3A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Crimes (Taxation Offences) Act 1980</w:t>
            </w:r>
          </w:p>
        </w:tc>
        <w:tc>
          <w:tcPr>
            <w:tcW w:w="3914" w:type="dxa"/>
            <w:shd w:val="clear" w:color="auto" w:fill="auto"/>
            <w:vAlign w:val="center"/>
            <w:hideMark/>
          </w:tcPr>
          <w:p w14:paraId="0CBB7FC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w:t>
            </w:r>
          </w:p>
        </w:tc>
      </w:tr>
      <w:tr w:rsidR="00831411" w:rsidRPr="00831411" w14:paraId="36B036C9" w14:textId="77777777" w:rsidTr="003C25B1">
        <w:trPr>
          <w:trHeight w:val="567"/>
        </w:trPr>
        <w:tc>
          <w:tcPr>
            <w:tcW w:w="5440" w:type="dxa"/>
            <w:shd w:val="clear" w:color="auto" w:fill="auto"/>
            <w:vAlign w:val="center"/>
            <w:hideMark/>
          </w:tcPr>
          <w:p w14:paraId="74F5AF0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Crimes Act 1914</w:t>
            </w:r>
          </w:p>
        </w:tc>
        <w:tc>
          <w:tcPr>
            <w:tcW w:w="3914" w:type="dxa"/>
            <w:shd w:val="clear" w:color="auto" w:fill="auto"/>
            <w:vAlign w:val="center"/>
            <w:hideMark/>
          </w:tcPr>
          <w:p w14:paraId="104809E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3ZQJ; 3ZQT; 3ZZHA; 3ZZVH; 15</w:t>
            </w:r>
            <w:proofErr w:type="gramStart"/>
            <w:r w:rsidRPr="00831411">
              <w:rPr>
                <w:rFonts w:asciiTheme="minorHAnsi" w:eastAsia="Times New Roman" w:hAnsiTheme="minorHAnsi" w:cstheme="minorHAnsi"/>
                <w:color w:val="000000"/>
                <w:lang w:eastAsia="en-AU"/>
              </w:rPr>
              <w:t>HK(</w:t>
            </w:r>
            <w:proofErr w:type="gramEnd"/>
            <w:r w:rsidRPr="00831411">
              <w:rPr>
                <w:rFonts w:asciiTheme="minorHAnsi" w:eastAsia="Times New Roman" w:hAnsiTheme="minorHAnsi" w:cstheme="minorHAnsi"/>
                <w:color w:val="000000"/>
                <w:lang w:eastAsia="en-AU"/>
              </w:rPr>
              <w:t>1), (1B), (1D), (1E); 15JQ(1); 15JR</w:t>
            </w:r>
            <w:r w:rsidR="000E05A1">
              <w:rPr>
                <w:rFonts w:asciiTheme="minorHAnsi" w:eastAsia="Times New Roman" w:hAnsiTheme="minorHAnsi" w:cstheme="minorHAnsi"/>
                <w:color w:val="000000"/>
                <w:lang w:eastAsia="en-AU"/>
              </w:rPr>
              <w:t>(1)</w:t>
            </w:r>
            <w:r w:rsidRPr="00831411">
              <w:rPr>
                <w:rFonts w:asciiTheme="minorHAnsi" w:eastAsia="Times New Roman" w:hAnsiTheme="minorHAnsi" w:cstheme="minorHAnsi"/>
                <w:color w:val="000000"/>
                <w:lang w:eastAsia="en-AU"/>
              </w:rPr>
              <w:t>; 15LC(1), (2), (3); 15MS(1), (2), (3); 23XG(2); 23XH; 23YO(1);</w:t>
            </w:r>
          </w:p>
        </w:tc>
      </w:tr>
      <w:tr w:rsidR="00831411" w:rsidRPr="00831411" w14:paraId="1DFE50D8" w14:textId="77777777" w:rsidTr="003C25B1">
        <w:trPr>
          <w:trHeight w:val="567"/>
        </w:trPr>
        <w:tc>
          <w:tcPr>
            <w:tcW w:w="5440" w:type="dxa"/>
            <w:shd w:val="clear" w:color="auto" w:fill="auto"/>
            <w:vAlign w:val="center"/>
            <w:hideMark/>
          </w:tcPr>
          <w:p w14:paraId="2132976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Criminal Code Act 1995</w:t>
            </w:r>
          </w:p>
        </w:tc>
        <w:tc>
          <w:tcPr>
            <w:tcW w:w="3914" w:type="dxa"/>
            <w:shd w:val="clear" w:color="auto" w:fill="auto"/>
            <w:vAlign w:val="center"/>
            <w:hideMark/>
          </w:tcPr>
          <w:p w14:paraId="2CE666B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91.1(1), (2); 91.2(1); 91.3; 91.6; 91.8(1), (2), (3); 105.41(1), (2), (3), (4A), (5), (6), (7)</w:t>
            </w:r>
          </w:p>
        </w:tc>
      </w:tr>
      <w:tr w:rsidR="00831411" w:rsidRPr="00831411" w14:paraId="204F0306" w14:textId="77777777" w:rsidTr="003C25B1">
        <w:trPr>
          <w:trHeight w:val="567"/>
        </w:trPr>
        <w:tc>
          <w:tcPr>
            <w:tcW w:w="5440" w:type="dxa"/>
            <w:shd w:val="clear" w:color="auto" w:fill="auto"/>
            <w:vAlign w:val="center"/>
            <w:hideMark/>
          </w:tcPr>
          <w:p w14:paraId="40703F5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Customs Act 1901</w:t>
            </w:r>
          </w:p>
        </w:tc>
        <w:tc>
          <w:tcPr>
            <w:tcW w:w="3914" w:type="dxa"/>
            <w:shd w:val="clear" w:color="auto" w:fill="auto"/>
            <w:vAlign w:val="center"/>
            <w:hideMark/>
          </w:tcPr>
          <w:p w14:paraId="2D39DFE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64ADA;</w:t>
            </w:r>
            <w:r w:rsidRPr="00831411">
              <w:rPr>
                <w:rFonts w:asciiTheme="minorHAnsi" w:eastAsia="Times New Roman" w:hAnsiTheme="minorHAnsi" w:cstheme="minorHAnsi"/>
                <w:lang w:eastAsia="en-AU"/>
              </w:rPr>
              <w:t> 233BABAF</w:t>
            </w:r>
          </w:p>
        </w:tc>
      </w:tr>
      <w:tr w:rsidR="00831411" w:rsidRPr="00831411" w14:paraId="3F2B8D5E" w14:textId="77777777" w:rsidTr="003C25B1">
        <w:trPr>
          <w:trHeight w:val="567"/>
        </w:trPr>
        <w:tc>
          <w:tcPr>
            <w:tcW w:w="5440" w:type="dxa"/>
            <w:shd w:val="clear" w:color="auto" w:fill="auto"/>
            <w:vAlign w:val="center"/>
            <w:hideMark/>
          </w:tcPr>
          <w:p w14:paraId="1233C4D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Dairy Produce Act 1986</w:t>
            </w:r>
          </w:p>
        </w:tc>
        <w:tc>
          <w:tcPr>
            <w:tcW w:w="3914" w:type="dxa"/>
            <w:shd w:val="clear" w:color="auto" w:fill="auto"/>
            <w:vAlign w:val="center"/>
            <w:hideMark/>
          </w:tcPr>
          <w:p w14:paraId="67122BE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119; sch 2, s 43</w:t>
            </w:r>
          </w:p>
        </w:tc>
      </w:tr>
      <w:tr w:rsidR="00831411" w:rsidRPr="00831411" w14:paraId="7A962E5D" w14:textId="77777777" w:rsidTr="003C25B1">
        <w:trPr>
          <w:trHeight w:val="567"/>
        </w:trPr>
        <w:tc>
          <w:tcPr>
            <w:tcW w:w="5440" w:type="dxa"/>
            <w:shd w:val="clear" w:color="auto" w:fill="auto"/>
            <w:vAlign w:val="center"/>
            <w:hideMark/>
          </w:tcPr>
          <w:p w14:paraId="04DB356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Data-Matching Program (Assistance and Tax) Act 1990</w:t>
            </w:r>
          </w:p>
        </w:tc>
        <w:tc>
          <w:tcPr>
            <w:tcW w:w="3914" w:type="dxa"/>
            <w:shd w:val="clear" w:color="auto" w:fill="auto"/>
            <w:vAlign w:val="center"/>
            <w:hideMark/>
          </w:tcPr>
          <w:p w14:paraId="689D6E1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15 </w:t>
            </w:r>
          </w:p>
        </w:tc>
      </w:tr>
      <w:tr w:rsidR="00831411" w:rsidRPr="00831411" w14:paraId="59A5D583" w14:textId="77777777" w:rsidTr="003C25B1">
        <w:trPr>
          <w:trHeight w:val="567"/>
        </w:trPr>
        <w:tc>
          <w:tcPr>
            <w:tcW w:w="5440" w:type="dxa"/>
            <w:shd w:val="clear" w:color="auto" w:fill="auto"/>
            <w:vAlign w:val="center"/>
            <w:hideMark/>
          </w:tcPr>
          <w:p w14:paraId="6E7DB233"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(Inquiry) Regulations 2018</w:t>
            </w:r>
          </w:p>
        </w:tc>
        <w:tc>
          <w:tcPr>
            <w:tcW w:w="3914" w:type="dxa"/>
            <w:shd w:val="clear" w:color="auto" w:fill="auto"/>
            <w:vAlign w:val="center"/>
            <w:hideMark/>
          </w:tcPr>
          <w:p w14:paraId="672A37A6" w14:textId="77777777" w:rsidR="00831411" w:rsidRPr="00831411" w:rsidRDefault="00831411" w:rsidP="00485D14">
            <w:pPr>
              <w:rPr>
                <w:rFonts w:asciiTheme="minorHAnsi" w:hAnsiTheme="minorHAnsi" w:cstheme="minorHAnsi"/>
              </w:rPr>
            </w:pPr>
            <w:r w:rsidRPr="00831411">
              <w:rPr>
                <w:rFonts w:asciiTheme="minorHAnsi" w:eastAsia="Times New Roman" w:hAnsiTheme="minorHAnsi" w:cstheme="minorHAnsi"/>
                <w:color w:val="000000"/>
                <w:lang w:eastAsia="en-AU"/>
              </w:rPr>
              <w:t>ss 36(1); 37(1); 66(1)</w:t>
            </w:r>
          </w:p>
        </w:tc>
      </w:tr>
      <w:tr w:rsidR="00831411" w:rsidRPr="00831411" w14:paraId="263504EB" w14:textId="77777777" w:rsidTr="003C25B1">
        <w:trPr>
          <w:trHeight w:val="567"/>
        </w:trPr>
        <w:tc>
          <w:tcPr>
            <w:tcW w:w="5440" w:type="dxa"/>
            <w:shd w:val="clear" w:color="auto" w:fill="auto"/>
            <w:vAlign w:val="center"/>
            <w:hideMark/>
          </w:tcPr>
          <w:p w14:paraId="49FCE63F"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(Special Undertakings) Act 1952</w:t>
            </w:r>
          </w:p>
        </w:tc>
        <w:tc>
          <w:tcPr>
            <w:tcW w:w="3914" w:type="dxa"/>
            <w:shd w:val="clear" w:color="auto" w:fill="auto"/>
            <w:vAlign w:val="center"/>
            <w:hideMark/>
          </w:tcPr>
          <w:p w14:paraId="0619C8B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31(1)(b); 9(2)(a)(ii)</w:t>
            </w:r>
          </w:p>
        </w:tc>
      </w:tr>
      <w:tr w:rsidR="00831411" w:rsidRPr="00831411" w14:paraId="5B6D0B95" w14:textId="77777777" w:rsidTr="003C25B1">
        <w:trPr>
          <w:trHeight w:val="567"/>
        </w:trPr>
        <w:tc>
          <w:tcPr>
            <w:tcW w:w="5440" w:type="dxa"/>
            <w:shd w:val="clear" w:color="auto" w:fill="auto"/>
            <w:vAlign w:val="center"/>
            <w:hideMark/>
          </w:tcPr>
          <w:p w14:paraId="5B0A844F"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Act 1903</w:t>
            </w:r>
          </w:p>
        </w:tc>
        <w:tc>
          <w:tcPr>
            <w:tcW w:w="3914" w:type="dxa"/>
            <w:shd w:val="clear" w:color="auto" w:fill="auto"/>
            <w:vAlign w:val="center"/>
            <w:hideMark/>
          </w:tcPr>
          <w:p w14:paraId="3D82BBD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110</w:t>
            </w:r>
            <w:proofErr w:type="gramStart"/>
            <w:r w:rsidRPr="00831411">
              <w:rPr>
                <w:rFonts w:asciiTheme="minorHAnsi" w:eastAsia="Times New Roman" w:hAnsiTheme="minorHAnsi" w:cstheme="minorHAnsi"/>
                <w:color w:val="000000"/>
                <w:lang w:eastAsia="en-AU"/>
              </w:rPr>
              <w:t>XD(</w:t>
            </w:r>
            <w:proofErr w:type="gramEnd"/>
            <w:r w:rsidRPr="00831411">
              <w:rPr>
                <w:rFonts w:asciiTheme="minorHAnsi" w:eastAsia="Times New Roman" w:hAnsiTheme="minorHAnsi" w:cstheme="minorHAnsi"/>
                <w:color w:val="000000"/>
                <w:lang w:eastAsia="en-AU"/>
              </w:rPr>
              <w:t>2); 73A(1), (2); 90</w:t>
            </w:r>
          </w:p>
        </w:tc>
      </w:tr>
      <w:tr w:rsidR="00831411" w:rsidRPr="00831411" w14:paraId="3BD5CD1F" w14:textId="77777777" w:rsidTr="003C25B1">
        <w:trPr>
          <w:trHeight w:val="567"/>
        </w:trPr>
        <w:tc>
          <w:tcPr>
            <w:tcW w:w="5440" w:type="dxa"/>
            <w:shd w:val="clear" w:color="auto" w:fill="auto"/>
            <w:vAlign w:val="center"/>
            <w:hideMark/>
          </w:tcPr>
          <w:p w14:paraId="0162433A"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Force Discipline Act 1982</w:t>
            </w:r>
          </w:p>
        </w:tc>
        <w:tc>
          <w:tcPr>
            <w:tcW w:w="3914" w:type="dxa"/>
            <w:shd w:val="clear" w:color="auto" w:fill="auto"/>
            <w:vAlign w:val="center"/>
            <w:hideMark/>
          </w:tcPr>
          <w:p w14:paraId="31B9B15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16; 16B; 58</w:t>
            </w:r>
          </w:p>
        </w:tc>
      </w:tr>
      <w:tr w:rsidR="00831411" w:rsidRPr="00831411" w14:paraId="64B343F6" w14:textId="77777777" w:rsidTr="003C25B1">
        <w:trPr>
          <w:trHeight w:val="567"/>
        </w:trPr>
        <w:tc>
          <w:tcPr>
            <w:tcW w:w="5440" w:type="dxa"/>
            <w:shd w:val="clear" w:color="auto" w:fill="auto"/>
            <w:vAlign w:val="center"/>
            <w:hideMark/>
          </w:tcPr>
          <w:p w14:paraId="142AF42C"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Regulation 2016</w:t>
            </w:r>
          </w:p>
        </w:tc>
        <w:tc>
          <w:tcPr>
            <w:tcW w:w="3914" w:type="dxa"/>
            <w:shd w:val="clear" w:color="auto" w:fill="auto"/>
            <w:vAlign w:val="center"/>
            <w:hideMark/>
          </w:tcPr>
          <w:p w14:paraId="4EE5E5F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37(1)</w:t>
            </w:r>
          </w:p>
        </w:tc>
      </w:tr>
      <w:tr w:rsidR="00831411" w:rsidRPr="00831411" w14:paraId="7D5A702B" w14:textId="77777777" w:rsidTr="003C25B1">
        <w:trPr>
          <w:trHeight w:val="567"/>
        </w:trPr>
        <w:tc>
          <w:tcPr>
            <w:tcW w:w="5440" w:type="dxa"/>
            <w:shd w:val="clear" w:color="auto" w:fill="auto"/>
            <w:vAlign w:val="center"/>
            <w:hideMark/>
          </w:tcPr>
          <w:p w14:paraId="4C43266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Dental Benefits Act 2008</w:t>
            </w:r>
          </w:p>
        </w:tc>
        <w:tc>
          <w:tcPr>
            <w:tcW w:w="3914" w:type="dxa"/>
            <w:shd w:val="clear" w:color="auto" w:fill="auto"/>
            <w:vAlign w:val="center"/>
            <w:hideMark/>
          </w:tcPr>
          <w:p w14:paraId="47254F2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34(1); 43; 44; 45; 46</w:t>
            </w:r>
          </w:p>
        </w:tc>
      </w:tr>
      <w:tr w:rsidR="00831411" w:rsidRPr="00831411" w14:paraId="2BEE52B9" w14:textId="77777777" w:rsidTr="003C25B1">
        <w:trPr>
          <w:trHeight w:val="567"/>
        </w:trPr>
        <w:tc>
          <w:tcPr>
            <w:tcW w:w="5440" w:type="dxa"/>
            <w:shd w:val="clear" w:color="auto" w:fill="auto"/>
            <w:vAlign w:val="center"/>
            <w:hideMark/>
          </w:tcPr>
          <w:p w14:paraId="118E1C2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Designs Act 2003</w:t>
            </w:r>
          </w:p>
        </w:tc>
        <w:tc>
          <w:tcPr>
            <w:tcW w:w="3914" w:type="dxa"/>
            <w:shd w:val="clear" w:color="auto" w:fill="auto"/>
            <w:vAlign w:val="center"/>
            <w:hideMark/>
          </w:tcPr>
          <w:p w14:paraId="13D9F73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109   </w:t>
            </w:r>
          </w:p>
        </w:tc>
      </w:tr>
      <w:tr w:rsidR="00831411" w:rsidRPr="00831411" w14:paraId="177733D4" w14:textId="77777777" w:rsidTr="003C25B1">
        <w:trPr>
          <w:trHeight w:val="567"/>
        </w:trPr>
        <w:tc>
          <w:tcPr>
            <w:tcW w:w="5440" w:type="dxa"/>
            <w:shd w:val="clear" w:color="auto" w:fill="auto"/>
            <w:vAlign w:val="center"/>
            <w:hideMark/>
          </w:tcPr>
          <w:p w14:paraId="70E8573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Disability Discrimination Act 1992</w:t>
            </w:r>
          </w:p>
        </w:tc>
        <w:tc>
          <w:tcPr>
            <w:tcW w:w="3914" w:type="dxa"/>
            <w:shd w:val="clear" w:color="auto" w:fill="auto"/>
            <w:vAlign w:val="center"/>
            <w:hideMark/>
          </w:tcPr>
          <w:p w14:paraId="1C66311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127 </w:t>
            </w:r>
          </w:p>
        </w:tc>
      </w:tr>
      <w:tr w:rsidR="00831411" w:rsidRPr="00831411" w14:paraId="43CE8669" w14:textId="77777777" w:rsidTr="003C25B1">
        <w:trPr>
          <w:trHeight w:val="567"/>
        </w:trPr>
        <w:tc>
          <w:tcPr>
            <w:tcW w:w="5440" w:type="dxa"/>
            <w:shd w:val="clear" w:color="auto" w:fill="auto"/>
            <w:vAlign w:val="center"/>
            <w:hideMark/>
          </w:tcPr>
          <w:p w14:paraId="530BFD0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Disability Services Act 1986</w:t>
            </w:r>
          </w:p>
        </w:tc>
        <w:tc>
          <w:tcPr>
            <w:tcW w:w="3914" w:type="dxa"/>
            <w:shd w:val="clear" w:color="auto" w:fill="auto"/>
            <w:vAlign w:val="center"/>
            <w:hideMark/>
          </w:tcPr>
          <w:p w14:paraId="0DF67AB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28 </w:t>
            </w:r>
          </w:p>
        </w:tc>
      </w:tr>
      <w:tr w:rsidR="00831411" w:rsidRPr="00831411" w14:paraId="5F8D64BD" w14:textId="77777777" w:rsidTr="003C25B1">
        <w:trPr>
          <w:trHeight w:val="567"/>
        </w:trPr>
        <w:tc>
          <w:tcPr>
            <w:tcW w:w="5440" w:type="dxa"/>
            <w:shd w:val="clear" w:color="auto" w:fill="auto"/>
            <w:vAlign w:val="center"/>
            <w:hideMark/>
          </w:tcPr>
          <w:p w14:paraId="6507525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Environment Protection (Alligator Rivers Region) Act 1978</w:t>
            </w:r>
          </w:p>
        </w:tc>
        <w:tc>
          <w:tcPr>
            <w:tcW w:w="3914" w:type="dxa"/>
            <w:shd w:val="clear" w:color="auto" w:fill="auto"/>
            <w:vAlign w:val="center"/>
            <w:hideMark/>
          </w:tcPr>
          <w:p w14:paraId="64EFD36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31</w:t>
            </w:r>
          </w:p>
        </w:tc>
      </w:tr>
      <w:tr w:rsidR="00831411" w:rsidRPr="00831411" w14:paraId="38FD2357" w14:textId="77777777" w:rsidTr="003C25B1">
        <w:trPr>
          <w:trHeight w:val="567"/>
        </w:trPr>
        <w:tc>
          <w:tcPr>
            <w:tcW w:w="5440" w:type="dxa"/>
            <w:shd w:val="clear" w:color="auto" w:fill="auto"/>
            <w:vAlign w:val="center"/>
            <w:hideMark/>
          </w:tcPr>
          <w:p w14:paraId="4E5E967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Environment Protection and Biodiversity Conservation Act 1999</w:t>
            </w:r>
          </w:p>
        </w:tc>
        <w:tc>
          <w:tcPr>
            <w:tcW w:w="3914" w:type="dxa"/>
            <w:shd w:val="clear" w:color="auto" w:fill="auto"/>
            <w:vAlign w:val="center"/>
            <w:hideMark/>
          </w:tcPr>
          <w:p w14:paraId="1DBEBA4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sch 1, </w:t>
            </w:r>
            <w:proofErr w:type="spellStart"/>
            <w:r w:rsidRPr="00831411">
              <w:rPr>
                <w:rFonts w:asciiTheme="minorHAnsi" w:eastAsia="Times New Roman" w:hAnsiTheme="minorHAnsi" w:cstheme="minorHAnsi"/>
                <w:color w:val="000000"/>
                <w:lang w:eastAsia="en-AU"/>
              </w:rPr>
              <w:t>cls</w:t>
            </w:r>
            <w:proofErr w:type="spellEnd"/>
            <w:r w:rsidRPr="00831411">
              <w:rPr>
                <w:rFonts w:asciiTheme="minorHAnsi" w:eastAsia="Times New Roman" w:hAnsiTheme="minorHAnsi" w:cstheme="minorHAnsi"/>
                <w:color w:val="000000"/>
                <w:lang w:eastAsia="en-AU"/>
              </w:rPr>
              <w:t xml:space="preserve"> 51, 53</w:t>
            </w:r>
          </w:p>
        </w:tc>
      </w:tr>
      <w:tr w:rsidR="00831411" w:rsidRPr="00831411" w14:paraId="05417F18" w14:textId="77777777" w:rsidTr="003C25B1">
        <w:trPr>
          <w:trHeight w:val="567"/>
        </w:trPr>
        <w:tc>
          <w:tcPr>
            <w:tcW w:w="5440" w:type="dxa"/>
            <w:shd w:val="clear" w:color="auto" w:fill="auto"/>
            <w:vAlign w:val="center"/>
            <w:hideMark/>
          </w:tcPr>
          <w:p w14:paraId="6241898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Epidemiological Studies (Confidentiality) Act 1981</w:t>
            </w:r>
          </w:p>
        </w:tc>
        <w:tc>
          <w:tcPr>
            <w:tcW w:w="3914" w:type="dxa"/>
            <w:shd w:val="clear" w:color="auto" w:fill="auto"/>
            <w:vAlign w:val="center"/>
            <w:hideMark/>
          </w:tcPr>
          <w:p w14:paraId="0745365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 6</w:t>
            </w:r>
          </w:p>
        </w:tc>
      </w:tr>
      <w:tr w:rsidR="00831411" w:rsidRPr="00831411" w14:paraId="02B897B1" w14:textId="77777777" w:rsidTr="003C25B1">
        <w:trPr>
          <w:trHeight w:val="567"/>
        </w:trPr>
        <w:tc>
          <w:tcPr>
            <w:tcW w:w="5440" w:type="dxa"/>
            <w:shd w:val="clear" w:color="auto" w:fill="auto"/>
            <w:vAlign w:val="center"/>
            <w:hideMark/>
          </w:tcPr>
          <w:p w14:paraId="3CB5820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Export Control Act 2020</w:t>
            </w:r>
          </w:p>
        </w:tc>
        <w:tc>
          <w:tcPr>
            <w:tcW w:w="3914" w:type="dxa"/>
            <w:shd w:val="clear" w:color="auto" w:fill="auto"/>
            <w:vAlign w:val="center"/>
            <w:hideMark/>
          </w:tcPr>
          <w:p w14:paraId="1A49226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397</w:t>
            </w:r>
          </w:p>
        </w:tc>
      </w:tr>
      <w:tr w:rsidR="00831411" w:rsidRPr="00831411" w14:paraId="113C4EE4" w14:textId="77777777" w:rsidTr="003C25B1">
        <w:trPr>
          <w:trHeight w:val="567"/>
        </w:trPr>
        <w:tc>
          <w:tcPr>
            <w:tcW w:w="5440" w:type="dxa"/>
            <w:shd w:val="clear" w:color="auto" w:fill="auto"/>
            <w:vAlign w:val="center"/>
            <w:hideMark/>
          </w:tcPr>
          <w:p w14:paraId="7EA01A7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Export Finance and Insurance Corporation Act 1991</w:t>
            </w:r>
          </w:p>
        </w:tc>
        <w:tc>
          <w:tcPr>
            <w:tcW w:w="3914" w:type="dxa"/>
            <w:shd w:val="clear" w:color="auto" w:fill="auto"/>
            <w:vAlign w:val="center"/>
            <w:hideMark/>
          </w:tcPr>
          <w:p w14:paraId="5F245E2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87(5)</w:t>
            </w:r>
          </w:p>
        </w:tc>
      </w:tr>
      <w:tr w:rsidR="00831411" w:rsidRPr="00831411" w14:paraId="433FB094" w14:textId="77777777" w:rsidTr="003C25B1">
        <w:trPr>
          <w:trHeight w:val="567"/>
        </w:trPr>
        <w:tc>
          <w:tcPr>
            <w:tcW w:w="5440" w:type="dxa"/>
            <w:shd w:val="clear" w:color="auto" w:fill="auto"/>
            <w:vAlign w:val="center"/>
            <w:hideMark/>
          </w:tcPr>
          <w:p w14:paraId="51AB4310"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Family Assistance Legislation Amendment (Child Care Management System and Other Measures) Act 2007</w:t>
            </w:r>
          </w:p>
        </w:tc>
        <w:tc>
          <w:tcPr>
            <w:tcW w:w="3914" w:type="dxa"/>
            <w:shd w:val="clear" w:color="auto" w:fill="auto"/>
            <w:vAlign w:val="center"/>
            <w:hideMark/>
          </w:tcPr>
          <w:p w14:paraId="3238AC88"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99</w:t>
            </w:r>
          </w:p>
        </w:tc>
      </w:tr>
      <w:tr w:rsidR="00831411" w:rsidRPr="00831411" w14:paraId="44FA25C9" w14:textId="77777777" w:rsidTr="003C25B1">
        <w:trPr>
          <w:trHeight w:val="567"/>
        </w:trPr>
        <w:tc>
          <w:tcPr>
            <w:tcW w:w="5440" w:type="dxa"/>
            <w:shd w:val="clear" w:color="auto" w:fill="auto"/>
            <w:vAlign w:val="center"/>
            <w:hideMark/>
          </w:tcPr>
          <w:p w14:paraId="7D65E91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Family Law Act 1975 </w:t>
            </w:r>
          </w:p>
        </w:tc>
        <w:tc>
          <w:tcPr>
            <w:tcW w:w="3914" w:type="dxa"/>
            <w:shd w:val="clear" w:color="auto" w:fill="auto"/>
            <w:vAlign w:val="center"/>
            <w:hideMark/>
          </w:tcPr>
          <w:p w14:paraId="49AB201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121(1), (2); 67P</w:t>
            </w:r>
          </w:p>
        </w:tc>
      </w:tr>
      <w:tr w:rsidR="00831411" w:rsidRPr="00831411" w14:paraId="1F734FA7" w14:textId="77777777" w:rsidTr="003C25B1">
        <w:trPr>
          <w:trHeight w:val="567"/>
        </w:trPr>
        <w:tc>
          <w:tcPr>
            <w:tcW w:w="5440" w:type="dxa"/>
            <w:shd w:val="clear" w:color="auto" w:fill="auto"/>
            <w:vAlign w:val="center"/>
            <w:hideMark/>
          </w:tcPr>
          <w:p w14:paraId="4B88624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Financial Regulator Assessment Authority Act 2021</w:t>
            </w:r>
          </w:p>
        </w:tc>
        <w:tc>
          <w:tcPr>
            <w:tcW w:w="3914" w:type="dxa"/>
            <w:shd w:val="clear" w:color="auto" w:fill="auto"/>
            <w:vAlign w:val="center"/>
            <w:hideMark/>
          </w:tcPr>
          <w:p w14:paraId="4A2F9BA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40 </w:t>
            </w:r>
          </w:p>
        </w:tc>
      </w:tr>
      <w:tr w:rsidR="00831411" w:rsidRPr="00831411" w14:paraId="37932020" w14:textId="77777777" w:rsidTr="003C25B1">
        <w:trPr>
          <w:trHeight w:val="567"/>
        </w:trPr>
        <w:tc>
          <w:tcPr>
            <w:tcW w:w="5440" w:type="dxa"/>
            <w:shd w:val="clear" w:color="auto" w:fill="auto"/>
            <w:vAlign w:val="center"/>
            <w:hideMark/>
          </w:tcPr>
          <w:p w14:paraId="25C3886B"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Financial Transaction Reports Act 1988</w:t>
            </w:r>
          </w:p>
        </w:tc>
        <w:tc>
          <w:tcPr>
            <w:tcW w:w="3914" w:type="dxa"/>
            <w:shd w:val="clear" w:color="auto" w:fill="auto"/>
            <w:vAlign w:val="center"/>
            <w:hideMark/>
          </w:tcPr>
          <w:p w14:paraId="5955470A"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16(5A), (5AA)</w:t>
            </w:r>
          </w:p>
        </w:tc>
      </w:tr>
      <w:tr w:rsidR="00831411" w:rsidRPr="00831411" w14:paraId="5CFC4E34" w14:textId="77777777" w:rsidTr="003C25B1">
        <w:trPr>
          <w:trHeight w:val="567"/>
        </w:trPr>
        <w:tc>
          <w:tcPr>
            <w:tcW w:w="5440" w:type="dxa"/>
            <w:shd w:val="clear" w:color="auto" w:fill="auto"/>
            <w:vAlign w:val="center"/>
            <w:hideMark/>
          </w:tcPr>
          <w:p w14:paraId="22444F2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Fisheries Management Act 1991</w:t>
            </w:r>
          </w:p>
        </w:tc>
        <w:tc>
          <w:tcPr>
            <w:tcW w:w="3914" w:type="dxa"/>
            <w:shd w:val="clear" w:color="auto" w:fill="auto"/>
            <w:vAlign w:val="center"/>
            <w:hideMark/>
          </w:tcPr>
          <w:p w14:paraId="319C873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155; sch 1A, cl 53</w:t>
            </w:r>
          </w:p>
        </w:tc>
      </w:tr>
      <w:tr w:rsidR="00831411" w:rsidRPr="00831411" w14:paraId="22FD5F1B" w14:textId="77777777" w:rsidTr="003C25B1">
        <w:trPr>
          <w:trHeight w:val="567"/>
        </w:trPr>
        <w:tc>
          <w:tcPr>
            <w:tcW w:w="5440" w:type="dxa"/>
            <w:shd w:val="clear" w:color="auto" w:fill="auto"/>
            <w:vAlign w:val="center"/>
            <w:hideMark/>
          </w:tcPr>
          <w:p w14:paraId="5650F91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Food Standards Australia New Zealand Act 1991</w:t>
            </w:r>
          </w:p>
        </w:tc>
        <w:tc>
          <w:tcPr>
            <w:tcW w:w="3914" w:type="dxa"/>
            <w:shd w:val="clear" w:color="auto" w:fill="auto"/>
            <w:vAlign w:val="center"/>
            <w:hideMark/>
          </w:tcPr>
          <w:p w14:paraId="7B706C7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114(8) </w:t>
            </w:r>
          </w:p>
        </w:tc>
      </w:tr>
      <w:tr w:rsidR="00831411" w:rsidRPr="00831411" w14:paraId="5A0C1239" w14:textId="77777777" w:rsidTr="003C25B1">
        <w:trPr>
          <w:trHeight w:val="567"/>
        </w:trPr>
        <w:tc>
          <w:tcPr>
            <w:tcW w:w="5440" w:type="dxa"/>
            <w:shd w:val="clear" w:color="auto" w:fill="auto"/>
            <w:vAlign w:val="center"/>
            <w:hideMark/>
          </w:tcPr>
          <w:p w14:paraId="6D3654D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Foreign Acquisitions and Takeovers Act 1975</w:t>
            </w:r>
          </w:p>
        </w:tc>
        <w:tc>
          <w:tcPr>
            <w:tcW w:w="3914" w:type="dxa"/>
            <w:shd w:val="clear" w:color="auto" w:fill="auto"/>
            <w:vAlign w:val="center"/>
            <w:hideMark/>
          </w:tcPr>
          <w:p w14:paraId="58629C1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128 </w:t>
            </w:r>
          </w:p>
        </w:tc>
      </w:tr>
      <w:tr w:rsidR="00831411" w:rsidRPr="00831411" w14:paraId="118C5FCB" w14:textId="77777777" w:rsidTr="003C25B1">
        <w:trPr>
          <w:trHeight w:val="567"/>
        </w:trPr>
        <w:tc>
          <w:tcPr>
            <w:tcW w:w="5440" w:type="dxa"/>
            <w:shd w:val="clear" w:color="auto" w:fill="auto"/>
            <w:vAlign w:val="center"/>
            <w:hideMark/>
          </w:tcPr>
          <w:p w14:paraId="1C24010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Gene Technology Act 2000</w:t>
            </w:r>
          </w:p>
        </w:tc>
        <w:tc>
          <w:tcPr>
            <w:tcW w:w="3914" w:type="dxa"/>
            <w:shd w:val="clear" w:color="auto" w:fill="auto"/>
            <w:vAlign w:val="center"/>
            <w:hideMark/>
          </w:tcPr>
          <w:p w14:paraId="2C49429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187(1), (2); 53(4)</w:t>
            </w:r>
          </w:p>
        </w:tc>
      </w:tr>
      <w:tr w:rsidR="00831411" w:rsidRPr="00831411" w14:paraId="57A12A81" w14:textId="77777777" w:rsidTr="003C25B1">
        <w:trPr>
          <w:trHeight w:val="567"/>
        </w:trPr>
        <w:tc>
          <w:tcPr>
            <w:tcW w:w="5440" w:type="dxa"/>
            <w:shd w:val="clear" w:color="auto" w:fill="auto"/>
            <w:vAlign w:val="center"/>
            <w:hideMark/>
          </w:tcPr>
          <w:p w14:paraId="5143A66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Greenhouse and Energy Minimum Standards Act 2012</w:t>
            </w:r>
          </w:p>
        </w:tc>
        <w:tc>
          <w:tcPr>
            <w:tcW w:w="3914" w:type="dxa"/>
            <w:shd w:val="clear" w:color="auto" w:fill="auto"/>
            <w:vAlign w:val="center"/>
            <w:hideMark/>
          </w:tcPr>
          <w:p w14:paraId="2B542F2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169</w:t>
            </w:r>
          </w:p>
        </w:tc>
      </w:tr>
      <w:tr w:rsidR="00831411" w:rsidRPr="00831411" w14:paraId="5637A289" w14:textId="77777777" w:rsidTr="003C25B1">
        <w:trPr>
          <w:trHeight w:val="567"/>
        </w:trPr>
        <w:tc>
          <w:tcPr>
            <w:tcW w:w="5440" w:type="dxa"/>
            <w:shd w:val="clear" w:color="auto" w:fill="auto"/>
            <w:vAlign w:val="center"/>
            <w:hideMark/>
          </w:tcPr>
          <w:p w14:paraId="5CE87A1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Hazardous Waste (Regulation of Exports and Imports) Act 1989</w:t>
            </w:r>
          </w:p>
        </w:tc>
        <w:tc>
          <w:tcPr>
            <w:tcW w:w="3914" w:type="dxa"/>
            <w:shd w:val="clear" w:color="auto" w:fill="auto"/>
            <w:vAlign w:val="center"/>
            <w:hideMark/>
          </w:tcPr>
          <w:p w14:paraId="5D9FCAE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41W; 41V</w:t>
            </w:r>
          </w:p>
        </w:tc>
      </w:tr>
      <w:tr w:rsidR="00831411" w:rsidRPr="00831411" w14:paraId="3B9726F3" w14:textId="77777777" w:rsidTr="003C25B1">
        <w:trPr>
          <w:trHeight w:val="567"/>
        </w:trPr>
        <w:tc>
          <w:tcPr>
            <w:tcW w:w="5440" w:type="dxa"/>
            <w:shd w:val="clear" w:color="auto" w:fill="auto"/>
            <w:vAlign w:val="center"/>
            <w:hideMark/>
          </w:tcPr>
          <w:p w14:paraId="2F63387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Health Insurance Act 1973</w:t>
            </w:r>
          </w:p>
        </w:tc>
        <w:tc>
          <w:tcPr>
            <w:tcW w:w="3914" w:type="dxa"/>
            <w:shd w:val="clear" w:color="auto" w:fill="auto"/>
            <w:vAlign w:val="center"/>
            <w:hideMark/>
          </w:tcPr>
          <w:p w14:paraId="0C79E6C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106ZR; 124</w:t>
            </w:r>
            <w:proofErr w:type="gramStart"/>
            <w:r w:rsidRPr="00831411">
              <w:rPr>
                <w:rFonts w:asciiTheme="minorHAnsi" w:eastAsia="Times New Roman" w:hAnsiTheme="minorHAnsi" w:cstheme="minorHAnsi"/>
                <w:color w:val="000000"/>
                <w:lang w:eastAsia="en-AU"/>
              </w:rPr>
              <w:t>Y(</w:t>
            </w:r>
            <w:proofErr w:type="gramEnd"/>
            <w:r w:rsidRPr="00831411">
              <w:rPr>
                <w:rFonts w:asciiTheme="minorHAnsi" w:eastAsia="Times New Roman" w:hAnsiTheme="minorHAnsi" w:cstheme="minorHAnsi"/>
                <w:color w:val="000000"/>
                <w:lang w:eastAsia="en-AU"/>
              </w:rPr>
              <w:t>1); 130(1), (8), (9)</w:t>
            </w:r>
          </w:p>
        </w:tc>
      </w:tr>
      <w:tr w:rsidR="00831411" w:rsidRPr="00831411" w14:paraId="5B41BA5B" w14:textId="77777777" w:rsidTr="003C25B1">
        <w:trPr>
          <w:trHeight w:val="567"/>
        </w:trPr>
        <w:tc>
          <w:tcPr>
            <w:tcW w:w="5440" w:type="dxa"/>
            <w:shd w:val="clear" w:color="auto" w:fill="auto"/>
            <w:vAlign w:val="center"/>
            <w:hideMark/>
          </w:tcPr>
          <w:p w14:paraId="30BE1D2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Healthcare Identifiers Act 2010</w:t>
            </w:r>
          </w:p>
        </w:tc>
        <w:tc>
          <w:tcPr>
            <w:tcW w:w="3914" w:type="dxa"/>
            <w:shd w:val="clear" w:color="auto" w:fill="auto"/>
            <w:vAlign w:val="center"/>
            <w:hideMark/>
          </w:tcPr>
          <w:p w14:paraId="0870679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26(1), (2)</w:t>
            </w:r>
          </w:p>
        </w:tc>
      </w:tr>
      <w:tr w:rsidR="00831411" w:rsidRPr="00831411" w14:paraId="13BD2E07" w14:textId="77777777" w:rsidTr="003C25B1">
        <w:trPr>
          <w:trHeight w:val="567"/>
        </w:trPr>
        <w:tc>
          <w:tcPr>
            <w:tcW w:w="5440" w:type="dxa"/>
            <w:shd w:val="clear" w:color="auto" w:fill="auto"/>
            <w:vAlign w:val="center"/>
            <w:hideMark/>
          </w:tcPr>
          <w:p w14:paraId="039713FF"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Higher Education Funding Act 1988</w:t>
            </w:r>
          </w:p>
        </w:tc>
        <w:tc>
          <w:tcPr>
            <w:tcW w:w="3914" w:type="dxa"/>
            <w:shd w:val="clear" w:color="auto" w:fill="auto"/>
            <w:vAlign w:val="center"/>
            <w:hideMark/>
          </w:tcPr>
          <w:p w14:paraId="55E6D66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78(4)</w:t>
            </w:r>
          </w:p>
        </w:tc>
      </w:tr>
      <w:tr w:rsidR="00831411" w:rsidRPr="00831411" w14:paraId="60A36D92" w14:textId="77777777" w:rsidTr="003C25B1">
        <w:trPr>
          <w:trHeight w:val="567"/>
        </w:trPr>
        <w:tc>
          <w:tcPr>
            <w:tcW w:w="5440" w:type="dxa"/>
            <w:shd w:val="clear" w:color="auto" w:fill="auto"/>
            <w:vAlign w:val="center"/>
            <w:hideMark/>
          </w:tcPr>
          <w:p w14:paraId="5B9B83E1"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Higher Education Support Act 2003</w:t>
            </w:r>
          </w:p>
        </w:tc>
        <w:tc>
          <w:tcPr>
            <w:tcW w:w="3914" w:type="dxa"/>
            <w:shd w:val="clear" w:color="auto" w:fill="auto"/>
            <w:vAlign w:val="center"/>
            <w:hideMark/>
          </w:tcPr>
          <w:p w14:paraId="781F378F"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179-10;</w:t>
            </w:r>
            <w:r w:rsidRPr="00831411">
              <w:rPr>
                <w:rFonts w:asciiTheme="minorHAnsi" w:eastAsia="Times New Roman" w:hAnsiTheme="minorHAnsi" w:cstheme="minorHAnsi"/>
                <w:color w:val="000000"/>
                <w:lang w:eastAsia="en-AU"/>
              </w:rPr>
              <w:t xml:space="preserve"> 179-35; 180-25(5), (6); sch 1A, </w:t>
            </w:r>
            <w:proofErr w:type="spellStart"/>
            <w:r w:rsidRPr="00831411">
              <w:rPr>
                <w:rFonts w:asciiTheme="minorHAnsi" w:eastAsia="Times New Roman" w:hAnsiTheme="minorHAnsi" w:cstheme="minorHAnsi"/>
                <w:color w:val="000000"/>
                <w:lang w:eastAsia="en-AU"/>
              </w:rPr>
              <w:t>cls</w:t>
            </w:r>
            <w:proofErr w:type="spellEnd"/>
            <w:r w:rsidRPr="00831411">
              <w:rPr>
                <w:rFonts w:asciiTheme="minorHAnsi" w:eastAsia="Times New Roman" w:hAnsiTheme="minorHAnsi" w:cstheme="minorHAnsi"/>
                <w:color w:val="000000"/>
                <w:lang w:eastAsia="en-AU"/>
              </w:rPr>
              <w:t xml:space="preserve"> 73, 78</w:t>
            </w:r>
          </w:p>
        </w:tc>
      </w:tr>
      <w:tr w:rsidR="00831411" w:rsidRPr="00831411" w14:paraId="01CD1143" w14:textId="77777777" w:rsidTr="003C25B1">
        <w:trPr>
          <w:trHeight w:val="567"/>
        </w:trPr>
        <w:tc>
          <w:tcPr>
            <w:tcW w:w="5440" w:type="dxa"/>
            <w:shd w:val="clear" w:color="auto" w:fill="auto"/>
            <w:vAlign w:val="center"/>
            <w:hideMark/>
          </w:tcPr>
          <w:p w14:paraId="78AF675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Industrial Chemicals Act 2019</w:t>
            </w:r>
          </w:p>
        </w:tc>
        <w:tc>
          <w:tcPr>
            <w:tcW w:w="3914" w:type="dxa"/>
            <w:shd w:val="clear" w:color="auto" w:fill="auto"/>
            <w:vAlign w:val="center"/>
            <w:hideMark/>
          </w:tcPr>
          <w:p w14:paraId="7C1D0EC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115; 117 </w:t>
            </w:r>
          </w:p>
        </w:tc>
      </w:tr>
      <w:tr w:rsidR="00831411" w:rsidRPr="00831411" w14:paraId="79EEED47" w14:textId="77777777" w:rsidTr="003C25B1">
        <w:trPr>
          <w:trHeight w:val="567"/>
        </w:trPr>
        <w:tc>
          <w:tcPr>
            <w:tcW w:w="5440" w:type="dxa"/>
            <w:shd w:val="clear" w:color="auto" w:fill="auto"/>
            <w:vAlign w:val="center"/>
            <w:hideMark/>
          </w:tcPr>
          <w:p w14:paraId="331BDB8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Industrial Chemicals Environmental Management (Register) Act 2021</w:t>
            </w:r>
          </w:p>
        </w:tc>
        <w:tc>
          <w:tcPr>
            <w:tcW w:w="3914" w:type="dxa"/>
            <w:shd w:val="clear" w:color="auto" w:fill="auto"/>
            <w:vAlign w:val="center"/>
            <w:hideMark/>
          </w:tcPr>
          <w:p w14:paraId="4EC1BFF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50; 52</w:t>
            </w:r>
          </w:p>
        </w:tc>
      </w:tr>
      <w:tr w:rsidR="00831411" w:rsidRPr="00831411" w14:paraId="1CBD91B4" w14:textId="77777777" w:rsidTr="003C25B1">
        <w:trPr>
          <w:trHeight w:val="567"/>
        </w:trPr>
        <w:tc>
          <w:tcPr>
            <w:tcW w:w="5440" w:type="dxa"/>
            <w:shd w:val="clear" w:color="auto" w:fill="auto"/>
            <w:vAlign w:val="center"/>
            <w:hideMark/>
          </w:tcPr>
          <w:p w14:paraId="5E11A89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Inspector General of Intelligence and Security Act 1986 </w:t>
            </w:r>
          </w:p>
        </w:tc>
        <w:tc>
          <w:tcPr>
            <w:tcW w:w="3914" w:type="dxa"/>
            <w:shd w:val="clear" w:color="auto" w:fill="auto"/>
            <w:vAlign w:val="center"/>
            <w:hideMark/>
          </w:tcPr>
          <w:p w14:paraId="667E778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34(1), (1AA), (1AB)</w:t>
            </w:r>
          </w:p>
        </w:tc>
      </w:tr>
      <w:tr w:rsidR="00831411" w:rsidRPr="00831411" w14:paraId="48DEF1E5" w14:textId="77777777" w:rsidTr="003C25B1">
        <w:trPr>
          <w:trHeight w:val="567"/>
        </w:trPr>
        <w:tc>
          <w:tcPr>
            <w:tcW w:w="5440" w:type="dxa"/>
            <w:shd w:val="clear" w:color="auto" w:fill="auto"/>
            <w:vAlign w:val="center"/>
            <w:hideMark/>
          </w:tcPr>
          <w:p w14:paraId="2F8B5752"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Inspector of Transport Security Act 2006</w:t>
            </w:r>
          </w:p>
        </w:tc>
        <w:tc>
          <w:tcPr>
            <w:tcW w:w="3914" w:type="dxa"/>
            <w:shd w:val="clear" w:color="auto" w:fill="auto"/>
            <w:vAlign w:val="center"/>
            <w:hideMark/>
          </w:tcPr>
          <w:p w14:paraId="0FA1AFB8"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63(4), (5); 35(7); 36(7); 37(8); 49(2); 56; 60(5); 67; 75(2); 77(9)</w:t>
            </w:r>
          </w:p>
        </w:tc>
      </w:tr>
      <w:tr w:rsidR="00831411" w:rsidRPr="00831411" w14:paraId="0CAC4CB6" w14:textId="77777777" w:rsidTr="003C25B1">
        <w:trPr>
          <w:trHeight w:val="567"/>
        </w:trPr>
        <w:tc>
          <w:tcPr>
            <w:tcW w:w="5440" w:type="dxa"/>
            <w:shd w:val="clear" w:color="auto" w:fill="auto"/>
            <w:vAlign w:val="center"/>
            <w:hideMark/>
          </w:tcPr>
          <w:p w14:paraId="2BF2C60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Inspector-General of Live Animal Exports Act 2019</w:t>
            </w:r>
          </w:p>
        </w:tc>
        <w:tc>
          <w:tcPr>
            <w:tcW w:w="3914" w:type="dxa"/>
            <w:shd w:val="clear" w:color="auto" w:fill="auto"/>
            <w:vAlign w:val="center"/>
            <w:hideMark/>
          </w:tcPr>
          <w:p w14:paraId="1BA4646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31 </w:t>
            </w:r>
          </w:p>
        </w:tc>
      </w:tr>
      <w:tr w:rsidR="00831411" w:rsidRPr="00831411" w14:paraId="4C5913EA" w14:textId="77777777" w:rsidTr="003C25B1">
        <w:trPr>
          <w:trHeight w:val="567"/>
        </w:trPr>
        <w:tc>
          <w:tcPr>
            <w:tcW w:w="5440" w:type="dxa"/>
            <w:shd w:val="clear" w:color="auto" w:fill="auto"/>
            <w:vAlign w:val="center"/>
            <w:hideMark/>
          </w:tcPr>
          <w:p w14:paraId="4907A9A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Inspector-General of Taxation Act 2003</w:t>
            </w:r>
          </w:p>
        </w:tc>
        <w:tc>
          <w:tcPr>
            <w:tcW w:w="3914" w:type="dxa"/>
            <w:shd w:val="clear" w:color="auto" w:fill="auto"/>
            <w:vAlign w:val="center"/>
            <w:hideMark/>
          </w:tcPr>
          <w:p w14:paraId="4605173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37</w:t>
            </w:r>
          </w:p>
        </w:tc>
      </w:tr>
      <w:tr w:rsidR="00831411" w:rsidRPr="00831411" w14:paraId="1B9B1DA7" w14:textId="77777777" w:rsidTr="003C25B1">
        <w:trPr>
          <w:trHeight w:val="567"/>
        </w:trPr>
        <w:tc>
          <w:tcPr>
            <w:tcW w:w="5440" w:type="dxa"/>
            <w:shd w:val="clear" w:color="auto" w:fill="auto"/>
            <w:vAlign w:val="center"/>
            <w:hideMark/>
          </w:tcPr>
          <w:p w14:paraId="105DDDE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Insurance Act 1973</w:t>
            </w:r>
          </w:p>
        </w:tc>
        <w:tc>
          <w:tcPr>
            <w:tcW w:w="3914" w:type="dxa"/>
            <w:shd w:val="clear" w:color="auto" w:fill="auto"/>
            <w:vAlign w:val="center"/>
            <w:hideMark/>
          </w:tcPr>
          <w:p w14:paraId="7C170EA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109A</w:t>
            </w:r>
          </w:p>
        </w:tc>
      </w:tr>
      <w:tr w:rsidR="00831411" w:rsidRPr="00831411" w14:paraId="09AD7E9F" w14:textId="77777777" w:rsidTr="003C25B1">
        <w:trPr>
          <w:trHeight w:val="567"/>
        </w:trPr>
        <w:tc>
          <w:tcPr>
            <w:tcW w:w="5440" w:type="dxa"/>
            <w:shd w:val="clear" w:color="auto" w:fill="auto"/>
            <w:vAlign w:val="center"/>
            <w:hideMark/>
          </w:tcPr>
          <w:p w14:paraId="28CD4DA3"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Intelligence Services Act 2001</w:t>
            </w:r>
          </w:p>
        </w:tc>
        <w:tc>
          <w:tcPr>
            <w:tcW w:w="3914" w:type="dxa"/>
            <w:shd w:val="clear" w:color="auto" w:fill="auto"/>
            <w:vAlign w:val="center"/>
            <w:hideMark/>
          </w:tcPr>
          <w:p w14:paraId="67282201"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39A; 40; 40B; 40E; 40F; 40G; 40H; 40L; 40M;</w:t>
            </w:r>
            <w:r w:rsidRPr="00831411">
              <w:rPr>
                <w:rFonts w:asciiTheme="minorHAnsi" w:eastAsia="Times New Roman" w:hAnsiTheme="minorHAnsi" w:cstheme="minorHAnsi"/>
                <w:color w:val="000000"/>
                <w:lang w:eastAsia="en-AU"/>
              </w:rPr>
              <w:t> 39; 40C; 40D; 41; sch 1, cl 9</w:t>
            </w:r>
          </w:p>
        </w:tc>
      </w:tr>
      <w:tr w:rsidR="00831411" w:rsidRPr="00831411" w14:paraId="00C4E12A" w14:textId="77777777" w:rsidTr="003C25B1">
        <w:trPr>
          <w:trHeight w:val="567"/>
        </w:trPr>
        <w:tc>
          <w:tcPr>
            <w:tcW w:w="5440" w:type="dxa"/>
            <w:shd w:val="clear" w:color="auto" w:fill="auto"/>
            <w:vAlign w:val="center"/>
            <w:hideMark/>
          </w:tcPr>
          <w:p w14:paraId="5FDF4FB5"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Interactive Gambling Act 2001</w:t>
            </w:r>
          </w:p>
        </w:tc>
        <w:tc>
          <w:tcPr>
            <w:tcW w:w="3914" w:type="dxa"/>
            <w:shd w:val="clear" w:color="auto" w:fill="auto"/>
            <w:vAlign w:val="center"/>
            <w:hideMark/>
          </w:tcPr>
          <w:p w14:paraId="1501CA91"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61NB</w:t>
            </w:r>
          </w:p>
        </w:tc>
      </w:tr>
      <w:tr w:rsidR="00831411" w:rsidRPr="00831411" w14:paraId="6D73EDE4" w14:textId="77777777" w:rsidTr="003C25B1">
        <w:trPr>
          <w:trHeight w:val="567"/>
        </w:trPr>
        <w:tc>
          <w:tcPr>
            <w:tcW w:w="5440" w:type="dxa"/>
            <w:shd w:val="clear" w:color="auto" w:fill="auto"/>
            <w:vAlign w:val="center"/>
            <w:hideMark/>
          </w:tcPr>
          <w:p w14:paraId="1BFEBC7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International Criminal Court Act 2002</w:t>
            </w:r>
          </w:p>
        </w:tc>
        <w:tc>
          <w:tcPr>
            <w:tcW w:w="3914" w:type="dxa"/>
            <w:shd w:val="clear" w:color="auto" w:fill="auto"/>
            <w:vAlign w:val="center"/>
            <w:hideMark/>
          </w:tcPr>
          <w:p w14:paraId="1691ABA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92</w:t>
            </w:r>
          </w:p>
        </w:tc>
      </w:tr>
      <w:tr w:rsidR="00831411" w:rsidRPr="00831411" w14:paraId="3E17F62D" w14:textId="77777777" w:rsidTr="003C25B1">
        <w:trPr>
          <w:trHeight w:val="567"/>
        </w:trPr>
        <w:tc>
          <w:tcPr>
            <w:tcW w:w="5440" w:type="dxa"/>
            <w:shd w:val="clear" w:color="auto" w:fill="auto"/>
            <w:vAlign w:val="center"/>
            <w:hideMark/>
          </w:tcPr>
          <w:p w14:paraId="137A247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International War Crimes Tribunals Act 1995</w:t>
            </w:r>
          </w:p>
        </w:tc>
        <w:tc>
          <w:tcPr>
            <w:tcW w:w="3914" w:type="dxa"/>
            <w:shd w:val="clear" w:color="auto" w:fill="auto"/>
            <w:vAlign w:val="center"/>
            <w:hideMark/>
          </w:tcPr>
          <w:p w14:paraId="4FD51F2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40AL </w:t>
            </w:r>
          </w:p>
        </w:tc>
      </w:tr>
      <w:tr w:rsidR="00831411" w:rsidRPr="00831411" w14:paraId="43E41308" w14:textId="77777777" w:rsidTr="003C25B1">
        <w:trPr>
          <w:trHeight w:val="567"/>
        </w:trPr>
        <w:tc>
          <w:tcPr>
            <w:tcW w:w="5440" w:type="dxa"/>
            <w:shd w:val="clear" w:color="auto" w:fill="auto"/>
            <w:vAlign w:val="center"/>
          </w:tcPr>
          <w:p w14:paraId="384BF73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Life Insurance Act 1995</w:t>
            </w:r>
          </w:p>
        </w:tc>
        <w:tc>
          <w:tcPr>
            <w:tcW w:w="3914" w:type="dxa"/>
            <w:shd w:val="clear" w:color="auto" w:fill="auto"/>
            <w:vAlign w:val="center"/>
          </w:tcPr>
          <w:p w14:paraId="55589F4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216A</w:t>
            </w:r>
          </w:p>
        </w:tc>
      </w:tr>
      <w:tr w:rsidR="00831411" w:rsidRPr="00831411" w14:paraId="3EB1C822" w14:textId="77777777" w:rsidTr="003C25B1">
        <w:trPr>
          <w:trHeight w:val="567"/>
        </w:trPr>
        <w:tc>
          <w:tcPr>
            <w:tcW w:w="5440" w:type="dxa"/>
            <w:shd w:val="clear" w:color="auto" w:fill="auto"/>
            <w:vAlign w:val="center"/>
            <w:hideMark/>
          </w:tcPr>
          <w:p w14:paraId="1FBAED6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Maritime Transport and Offshore Facilities Security Act 2003</w:t>
            </w:r>
          </w:p>
        </w:tc>
        <w:tc>
          <w:tcPr>
            <w:tcW w:w="3914" w:type="dxa"/>
            <w:shd w:val="clear" w:color="auto" w:fill="auto"/>
            <w:vAlign w:val="center"/>
            <w:hideMark/>
          </w:tcPr>
          <w:p w14:paraId="6131630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40</w:t>
            </w:r>
            <w:r w:rsidRPr="00831411">
              <w:rPr>
                <w:rFonts w:asciiTheme="minorHAnsi" w:hAnsiTheme="minorHAnsi" w:cstheme="minorHAnsi"/>
              </w:rPr>
              <w:t xml:space="preserve"> </w:t>
            </w:r>
          </w:p>
        </w:tc>
      </w:tr>
      <w:tr w:rsidR="00831411" w:rsidRPr="00831411" w14:paraId="294DA9C8" w14:textId="77777777" w:rsidTr="003C25B1">
        <w:trPr>
          <w:trHeight w:val="567"/>
        </w:trPr>
        <w:tc>
          <w:tcPr>
            <w:tcW w:w="5440" w:type="dxa"/>
            <w:shd w:val="clear" w:color="auto" w:fill="auto"/>
            <w:vAlign w:val="center"/>
            <w:hideMark/>
          </w:tcPr>
          <w:p w14:paraId="4557951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Maritime Transport and Offshore Facilities Security Regulations 2003</w:t>
            </w:r>
          </w:p>
        </w:tc>
        <w:tc>
          <w:tcPr>
            <w:tcW w:w="3914" w:type="dxa"/>
            <w:shd w:val="clear" w:color="auto" w:fill="auto"/>
            <w:vAlign w:val="center"/>
            <w:hideMark/>
          </w:tcPr>
          <w:p w14:paraId="4BFFA44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lang w:eastAsia="en-AU"/>
              </w:rPr>
              <w:t>regs 6.08</w:t>
            </w:r>
            <w:proofErr w:type="gramStart"/>
            <w:r w:rsidRPr="00831411">
              <w:rPr>
                <w:rFonts w:asciiTheme="minorHAnsi" w:eastAsia="Times New Roman" w:hAnsiTheme="minorHAnsi" w:cstheme="minorHAnsi"/>
                <w:lang w:eastAsia="en-AU"/>
              </w:rPr>
              <w:t>JB(</w:t>
            </w:r>
            <w:proofErr w:type="gramEnd"/>
            <w:r w:rsidRPr="00831411">
              <w:rPr>
                <w:rFonts w:asciiTheme="minorHAnsi" w:eastAsia="Times New Roman" w:hAnsiTheme="minorHAnsi" w:cstheme="minorHAnsi"/>
                <w:lang w:eastAsia="en-AU"/>
              </w:rPr>
              <w:t>2); 6.08JA(3)</w:t>
            </w:r>
          </w:p>
        </w:tc>
      </w:tr>
      <w:tr w:rsidR="00831411" w:rsidRPr="00831411" w14:paraId="67D5EABA" w14:textId="77777777" w:rsidTr="003C25B1">
        <w:trPr>
          <w:trHeight w:val="567"/>
        </w:trPr>
        <w:tc>
          <w:tcPr>
            <w:tcW w:w="5440" w:type="dxa"/>
            <w:shd w:val="clear" w:color="auto" w:fill="auto"/>
            <w:vAlign w:val="center"/>
            <w:hideMark/>
          </w:tcPr>
          <w:p w14:paraId="237738C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Medical Indemnity Act 2002</w:t>
            </w:r>
          </w:p>
        </w:tc>
        <w:tc>
          <w:tcPr>
            <w:tcW w:w="3914" w:type="dxa"/>
            <w:shd w:val="clear" w:color="auto" w:fill="auto"/>
            <w:vAlign w:val="center"/>
            <w:hideMark/>
          </w:tcPr>
          <w:p w14:paraId="2FC9B29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77(2), (5)</w:t>
            </w:r>
          </w:p>
        </w:tc>
      </w:tr>
      <w:tr w:rsidR="00831411" w:rsidRPr="00831411" w14:paraId="05980AFE" w14:textId="77777777" w:rsidTr="003C25B1">
        <w:trPr>
          <w:trHeight w:val="567"/>
        </w:trPr>
        <w:tc>
          <w:tcPr>
            <w:tcW w:w="5440" w:type="dxa"/>
            <w:shd w:val="clear" w:color="auto" w:fill="auto"/>
            <w:vAlign w:val="center"/>
            <w:hideMark/>
          </w:tcPr>
          <w:p w14:paraId="149ADC8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Midwife Professional Indemnity (Commonwealth Contribution) Scheme Act 2010</w:t>
            </w:r>
          </w:p>
        </w:tc>
        <w:tc>
          <w:tcPr>
            <w:tcW w:w="3914" w:type="dxa"/>
            <w:shd w:val="clear" w:color="auto" w:fill="auto"/>
            <w:vAlign w:val="center"/>
            <w:hideMark/>
          </w:tcPr>
          <w:p w14:paraId="140B03A8" w14:textId="085DEF93"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88(2)</w:t>
            </w:r>
          </w:p>
        </w:tc>
      </w:tr>
      <w:tr w:rsidR="00831411" w:rsidRPr="00831411" w14:paraId="1D2A15DC" w14:textId="77777777" w:rsidTr="003C25B1">
        <w:trPr>
          <w:trHeight w:val="567"/>
        </w:trPr>
        <w:tc>
          <w:tcPr>
            <w:tcW w:w="5440" w:type="dxa"/>
            <w:shd w:val="clear" w:color="auto" w:fill="auto"/>
            <w:vAlign w:val="center"/>
            <w:hideMark/>
          </w:tcPr>
          <w:p w14:paraId="34EA664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Migration Act 1958</w:t>
            </w:r>
          </w:p>
        </w:tc>
        <w:tc>
          <w:tcPr>
            <w:tcW w:w="3914" w:type="dxa"/>
            <w:shd w:val="clear" w:color="auto" w:fill="auto"/>
            <w:vAlign w:val="center"/>
            <w:hideMark/>
          </w:tcPr>
          <w:p w14:paraId="1F62678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336C; 336E; s 488(1), (4); s 261AKD</w:t>
            </w:r>
          </w:p>
        </w:tc>
      </w:tr>
      <w:tr w:rsidR="00831411" w:rsidRPr="00831411" w14:paraId="6060FC3F" w14:textId="77777777" w:rsidTr="003C25B1">
        <w:trPr>
          <w:trHeight w:val="567"/>
        </w:trPr>
        <w:tc>
          <w:tcPr>
            <w:tcW w:w="5440" w:type="dxa"/>
            <w:shd w:val="clear" w:color="auto" w:fill="auto"/>
            <w:vAlign w:val="center"/>
            <w:hideMark/>
          </w:tcPr>
          <w:p w14:paraId="729569C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Mutual Assistance in Criminal Matters Act 1987</w:t>
            </w:r>
          </w:p>
        </w:tc>
        <w:tc>
          <w:tcPr>
            <w:tcW w:w="3914" w:type="dxa"/>
            <w:shd w:val="clear" w:color="auto" w:fill="auto"/>
            <w:vAlign w:val="center"/>
            <w:hideMark/>
          </w:tcPr>
          <w:p w14:paraId="6907840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34V; 43C; 43B</w:t>
            </w:r>
          </w:p>
        </w:tc>
      </w:tr>
      <w:tr w:rsidR="00831411" w:rsidRPr="00831411" w14:paraId="4C31AB2A" w14:textId="77777777" w:rsidTr="003C25B1">
        <w:trPr>
          <w:trHeight w:val="567"/>
        </w:trPr>
        <w:tc>
          <w:tcPr>
            <w:tcW w:w="5440" w:type="dxa"/>
            <w:shd w:val="clear" w:color="auto" w:fill="auto"/>
            <w:vAlign w:val="center"/>
            <w:hideMark/>
          </w:tcPr>
          <w:p w14:paraId="03B9F8D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My Health Records Act 2012</w:t>
            </w:r>
          </w:p>
        </w:tc>
        <w:tc>
          <w:tcPr>
            <w:tcW w:w="3914" w:type="dxa"/>
            <w:shd w:val="clear" w:color="auto" w:fill="auto"/>
            <w:vAlign w:val="center"/>
            <w:hideMark/>
          </w:tcPr>
          <w:p w14:paraId="108B546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71</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1); 59; 60(1)</w:t>
            </w:r>
          </w:p>
        </w:tc>
      </w:tr>
      <w:tr w:rsidR="00831411" w:rsidRPr="00831411" w14:paraId="244541A2" w14:textId="77777777" w:rsidTr="003C25B1">
        <w:trPr>
          <w:trHeight w:val="567"/>
        </w:trPr>
        <w:tc>
          <w:tcPr>
            <w:tcW w:w="5440" w:type="dxa"/>
            <w:shd w:val="clear" w:color="auto" w:fill="auto"/>
            <w:vAlign w:val="center"/>
            <w:hideMark/>
          </w:tcPr>
          <w:p w14:paraId="2880497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Narcotic Drugs Act 1967</w:t>
            </w:r>
          </w:p>
        </w:tc>
        <w:tc>
          <w:tcPr>
            <w:tcW w:w="3914" w:type="dxa"/>
            <w:shd w:val="clear" w:color="auto" w:fill="auto"/>
            <w:vAlign w:val="center"/>
            <w:hideMark/>
          </w:tcPr>
          <w:p w14:paraId="5C903B7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14</w:t>
            </w:r>
            <w:proofErr w:type="gramStart"/>
            <w:r w:rsidRPr="00831411">
              <w:rPr>
                <w:rFonts w:asciiTheme="minorHAnsi" w:eastAsia="Times New Roman" w:hAnsiTheme="minorHAnsi" w:cstheme="minorHAnsi"/>
                <w:color w:val="000000"/>
                <w:lang w:eastAsia="en-AU"/>
              </w:rPr>
              <w:t>MA(</w:t>
            </w:r>
            <w:proofErr w:type="gramEnd"/>
            <w:r w:rsidRPr="00831411">
              <w:rPr>
                <w:rFonts w:asciiTheme="minorHAnsi" w:eastAsia="Times New Roman" w:hAnsiTheme="minorHAnsi" w:cstheme="minorHAnsi"/>
                <w:color w:val="000000"/>
                <w:lang w:eastAsia="en-AU"/>
              </w:rPr>
              <w:t xml:space="preserve">1)  </w:t>
            </w:r>
          </w:p>
        </w:tc>
      </w:tr>
      <w:tr w:rsidR="00831411" w:rsidRPr="00831411" w14:paraId="0CDE2D6B" w14:textId="77777777" w:rsidTr="003C25B1">
        <w:trPr>
          <w:trHeight w:val="567"/>
        </w:trPr>
        <w:tc>
          <w:tcPr>
            <w:tcW w:w="5440" w:type="dxa"/>
            <w:shd w:val="clear" w:color="auto" w:fill="auto"/>
            <w:vAlign w:val="center"/>
            <w:hideMark/>
          </w:tcPr>
          <w:p w14:paraId="0FF3A6B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Anti-Corruption Commission Act 2022</w:t>
            </w:r>
          </w:p>
        </w:tc>
        <w:tc>
          <w:tcPr>
            <w:tcW w:w="3914" w:type="dxa"/>
            <w:shd w:val="clear" w:color="auto" w:fill="auto"/>
            <w:vAlign w:val="center"/>
            <w:hideMark/>
          </w:tcPr>
          <w:p w14:paraId="114E88A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98</w:t>
            </w:r>
            <w:r w:rsidR="000E05A1">
              <w:rPr>
                <w:rFonts w:asciiTheme="minorHAnsi" w:eastAsia="Times New Roman" w:hAnsiTheme="minorHAnsi" w:cstheme="minorHAnsi"/>
                <w:color w:val="000000"/>
                <w:lang w:eastAsia="en-AU"/>
              </w:rPr>
              <w:t>(1)</w:t>
            </w:r>
            <w:r w:rsidRPr="00831411">
              <w:rPr>
                <w:rFonts w:asciiTheme="minorHAnsi" w:eastAsia="Times New Roman" w:hAnsiTheme="minorHAnsi" w:cstheme="minorHAnsi"/>
                <w:color w:val="000000"/>
                <w:lang w:eastAsia="en-AU"/>
              </w:rPr>
              <w:t>; 101</w:t>
            </w:r>
            <w:r w:rsidR="000E05A1">
              <w:rPr>
                <w:rFonts w:asciiTheme="minorHAnsi" w:eastAsia="Times New Roman" w:hAnsiTheme="minorHAnsi" w:cstheme="minorHAnsi"/>
                <w:color w:val="000000"/>
                <w:lang w:eastAsia="en-AU"/>
              </w:rPr>
              <w:t>(1)</w:t>
            </w:r>
            <w:r w:rsidRPr="00831411">
              <w:rPr>
                <w:rFonts w:asciiTheme="minorHAnsi" w:eastAsia="Times New Roman" w:hAnsiTheme="minorHAnsi" w:cstheme="minorHAnsi"/>
                <w:color w:val="000000"/>
                <w:lang w:eastAsia="en-AU"/>
              </w:rPr>
              <w:t>; 228; 233; 234</w:t>
            </w:r>
          </w:p>
        </w:tc>
      </w:tr>
      <w:tr w:rsidR="00831411" w:rsidRPr="00831411" w14:paraId="2DFC5198" w14:textId="77777777" w:rsidTr="003C25B1">
        <w:trPr>
          <w:trHeight w:val="567"/>
        </w:trPr>
        <w:tc>
          <w:tcPr>
            <w:tcW w:w="5440" w:type="dxa"/>
            <w:shd w:val="clear" w:color="auto" w:fill="auto"/>
            <w:vAlign w:val="center"/>
            <w:hideMark/>
          </w:tcPr>
          <w:p w14:paraId="428109C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Blood Authority Act 2003</w:t>
            </w:r>
          </w:p>
        </w:tc>
        <w:tc>
          <w:tcPr>
            <w:tcW w:w="3914" w:type="dxa"/>
            <w:shd w:val="clear" w:color="auto" w:fill="auto"/>
            <w:vAlign w:val="center"/>
            <w:hideMark/>
          </w:tcPr>
          <w:p w14:paraId="6B621CE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11(1)</w:t>
            </w:r>
          </w:p>
        </w:tc>
      </w:tr>
      <w:tr w:rsidR="00831411" w:rsidRPr="00831411" w14:paraId="36CA3EB3" w14:textId="77777777" w:rsidTr="003C25B1">
        <w:trPr>
          <w:trHeight w:val="567"/>
        </w:trPr>
        <w:tc>
          <w:tcPr>
            <w:tcW w:w="5440" w:type="dxa"/>
            <w:shd w:val="clear" w:color="auto" w:fill="auto"/>
            <w:vAlign w:val="center"/>
            <w:hideMark/>
          </w:tcPr>
          <w:p w14:paraId="43D2EF3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Cancer Screening Register Act 2016</w:t>
            </w:r>
          </w:p>
        </w:tc>
        <w:tc>
          <w:tcPr>
            <w:tcW w:w="3914" w:type="dxa"/>
            <w:shd w:val="clear" w:color="auto" w:fill="auto"/>
            <w:vAlign w:val="center"/>
            <w:hideMark/>
          </w:tcPr>
          <w:p w14:paraId="0E2EDC6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18 </w:t>
            </w:r>
          </w:p>
        </w:tc>
      </w:tr>
      <w:tr w:rsidR="00831411" w:rsidRPr="00831411" w14:paraId="7EB14F6F" w14:textId="77777777" w:rsidTr="003C25B1">
        <w:trPr>
          <w:trHeight w:val="567"/>
        </w:trPr>
        <w:tc>
          <w:tcPr>
            <w:tcW w:w="5440" w:type="dxa"/>
            <w:shd w:val="clear" w:color="auto" w:fill="auto"/>
            <w:vAlign w:val="center"/>
            <w:hideMark/>
          </w:tcPr>
          <w:p w14:paraId="07D4265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Consumer Credit Protection Act 2009</w:t>
            </w:r>
          </w:p>
        </w:tc>
        <w:tc>
          <w:tcPr>
            <w:tcW w:w="3914" w:type="dxa"/>
            <w:shd w:val="clear" w:color="auto" w:fill="auto"/>
            <w:vAlign w:val="center"/>
            <w:hideMark/>
          </w:tcPr>
          <w:p w14:paraId="70D035E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212</w:t>
            </w:r>
            <w:proofErr w:type="gramStart"/>
            <w:r w:rsidRPr="00831411">
              <w:rPr>
                <w:rFonts w:asciiTheme="minorHAnsi" w:eastAsia="Times New Roman" w:hAnsiTheme="minorHAnsi" w:cstheme="minorHAnsi"/>
                <w:color w:val="000000"/>
                <w:lang w:eastAsia="en-AU"/>
              </w:rPr>
              <w:t>L(</w:t>
            </w:r>
            <w:proofErr w:type="gramEnd"/>
            <w:r w:rsidRPr="00831411">
              <w:rPr>
                <w:rFonts w:asciiTheme="minorHAnsi" w:eastAsia="Times New Roman" w:hAnsiTheme="minorHAnsi" w:cstheme="minorHAnsi"/>
                <w:color w:val="000000"/>
                <w:lang w:eastAsia="en-AU"/>
              </w:rPr>
              <w:t>4); 212M(1)</w:t>
            </w:r>
          </w:p>
        </w:tc>
      </w:tr>
      <w:tr w:rsidR="00831411" w:rsidRPr="00831411" w14:paraId="04E822E2" w14:textId="77777777" w:rsidTr="003C25B1">
        <w:trPr>
          <w:trHeight w:val="567"/>
        </w:trPr>
        <w:tc>
          <w:tcPr>
            <w:tcW w:w="5440" w:type="dxa"/>
            <w:shd w:val="clear" w:color="auto" w:fill="auto"/>
            <w:vAlign w:val="center"/>
            <w:hideMark/>
          </w:tcPr>
          <w:p w14:paraId="7341583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Disability Insurance Scheme Act 2013</w:t>
            </w:r>
          </w:p>
        </w:tc>
        <w:tc>
          <w:tcPr>
            <w:tcW w:w="3914" w:type="dxa"/>
            <w:shd w:val="clear" w:color="auto" w:fill="auto"/>
            <w:vAlign w:val="center"/>
            <w:hideMark/>
          </w:tcPr>
          <w:p w14:paraId="2CE2692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62; 63; 64; 67B; 67C; 67D</w:t>
            </w:r>
          </w:p>
        </w:tc>
      </w:tr>
      <w:tr w:rsidR="00831411" w:rsidRPr="00831411" w14:paraId="2CB7D731" w14:textId="77777777" w:rsidTr="003C25B1">
        <w:trPr>
          <w:trHeight w:val="567"/>
        </w:trPr>
        <w:tc>
          <w:tcPr>
            <w:tcW w:w="5440" w:type="dxa"/>
            <w:shd w:val="clear" w:color="auto" w:fill="auto"/>
            <w:vAlign w:val="center"/>
            <w:hideMark/>
          </w:tcPr>
          <w:p w14:paraId="588EF04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Environment Protection Measures (Implementation) Act 1998</w:t>
            </w:r>
          </w:p>
        </w:tc>
        <w:tc>
          <w:tcPr>
            <w:tcW w:w="3914" w:type="dxa"/>
            <w:shd w:val="clear" w:color="auto" w:fill="auto"/>
            <w:vAlign w:val="center"/>
            <w:hideMark/>
          </w:tcPr>
          <w:p w14:paraId="7EA5764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36 </w:t>
            </w:r>
          </w:p>
        </w:tc>
      </w:tr>
      <w:tr w:rsidR="00831411" w:rsidRPr="00831411" w14:paraId="526F3420" w14:textId="77777777" w:rsidTr="003C25B1">
        <w:trPr>
          <w:trHeight w:val="567"/>
        </w:trPr>
        <w:tc>
          <w:tcPr>
            <w:tcW w:w="5440" w:type="dxa"/>
            <w:shd w:val="clear" w:color="auto" w:fill="auto"/>
            <w:vAlign w:val="center"/>
            <w:hideMark/>
          </w:tcPr>
          <w:p w14:paraId="23C7324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Greenhouse and Energy Reporting Act 2007</w:t>
            </w:r>
          </w:p>
        </w:tc>
        <w:tc>
          <w:tcPr>
            <w:tcW w:w="3914" w:type="dxa"/>
            <w:shd w:val="clear" w:color="auto" w:fill="auto"/>
            <w:vAlign w:val="center"/>
            <w:hideMark/>
          </w:tcPr>
          <w:p w14:paraId="2BE02EC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23 </w:t>
            </w:r>
          </w:p>
        </w:tc>
      </w:tr>
      <w:tr w:rsidR="00831411" w:rsidRPr="00831411" w14:paraId="080259C5" w14:textId="77777777" w:rsidTr="003C25B1">
        <w:trPr>
          <w:trHeight w:val="567"/>
        </w:trPr>
        <w:tc>
          <w:tcPr>
            <w:tcW w:w="5440" w:type="dxa"/>
            <w:shd w:val="clear" w:color="auto" w:fill="auto"/>
            <w:vAlign w:val="center"/>
            <w:hideMark/>
          </w:tcPr>
          <w:p w14:paraId="0F2F936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Act 1953</w:t>
            </w:r>
          </w:p>
        </w:tc>
        <w:tc>
          <w:tcPr>
            <w:tcW w:w="3914" w:type="dxa"/>
            <w:shd w:val="clear" w:color="auto" w:fill="auto"/>
            <w:vAlign w:val="center"/>
            <w:hideMark/>
          </w:tcPr>
          <w:p w14:paraId="2F37BAB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135</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1), (4), (8), (9), (14), (16), (18); 135AAA(1), (3), (5), (6), (8)</w:t>
            </w:r>
          </w:p>
        </w:tc>
      </w:tr>
      <w:tr w:rsidR="00831411" w:rsidRPr="00831411" w14:paraId="18545EBB" w14:textId="77777777" w:rsidTr="003C25B1">
        <w:trPr>
          <w:trHeight w:val="567"/>
        </w:trPr>
        <w:tc>
          <w:tcPr>
            <w:tcW w:w="5440" w:type="dxa"/>
            <w:shd w:val="clear" w:color="auto" w:fill="auto"/>
            <w:vAlign w:val="center"/>
            <w:hideMark/>
          </w:tcPr>
          <w:p w14:paraId="5D3A8DE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and Medical Research Council Act 1992</w:t>
            </w:r>
          </w:p>
        </w:tc>
        <w:tc>
          <w:tcPr>
            <w:tcW w:w="3914" w:type="dxa"/>
            <w:shd w:val="clear" w:color="auto" w:fill="auto"/>
            <w:vAlign w:val="center"/>
            <w:hideMark/>
          </w:tcPr>
          <w:p w14:paraId="2A624DE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80(2), (7), (8), (11)</w:t>
            </w:r>
          </w:p>
        </w:tc>
      </w:tr>
      <w:tr w:rsidR="00831411" w:rsidRPr="00831411" w14:paraId="728F0373" w14:textId="77777777" w:rsidTr="003C25B1">
        <w:trPr>
          <w:trHeight w:val="567"/>
        </w:trPr>
        <w:tc>
          <w:tcPr>
            <w:tcW w:w="5440" w:type="dxa"/>
            <w:shd w:val="clear" w:color="auto" w:fill="auto"/>
            <w:vAlign w:val="center"/>
            <w:hideMark/>
          </w:tcPr>
          <w:p w14:paraId="77C2F96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Reform Act 2011</w:t>
            </w:r>
          </w:p>
        </w:tc>
        <w:tc>
          <w:tcPr>
            <w:tcW w:w="3914" w:type="dxa"/>
            <w:shd w:val="clear" w:color="auto" w:fill="auto"/>
            <w:vAlign w:val="center"/>
            <w:hideMark/>
          </w:tcPr>
          <w:p w14:paraId="0DE703F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213(1); 215(2); 268(1); 269(1); 54A; 54</w:t>
            </w:r>
            <w:proofErr w:type="gramStart"/>
            <w:r w:rsidRPr="00831411">
              <w:rPr>
                <w:rFonts w:asciiTheme="minorHAnsi" w:eastAsia="Times New Roman" w:hAnsiTheme="minorHAnsi" w:cstheme="minorHAnsi"/>
                <w:color w:val="000000"/>
                <w:lang w:eastAsia="en-AU"/>
              </w:rPr>
              <w:t>C(</w:t>
            </w:r>
            <w:proofErr w:type="gramEnd"/>
            <w:r w:rsidRPr="00831411">
              <w:rPr>
                <w:rFonts w:asciiTheme="minorHAnsi" w:eastAsia="Times New Roman" w:hAnsiTheme="minorHAnsi" w:cstheme="minorHAnsi"/>
                <w:color w:val="000000"/>
                <w:lang w:eastAsia="en-AU"/>
              </w:rPr>
              <w:t>2); 215A(2)</w:t>
            </w:r>
          </w:p>
        </w:tc>
      </w:tr>
      <w:tr w:rsidR="00831411" w:rsidRPr="00831411" w14:paraId="011CE607" w14:textId="77777777" w:rsidTr="003C25B1">
        <w:trPr>
          <w:trHeight w:val="567"/>
        </w:trPr>
        <w:tc>
          <w:tcPr>
            <w:tcW w:w="5440" w:type="dxa"/>
            <w:shd w:val="clear" w:color="auto" w:fill="auto"/>
            <w:vAlign w:val="center"/>
            <w:hideMark/>
          </w:tcPr>
          <w:p w14:paraId="738436E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Security Act 2007</w:t>
            </w:r>
          </w:p>
        </w:tc>
        <w:tc>
          <w:tcPr>
            <w:tcW w:w="3914" w:type="dxa"/>
            <w:shd w:val="clear" w:color="auto" w:fill="auto"/>
            <w:vAlign w:val="center"/>
            <w:hideMark/>
          </w:tcPr>
          <w:p w14:paraId="323A495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21; 90(1)</w:t>
            </w:r>
          </w:p>
        </w:tc>
      </w:tr>
      <w:tr w:rsidR="00831411" w:rsidRPr="00831411" w14:paraId="12E77521" w14:textId="77777777" w:rsidTr="003C25B1">
        <w:trPr>
          <w:trHeight w:val="567"/>
        </w:trPr>
        <w:tc>
          <w:tcPr>
            <w:tcW w:w="5440" w:type="dxa"/>
            <w:shd w:val="clear" w:color="auto" w:fill="auto"/>
            <w:vAlign w:val="center"/>
            <w:hideMark/>
          </w:tcPr>
          <w:p w14:paraId="4CB1565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National Measurement Act 1960 </w:t>
            </w:r>
          </w:p>
        </w:tc>
        <w:tc>
          <w:tcPr>
            <w:tcW w:w="3914" w:type="dxa"/>
            <w:shd w:val="clear" w:color="auto" w:fill="auto"/>
            <w:vAlign w:val="center"/>
            <w:hideMark/>
          </w:tcPr>
          <w:p w14:paraId="4A49F92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19H </w:t>
            </w:r>
          </w:p>
        </w:tc>
      </w:tr>
      <w:tr w:rsidR="00831411" w:rsidRPr="00831411" w14:paraId="3C25CD46" w14:textId="77777777" w:rsidTr="003C25B1">
        <w:trPr>
          <w:trHeight w:val="567"/>
        </w:trPr>
        <w:tc>
          <w:tcPr>
            <w:tcW w:w="5440" w:type="dxa"/>
            <w:shd w:val="clear" w:color="auto" w:fill="auto"/>
            <w:vAlign w:val="center"/>
            <w:hideMark/>
          </w:tcPr>
          <w:p w14:paraId="54853C6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Redress Scheme for Institutional Child Sexual Abuse Act 2018</w:t>
            </w:r>
          </w:p>
        </w:tc>
        <w:tc>
          <w:tcPr>
            <w:tcW w:w="3914" w:type="dxa"/>
            <w:shd w:val="clear" w:color="auto" w:fill="auto"/>
            <w:vAlign w:val="center"/>
            <w:hideMark/>
          </w:tcPr>
          <w:p w14:paraId="166BAF0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99; 100; 101; 104</w:t>
            </w:r>
          </w:p>
        </w:tc>
      </w:tr>
      <w:tr w:rsidR="00831411" w:rsidRPr="00831411" w14:paraId="1DCC88C3" w14:textId="77777777" w:rsidTr="003C25B1">
        <w:trPr>
          <w:trHeight w:val="567"/>
        </w:trPr>
        <w:tc>
          <w:tcPr>
            <w:tcW w:w="5440" w:type="dxa"/>
            <w:shd w:val="clear" w:color="auto" w:fill="auto"/>
            <w:vAlign w:val="center"/>
            <w:hideMark/>
          </w:tcPr>
          <w:p w14:paraId="1140BF5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Residue Survey Administration Act 1992</w:t>
            </w:r>
          </w:p>
        </w:tc>
        <w:tc>
          <w:tcPr>
            <w:tcW w:w="3914" w:type="dxa"/>
            <w:shd w:val="clear" w:color="auto" w:fill="auto"/>
            <w:vAlign w:val="center"/>
            <w:hideMark/>
          </w:tcPr>
          <w:p w14:paraId="7BF915F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11(5) </w:t>
            </w:r>
          </w:p>
        </w:tc>
      </w:tr>
      <w:tr w:rsidR="00831411" w:rsidRPr="00831411" w14:paraId="0734C9EC" w14:textId="77777777" w:rsidTr="003C25B1">
        <w:trPr>
          <w:trHeight w:val="567"/>
        </w:trPr>
        <w:tc>
          <w:tcPr>
            <w:tcW w:w="5440" w:type="dxa"/>
            <w:shd w:val="clear" w:color="auto" w:fill="auto"/>
            <w:vAlign w:val="center"/>
            <w:hideMark/>
          </w:tcPr>
          <w:p w14:paraId="4AA7673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National Security Information (Criminal and Civil </w:t>
            </w:r>
            <w:r w:rsidRPr="00831411">
              <w:rPr>
                <w:rFonts w:asciiTheme="minorHAnsi" w:eastAsia="Times New Roman" w:hAnsiTheme="minorHAnsi" w:cstheme="minorHAnsi"/>
                <w:i/>
                <w:color w:val="000000"/>
                <w:lang w:eastAsia="en-AU"/>
              </w:rPr>
              <w:lastRenderedPageBreak/>
              <w:t>Proceedings) Act 2004</w:t>
            </w:r>
            <w:r w:rsidRPr="00831411">
              <w:rPr>
                <w:rFonts w:asciiTheme="minorHAnsi" w:eastAsia="Times New Roman" w:hAnsiTheme="minorHAnsi" w:cstheme="minorHAnsi"/>
                <w:i/>
                <w:color w:val="FF0000"/>
                <w:lang w:eastAsia="en-AU"/>
              </w:rPr>
              <w:t xml:space="preserve"> </w:t>
            </w:r>
            <w:r w:rsidR="001C4F0F">
              <w:rPr>
                <w:rStyle w:val="FootnoteReference"/>
                <w:rFonts w:asciiTheme="minorHAnsi" w:eastAsia="Times New Roman" w:hAnsiTheme="minorHAnsi" w:cstheme="minorHAnsi"/>
                <w:i/>
                <w:color w:val="000000"/>
                <w:lang w:eastAsia="en-AU"/>
              </w:rPr>
              <w:footnoteReference w:id="33"/>
            </w:r>
          </w:p>
        </w:tc>
        <w:tc>
          <w:tcPr>
            <w:tcW w:w="3914" w:type="dxa"/>
            <w:shd w:val="clear" w:color="auto" w:fill="auto"/>
            <w:vAlign w:val="center"/>
            <w:hideMark/>
          </w:tcPr>
          <w:p w14:paraId="132ED883" w14:textId="16BCA09D"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lastRenderedPageBreak/>
              <w:t>ss 46G; 46</w:t>
            </w:r>
            <w:proofErr w:type="gramStart"/>
            <w:r w:rsidRPr="00831411">
              <w:rPr>
                <w:rFonts w:asciiTheme="minorHAnsi" w:eastAsia="Times New Roman" w:hAnsiTheme="minorHAnsi" w:cstheme="minorHAnsi"/>
                <w:color w:val="000000"/>
                <w:lang w:eastAsia="en-AU"/>
              </w:rPr>
              <w:t>H</w:t>
            </w:r>
            <w:r w:rsidR="00D27C8D">
              <w:rPr>
                <w:rFonts w:asciiTheme="minorHAnsi" w:eastAsia="Times New Roman" w:hAnsiTheme="minorHAnsi" w:cstheme="minorHAnsi"/>
                <w:color w:val="000000"/>
                <w:lang w:eastAsia="en-AU"/>
              </w:rPr>
              <w:t>(</w:t>
            </w:r>
            <w:proofErr w:type="gramEnd"/>
            <w:r w:rsidR="00D27C8D">
              <w:rPr>
                <w:rFonts w:asciiTheme="minorHAnsi" w:eastAsia="Times New Roman" w:hAnsiTheme="minorHAnsi" w:cstheme="minorHAnsi"/>
                <w:color w:val="000000"/>
                <w:lang w:eastAsia="en-AU"/>
              </w:rPr>
              <w:t>1), (3), (4), (5)</w:t>
            </w:r>
            <w:r w:rsidRPr="00831411">
              <w:rPr>
                <w:rFonts w:asciiTheme="minorHAnsi" w:eastAsia="Times New Roman" w:hAnsiTheme="minorHAnsi" w:cstheme="minorHAnsi"/>
                <w:color w:val="000000"/>
                <w:lang w:eastAsia="en-AU"/>
              </w:rPr>
              <w:t>; 40</w:t>
            </w:r>
            <w:r w:rsidR="00D0148F">
              <w:rPr>
                <w:rFonts w:asciiTheme="minorHAnsi" w:eastAsia="Times New Roman" w:hAnsiTheme="minorHAnsi" w:cstheme="minorHAnsi"/>
                <w:color w:val="000000"/>
                <w:lang w:eastAsia="en-AU"/>
              </w:rPr>
              <w:t>(1) (1A) (2)</w:t>
            </w:r>
            <w:r w:rsidRPr="00831411">
              <w:rPr>
                <w:rFonts w:asciiTheme="minorHAnsi" w:eastAsia="Times New Roman" w:hAnsiTheme="minorHAnsi" w:cstheme="minorHAnsi"/>
                <w:color w:val="000000"/>
                <w:lang w:eastAsia="en-AU"/>
              </w:rPr>
              <w:t>; 41; 42; </w:t>
            </w:r>
            <w:r w:rsidR="005219E6">
              <w:rPr>
                <w:rFonts w:asciiTheme="minorHAnsi" w:eastAsia="Times New Roman" w:hAnsiTheme="minorHAnsi" w:cstheme="minorHAnsi"/>
                <w:color w:val="000000"/>
                <w:lang w:eastAsia="en-AU"/>
              </w:rPr>
              <w:t xml:space="preserve">43; </w:t>
            </w:r>
            <w:r w:rsidRPr="00831411">
              <w:rPr>
                <w:rFonts w:asciiTheme="minorHAnsi" w:eastAsia="Times New Roman" w:hAnsiTheme="minorHAnsi" w:cstheme="minorHAnsi"/>
                <w:color w:val="000000"/>
                <w:lang w:eastAsia="en-AU"/>
              </w:rPr>
              <w:t>46; 46A; 46B; 46C; 46D; 46FA</w:t>
            </w:r>
          </w:p>
        </w:tc>
      </w:tr>
      <w:tr w:rsidR="00831411" w:rsidRPr="00831411" w14:paraId="00E85C6C" w14:textId="77777777" w:rsidTr="003C25B1">
        <w:trPr>
          <w:trHeight w:val="567"/>
        </w:trPr>
        <w:tc>
          <w:tcPr>
            <w:tcW w:w="5440" w:type="dxa"/>
            <w:shd w:val="clear" w:color="auto" w:fill="auto"/>
            <w:vAlign w:val="center"/>
            <w:hideMark/>
          </w:tcPr>
          <w:p w14:paraId="0F331C4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Sports Tribunal Act 2019</w:t>
            </w:r>
          </w:p>
        </w:tc>
        <w:tc>
          <w:tcPr>
            <w:tcW w:w="3914" w:type="dxa"/>
            <w:shd w:val="clear" w:color="auto" w:fill="auto"/>
            <w:vAlign w:val="center"/>
            <w:hideMark/>
          </w:tcPr>
          <w:p w14:paraId="36D0BCD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72; 27</w:t>
            </w:r>
          </w:p>
        </w:tc>
      </w:tr>
      <w:tr w:rsidR="00831411" w:rsidRPr="00831411" w14:paraId="2B0663F6" w14:textId="77777777" w:rsidTr="003C25B1">
        <w:trPr>
          <w:trHeight w:val="567"/>
        </w:trPr>
        <w:tc>
          <w:tcPr>
            <w:tcW w:w="5440" w:type="dxa"/>
            <w:shd w:val="clear" w:color="auto" w:fill="auto"/>
            <w:vAlign w:val="center"/>
            <w:hideMark/>
          </w:tcPr>
          <w:p w14:paraId="6D2E3B1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Sports Tribunal Rule 2020</w:t>
            </w:r>
          </w:p>
        </w:tc>
        <w:tc>
          <w:tcPr>
            <w:tcW w:w="3914" w:type="dxa"/>
            <w:shd w:val="clear" w:color="auto" w:fill="auto"/>
            <w:vAlign w:val="center"/>
            <w:hideMark/>
          </w:tcPr>
          <w:p w14:paraId="219D4FA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15</w:t>
            </w:r>
          </w:p>
        </w:tc>
      </w:tr>
      <w:tr w:rsidR="00831411" w:rsidRPr="00831411" w14:paraId="0BFC413D" w14:textId="77777777" w:rsidTr="003C25B1">
        <w:trPr>
          <w:trHeight w:val="567"/>
        </w:trPr>
        <w:tc>
          <w:tcPr>
            <w:tcW w:w="5440" w:type="dxa"/>
            <w:shd w:val="clear" w:color="auto" w:fill="auto"/>
            <w:vAlign w:val="center"/>
            <w:hideMark/>
          </w:tcPr>
          <w:p w14:paraId="2F358C1D"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National Vocational Education and Training Regulator Act 2011</w:t>
            </w:r>
          </w:p>
        </w:tc>
        <w:tc>
          <w:tcPr>
            <w:tcW w:w="3914" w:type="dxa"/>
            <w:shd w:val="clear" w:color="auto" w:fill="auto"/>
            <w:vAlign w:val="center"/>
            <w:hideMark/>
          </w:tcPr>
          <w:p w14:paraId="344D13C5"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204 </w:t>
            </w:r>
          </w:p>
        </w:tc>
      </w:tr>
      <w:tr w:rsidR="00831411" w:rsidRPr="00831411" w14:paraId="2D423DA4" w14:textId="77777777" w:rsidTr="003C25B1">
        <w:trPr>
          <w:trHeight w:val="567"/>
        </w:trPr>
        <w:tc>
          <w:tcPr>
            <w:tcW w:w="5440" w:type="dxa"/>
            <w:shd w:val="clear" w:color="auto" w:fill="auto"/>
            <w:vAlign w:val="center"/>
            <w:hideMark/>
          </w:tcPr>
          <w:p w14:paraId="675F7E6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Native Title Act 1993</w:t>
            </w:r>
          </w:p>
        </w:tc>
        <w:tc>
          <w:tcPr>
            <w:tcW w:w="3914" w:type="dxa"/>
            <w:shd w:val="clear" w:color="auto" w:fill="auto"/>
            <w:vAlign w:val="center"/>
            <w:hideMark/>
          </w:tcPr>
          <w:p w14:paraId="5580121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94L</w:t>
            </w:r>
          </w:p>
        </w:tc>
      </w:tr>
      <w:tr w:rsidR="00831411" w:rsidRPr="00831411" w14:paraId="181A9DBF" w14:textId="77777777" w:rsidTr="003C25B1">
        <w:trPr>
          <w:trHeight w:val="567"/>
        </w:trPr>
        <w:tc>
          <w:tcPr>
            <w:tcW w:w="5440" w:type="dxa"/>
            <w:shd w:val="clear" w:color="auto" w:fill="auto"/>
            <w:vAlign w:val="center"/>
            <w:hideMark/>
          </w:tcPr>
          <w:p w14:paraId="6143952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Nuclear Non-Proliferation (Safeguards) Act 1987</w:t>
            </w:r>
          </w:p>
        </w:tc>
        <w:tc>
          <w:tcPr>
            <w:tcW w:w="3914" w:type="dxa"/>
            <w:shd w:val="clear" w:color="auto" w:fill="auto"/>
            <w:vAlign w:val="center"/>
            <w:hideMark/>
          </w:tcPr>
          <w:p w14:paraId="78BD7AB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71 </w:t>
            </w:r>
          </w:p>
        </w:tc>
      </w:tr>
      <w:tr w:rsidR="00831411" w:rsidRPr="00831411" w14:paraId="245458A8" w14:textId="77777777" w:rsidTr="003C25B1">
        <w:trPr>
          <w:trHeight w:val="567"/>
        </w:trPr>
        <w:tc>
          <w:tcPr>
            <w:tcW w:w="5440" w:type="dxa"/>
            <w:shd w:val="clear" w:color="auto" w:fill="auto"/>
            <w:vAlign w:val="center"/>
            <w:hideMark/>
          </w:tcPr>
          <w:p w14:paraId="5022703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Office of National Intelligence Act 2018</w:t>
            </w:r>
          </w:p>
        </w:tc>
        <w:tc>
          <w:tcPr>
            <w:tcW w:w="3914" w:type="dxa"/>
            <w:shd w:val="clear" w:color="auto" w:fill="auto"/>
            <w:vAlign w:val="center"/>
            <w:hideMark/>
          </w:tcPr>
          <w:p w14:paraId="5438DBC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42; 44(1), (2)</w:t>
            </w:r>
          </w:p>
        </w:tc>
      </w:tr>
      <w:tr w:rsidR="00831411" w:rsidRPr="00831411" w14:paraId="427E6328" w14:textId="77777777" w:rsidTr="003C25B1">
        <w:trPr>
          <w:trHeight w:val="567"/>
        </w:trPr>
        <w:tc>
          <w:tcPr>
            <w:tcW w:w="5440" w:type="dxa"/>
            <w:shd w:val="clear" w:color="auto" w:fill="auto"/>
            <w:vAlign w:val="center"/>
            <w:hideMark/>
          </w:tcPr>
          <w:p w14:paraId="52D9E61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Offshore Minerals Act 1994</w:t>
            </w:r>
          </w:p>
        </w:tc>
        <w:tc>
          <w:tcPr>
            <w:tcW w:w="3914" w:type="dxa"/>
            <w:shd w:val="clear" w:color="auto" w:fill="auto"/>
            <w:vAlign w:val="center"/>
            <w:hideMark/>
          </w:tcPr>
          <w:p w14:paraId="0C5C0D7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374; 758 </w:t>
            </w:r>
          </w:p>
        </w:tc>
      </w:tr>
      <w:tr w:rsidR="00831411" w:rsidRPr="00831411" w14:paraId="66B22B6C" w14:textId="77777777" w:rsidTr="003C25B1">
        <w:trPr>
          <w:trHeight w:val="567"/>
        </w:trPr>
        <w:tc>
          <w:tcPr>
            <w:tcW w:w="5440" w:type="dxa"/>
            <w:shd w:val="clear" w:color="auto" w:fill="auto"/>
            <w:vAlign w:val="center"/>
          </w:tcPr>
          <w:p w14:paraId="05AEBAD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Offshore Petroleum and Greenhouse Gas Storage Act 2006</w:t>
            </w:r>
          </w:p>
        </w:tc>
        <w:tc>
          <w:tcPr>
            <w:tcW w:w="3914" w:type="dxa"/>
            <w:shd w:val="clear" w:color="auto" w:fill="auto"/>
            <w:vAlign w:val="center"/>
          </w:tcPr>
          <w:p w14:paraId="1B42A49F" w14:textId="5D6A6214"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w:t>
            </w:r>
            <w:r w:rsidR="005219E6">
              <w:rPr>
                <w:rFonts w:asciiTheme="minorHAnsi" w:eastAsia="Times New Roman" w:hAnsiTheme="minorHAnsi" w:cstheme="minorHAnsi"/>
                <w:color w:val="000000"/>
                <w:lang w:eastAsia="en-AU"/>
              </w:rPr>
              <w:t>7</w:t>
            </w:r>
            <w:r w:rsidRPr="00831411">
              <w:rPr>
                <w:rFonts w:asciiTheme="minorHAnsi" w:eastAsia="Times New Roman" w:hAnsiTheme="minorHAnsi" w:cstheme="minorHAnsi"/>
                <w:color w:val="000000"/>
                <w:lang w:eastAsia="en-AU"/>
              </w:rPr>
              <w:t>58(1), (3)</w:t>
            </w:r>
          </w:p>
        </w:tc>
      </w:tr>
      <w:tr w:rsidR="00831411" w:rsidRPr="00831411" w14:paraId="149A1798" w14:textId="77777777" w:rsidTr="003C25B1">
        <w:trPr>
          <w:trHeight w:val="567"/>
        </w:trPr>
        <w:tc>
          <w:tcPr>
            <w:tcW w:w="5440" w:type="dxa"/>
            <w:shd w:val="clear" w:color="auto" w:fill="auto"/>
            <w:vAlign w:val="center"/>
            <w:hideMark/>
          </w:tcPr>
          <w:p w14:paraId="5C38A8E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Ombudsman Act 1976</w:t>
            </w:r>
          </w:p>
        </w:tc>
        <w:tc>
          <w:tcPr>
            <w:tcW w:w="3914" w:type="dxa"/>
            <w:shd w:val="clear" w:color="auto" w:fill="auto"/>
            <w:vAlign w:val="center"/>
            <w:hideMark/>
          </w:tcPr>
          <w:p w14:paraId="04B4512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35(2), (5)</w:t>
            </w:r>
          </w:p>
        </w:tc>
      </w:tr>
      <w:tr w:rsidR="00831411" w:rsidRPr="00831411" w14:paraId="058C62B8" w14:textId="77777777" w:rsidTr="003C25B1">
        <w:trPr>
          <w:trHeight w:val="567"/>
        </w:trPr>
        <w:tc>
          <w:tcPr>
            <w:tcW w:w="5440" w:type="dxa"/>
            <w:shd w:val="clear" w:color="auto" w:fill="auto"/>
            <w:vAlign w:val="center"/>
            <w:hideMark/>
          </w:tcPr>
          <w:p w14:paraId="7687CE3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Paid Parental Leave Act 2010</w:t>
            </w:r>
          </w:p>
        </w:tc>
        <w:tc>
          <w:tcPr>
            <w:tcW w:w="3914" w:type="dxa"/>
            <w:shd w:val="clear" w:color="auto" w:fill="auto"/>
            <w:vAlign w:val="center"/>
            <w:hideMark/>
          </w:tcPr>
          <w:p w14:paraId="52FE6C4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129; 130; 131; 132</w:t>
            </w:r>
          </w:p>
        </w:tc>
      </w:tr>
      <w:tr w:rsidR="00831411" w:rsidRPr="00831411" w14:paraId="09AE00A2" w14:textId="77777777" w:rsidTr="003C25B1">
        <w:trPr>
          <w:trHeight w:val="567"/>
        </w:trPr>
        <w:tc>
          <w:tcPr>
            <w:tcW w:w="5440" w:type="dxa"/>
            <w:shd w:val="clear" w:color="auto" w:fill="auto"/>
            <w:vAlign w:val="center"/>
            <w:hideMark/>
          </w:tcPr>
          <w:p w14:paraId="75B3E38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Parliamentary Commission of Inquiry (Repeal) Act 1986</w:t>
            </w:r>
          </w:p>
        </w:tc>
        <w:tc>
          <w:tcPr>
            <w:tcW w:w="3914" w:type="dxa"/>
            <w:shd w:val="clear" w:color="auto" w:fill="auto"/>
            <w:vAlign w:val="center"/>
            <w:hideMark/>
          </w:tcPr>
          <w:p w14:paraId="112D15E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7 </w:t>
            </w:r>
          </w:p>
        </w:tc>
      </w:tr>
      <w:tr w:rsidR="00831411" w:rsidRPr="00831411" w14:paraId="63D4662C" w14:textId="77777777" w:rsidTr="003C25B1">
        <w:trPr>
          <w:trHeight w:val="567"/>
        </w:trPr>
        <w:tc>
          <w:tcPr>
            <w:tcW w:w="5440" w:type="dxa"/>
            <w:shd w:val="clear" w:color="auto" w:fill="auto"/>
            <w:vAlign w:val="center"/>
            <w:hideMark/>
          </w:tcPr>
          <w:p w14:paraId="735B05C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Parliamentary Privileges Act 1987</w:t>
            </w:r>
          </w:p>
        </w:tc>
        <w:tc>
          <w:tcPr>
            <w:tcW w:w="3914" w:type="dxa"/>
            <w:shd w:val="clear" w:color="auto" w:fill="auto"/>
            <w:vAlign w:val="center"/>
            <w:hideMark/>
          </w:tcPr>
          <w:p w14:paraId="05FA066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13</w:t>
            </w:r>
          </w:p>
        </w:tc>
      </w:tr>
      <w:tr w:rsidR="00831411" w:rsidRPr="00831411" w14:paraId="39EDB1A9" w14:textId="77777777" w:rsidTr="003C25B1">
        <w:trPr>
          <w:trHeight w:val="567"/>
        </w:trPr>
        <w:tc>
          <w:tcPr>
            <w:tcW w:w="5440" w:type="dxa"/>
            <w:shd w:val="clear" w:color="auto" w:fill="auto"/>
            <w:vAlign w:val="center"/>
            <w:hideMark/>
          </w:tcPr>
          <w:p w14:paraId="66608E2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Patents Act 1990</w:t>
            </w:r>
          </w:p>
        </w:tc>
        <w:tc>
          <w:tcPr>
            <w:tcW w:w="3914" w:type="dxa"/>
            <w:shd w:val="clear" w:color="auto" w:fill="auto"/>
            <w:vAlign w:val="center"/>
            <w:hideMark/>
          </w:tcPr>
          <w:p w14:paraId="21399AA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152; 173(2); 184</w:t>
            </w:r>
          </w:p>
        </w:tc>
      </w:tr>
      <w:tr w:rsidR="00831411" w:rsidRPr="00831411" w14:paraId="7B472A9F" w14:textId="77777777" w:rsidTr="003C25B1">
        <w:trPr>
          <w:trHeight w:val="567"/>
        </w:trPr>
        <w:tc>
          <w:tcPr>
            <w:tcW w:w="5440" w:type="dxa"/>
            <w:shd w:val="clear" w:color="auto" w:fill="auto"/>
            <w:vAlign w:val="center"/>
            <w:hideMark/>
          </w:tcPr>
          <w:p w14:paraId="6EC5697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Payment Times Reporting Act 2020</w:t>
            </w:r>
          </w:p>
        </w:tc>
        <w:tc>
          <w:tcPr>
            <w:tcW w:w="3914" w:type="dxa"/>
            <w:shd w:val="clear" w:color="auto" w:fill="auto"/>
            <w:vAlign w:val="center"/>
            <w:hideMark/>
          </w:tcPr>
          <w:p w14:paraId="266B3E7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46 </w:t>
            </w:r>
          </w:p>
        </w:tc>
      </w:tr>
      <w:tr w:rsidR="00831411" w:rsidRPr="00831411" w14:paraId="6DDE03BA" w14:textId="77777777" w:rsidTr="003C25B1">
        <w:trPr>
          <w:trHeight w:val="567"/>
        </w:trPr>
        <w:tc>
          <w:tcPr>
            <w:tcW w:w="5440" w:type="dxa"/>
            <w:shd w:val="clear" w:color="auto" w:fill="auto"/>
            <w:vAlign w:val="center"/>
            <w:hideMark/>
          </w:tcPr>
          <w:p w14:paraId="743B111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Petroleum and Other Fuels Reporting Act 2017</w:t>
            </w:r>
          </w:p>
        </w:tc>
        <w:tc>
          <w:tcPr>
            <w:tcW w:w="3914" w:type="dxa"/>
            <w:shd w:val="clear" w:color="auto" w:fill="auto"/>
            <w:vAlign w:val="center"/>
            <w:hideMark/>
          </w:tcPr>
          <w:p w14:paraId="190B9EF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20; 24(7); 30 (7)</w:t>
            </w:r>
          </w:p>
        </w:tc>
      </w:tr>
      <w:tr w:rsidR="00831411" w:rsidRPr="00831411" w14:paraId="2FAF7083" w14:textId="77777777" w:rsidTr="003C25B1">
        <w:trPr>
          <w:trHeight w:val="567"/>
        </w:trPr>
        <w:tc>
          <w:tcPr>
            <w:tcW w:w="5440" w:type="dxa"/>
            <w:shd w:val="clear" w:color="auto" w:fill="auto"/>
            <w:vAlign w:val="center"/>
            <w:hideMark/>
          </w:tcPr>
          <w:p w14:paraId="7941F7E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Pooled Development Funds Act 1992</w:t>
            </w:r>
          </w:p>
        </w:tc>
        <w:tc>
          <w:tcPr>
            <w:tcW w:w="3914" w:type="dxa"/>
            <w:shd w:val="clear" w:color="auto" w:fill="auto"/>
            <w:vAlign w:val="center"/>
            <w:hideMark/>
          </w:tcPr>
          <w:p w14:paraId="72CFF9C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71 </w:t>
            </w:r>
          </w:p>
        </w:tc>
      </w:tr>
      <w:tr w:rsidR="00831411" w:rsidRPr="00831411" w14:paraId="4E0D26E3" w14:textId="77777777" w:rsidTr="003C25B1">
        <w:trPr>
          <w:trHeight w:val="567"/>
        </w:trPr>
        <w:tc>
          <w:tcPr>
            <w:tcW w:w="5440" w:type="dxa"/>
            <w:shd w:val="clear" w:color="auto" w:fill="auto"/>
            <w:vAlign w:val="center"/>
            <w:hideMark/>
          </w:tcPr>
          <w:p w14:paraId="787C243C"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Port Statistics Act 1977</w:t>
            </w:r>
          </w:p>
        </w:tc>
        <w:tc>
          <w:tcPr>
            <w:tcW w:w="3914" w:type="dxa"/>
            <w:shd w:val="clear" w:color="auto" w:fill="auto"/>
            <w:vAlign w:val="center"/>
            <w:hideMark/>
          </w:tcPr>
          <w:p w14:paraId="4D86F90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7 </w:t>
            </w:r>
          </w:p>
        </w:tc>
      </w:tr>
      <w:tr w:rsidR="00831411" w:rsidRPr="00831411" w14:paraId="375B1845" w14:textId="77777777" w:rsidTr="003C25B1">
        <w:trPr>
          <w:trHeight w:val="567"/>
        </w:trPr>
        <w:tc>
          <w:tcPr>
            <w:tcW w:w="5440" w:type="dxa"/>
            <w:shd w:val="clear" w:color="auto" w:fill="auto"/>
            <w:vAlign w:val="center"/>
            <w:hideMark/>
          </w:tcPr>
          <w:p w14:paraId="70DC45E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Privacy Act 1988</w:t>
            </w:r>
          </w:p>
        </w:tc>
        <w:tc>
          <w:tcPr>
            <w:tcW w:w="3914" w:type="dxa"/>
            <w:shd w:val="clear" w:color="auto" w:fill="auto"/>
            <w:vAlign w:val="center"/>
            <w:hideMark/>
          </w:tcPr>
          <w:p w14:paraId="4D725CB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80Q </w:t>
            </w:r>
          </w:p>
        </w:tc>
      </w:tr>
      <w:tr w:rsidR="00831411" w:rsidRPr="00831411" w14:paraId="129CD4B1" w14:textId="77777777" w:rsidTr="003C25B1">
        <w:trPr>
          <w:trHeight w:val="567"/>
        </w:trPr>
        <w:tc>
          <w:tcPr>
            <w:tcW w:w="5440" w:type="dxa"/>
            <w:shd w:val="clear" w:color="auto" w:fill="auto"/>
            <w:vAlign w:val="center"/>
            <w:hideMark/>
          </w:tcPr>
          <w:p w14:paraId="1E6E32F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Private Health Insurance Act 2007</w:t>
            </w:r>
          </w:p>
        </w:tc>
        <w:tc>
          <w:tcPr>
            <w:tcW w:w="3914" w:type="dxa"/>
            <w:shd w:val="clear" w:color="auto" w:fill="auto"/>
            <w:vAlign w:val="center"/>
            <w:hideMark/>
          </w:tcPr>
          <w:p w14:paraId="04A6EB4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282-25; 323-1; 323-40; 323-45; 323-50; 323-55 </w:t>
            </w:r>
          </w:p>
        </w:tc>
      </w:tr>
      <w:tr w:rsidR="00831411" w:rsidRPr="00831411" w14:paraId="5388E545" w14:textId="77777777" w:rsidTr="003C25B1">
        <w:trPr>
          <w:trHeight w:val="567"/>
        </w:trPr>
        <w:tc>
          <w:tcPr>
            <w:tcW w:w="5440" w:type="dxa"/>
            <w:shd w:val="clear" w:color="auto" w:fill="auto"/>
            <w:vAlign w:val="center"/>
            <w:hideMark/>
          </w:tcPr>
          <w:p w14:paraId="2598523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Proceeds of Crime Act 1987 </w:t>
            </w:r>
          </w:p>
        </w:tc>
        <w:tc>
          <w:tcPr>
            <w:tcW w:w="3914" w:type="dxa"/>
            <w:shd w:val="clear" w:color="auto" w:fill="auto"/>
            <w:vAlign w:val="center"/>
            <w:hideMark/>
          </w:tcPr>
          <w:p w14:paraId="5F9789A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74; 210(1), (2); 217; 223(1), (2), (3); sch 1, </w:t>
            </w:r>
            <w:proofErr w:type="spellStart"/>
            <w:r w:rsidRPr="00831411">
              <w:rPr>
                <w:rFonts w:asciiTheme="minorHAnsi" w:eastAsia="Times New Roman" w:hAnsiTheme="minorHAnsi" w:cstheme="minorHAnsi"/>
                <w:color w:val="000000"/>
                <w:lang w:eastAsia="en-AU"/>
              </w:rPr>
              <w:t>cls</w:t>
            </w:r>
            <w:proofErr w:type="spellEnd"/>
            <w:r w:rsidRPr="00831411">
              <w:rPr>
                <w:rFonts w:asciiTheme="minorHAnsi" w:eastAsia="Times New Roman" w:hAnsiTheme="minorHAnsi" w:cstheme="minorHAnsi"/>
                <w:color w:val="000000"/>
                <w:lang w:eastAsia="en-AU"/>
              </w:rPr>
              <w:t xml:space="preserve"> 9(1), (2), 16</w:t>
            </w:r>
          </w:p>
        </w:tc>
      </w:tr>
      <w:tr w:rsidR="00831411" w:rsidRPr="00831411" w14:paraId="31FAA3B2" w14:textId="77777777" w:rsidTr="003C25B1">
        <w:trPr>
          <w:trHeight w:val="567"/>
        </w:trPr>
        <w:tc>
          <w:tcPr>
            <w:tcW w:w="5440" w:type="dxa"/>
            <w:shd w:val="clear" w:color="auto" w:fill="auto"/>
            <w:vAlign w:val="center"/>
            <w:hideMark/>
          </w:tcPr>
          <w:p w14:paraId="45D06FD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Productivity Commission Act 1998</w:t>
            </w:r>
          </w:p>
        </w:tc>
        <w:tc>
          <w:tcPr>
            <w:tcW w:w="3914" w:type="dxa"/>
            <w:shd w:val="clear" w:color="auto" w:fill="auto"/>
            <w:vAlign w:val="center"/>
            <w:hideMark/>
          </w:tcPr>
          <w:p w14:paraId="685F7AE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53 </w:t>
            </w:r>
          </w:p>
        </w:tc>
      </w:tr>
      <w:tr w:rsidR="00831411" w:rsidRPr="00831411" w14:paraId="15299576" w14:textId="77777777" w:rsidTr="003C25B1">
        <w:trPr>
          <w:trHeight w:val="567"/>
        </w:trPr>
        <w:tc>
          <w:tcPr>
            <w:tcW w:w="5440" w:type="dxa"/>
            <w:shd w:val="clear" w:color="auto" w:fill="auto"/>
            <w:vAlign w:val="center"/>
            <w:hideMark/>
          </w:tcPr>
          <w:p w14:paraId="7766AAD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Public Interest Disclosure Act 2013</w:t>
            </w:r>
          </w:p>
        </w:tc>
        <w:tc>
          <w:tcPr>
            <w:tcW w:w="3914" w:type="dxa"/>
            <w:shd w:val="clear" w:color="auto" w:fill="auto"/>
            <w:vAlign w:val="center"/>
            <w:hideMark/>
          </w:tcPr>
          <w:p w14:paraId="38B50FB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20(1), (2); 65; 67</w:t>
            </w:r>
          </w:p>
        </w:tc>
      </w:tr>
      <w:tr w:rsidR="00831411" w:rsidRPr="00831411" w14:paraId="01275E02" w14:textId="77777777" w:rsidTr="003C25B1">
        <w:trPr>
          <w:trHeight w:val="567"/>
        </w:trPr>
        <w:tc>
          <w:tcPr>
            <w:tcW w:w="5440" w:type="dxa"/>
            <w:shd w:val="clear" w:color="auto" w:fill="auto"/>
            <w:vAlign w:val="center"/>
            <w:hideMark/>
          </w:tcPr>
          <w:p w14:paraId="7757948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Racial Discrimination Act 1975</w:t>
            </w:r>
          </w:p>
        </w:tc>
        <w:tc>
          <w:tcPr>
            <w:tcW w:w="3914" w:type="dxa"/>
            <w:shd w:val="clear" w:color="auto" w:fill="auto"/>
            <w:vAlign w:val="center"/>
            <w:hideMark/>
          </w:tcPr>
          <w:p w14:paraId="75E8DB0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27F </w:t>
            </w:r>
          </w:p>
        </w:tc>
      </w:tr>
      <w:tr w:rsidR="00831411" w:rsidRPr="00831411" w14:paraId="70B1CC9A" w14:textId="77777777" w:rsidTr="003C25B1">
        <w:trPr>
          <w:trHeight w:val="567"/>
        </w:trPr>
        <w:tc>
          <w:tcPr>
            <w:tcW w:w="5440" w:type="dxa"/>
            <w:shd w:val="clear" w:color="auto" w:fill="auto"/>
            <w:vAlign w:val="center"/>
            <w:hideMark/>
          </w:tcPr>
          <w:p w14:paraId="5E4E2AB2"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Recycling and Waste Reduction Act 2020</w:t>
            </w:r>
          </w:p>
        </w:tc>
        <w:tc>
          <w:tcPr>
            <w:tcW w:w="3914" w:type="dxa"/>
            <w:shd w:val="clear" w:color="auto" w:fill="auto"/>
            <w:vAlign w:val="center"/>
            <w:hideMark/>
          </w:tcPr>
          <w:p w14:paraId="77C8E2CD"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148</w:t>
            </w:r>
          </w:p>
        </w:tc>
      </w:tr>
      <w:tr w:rsidR="00831411" w:rsidRPr="00831411" w14:paraId="083ED449" w14:textId="77777777" w:rsidTr="003C25B1">
        <w:trPr>
          <w:trHeight w:val="567"/>
        </w:trPr>
        <w:tc>
          <w:tcPr>
            <w:tcW w:w="5440" w:type="dxa"/>
            <w:shd w:val="clear" w:color="auto" w:fill="auto"/>
            <w:vAlign w:val="center"/>
            <w:hideMark/>
          </w:tcPr>
          <w:p w14:paraId="7003332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Referendum (Machinery Provisions) Act 1984</w:t>
            </w:r>
          </w:p>
        </w:tc>
        <w:tc>
          <w:tcPr>
            <w:tcW w:w="3914" w:type="dxa"/>
            <w:shd w:val="clear" w:color="auto" w:fill="auto"/>
            <w:vAlign w:val="center"/>
            <w:hideMark/>
          </w:tcPr>
          <w:p w14:paraId="45CDEE6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62</w:t>
            </w:r>
            <w:proofErr w:type="gramStart"/>
            <w:r w:rsidRPr="00831411">
              <w:rPr>
                <w:rFonts w:asciiTheme="minorHAnsi" w:eastAsia="Times New Roman" w:hAnsiTheme="minorHAnsi" w:cstheme="minorHAnsi"/>
                <w:color w:val="000000"/>
                <w:lang w:eastAsia="en-AU"/>
              </w:rPr>
              <w:t>B(</w:t>
            </w:r>
            <w:proofErr w:type="gramEnd"/>
            <w:r w:rsidRPr="00831411">
              <w:rPr>
                <w:rFonts w:asciiTheme="minorHAnsi" w:eastAsia="Times New Roman" w:hAnsiTheme="minorHAnsi" w:cstheme="minorHAnsi"/>
                <w:color w:val="000000"/>
                <w:lang w:eastAsia="en-AU"/>
              </w:rPr>
              <w:t>1), (2), (3); 116</w:t>
            </w:r>
          </w:p>
        </w:tc>
      </w:tr>
      <w:tr w:rsidR="00831411" w:rsidRPr="00831411" w14:paraId="21670C17" w14:textId="77777777" w:rsidTr="003C25B1">
        <w:trPr>
          <w:trHeight w:val="567"/>
        </w:trPr>
        <w:tc>
          <w:tcPr>
            <w:tcW w:w="5440" w:type="dxa"/>
            <w:shd w:val="clear" w:color="auto" w:fill="auto"/>
            <w:vAlign w:val="center"/>
            <w:hideMark/>
          </w:tcPr>
          <w:p w14:paraId="6D62AE3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Resale Royalty Right for Visual Artists Act 2009</w:t>
            </w:r>
          </w:p>
        </w:tc>
        <w:tc>
          <w:tcPr>
            <w:tcW w:w="3914" w:type="dxa"/>
            <w:shd w:val="clear" w:color="auto" w:fill="auto"/>
            <w:vAlign w:val="center"/>
            <w:hideMark/>
          </w:tcPr>
          <w:p w14:paraId="7DC2489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48 </w:t>
            </w:r>
          </w:p>
        </w:tc>
      </w:tr>
      <w:tr w:rsidR="00831411" w:rsidRPr="00831411" w14:paraId="6E1D2B68" w14:textId="77777777" w:rsidTr="003C25B1">
        <w:trPr>
          <w:trHeight w:val="567"/>
        </w:trPr>
        <w:tc>
          <w:tcPr>
            <w:tcW w:w="5440" w:type="dxa"/>
            <w:shd w:val="clear" w:color="auto" w:fill="auto"/>
            <w:vAlign w:val="center"/>
            <w:hideMark/>
          </w:tcPr>
          <w:p w14:paraId="09479C5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Research Involving Human Embryos Act 2002</w:t>
            </w:r>
          </w:p>
        </w:tc>
        <w:tc>
          <w:tcPr>
            <w:tcW w:w="3914" w:type="dxa"/>
            <w:shd w:val="clear" w:color="auto" w:fill="auto"/>
            <w:vAlign w:val="center"/>
            <w:hideMark/>
          </w:tcPr>
          <w:p w14:paraId="1B462C4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30(1), (2); 28</w:t>
            </w:r>
            <w:proofErr w:type="gramStart"/>
            <w:r w:rsidRPr="00831411">
              <w:rPr>
                <w:rFonts w:asciiTheme="minorHAnsi" w:eastAsia="Times New Roman" w:hAnsiTheme="minorHAnsi" w:cstheme="minorHAnsi"/>
                <w:color w:val="000000"/>
                <w:lang w:eastAsia="en-AU"/>
              </w:rPr>
              <w:t>R(</w:t>
            </w:r>
            <w:proofErr w:type="gramEnd"/>
            <w:r w:rsidRPr="00831411">
              <w:rPr>
                <w:rFonts w:asciiTheme="minorHAnsi" w:eastAsia="Times New Roman" w:hAnsiTheme="minorHAnsi" w:cstheme="minorHAnsi"/>
                <w:color w:val="000000"/>
                <w:lang w:eastAsia="en-AU"/>
              </w:rPr>
              <w:t>6), (6A), (6B), (8); 29A(7)</w:t>
            </w:r>
          </w:p>
        </w:tc>
      </w:tr>
      <w:tr w:rsidR="00831411" w:rsidRPr="00831411" w14:paraId="691BD7E4" w14:textId="77777777" w:rsidTr="003C25B1">
        <w:trPr>
          <w:trHeight w:val="567"/>
        </w:trPr>
        <w:tc>
          <w:tcPr>
            <w:tcW w:w="5440" w:type="dxa"/>
            <w:shd w:val="clear" w:color="auto" w:fill="auto"/>
            <w:vAlign w:val="center"/>
            <w:hideMark/>
          </w:tcPr>
          <w:p w14:paraId="7017148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Reserve Bank Act 1959</w:t>
            </w:r>
          </w:p>
        </w:tc>
        <w:tc>
          <w:tcPr>
            <w:tcW w:w="3914" w:type="dxa"/>
            <w:shd w:val="clear" w:color="auto" w:fill="auto"/>
            <w:vAlign w:val="center"/>
            <w:hideMark/>
          </w:tcPr>
          <w:p w14:paraId="407BD15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79</w:t>
            </w:r>
            <w:proofErr w:type="gramStart"/>
            <w:r w:rsidRPr="00831411">
              <w:rPr>
                <w:rFonts w:asciiTheme="minorHAnsi" w:eastAsia="Times New Roman" w:hAnsiTheme="minorHAnsi" w:cstheme="minorHAnsi"/>
                <w:color w:val="000000"/>
                <w:lang w:eastAsia="en-AU"/>
              </w:rPr>
              <w:t>B(</w:t>
            </w:r>
            <w:proofErr w:type="gramEnd"/>
            <w:r w:rsidRPr="00831411">
              <w:rPr>
                <w:rFonts w:asciiTheme="minorHAnsi" w:eastAsia="Times New Roman" w:hAnsiTheme="minorHAnsi" w:cstheme="minorHAnsi"/>
                <w:color w:val="000000"/>
                <w:lang w:eastAsia="en-AU"/>
              </w:rPr>
              <w:t>1); 79A</w:t>
            </w:r>
          </w:p>
        </w:tc>
      </w:tr>
      <w:tr w:rsidR="00831411" w:rsidRPr="00831411" w14:paraId="489FE6D4" w14:textId="77777777" w:rsidTr="003C25B1">
        <w:trPr>
          <w:trHeight w:val="567"/>
        </w:trPr>
        <w:tc>
          <w:tcPr>
            <w:tcW w:w="5440" w:type="dxa"/>
            <w:shd w:val="clear" w:color="auto" w:fill="auto"/>
            <w:vAlign w:val="center"/>
            <w:hideMark/>
          </w:tcPr>
          <w:p w14:paraId="6C36306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Royal Commissions Act 1902</w:t>
            </w:r>
          </w:p>
        </w:tc>
        <w:tc>
          <w:tcPr>
            <w:tcW w:w="3914" w:type="dxa"/>
            <w:shd w:val="clear" w:color="auto" w:fill="auto"/>
            <w:vAlign w:val="center"/>
            <w:hideMark/>
          </w:tcPr>
          <w:p w14:paraId="75EAB7F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6OH</w:t>
            </w:r>
          </w:p>
        </w:tc>
      </w:tr>
      <w:tr w:rsidR="00831411" w:rsidRPr="00831411" w14:paraId="3E99DC8B" w14:textId="77777777" w:rsidTr="003C25B1">
        <w:trPr>
          <w:trHeight w:val="567"/>
        </w:trPr>
        <w:tc>
          <w:tcPr>
            <w:tcW w:w="5440" w:type="dxa"/>
            <w:shd w:val="clear" w:color="auto" w:fill="auto"/>
            <w:vAlign w:val="center"/>
            <w:hideMark/>
          </w:tcPr>
          <w:p w14:paraId="39672F1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Security of Critical Infrastructure Act 2018</w:t>
            </w:r>
          </w:p>
        </w:tc>
        <w:tc>
          <w:tcPr>
            <w:tcW w:w="3914" w:type="dxa"/>
            <w:shd w:val="clear" w:color="auto" w:fill="auto"/>
            <w:vAlign w:val="center"/>
            <w:hideMark/>
          </w:tcPr>
          <w:p w14:paraId="4686DB5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45 </w:t>
            </w:r>
          </w:p>
        </w:tc>
      </w:tr>
      <w:tr w:rsidR="00831411" w:rsidRPr="00831411" w14:paraId="5AA726F1" w14:textId="77777777" w:rsidTr="003C25B1">
        <w:trPr>
          <w:trHeight w:val="567"/>
        </w:trPr>
        <w:tc>
          <w:tcPr>
            <w:tcW w:w="5440" w:type="dxa"/>
            <w:shd w:val="clear" w:color="auto" w:fill="auto"/>
            <w:vAlign w:val="center"/>
            <w:hideMark/>
          </w:tcPr>
          <w:p w14:paraId="2FAE99F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Sex Discrimination Act 1984</w:t>
            </w:r>
          </w:p>
        </w:tc>
        <w:tc>
          <w:tcPr>
            <w:tcW w:w="3914" w:type="dxa"/>
            <w:shd w:val="clear" w:color="auto" w:fill="auto"/>
            <w:vAlign w:val="center"/>
            <w:hideMark/>
          </w:tcPr>
          <w:p w14:paraId="5855478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112; 92</w:t>
            </w:r>
          </w:p>
        </w:tc>
      </w:tr>
      <w:tr w:rsidR="00831411" w:rsidRPr="00831411" w14:paraId="0DCCB018" w14:textId="77777777" w:rsidTr="003C25B1">
        <w:trPr>
          <w:trHeight w:val="567"/>
        </w:trPr>
        <w:tc>
          <w:tcPr>
            <w:tcW w:w="5440" w:type="dxa"/>
            <w:shd w:val="clear" w:color="auto" w:fill="auto"/>
            <w:vAlign w:val="center"/>
            <w:hideMark/>
          </w:tcPr>
          <w:p w14:paraId="598DDE4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Social Security (Administration) Act 1999</w:t>
            </w:r>
          </w:p>
        </w:tc>
        <w:tc>
          <w:tcPr>
            <w:tcW w:w="3914" w:type="dxa"/>
            <w:shd w:val="clear" w:color="auto" w:fill="auto"/>
            <w:vAlign w:val="center"/>
            <w:hideMark/>
          </w:tcPr>
          <w:p w14:paraId="3294B41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203; 204; 205; 206</w:t>
            </w:r>
          </w:p>
        </w:tc>
      </w:tr>
      <w:tr w:rsidR="00831411" w:rsidRPr="00831411" w14:paraId="5527E785" w14:textId="77777777" w:rsidTr="003C25B1">
        <w:trPr>
          <w:trHeight w:val="567"/>
        </w:trPr>
        <w:tc>
          <w:tcPr>
            <w:tcW w:w="5440" w:type="dxa"/>
            <w:shd w:val="clear" w:color="auto" w:fill="auto"/>
            <w:vAlign w:val="center"/>
            <w:hideMark/>
          </w:tcPr>
          <w:p w14:paraId="008C39E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Space (Launches and Returns) Act 2018</w:t>
            </w:r>
          </w:p>
        </w:tc>
        <w:tc>
          <w:tcPr>
            <w:tcW w:w="3914" w:type="dxa"/>
            <w:shd w:val="clear" w:color="auto" w:fill="auto"/>
            <w:vAlign w:val="center"/>
            <w:hideMark/>
          </w:tcPr>
          <w:p w14:paraId="1E94FFD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96 </w:t>
            </w:r>
          </w:p>
        </w:tc>
      </w:tr>
      <w:tr w:rsidR="00831411" w:rsidRPr="00831411" w14:paraId="52383B58" w14:textId="77777777" w:rsidTr="003C25B1">
        <w:trPr>
          <w:trHeight w:val="567"/>
        </w:trPr>
        <w:tc>
          <w:tcPr>
            <w:tcW w:w="5440" w:type="dxa"/>
            <w:shd w:val="clear" w:color="auto" w:fill="auto"/>
            <w:vAlign w:val="center"/>
            <w:hideMark/>
          </w:tcPr>
          <w:p w14:paraId="76E9CDC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Sport Integrity Australia Act 2020</w:t>
            </w:r>
          </w:p>
        </w:tc>
        <w:tc>
          <w:tcPr>
            <w:tcW w:w="3914" w:type="dxa"/>
            <w:shd w:val="clear" w:color="auto" w:fill="auto"/>
            <w:vAlign w:val="center"/>
            <w:hideMark/>
          </w:tcPr>
          <w:p w14:paraId="0288B945" w14:textId="55417833"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67(1)</w:t>
            </w:r>
          </w:p>
        </w:tc>
      </w:tr>
      <w:tr w:rsidR="00831411" w:rsidRPr="00831411" w14:paraId="113CFE43" w14:textId="77777777" w:rsidTr="003C25B1">
        <w:trPr>
          <w:trHeight w:val="567"/>
        </w:trPr>
        <w:tc>
          <w:tcPr>
            <w:tcW w:w="5440" w:type="dxa"/>
            <w:shd w:val="clear" w:color="auto" w:fill="auto"/>
            <w:vAlign w:val="center"/>
            <w:hideMark/>
          </w:tcPr>
          <w:p w14:paraId="5249906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Student Assistance Act 1973</w:t>
            </w:r>
          </w:p>
        </w:tc>
        <w:tc>
          <w:tcPr>
            <w:tcW w:w="3914" w:type="dxa"/>
            <w:shd w:val="clear" w:color="auto" w:fill="auto"/>
            <w:vAlign w:val="center"/>
            <w:hideMark/>
          </w:tcPr>
          <w:p w14:paraId="6B35FD2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12ZU; 352; 353; 357;</w:t>
            </w:r>
            <w:r w:rsidRPr="00831411">
              <w:rPr>
                <w:rFonts w:asciiTheme="minorHAnsi" w:eastAsia="Times New Roman" w:hAnsiTheme="minorHAnsi" w:cstheme="minorHAnsi"/>
                <w:lang w:eastAsia="en-AU"/>
              </w:rPr>
              <w:t> 358;</w:t>
            </w:r>
            <w:r w:rsidRPr="00831411">
              <w:rPr>
                <w:rFonts w:asciiTheme="minorHAnsi" w:eastAsia="Times New Roman" w:hAnsiTheme="minorHAnsi" w:cstheme="minorHAnsi"/>
                <w:color w:val="000000"/>
                <w:lang w:eastAsia="en-AU"/>
              </w:rPr>
              <w:t xml:space="preserve"> 359 </w:t>
            </w:r>
          </w:p>
        </w:tc>
      </w:tr>
      <w:tr w:rsidR="00831411" w:rsidRPr="00831411" w14:paraId="22C7D47F" w14:textId="77777777" w:rsidTr="003C25B1">
        <w:trPr>
          <w:trHeight w:val="567"/>
        </w:trPr>
        <w:tc>
          <w:tcPr>
            <w:tcW w:w="5440" w:type="dxa"/>
            <w:shd w:val="clear" w:color="auto" w:fill="auto"/>
            <w:vAlign w:val="center"/>
            <w:hideMark/>
          </w:tcPr>
          <w:p w14:paraId="6BF2FC0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Surveillance Devices Act 2004 </w:t>
            </w:r>
          </w:p>
        </w:tc>
        <w:tc>
          <w:tcPr>
            <w:tcW w:w="3914" w:type="dxa"/>
            <w:shd w:val="clear" w:color="auto" w:fill="auto"/>
            <w:vAlign w:val="center"/>
            <w:hideMark/>
          </w:tcPr>
          <w:p w14:paraId="63BB480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45(1), (2), (7); 45B (1), (2)</w:t>
            </w:r>
          </w:p>
        </w:tc>
      </w:tr>
      <w:tr w:rsidR="00831411" w:rsidRPr="00831411" w14:paraId="0A3F6BA2" w14:textId="77777777" w:rsidTr="003C25B1">
        <w:trPr>
          <w:trHeight w:val="567"/>
        </w:trPr>
        <w:tc>
          <w:tcPr>
            <w:tcW w:w="5440" w:type="dxa"/>
            <w:shd w:val="clear" w:color="auto" w:fill="auto"/>
            <w:vAlign w:val="center"/>
            <w:hideMark/>
          </w:tcPr>
          <w:p w14:paraId="672FC15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Tax Agent Services Act 2009</w:t>
            </w:r>
          </w:p>
        </w:tc>
        <w:tc>
          <w:tcPr>
            <w:tcW w:w="3914" w:type="dxa"/>
            <w:shd w:val="clear" w:color="auto" w:fill="auto"/>
            <w:vAlign w:val="center"/>
            <w:hideMark/>
          </w:tcPr>
          <w:p w14:paraId="2E18D8B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70-35; 70-45</w:t>
            </w:r>
          </w:p>
        </w:tc>
      </w:tr>
      <w:tr w:rsidR="00831411" w:rsidRPr="00831411" w14:paraId="102DA834" w14:textId="77777777" w:rsidTr="003C25B1">
        <w:trPr>
          <w:trHeight w:val="567"/>
        </w:trPr>
        <w:tc>
          <w:tcPr>
            <w:tcW w:w="5440" w:type="dxa"/>
            <w:shd w:val="clear" w:color="auto" w:fill="auto"/>
            <w:vAlign w:val="center"/>
            <w:hideMark/>
          </w:tcPr>
          <w:p w14:paraId="3E10D65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Taxation Administration Act 1953</w:t>
            </w:r>
          </w:p>
        </w:tc>
        <w:tc>
          <w:tcPr>
            <w:tcW w:w="3914" w:type="dxa"/>
            <w:shd w:val="clear" w:color="auto" w:fill="auto"/>
            <w:vAlign w:val="center"/>
            <w:hideMark/>
          </w:tcPr>
          <w:p w14:paraId="26FB425D" w14:textId="4BAD1BB0"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8XA; 8WB; 14ZZW</w:t>
            </w:r>
            <w:r w:rsidR="00485D14">
              <w:rPr>
                <w:rFonts w:asciiTheme="minorHAnsi" w:eastAsia="Times New Roman" w:hAnsiTheme="minorHAnsi" w:cstheme="minorHAnsi"/>
                <w:color w:val="000000"/>
                <w:lang w:eastAsia="en-AU"/>
              </w:rPr>
              <w:t>;</w:t>
            </w:r>
            <w:r w:rsidRPr="00831411">
              <w:rPr>
                <w:rFonts w:asciiTheme="minorHAnsi" w:eastAsia="Times New Roman" w:hAnsiTheme="minorHAnsi" w:cstheme="minorHAnsi"/>
                <w:color w:val="000000"/>
                <w:lang w:eastAsia="en-AU"/>
              </w:rPr>
              <w:t xml:space="preserve"> sch 1, ss 355-155, 355-25, 355-265</w:t>
            </w:r>
          </w:p>
        </w:tc>
      </w:tr>
      <w:tr w:rsidR="00831411" w:rsidRPr="00831411" w14:paraId="6DAC6383" w14:textId="77777777" w:rsidTr="003C25B1">
        <w:trPr>
          <w:trHeight w:val="567"/>
        </w:trPr>
        <w:tc>
          <w:tcPr>
            <w:tcW w:w="5440" w:type="dxa"/>
            <w:shd w:val="clear" w:color="auto" w:fill="auto"/>
            <w:vAlign w:val="center"/>
            <w:hideMark/>
          </w:tcPr>
          <w:p w14:paraId="429A922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Telecommunications (Interception and Access) Act 1979</w:t>
            </w:r>
          </w:p>
        </w:tc>
        <w:tc>
          <w:tcPr>
            <w:tcW w:w="3914" w:type="dxa"/>
            <w:shd w:val="clear" w:color="auto" w:fill="auto"/>
            <w:vAlign w:val="center"/>
            <w:hideMark/>
          </w:tcPr>
          <w:p w14:paraId="3EE4E18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 63(1), (2); 108; 181</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 xml:space="preserve">1), (2), (4), (5); 181B(1), (2), (4), (5); 133; 182; 182A; sch 1, s 152 </w:t>
            </w:r>
          </w:p>
        </w:tc>
      </w:tr>
      <w:tr w:rsidR="00831411" w:rsidRPr="00831411" w14:paraId="19B54A36" w14:textId="77777777" w:rsidTr="003C25B1">
        <w:trPr>
          <w:trHeight w:val="567"/>
        </w:trPr>
        <w:tc>
          <w:tcPr>
            <w:tcW w:w="5440" w:type="dxa"/>
            <w:shd w:val="clear" w:color="auto" w:fill="auto"/>
            <w:vAlign w:val="center"/>
            <w:hideMark/>
          </w:tcPr>
          <w:p w14:paraId="09727B4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Telecommunications Act 1997</w:t>
            </w:r>
          </w:p>
        </w:tc>
        <w:tc>
          <w:tcPr>
            <w:tcW w:w="3914" w:type="dxa"/>
            <w:shd w:val="clear" w:color="auto" w:fill="auto"/>
            <w:vAlign w:val="center"/>
            <w:hideMark/>
          </w:tcPr>
          <w:p w14:paraId="07EFE87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276(3); 277(3); 278(3); 295Z; 295ZA; 296; 297; 299</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 xml:space="preserve">1), (2); 300; 301; 302; 302A; 317ZF  </w:t>
            </w:r>
          </w:p>
        </w:tc>
      </w:tr>
      <w:tr w:rsidR="00831411" w:rsidRPr="00831411" w14:paraId="42E05B2B" w14:textId="77777777" w:rsidTr="003C25B1">
        <w:trPr>
          <w:trHeight w:val="567"/>
        </w:trPr>
        <w:tc>
          <w:tcPr>
            <w:tcW w:w="5440" w:type="dxa"/>
            <w:shd w:val="clear" w:color="auto" w:fill="auto"/>
            <w:vAlign w:val="center"/>
            <w:hideMark/>
          </w:tcPr>
          <w:p w14:paraId="5AECC99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Tertiary Education Quality and Standards Agency Act 2011</w:t>
            </w:r>
          </w:p>
        </w:tc>
        <w:tc>
          <w:tcPr>
            <w:tcW w:w="3914" w:type="dxa"/>
            <w:shd w:val="clear" w:color="auto" w:fill="auto"/>
            <w:vAlign w:val="center"/>
            <w:hideMark/>
          </w:tcPr>
          <w:p w14:paraId="48FD923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188, 197A </w:t>
            </w:r>
          </w:p>
        </w:tc>
      </w:tr>
      <w:tr w:rsidR="00831411" w:rsidRPr="00831411" w14:paraId="0FB124AD" w14:textId="77777777" w:rsidTr="003C25B1">
        <w:trPr>
          <w:trHeight w:val="567"/>
        </w:trPr>
        <w:tc>
          <w:tcPr>
            <w:tcW w:w="5440" w:type="dxa"/>
            <w:shd w:val="clear" w:color="auto" w:fill="auto"/>
            <w:vAlign w:val="center"/>
            <w:hideMark/>
          </w:tcPr>
          <w:p w14:paraId="34166A1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Torres Strait Fisheries Act 1984</w:t>
            </w:r>
          </w:p>
        </w:tc>
        <w:tc>
          <w:tcPr>
            <w:tcW w:w="3914" w:type="dxa"/>
            <w:shd w:val="clear" w:color="auto" w:fill="auto"/>
            <w:vAlign w:val="center"/>
            <w:hideMark/>
          </w:tcPr>
          <w:p w14:paraId="5AF1F78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sch 2, ss 51, 53</w:t>
            </w:r>
          </w:p>
        </w:tc>
      </w:tr>
      <w:tr w:rsidR="00831411" w:rsidRPr="00831411" w14:paraId="0E2CFBB2" w14:textId="77777777" w:rsidTr="003C25B1">
        <w:trPr>
          <w:trHeight w:val="567"/>
        </w:trPr>
        <w:tc>
          <w:tcPr>
            <w:tcW w:w="5440" w:type="dxa"/>
            <w:shd w:val="clear" w:color="auto" w:fill="auto"/>
            <w:vAlign w:val="center"/>
            <w:hideMark/>
          </w:tcPr>
          <w:p w14:paraId="19D8AA4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Torres Strait Fisheries Regulations 1985</w:t>
            </w:r>
          </w:p>
        </w:tc>
        <w:tc>
          <w:tcPr>
            <w:tcW w:w="3914" w:type="dxa"/>
            <w:shd w:val="clear" w:color="auto" w:fill="auto"/>
            <w:vAlign w:val="center"/>
            <w:hideMark/>
          </w:tcPr>
          <w:p w14:paraId="2809772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13</w:t>
            </w:r>
          </w:p>
        </w:tc>
      </w:tr>
      <w:tr w:rsidR="00831411" w:rsidRPr="00831411" w14:paraId="2D4AD475" w14:textId="77777777" w:rsidTr="003C25B1">
        <w:trPr>
          <w:trHeight w:val="567"/>
        </w:trPr>
        <w:tc>
          <w:tcPr>
            <w:tcW w:w="5440" w:type="dxa"/>
            <w:shd w:val="clear" w:color="auto" w:fill="auto"/>
            <w:vAlign w:val="center"/>
            <w:hideMark/>
          </w:tcPr>
          <w:p w14:paraId="6EC09E0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Transport Safety Investigation Act 2003</w:t>
            </w:r>
          </w:p>
        </w:tc>
        <w:tc>
          <w:tcPr>
            <w:tcW w:w="3914" w:type="dxa"/>
            <w:shd w:val="clear" w:color="auto" w:fill="auto"/>
            <w:vAlign w:val="center"/>
            <w:hideMark/>
          </w:tcPr>
          <w:p w14:paraId="6E7C300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26; 53(1), (2); 59(4), (5); 60(1), (2), (3)</w:t>
            </w:r>
          </w:p>
        </w:tc>
      </w:tr>
      <w:tr w:rsidR="00831411" w:rsidRPr="00831411" w14:paraId="5D80B23D" w14:textId="77777777" w:rsidTr="003C25B1">
        <w:trPr>
          <w:trHeight w:val="567"/>
        </w:trPr>
        <w:tc>
          <w:tcPr>
            <w:tcW w:w="5440" w:type="dxa"/>
            <w:shd w:val="clear" w:color="auto" w:fill="auto"/>
            <w:vAlign w:val="center"/>
            <w:hideMark/>
          </w:tcPr>
          <w:p w14:paraId="3440B308"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VET Student Loans Act 2016</w:t>
            </w:r>
          </w:p>
        </w:tc>
        <w:tc>
          <w:tcPr>
            <w:tcW w:w="3914" w:type="dxa"/>
            <w:shd w:val="clear" w:color="auto" w:fill="auto"/>
            <w:vAlign w:val="center"/>
            <w:hideMark/>
          </w:tcPr>
          <w:p w14:paraId="3121171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100(1), (3); 101; 99</w:t>
            </w:r>
          </w:p>
        </w:tc>
      </w:tr>
      <w:tr w:rsidR="00831411" w:rsidRPr="00831411" w14:paraId="74ED223C" w14:textId="77777777" w:rsidTr="003C25B1">
        <w:trPr>
          <w:trHeight w:val="567"/>
        </w:trPr>
        <w:tc>
          <w:tcPr>
            <w:tcW w:w="5440" w:type="dxa"/>
            <w:shd w:val="clear" w:color="auto" w:fill="auto"/>
            <w:vAlign w:val="center"/>
            <w:hideMark/>
          </w:tcPr>
          <w:p w14:paraId="2D42ADE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Wheat Export Marketing (Repeal and Consequential Amendments) Act 2008</w:t>
            </w:r>
          </w:p>
        </w:tc>
        <w:tc>
          <w:tcPr>
            <w:tcW w:w="3914" w:type="dxa"/>
            <w:shd w:val="clear" w:color="auto" w:fill="auto"/>
            <w:vAlign w:val="center"/>
            <w:hideMark/>
          </w:tcPr>
          <w:p w14:paraId="7216EF7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sch 3, item 6</w:t>
            </w:r>
          </w:p>
        </w:tc>
      </w:tr>
      <w:tr w:rsidR="00831411" w:rsidRPr="00831411" w14:paraId="3F03027C" w14:textId="77777777" w:rsidTr="003C25B1">
        <w:trPr>
          <w:trHeight w:val="567"/>
        </w:trPr>
        <w:tc>
          <w:tcPr>
            <w:tcW w:w="5440" w:type="dxa"/>
            <w:shd w:val="clear" w:color="auto" w:fill="auto"/>
            <w:vAlign w:val="center"/>
            <w:hideMark/>
          </w:tcPr>
          <w:p w14:paraId="4847439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Wheat Export Marketing Amendment Act 2012</w:t>
            </w:r>
          </w:p>
        </w:tc>
        <w:tc>
          <w:tcPr>
            <w:tcW w:w="3914" w:type="dxa"/>
            <w:shd w:val="clear" w:color="auto" w:fill="auto"/>
            <w:vAlign w:val="center"/>
            <w:hideMark/>
          </w:tcPr>
          <w:p w14:paraId="70F9ECE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35</w:t>
            </w:r>
          </w:p>
        </w:tc>
      </w:tr>
      <w:tr w:rsidR="00831411" w:rsidRPr="00831411" w14:paraId="728F01C0" w14:textId="77777777" w:rsidTr="003C25B1">
        <w:trPr>
          <w:trHeight w:val="567"/>
        </w:trPr>
        <w:tc>
          <w:tcPr>
            <w:tcW w:w="5440" w:type="dxa"/>
            <w:shd w:val="clear" w:color="auto" w:fill="auto"/>
            <w:vAlign w:val="center"/>
            <w:hideMark/>
          </w:tcPr>
          <w:p w14:paraId="7183267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Witness Protection Act 1994</w:t>
            </w:r>
          </w:p>
        </w:tc>
        <w:tc>
          <w:tcPr>
            <w:tcW w:w="3914" w:type="dxa"/>
            <w:shd w:val="clear" w:color="auto" w:fill="auto"/>
            <w:vAlign w:val="center"/>
            <w:hideMark/>
          </w:tcPr>
          <w:p w14:paraId="4F68624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22(1), (2), (3), (4); 22</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1), (2), (3), (4) ; 22B(1), (2)</w:t>
            </w:r>
          </w:p>
        </w:tc>
      </w:tr>
      <w:tr w:rsidR="00831411" w:rsidRPr="00831411" w14:paraId="2CEF8660" w14:textId="77777777" w:rsidTr="003C25B1">
        <w:trPr>
          <w:trHeight w:val="567"/>
        </w:trPr>
        <w:tc>
          <w:tcPr>
            <w:tcW w:w="5440" w:type="dxa"/>
            <w:shd w:val="clear" w:color="000000" w:fill="FFFFFF"/>
            <w:vAlign w:val="center"/>
            <w:hideMark/>
          </w:tcPr>
          <w:p w14:paraId="7343194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Work Health and Safety Act 2011</w:t>
            </w:r>
          </w:p>
        </w:tc>
        <w:tc>
          <w:tcPr>
            <w:tcW w:w="3914" w:type="dxa"/>
            <w:shd w:val="clear" w:color="000000" w:fill="FFFFFF"/>
            <w:vAlign w:val="center"/>
            <w:hideMark/>
          </w:tcPr>
          <w:p w14:paraId="702DED2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271(2), (4)</w:t>
            </w:r>
          </w:p>
        </w:tc>
      </w:tr>
      <w:tr w:rsidR="00831411" w:rsidRPr="00831411" w14:paraId="195332F3" w14:textId="77777777" w:rsidTr="003C25B1">
        <w:trPr>
          <w:trHeight w:val="567"/>
        </w:trPr>
        <w:tc>
          <w:tcPr>
            <w:tcW w:w="5440" w:type="dxa"/>
            <w:shd w:val="clear" w:color="auto" w:fill="auto"/>
            <w:vAlign w:val="center"/>
            <w:hideMark/>
          </w:tcPr>
          <w:p w14:paraId="7C02D3E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Workplace Gender Equality Act 2012</w:t>
            </w:r>
          </w:p>
        </w:tc>
        <w:tc>
          <w:tcPr>
            <w:tcW w:w="3914" w:type="dxa"/>
            <w:shd w:val="clear" w:color="auto" w:fill="auto"/>
            <w:vAlign w:val="center"/>
            <w:hideMark/>
          </w:tcPr>
          <w:p w14:paraId="1389677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 32 </w:t>
            </w:r>
          </w:p>
        </w:tc>
      </w:tr>
    </w:tbl>
    <w:p w14:paraId="27D64B47" w14:textId="77777777" w:rsidR="00831411" w:rsidRPr="00831411" w:rsidRDefault="00831411" w:rsidP="00485D14">
      <w:pPr>
        <w:rPr>
          <w:rFonts w:asciiTheme="minorHAnsi" w:hAnsiTheme="minorHAnsi" w:cstheme="minorHAnsi"/>
          <w:sz w:val="20"/>
        </w:rPr>
      </w:pPr>
    </w:p>
    <w:p w14:paraId="6312A2B4" w14:textId="77777777" w:rsidR="00831411" w:rsidRPr="00831411" w:rsidRDefault="00831411" w:rsidP="00CA2D3D">
      <w:pPr>
        <w:spacing w:before="120" w:after="120" w:line="276" w:lineRule="auto"/>
        <w:jc w:val="both"/>
        <w:rPr>
          <w:rFonts w:asciiTheme="minorHAnsi" w:hAnsiTheme="minorHAnsi" w:cstheme="minorHAnsi"/>
          <w:b/>
          <w:sz w:val="28"/>
          <w:szCs w:val="28"/>
        </w:rPr>
      </w:pPr>
      <w:r w:rsidRPr="00831411">
        <w:rPr>
          <w:rFonts w:asciiTheme="minorHAnsi" w:hAnsiTheme="minorHAnsi" w:cstheme="minorHAnsi"/>
          <w:b/>
          <w:sz w:val="28"/>
          <w:szCs w:val="28"/>
        </w:rPr>
        <w:t xml:space="preserve">Specific Secrecy Offences - Non-disclosure duties </w:t>
      </w:r>
    </w:p>
    <w:p w14:paraId="5CF8D145" w14:textId="57FDCA44" w:rsidR="00831411" w:rsidRDefault="00831411" w:rsidP="00CA2D3D">
      <w:pPr>
        <w:spacing w:line="276" w:lineRule="auto"/>
        <w:rPr>
          <w:rFonts w:asciiTheme="minorHAnsi" w:hAnsiTheme="minorHAnsi" w:cstheme="minorHAnsi"/>
        </w:rPr>
      </w:pPr>
      <w:r w:rsidRPr="00831411">
        <w:rPr>
          <w:rFonts w:asciiTheme="minorHAnsi" w:hAnsiTheme="minorHAnsi" w:cstheme="minorHAnsi"/>
        </w:rPr>
        <w:t>A subset of specific secrecy offences are</w:t>
      </w:r>
      <w:r w:rsidRPr="00831411">
        <w:rPr>
          <w:rFonts w:asciiTheme="minorHAnsi" w:hAnsiTheme="minorHAnsi" w:cstheme="minorHAnsi"/>
          <w:b/>
        </w:rPr>
        <w:t xml:space="preserve"> non-disclosure duties </w:t>
      </w:r>
      <w:r w:rsidRPr="00831411">
        <w:rPr>
          <w:rFonts w:asciiTheme="minorHAnsi" w:hAnsiTheme="minorHAnsi" w:cstheme="minorHAnsi"/>
        </w:rPr>
        <w:t>which are provisions</w:t>
      </w:r>
      <w:r w:rsidRPr="00831411">
        <w:rPr>
          <w:rFonts w:asciiTheme="minorHAnsi" w:hAnsiTheme="minorHAnsi" w:cstheme="minorHAnsi"/>
          <w:b/>
        </w:rPr>
        <w:t xml:space="preserve"> </w:t>
      </w:r>
      <w:r w:rsidRPr="00831411">
        <w:rPr>
          <w:rFonts w:asciiTheme="minorHAnsi" w:hAnsiTheme="minorHAnsi" w:cstheme="minorHAnsi"/>
        </w:rPr>
        <w:t>included in a range of Commonwealth laws that establish a duty not to disclose or otherwise deal with certain information. These provisions do not directly impose criminal liability but rely on section 122.4 of the Criminal Code, which</w:t>
      </w:r>
      <w:r w:rsidRPr="00831411">
        <w:rPr>
          <w:rFonts w:asciiTheme="minorHAnsi" w:hAnsiTheme="minorHAnsi" w:cstheme="minorHAnsi"/>
          <w:szCs w:val="24"/>
        </w:rPr>
        <w:t xml:space="preserve"> imposes criminal liability for the breach of a non-disclosure duty by current and former Commonwealth officers or a person otherwise engaged to perform work for a Commonwealth entity. Section 122.4 will sunset on 29 December 2023. The purpose of </w:t>
      </w:r>
      <w:r w:rsidRPr="00831411">
        <w:rPr>
          <w:rFonts w:asciiTheme="minorHAnsi" w:hAnsiTheme="minorHAnsi" w:cstheme="minorHAnsi"/>
        </w:rPr>
        <w:t>section 122.4 sunsetting was intended to preserve the operation of non-disclosure duties until such time as each duty could be reviewed to determine whether it should be converted into a stand-alone specific secrecy offence, or whether criminal liability should be removed. This is a key task of the Review.</w:t>
      </w:r>
    </w:p>
    <w:p w14:paraId="3E457DC7" w14:textId="77777777" w:rsidR="00C36122" w:rsidRPr="00831411" w:rsidRDefault="00C36122" w:rsidP="00485D14">
      <w:pPr>
        <w:rPr>
          <w:rFonts w:asciiTheme="minorHAnsi" w:hAnsiTheme="minorHAnsi" w:cstheme="minorHAnsi"/>
        </w:rPr>
      </w:pPr>
    </w:p>
    <w:tbl>
      <w:tblPr>
        <w:tblW w:w="9354" w:type="dxa"/>
        <w:tblLayout w:type="fixed"/>
        <w:tblLook w:val="04A0" w:firstRow="1" w:lastRow="0" w:firstColumn="1" w:lastColumn="0" w:noHBand="0" w:noVBand="1"/>
      </w:tblPr>
      <w:tblGrid>
        <w:gridCol w:w="5669"/>
        <w:gridCol w:w="3685"/>
      </w:tblGrid>
      <w:tr w:rsidR="00831411" w:rsidRPr="00831411" w14:paraId="054B149C" w14:textId="77777777" w:rsidTr="00485D14">
        <w:trPr>
          <w:trHeight w:val="567"/>
          <w:tblHeader/>
        </w:trPr>
        <w:tc>
          <w:tcPr>
            <w:tcW w:w="9354" w:type="dxa"/>
            <w:gridSpan w:val="2"/>
            <w:tcBorders>
              <w:top w:val="single" w:sz="4" w:space="0" w:color="auto"/>
              <w:left w:val="single" w:sz="4" w:space="0" w:color="auto"/>
              <w:bottom w:val="single" w:sz="4" w:space="0" w:color="auto"/>
              <w:right w:val="single" w:sz="4" w:space="0" w:color="auto"/>
            </w:tcBorders>
            <w:shd w:val="clear" w:color="auto" w:fill="50748A"/>
            <w:vAlign w:val="center"/>
          </w:tcPr>
          <w:p w14:paraId="508123E6" w14:textId="77777777" w:rsidR="00831411" w:rsidRPr="00CA2D3D" w:rsidRDefault="00831411" w:rsidP="001F4398">
            <w:pPr>
              <w:pStyle w:val="Heading2"/>
              <w:jc w:val="center"/>
              <w:rPr>
                <w:rFonts w:asciiTheme="minorHAnsi" w:hAnsiTheme="minorHAnsi" w:cstheme="minorHAnsi"/>
                <w:b/>
                <w:sz w:val="28"/>
                <w:szCs w:val="28"/>
              </w:rPr>
            </w:pPr>
            <w:bookmarkStart w:id="142" w:name="_Toc130465901"/>
            <w:r w:rsidRPr="00CA2D3D">
              <w:rPr>
                <w:rFonts w:asciiTheme="minorHAnsi" w:hAnsiTheme="minorHAnsi" w:cstheme="minorHAnsi"/>
                <w:b/>
                <w:color w:val="FFFFFF" w:themeColor="background1"/>
                <w:sz w:val="28"/>
                <w:szCs w:val="28"/>
              </w:rPr>
              <w:t>Table 3 - Non-disclosure duties</w:t>
            </w:r>
            <w:bookmarkEnd w:id="142"/>
          </w:p>
        </w:tc>
      </w:tr>
      <w:tr w:rsidR="00831411" w:rsidRPr="00831411" w14:paraId="50095EA0" w14:textId="77777777" w:rsidTr="00485D14">
        <w:trPr>
          <w:trHeight w:val="454"/>
          <w:tblHeader/>
        </w:trPr>
        <w:tc>
          <w:tcPr>
            <w:tcW w:w="5669" w:type="dxa"/>
            <w:tcBorders>
              <w:top w:val="single" w:sz="4" w:space="0" w:color="auto"/>
              <w:left w:val="single" w:sz="4" w:space="0" w:color="auto"/>
              <w:bottom w:val="single" w:sz="4" w:space="0" w:color="auto"/>
              <w:right w:val="single" w:sz="4" w:space="0" w:color="auto"/>
            </w:tcBorders>
            <w:shd w:val="clear" w:color="auto" w:fill="B8CBD6"/>
            <w:vAlign w:val="center"/>
          </w:tcPr>
          <w:p w14:paraId="2C626749" w14:textId="77777777" w:rsidR="00831411" w:rsidRPr="00CA2D3D" w:rsidRDefault="00831411" w:rsidP="001F4398">
            <w:pPr>
              <w:pStyle w:val="Heading3"/>
              <w:rPr>
                <w:rFonts w:asciiTheme="minorHAnsi" w:hAnsiTheme="minorHAnsi" w:cstheme="minorHAnsi"/>
                <w:b/>
                <w:color w:val="404040"/>
                <w:sz w:val="28"/>
                <w:szCs w:val="28"/>
                <w:lang w:eastAsia="en-AU"/>
              </w:rPr>
            </w:pPr>
            <w:bookmarkStart w:id="143" w:name="_Toc130465902"/>
            <w:r w:rsidRPr="00CA2D3D">
              <w:rPr>
                <w:rFonts w:asciiTheme="minorHAnsi" w:hAnsiTheme="minorHAnsi" w:cstheme="minorHAnsi"/>
                <w:b/>
                <w:color w:val="404040"/>
                <w:sz w:val="28"/>
                <w:szCs w:val="28"/>
                <w:lang w:eastAsia="en-AU"/>
              </w:rPr>
              <w:t>Legislation</w:t>
            </w:r>
            <w:bookmarkEnd w:id="143"/>
          </w:p>
        </w:tc>
        <w:tc>
          <w:tcPr>
            <w:tcW w:w="3685" w:type="dxa"/>
            <w:tcBorders>
              <w:top w:val="single" w:sz="4" w:space="0" w:color="auto"/>
              <w:left w:val="nil"/>
              <w:bottom w:val="single" w:sz="4" w:space="0" w:color="auto"/>
              <w:right w:val="single" w:sz="4" w:space="0" w:color="auto"/>
            </w:tcBorders>
            <w:shd w:val="clear" w:color="auto" w:fill="B8CBD6"/>
            <w:vAlign w:val="center"/>
          </w:tcPr>
          <w:p w14:paraId="5621215A" w14:textId="77777777" w:rsidR="00831411" w:rsidRPr="00CA2D3D" w:rsidRDefault="00831411" w:rsidP="001F4398">
            <w:pPr>
              <w:pStyle w:val="Heading3"/>
              <w:rPr>
                <w:rFonts w:asciiTheme="minorHAnsi" w:hAnsiTheme="minorHAnsi" w:cstheme="minorHAnsi"/>
                <w:b/>
                <w:color w:val="404040"/>
                <w:sz w:val="28"/>
                <w:szCs w:val="28"/>
                <w:lang w:eastAsia="en-AU"/>
              </w:rPr>
            </w:pPr>
            <w:bookmarkStart w:id="144" w:name="_Toc130465903"/>
            <w:r w:rsidRPr="00CA2D3D">
              <w:rPr>
                <w:rFonts w:asciiTheme="minorHAnsi" w:hAnsiTheme="minorHAnsi" w:cstheme="minorHAnsi"/>
                <w:b/>
                <w:color w:val="404040"/>
                <w:sz w:val="28"/>
                <w:szCs w:val="28"/>
                <w:lang w:eastAsia="en-AU"/>
              </w:rPr>
              <w:t>Provision</w:t>
            </w:r>
            <w:bookmarkEnd w:id="144"/>
          </w:p>
        </w:tc>
      </w:tr>
      <w:tr w:rsidR="00831411" w:rsidRPr="00831411" w14:paraId="5DA8434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ED4E"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 New Tax System (Australian Business Number)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0BF8042"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26(4)</w:t>
            </w:r>
          </w:p>
        </w:tc>
      </w:tr>
      <w:tr w:rsidR="00831411" w:rsidRPr="00831411" w14:paraId="4AC7977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A232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Aboriginal and Torres Strait Islander Act 2005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A9394F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191</w:t>
            </w:r>
          </w:p>
        </w:tc>
      </w:tr>
      <w:tr w:rsidR="00831411" w:rsidRPr="00831411" w14:paraId="45FAACE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474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Administrative Appeals Tribunal Act 1975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9B9BFA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36(2); 36</w:t>
            </w:r>
            <w:proofErr w:type="gramStart"/>
            <w:r w:rsidRPr="00831411">
              <w:rPr>
                <w:rFonts w:asciiTheme="minorHAnsi" w:eastAsia="Times New Roman" w:hAnsiTheme="minorHAnsi" w:cstheme="minorHAnsi"/>
                <w:color w:val="000000"/>
                <w:lang w:eastAsia="en-AU"/>
              </w:rPr>
              <w:t>B(</w:t>
            </w:r>
            <w:proofErr w:type="gramEnd"/>
            <w:r w:rsidRPr="00831411">
              <w:rPr>
                <w:rFonts w:asciiTheme="minorHAnsi" w:eastAsia="Times New Roman" w:hAnsiTheme="minorHAnsi" w:cstheme="minorHAnsi"/>
                <w:color w:val="000000"/>
                <w:lang w:eastAsia="en-AU"/>
              </w:rPr>
              <w:t>2); 39B(3)(a); 46(2)</w:t>
            </w:r>
          </w:p>
        </w:tc>
      </w:tr>
      <w:tr w:rsidR="00831411" w:rsidRPr="00831411" w14:paraId="1560EA6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90DF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Aged Care Act 1997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828841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62-1; 86-10(3); 86-11(4); 86-9(2)</w:t>
            </w:r>
          </w:p>
        </w:tc>
      </w:tr>
      <w:tr w:rsidR="00831411" w:rsidRPr="00831411" w14:paraId="00882C01"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43BE0"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Air Navigation Regulation 2016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29E6C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 10</w:t>
            </w:r>
          </w:p>
        </w:tc>
      </w:tr>
      <w:tr w:rsidR="00831411" w:rsidRPr="00831411" w14:paraId="1685484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DA90"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Airports (Building Control) Regulations 1996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F2982A2"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 4.03</w:t>
            </w:r>
          </w:p>
        </w:tc>
      </w:tr>
      <w:tr w:rsidR="00831411" w:rsidRPr="00831411" w14:paraId="596562D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342B9"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Airports (Environment Protection) Regulations 1997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3936A64"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 10.06</w:t>
            </w:r>
          </w:p>
        </w:tc>
      </w:tr>
      <w:tr w:rsidR="00831411" w:rsidRPr="00831411" w14:paraId="5051FC6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D8D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Archives Act 1983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9C4071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30A</w:t>
            </w:r>
          </w:p>
        </w:tc>
      </w:tr>
      <w:tr w:rsidR="00831411" w:rsidRPr="00831411" w14:paraId="2F8C692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50C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Auditor-General Act 1997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EC3FB4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37</w:t>
            </w:r>
          </w:p>
        </w:tc>
      </w:tr>
      <w:tr w:rsidR="00831411" w:rsidRPr="00831411" w14:paraId="2E5068E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CF2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Crime Commission Act 2002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D966F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9(4), (6); 59(2), (5); </w:t>
            </w:r>
            <w:r w:rsidRPr="00831411">
              <w:rPr>
                <w:rFonts w:asciiTheme="minorHAnsi" w:eastAsia="Times New Roman" w:hAnsiTheme="minorHAnsi" w:cstheme="minorHAnsi"/>
                <w:lang w:eastAsia="en-AU"/>
              </w:rPr>
              <w:t>59AD;</w:t>
            </w:r>
            <w:r w:rsidRPr="00831411">
              <w:rPr>
                <w:rFonts w:asciiTheme="minorHAnsi" w:eastAsia="Times New Roman" w:hAnsiTheme="minorHAnsi" w:cstheme="minorHAnsi"/>
                <w:color w:val="000000"/>
                <w:lang w:eastAsia="en-AU"/>
              </w:rPr>
              <w:t> 60; 61(4)</w:t>
            </w:r>
          </w:p>
        </w:tc>
      </w:tr>
      <w:tr w:rsidR="00831411" w:rsidRPr="00831411" w14:paraId="3CD508A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195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Federal Police Regulations 2018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9974F9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28; 29</w:t>
            </w:r>
          </w:p>
        </w:tc>
      </w:tr>
      <w:tr w:rsidR="00831411" w:rsidRPr="00831411" w14:paraId="24C3D5C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D74C"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Hearing Services Act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E26184"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67(1), (3), (5), (6), (8C)</w:t>
            </w:r>
          </w:p>
        </w:tc>
      </w:tr>
      <w:tr w:rsidR="00831411" w:rsidRPr="00831411" w14:paraId="2D9A953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DF2F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Institute of Aboriginal and Torres Strait Islander Studies Act 1989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8DB66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41(1), (2)</w:t>
            </w:r>
          </w:p>
        </w:tc>
      </w:tr>
      <w:tr w:rsidR="00831411" w:rsidRPr="00831411" w14:paraId="39B5A78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EB2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Australian Organ and Tissue Donation and Transplantation Authority Act 2008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58EE2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58(1)</w:t>
            </w:r>
          </w:p>
        </w:tc>
      </w:tr>
      <w:tr w:rsidR="00831411" w:rsidRPr="00831411" w14:paraId="7CFBCCB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0A4A"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Securities and Investments Commission Act 2001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F3C725A"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127(1), (2F); 213; 237</w:t>
            </w:r>
          </w:p>
        </w:tc>
      </w:tr>
      <w:tr w:rsidR="00831411" w:rsidRPr="00831411" w14:paraId="0894CAF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A482"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Small Business and Family Enterprise Ombudsman Act 2015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B6096F"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53(2); 56(3); 58(3); 63(3); 41(3)</w:t>
            </w:r>
          </w:p>
        </w:tc>
      </w:tr>
      <w:tr w:rsidR="00831411" w:rsidRPr="00831411" w14:paraId="15A8DBF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C8F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Aviation Transport Security Regulations 2005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39A6887"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regs 2.79(3); 3.29(3); 4.92;</w:t>
            </w:r>
            <w:r w:rsidRPr="00831411">
              <w:rPr>
                <w:rFonts w:asciiTheme="minorHAnsi" w:eastAsia="Times New Roman" w:hAnsiTheme="minorHAnsi" w:cstheme="minorHAnsi"/>
                <w:color w:val="000000"/>
                <w:lang w:eastAsia="en-AU"/>
              </w:rPr>
              <w:t> 2.11(4)</w:t>
            </w:r>
          </w:p>
        </w:tc>
      </w:tr>
      <w:tr w:rsidR="00831411" w:rsidRPr="00831411" w14:paraId="2DBC599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1D5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Banking Act 1959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DCDDDA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69A</w:t>
            </w:r>
          </w:p>
        </w:tc>
      </w:tr>
      <w:tr w:rsidR="00831411" w:rsidRPr="00831411" w14:paraId="1139387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578C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Biosecurity Regulation 2016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B7475C"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102; 94</w:t>
            </w:r>
          </w:p>
        </w:tc>
      </w:tr>
      <w:tr w:rsidR="00831411" w:rsidRPr="00831411" w14:paraId="4FA0C95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EED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Business Names Registration Act 2011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D398FD" w14:textId="77777777" w:rsidR="00831411" w:rsidRPr="00831411" w:rsidRDefault="00097DC1" w:rsidP="00485D14">
            <w:pPr>
              <w:rPr>
                <w:rFonts w:asciiTheme="minorHAnsi" w:eastAsia="Times New Roman" w:hAnsiTheme="minorHAnsi" w:cstheme="minorHAnsi"/>
                <w:color w:val="000000"/>
                <w:lang w:eastAsia="en-AU"/>
              </w:rPr>
            </w:pPr>
            <w:r>
              <w:rPr>
                <w:rFonts w:eastAsia="Times New Roman"/>
                <w:color w:val="000000"/>
                <w:lang w:eastAsia="en-AU"/>
              </w:rPr>
              <w:t xml:space="preserve">s 60(6); </w:t>
            </w:r>
            <w:r w:rsidR="00831411" w:rsidRPr="00831411">
              <w:rPr>
                <w:rFonts w:asciiTheme="minorHAnsi" w:eastAsia="Times New Roman" w:hAnsiTheme="minorHAnsi" w:cstheme="minorHAnsi"/>
                <w:color w:val="000000"/>
                <w:lang w:eastAsia="en-AU"/>
              </w:rPr>
              <w:t>s 62</w:t>
            </w:r>
            <w:proofErr w:type="gramStart"/>
            <w:r w:rsidR="00831411" w:rsidRPr="00831411">
              <w:rPr>
                <w:rFonts w:asciiTheme="minorHAnsi" w:eastAsia="Times New Roman" w:hAnsiTheme="minorHAnsi" w:cstheme="minorHAnsi"/>
                <w:color w:val="000000"/>
                <w:lang w:eastAsia="en-AU"/>
              </w:rPr>
              <w:t>M(</w:t>
            </w:r>
            <w:proofErr w:type="gramEnd"/>
            <w:r w:rsidR="00831411" w:rsidRPr="00831411">
              <w:rPr>
                <w:rFonts w:asciiTheme="minorHAnsi" w:eastAsia="Times New Roman" w:hAnsiTheme="minorHAnsi" w:cstheme="minorHAnsi"/>
                <w:color w:val="000000"/>
                <w:lang w:eastAsia="en-AU"/>
              </w:rPr>
              <w:t>1)</w:t>
            </w:r>
          </w:p>
        </w:tc>
      </w:tr>
      <w:tr w:rsidR="00831411" w:rsidRPr="00831411" w14:paraId="7CA14DE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83D7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Carbon Credits (Carbon Farming Initiative) Act 2011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23A963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123D</w:t>
            </w:r>
          </w:p>
        </w:tc>
      </w:tr>
      <w:tr w:rsidR="00831411" w:rsidRPr="00831411" w14:paraId="785035C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5E71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Census and Statistics Act 1905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5F021D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19A;</w:t>
            </w:r>
            <w:r w:rsidRPr="00831411">
              <w:rPr>
                <w:rFonts w:asciiTheme="minorHAnsi" w:eastAsia="Times New Roman" w:hAnsiTheme="minorHAnsi" w:cstheme="minorHAnsi"/>
                <w:lang w:eastAsia="en-AU"/>
              </w:rPr>
              <w:t> 12; 13(3)</w:t>
            </w:r>
          </w:p>
        </w:tc>
      </w:tr>
      <w:tr w:rsidR="00831411" w:rsidRPr="00831411" w14:paraId="4EE3441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4EB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Census and Statistics Ordinance 1961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6D39AB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26</w:t>
            </w:r>
          </w:p>
        </w:tc>
      </w:tr>
      <w:tr w:rsidR="00831411" w:rsidRPr="00831411" w14:paraId="1AB2A0E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1C5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Clean Energy Finance Corporation Act 2012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132D0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73</w:t>
            </w:r>
          </w:p>
        </w:tc>
      </w:tr>
      <w:tr w:rsidR="00831411" w:rsidRPr="00831411" w14:paraId="7B7D6BA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3D5C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Commonwealth Electoral Act 1918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6BDD41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176(3); 189</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4); 90B(6), (6A), (7), (8A)</w:t>
            </w:r>
          </w:p>
        </w:tc>
      </w:tr>
      <w:tr w:rsidR="00831411" w:rsidRPr="00831411" w14:paraId="144E5224"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2A4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Competition and Consumer (Industry Codes—Food and Grocery) Regulation 2015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9AD79D" w14:textId="25E7E0EB"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34</w:t>
            </w:r>
          </w:p>
        </w:tc>
      </w:tr>
      <w:tr w:rsidR="00831411" w:rsidRPr="00831411" w14:paraId="7912260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1BB1FA1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Competition and Consumer (Industry Codes—Franchising) Regulation 2014</w:t>
            </w:r>
          </w:p>
        </w:tc>
        <w:tc>
          <w:tcPr>
            <w:tcW w:w="3685" w:type="dxa"/>
            <w:tcBorders>
              <w:top w:val="single" w:sz="4" w:space="0" w:color="auto"/>
              <w:left w:val="nil"/>
              <w:bottom w:val="single" w:sz="4" w:space="0" w:color="auto"/>
              <w:right w:val="single" w:sz="4" w:space="0" w:color="auto"/>
            </w:tcBorders>
            <w:shd w:val="clear" w:color="auto" w:fill="auto"/>
            <w:vAlign w:val="center"/>
          </w:tcPr>
          <w:p w14:paraId="15D3CAA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32</w:t>
            </w:r>
          </w:p>
        </w:tc>
      </w:tr>
      <w:tr w:rsidR="00831411" w:rsidRPr="00831411" w14:paraId="7B62CAD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F80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Competition and Consumer Act 2010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8BD90A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10.89;</w:t>
            </w:r>
            <w:r w:rsidRPr="00831411">
              <w:rPr>
                <w:rFonts w:asciiTheme="minorHAnsi" w:eastAsia="Times New Roman" w:hAnsiTheme="minorHAnsi" w:cstheme="minorHAnsi"/>
                <w:lang w:eastAsia="en-AU"/>
              </w:rPr>
              <w:t> 152AYA; 10.88</w:t>
            </w:r>
            <w:r w:rsidRPr="00831411">
              <w:rPr>
                <w:rFonts w:asciiTheme="minorHAnsi" w:eastAsia="Times New Roman" w:hAnsiTheme="minorHAnsi" w:cstheme="minorHAnsi"/>
                <w:color w:val="000000"/>
                <w:lang w:eastAsia="en-AU"/>
              </w:rPr>
              <w:t>;</w:t>
            </w:r>
            <w:r w:rsidRPr="00831411">
              <w:rPr>
                <w:rFonts w:asciiTheme="minorHAnsi" w:eastAsia="Times New Roman" w:hAnsiTheme="minorHAnsi" w:cstheme="minorHAnsi"/>
                <w:lang w:eastAsia="en-AU"/>
              </w:rPr>
              <w:t> 89(5A); 95ZN; 155AA; 155AAA; s</w:t>
            </w:r>
            <w:r w:rsidRPr="00831411">
              <w:rPr>
                <w:rFonts w:asciiTheme="minorHAnsi" w:eastAsia="Times New Roman" w:hAnsiTheme="minorHAnsi" w:cstheme="minorHAnsi"/>
                <w:color w:val="000000"/>
                <w:lang w:eastAsia="en-AU"/>
              </w:rPr>
              <w:t>ch 2, s 132A</w:t>
            </w:r>
          </w:p>
        </w:tc>
      </w:tr>
      <w:tr w:rsidR="00831411" w:rsidRPr="00831411" w14:paraId="54A67AD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0C6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Corporations Regulations 2001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1444F6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7.8.18</w:t>
            </w:r>
          </w:p>
        </w:tc>
      </w:tr>
      <w:tr w:rsidR="00831411" w:rsidRPr="00831411" w14:paraId="3518AAB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00F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Crimes Act 1914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66FD8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3</w:t>
            </w:r>
            <w:proofErr w:type="gramStart"/>
            <w:r w:rsidRPr="00831411">
              <w:rPr>
                <w:rFonts w:asciiTheme="minorHAnsi" w:eastAsia="Times New Roman" w:hAnsiTheme="minorHAnsi" w:cstheme="minorHAnsi"/>
                <w:color w:val="000000"/>
                <w:lang w:eastAsia="en-AU"/>
              </w:rPr>
              <w:t>ZZUH(</w:t>
            </w:r>
            <w:proofErr w:type="gramEnd"/>
            <w:r w:rsidRPr="00831411">
              <w:rPr>
                <w:rFonts w:asciiTheme="minorHAnsi" w:eastAsia="Times New Roman" w:hAnsiTheme="minorHAnsi" w:cstheme="minorHAnsi"/>
                <w:color w:val="000000"/>
                <w:lang w:eastAsia="en-AU"/>
              </w:rPr>
              <w:t>4); 15HN(3), (4); 15HO(2), (5); 15JS(3); 15LD(3); 23XWO(8); 85ZS(1)(d)(</w:t>
            </w:r>
            <w:proofErr w:type="spellStart"/>
            <w:r w:rsidRPr="00831411">
              <w:rPr>
                <w:rFonts w:asciiTheme="minorHAnsi" w:eastAsia="Times New Roman" w:hAnsiTheme="minorHAnsi" w:cstheme="minorHAnsi"/>
                <w:color w:val="000000"/>
                <w:lang w:eastAsia="en-AU"/>
              </w:rPr>
              <w:t>i</w:t>
            </w:r>
            <w:proofErr w:type="spellEnd"/>
            <w:r w:rsidRPr="00831411">
              <w:rPr>
                <w:rFonts w:asciiTheme="minorHAnsi" w:eastAsia="Times New Roman" w:hAnsiTheme="minorHAnsi" w:cstheme="minorHAnsi"/>
                <w:color w:val="000000"/>
                <w:lang w:eastAsia="en-AU"/>
              </w:rPr>
              <w:t>)</w:t>
            </w:r>
          </w:p>
        </w:tc>
      </w:tr>
      <w:tr w:rsidR="00831411" w:rsidRPr="00831411" w14:paraId="7264FFF1"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E85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Customs (Prohibited Exports) Regulations 1958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A329AA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13</w:t>
            </w:r>
            <w:proofErr w:type="gramStart"/>
            <w:r w:rsidRPr="00831411">
              <w:rPr>
                <w:rFonts w:asciiTheme="minorHAnsi" w:eastAsia="Times New Roman" w:hAnsiTheme="minorHAnsi" w:cstheme="minorHAnsi"/>
                <w:color w:val="000000"/>
                <w:lang w:eastAsia="en-AU"/>
              </w:rPr>
              <w:t>EH(</w:t>
            </w:r>
            <w:proofErr w:type="gramEnd"/>
            <w:r w:rsidRPr="00831411">
              <w:rPr>
                <w:rFonts w:asciiTheme="minorHAnsi" w:eastAsia="Times New Roman" w:hAnsiTheme="minorHAnsi" w:cstheme="minorHAnsi"/>
                <w:color w:val="000000"/>
                <w:lang w:eastAsia="en-AU"/>
              </w:rPr>
              <w:t>2), (3)</w:t>
            </w:r>
          </w:p>
        </w:tc>
      </w:tr>
      <w:tr w:rsidR="00831411" w:rsidRPr="00831411" w14:paraId="7BFF27B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AE9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Customs Act 1901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626DD2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112</w:t>
            </w:r>
            <w:proofErr w:type="gramStart"/>
            <w:r w:rsidRPr="00831411">
              <w:rPr>
                <w:rFonts w:asciiTheme="minorHAnsi" w:eastAsia="Times New Roman" w:hAnsiTheme="minorHAnsi" w:cstheme="minorHAnsi"/>
                <w:color w:val="000000"/>
                <w:lang w:eastAsia="en-AU"/>
              </w:rPr>
              <w:t>BA(</w:t>
            </w:r>
            <w:proofErr w:type="gramEnd"/>
            <w:r w:rsidRPr="00831411">
              <w:rPr>
                <w:rFonts w:asciiTheme="minorHAnsi" w:eastAsia="Times New Roman" w:hAnsiTheme="minorHAnsi" w:cstheme="minorHAnsi"/>
                <w:color w:val="000000"/>
                <w:lang w:eastAsia="en-AU"/>
              </w:rPr>
              <w:t>3); 269U(7); 269ZI(9); 269ZJ</w:t>
            </w:r>
            <w:r w:rsidR="00EB6B42">
              <w:rPr>
                <w:rFonts w:asciiTheme="minorHAnsi" w:eastAsia="Times New Roman" w:hAnsiTheme="minorHAnsi" w:cstheme="minorHAnsi"/>
                <w:color w:val="000000"/>
                <w:lang w:eastAsia="en-AU"/>
              </w:rPr>
              <w:t>(2)</w:t>
            </w:r>
            <w:r w:rsidRPr="00831411">
              <w:rPr>
                <w:rFonts w:asciiTheme="minorHAnsi" w:eastAsia="Times New Roman" w:hAnsiTheme="minorHAnsi" w:cstheme="minorHAnsi"/>
                <w:color w:val="000000"/>
                <w:lang w:eastAsia="en-AU"/>
              </w:rPr>
              <w:t>; 269ZZX(2)</w:t>
            </w:r>
          </w:p>
        </w:tc>
      </w:tr>
      <w:tr w:rsidR="00831411" w:rsidRPr="00831411" w14:paraId="21E19B9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603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Data Availability and Transparency Act 2022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B0B0C3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105</w:t>
            </w:r>
          </w:p>
        </w:tc>
      </w:tr>
      <w:tr w:rsidR="00831411" w:rsidRPr="00831411" w14:paraId="5E46F2C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B2A9"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Force Discipline (Disciplinary Infringement Records) Rules 2022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FE7E4F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 9</w:t>
            </w:r>
          </w:p>
        </w:tc>
      </w:tr>
      <w:tr w:rsidR="00831411" w:rsidRPr="00831411" w14:paraId="16AE1F3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88F9"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Service Homes Act 1918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7DCA4E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sch 1, cl 29</w:t>
            </w:r>
          </w:p>
        </w:tc>
      </w:tr>
      <w:tr w:rsidR="00831411" w:rsidRPr="00831411" w14:paraId="2594F64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1B6E" w14:textId="77777777" w:rsidR="00831411" w:rsidRPr="00831411" w:rsidRDefault="00831411" w:rsidP="00485D14">
            <w:pPr>
              <w:rPr>
                <w:rFonts w:asciiTheme="minorHAnsi" w:eastAsia="Times New Roman" w:hAnsiTheme="minorHAnsi" w:cstheme="minorHAnsi"/>
                <w:i/>
                <w:color w:val="000000"/>
                <w:lang w:eastAsia="en-AU"/>
              </w:rPr>
            </w:pP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 xml:space="preserve"> Trade Controls Act 2012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59296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68(1), (2)</w:t>
            </w:r>
          </w:p>
        </w:tc>
      </w:tr>
      <w:tr w:rsidR="00831411" w:rsidRPr="00831411" w14:paraId="795D2691"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062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Designs Act 2003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D137F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61</w:t>
            </w:r>
          </w:p>
        </w:tc>
      </w:tr>
      <w:tr w:rsidR="00831411" w:rsidRPr="00831411" w14:paraId="7FDA896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D841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Environment Protection and Biodiversity Conservation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E0F9C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131</w:t>
            </w:r>
            <w:proofErr w:type="gramStart"/>
            <w:r w:rsidRPr="00831411">
              <w:rPr>
                <w:rFonts w:asciiTheme="minorHAnsi" w:eastAsia="Times New Roman" w:hAnsiTheme="minorHAnsi" w:cstheme="minorHAnsi"/>
                <w:color w:val="000000"/>
                <w:lang w:eastAsia="en-AU"/>
              </w:rPr>
              <w:t>AA(</w:t>
            </w:r>
            <w:proofErr w:type="gramEnd"/>
            <w:r w:rsidRPr="00831411">
              <w:rPr>
                <w:rFonts w:asciiTheme="minorHAnsi" w:eastAsia="Times New Roman" w:hAnsiTheme="minorHAnsi" w:cstheme="minorHAnsi"/>
                <w:color w:val="000000"/>
                <w:lang w:eastAsia="en-AU"/>
              </w:rPr>
              <w:t>4); 133(4); 143(6); 146B(4); 170B; 189B; 251(3); 324R; 341R; 390R</w:t>
            </w:r>
          </w:p>
        </w:tc>
      </w:tr>
      <w:tr w:rsidR="00831411" w:rsidRPr="00831411" w14:paraId="57B9E69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0CE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Export Finance and Insurance Corporation Act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7BA0E0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87(4)</w:t>
            </w:r>
          </w:p>
        </w:tc>
      </w:tr>
      <w:tr w:rsidR="00831411" w:rsidRPr="00831411" w14:paraId="7498135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0B90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Fair Work Act 2009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F56160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714A</w:t>
            </w:r>
          </w:p>
        </w:tc>
      </w:tr>
      <w:tr w:rsidR="00831411" w:rsidRPr="00831411" w14:paraId="3042908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A43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Family Law Act 1975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46915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10</w:t>
            </w:r>
            <w:proofErr w:type="gramStart"/>
            <w:r w:rsidRPr="00831411">
              <w:rPr>
                <w:rFonts w:asciiTheme="minorHAnsi" w:eastAsia="Times New Roman" w:hAnsiTheme="minorHAnsi" w:cstheme="minorHAnsi"/>
                <w:color w:val="000000"/>
                <w:lang w:eastAsia="en-AU"/>
              </w:rPr>
              <w:t>H(</w:t>
            </w:r>
            <w:proofErr w:type="gramEnd"/>
            <w:r w:rsidRPr="00831411">
              <w:rPr>
                <w:rFonts w:asciiTheme="minorHAnsi" w:eastAsia="Times New Roman" w:hAnsiTheme="minorHAnsi" w:cstheme="minorHAnsi"/>
                <w:color w:val="000000"/>
                <w:lang w:eastAsia="en-AU"/>
              </w:rPr>
              <w:t>1); 10U; 10D</w:t>
            </w:r>
          </w:p>
        </w:tc>
      </w:tr>
      <w:tr w:rsidR="00831411" w:rsidRPr="00831411" w14:paraId="31956E0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16F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Federal Court of Australia Act 1976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C108A4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23CN; 23DN</w:t>
            </w:r>
          </w:p>
        </w:tc>
      </w:tr>
      <w:tr w:rsidR="00831411" w:rsidRPr="00831411" w14:paraId="55FE838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F12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Financial Sector (Collection of Data) Act 2001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F1A97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13B</w:t>
            </w:r>
          </w:p>
        </w:tc>
      </w:tr>
      <w:tr w:rsidR="00831411" w:rsidRPr="00831411" w14:paraId="54A458D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E1AF"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Fisheries Administration Act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FC6B1E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101(6)</w:t>
            </w:r>
          </w:p>
        </w:tc>
      </w:tr>
      <w:tr w:rsidR="00831411" w:rsidRPr="00831411" w14:paraId="2808B40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189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Food Standards Australia New Zealand Act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EC9B2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114 (1), (6)</w:t>
            </w:r>
          </w:p>
        </w:tc>
      </w:tr>
      <w:tr w:rsidR="00831411" w:rsidRPr="00831411" w14:paraId="45E9833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AF1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Great Barrier Reef Marine Park Act 1975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619C6B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61AAB</w:t>
            </w:r>
          </w:p>
        </w:tc>
      </w:tr>
      <w:tr w:rsidR="00831411" w:rsidRPr="00831411" w14:paraId="6D1736B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D74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Health Insurance Act 1973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5EBA2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92(6)</w:t>
            </w:r>
          </w:p>
        </w:tc>
      </w:tr>
      <w:tr w:rsidR="00831411" w:rsidRPr="00831411" w14:paraId="451026E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E332"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Health Insurance Regulations 2018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70AD168"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 86</w:t>
            </w:r>
          </w:p>
        </w:tc>
      </w:tr>
      <w:tr w:rsidR="00831411" w:rsidRPr="00831411" w14:paraId="062BA15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0E2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Imported Food Control Act 1992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79151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42</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4)</w:t>
            </w:r>
          </w:p>
        </w:tc>
      </w:tr>
      <w:tr w:rsidR="00831411" w:rsidRPr="00831411" w14:paraId="3D707EE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B20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Industry Research and Development Act 1986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31F42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47</w:t>
            </w:r>
          </w:p>
        </w:tc>
      </w:tr>
      <w:tr w:rsidR="00831411" w:rsidRPr="00831411" w14:paraId="50F9885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D5CA"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Inspector of Transport Security Act 2006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3366B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36(6); 37(7); 52(2), (3), (4), (5), (6); 55(4), (5), (6), (7), (8); 61; 62; 63(1), (2), (3), (4); 64(2), (3), (4), (5); 67(7)(a); 68(2); 69(2); 75(8)</w:t>
            </w:r>
          </w:p>
        </w:tc>
      </w:tr>
      <w:tr w:rsidR="00831411" w:rsidRPr="00831411" w14:paraId="3AF8E2C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ABC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International Arbitration Act 1974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EFBBFC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23C</w:t>
            </w:r>
          </w:p>
        </w:tc>
      </w:tr>
      <w:tr w:rsidR="00831411" w:rsidRPr="00831411" w14:paraId="01699F4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0A99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International Criminal Court Act 2002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16A94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13</w:t>
            </w:r>
            <w:r w:rsidR="008622DF">
              <w:rPr>
                <w:rFonts w:asciiTheme="minorHAnsi" w:eastAsia="Times New Roman" w:hAnsiTheme="minorHAnsi" w:cstheme="minorHAnsi"/>
                <w:color w:val="000000"/>
                <w:lang w:eastAsia="en-AU"/>
              </w:rPr>
              <w:t>(1)</w:t>
            </w:r>
          </w:p>
        </w:tc>
      </w:tr>
      <w:tr w:rsidR="00831411" w:rsidRPr="00831411" w14:paraId="10B18CB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2CF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 xml:space="preserve">Judicial </w:t>
            </w:r>
            <w:proofErr w:type="spellStart"/>
            <w:r w:rsidRPr="00831411">
              <w:rPr>
                <w:rFonts w:asciiTheme="minorHAnsi" w:eastAsia="Times New Roman" w:hAnsiTheme="minorHAnsi" w:cstheme="minorHAnsi"/>
                <w:i/>
                <w:color w:val="000000"/>
                <w:lang w:eastAsia="en-AU"/>
              </w:rPr>
              <w:t>Misbehaviour</w:t>
            </w:r>
            <w:proofErr w:type="spellEnd"/>
            <w:r w:rsidRPr="00831411">
              <w:rPr>
                <w:rFonts w:asciiTheme="minorHAnsi" w:eastAsia="Times New Roman" w:hAnsiTheme="minorHAnsi" w:cstheme="minorHAnsi"/>
                <w:i/>
                <w:color w:val="000000"/>
                <w:lang w:eastAsia="en-AU"/>
              </w:rPr>
              <w:t> and Incapacity (Parliamentary Commissions) Act 2012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9F680A1"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48(7)</w:t>
            </w:r>
          </w:p>
        </w:tc>
      </w:tr>
      <w:tr w:rsidR="00831411" w:rsidRPr="00831411" w14:paraId="3C7B00E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FA8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Life Insurance Act 1995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8CF40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231A</w:t>
            </w:r>
          </w:p>
        </w:tc>
      </w:tr>
      <w:tr w:rsidR="00831411" w:rsidRPr="00831411" w14:paraId="490C204A"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F16A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Maritime Transport and Offshore Facilities Security Act 2003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75ECD9"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regs 3.12; 4.115; 5A.105</w:t>
            </w:r>
          </w:p>
        </w:tc>
      </w:tr>
      <w:tr w:rsidR="00831411" w:rsidRPr="00831411" w14:paraId="3B5FA02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A07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Migration (Migration Agents Code of Conduct) Regulations 2021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0FB7FB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35; 56(7)</w:t>
            </w:r>
          </w:p>
        </w:tc>
      </w:tr>
      <w:tr w:rsidR="00831411" w:rsidRPr="00831411" w14:paraId="1E1DAEA1"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61C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Migration Act 1958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04903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w:t>
            </w:r>
            <w:r w:rsidRPr="00831411">
              <w:rPr>
                <w:rFonts w:asciiTheme="minorHAnsi" w:eastAsia="Times New Roman" w:hAnsiTheme="minorHAnsi" w:cstheme="minorHAnsi"/>
                <w:lang w:eastAsia="en-AU"/>
              </w:rPr>
              <w:t xml:space="preserve">33(7); </w:t>
            </w:r>
            <w:r w:rsidRPr="00831411">
              <w:rPr>
                <w:rFonts w:asciiTheme="minorHAnsi" w:eastAsia="Times New Roman" w:hAnsiTheme="minorHAnsi" w:cstheme="minorHAnsi"/>
                <w:color w:val="000000"/>
                <w:lang w:eastAsia="en-AU"/>
              </w:rPr>
              <w:t>46</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 xml:space="preserve">5); 46B(5); 48B(4); 72(5); 91F(4); 91L(4); 91Q(5); 195A(7); 197AG(2); 198AE(5); 503A(1), (2), (4A), (5), (5A); </w:t>
            </w:r>
          </w:p>
        </w:tc>
      </w:tr>
      <w:tr w:rsidR="00831411" w:rsidRPr="00831411" w14:paraId="7CA6627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11AB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Military Rehabilitation and Compensation Act 2004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22BFD6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409</w:t>
            </w:r>
            <w:r w:rsidR="001E7082">
              <w:rPr>
                <w:rFonts w:asciiTheme="minorHAnsi" w:eastAsia="Times New Roman" w:hAnsiTheme="minorHAnsi" w:cstheme="minorHAnsi"/>
                <w:color w:val="000000"/>
                <w:lang w:eastAsia="en-AU"/>
              </w:rPr>
              <w:t>(3)</w:t>
            </w:r>
          </w:p>
        </w:tc>
      </w:tr>
      <w:tr w:rsidR="00831411" w:rsidRPr="00831411" w14:paraId="275E7DD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529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My Health Records Act 2012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9918E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70B; 59A;</w:t>
            </w:r>
            <w:r w:rsidRPr="00831411">
              <w:rPr>
                <w:rFonts w:asciiTheme="minorHAnsi" w:eastAsia="Times New Roman" w:hAnsiTheme="minorHAnsi" w:cstheme="minorHAnsi"/>
                <w:lang w:eastAsia="en-AU"/>
              </w:rPr>
              <w:t> 71</w:t>
            </w:r>
            <w:proofErr w:type="gramStart"/>
            <w:r w:rsidRPr="00831411">
              <w:rPr>
                <w:rFonts w:asciiTheme="minorHAnsi" w:eastAsia="Times New Roman" w:hAnsiTheme="minorHAnsi" w:cstheme="minorHAnsi"/>
                <w:lang w:eastAsia="en-AU"/>
              </w:rPr>
              <w:t>B(</w:t>
            </w:r>
            <w:proofErr w:type="gramEnd"/>
            <w:r w:rsidRPr="00831411">
              <w:rPr>
                <w:rFonts w:asciiTheme="minorHAnsi" w:eastAsia="Times New Roman" w:hAnsiTheme="minorHAnsi" w:cstheme="minorHAnsi"/>
                <w:lang w:eastAsia="en-AU"/>
              </w:rPr>
              <w:t>1)</w:t>
            </w:r>
          </w:p>
        </w:tc>
      </w:tr>
      <w:tr w:rsidR="00831411" w:rsidRPr="00831411" w14:paraId="4F6DB28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567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Narcotic Drugs Act 1967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A75ACA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15F(2A); 15</w:t>
            </w:r>
            <w:proofErr w:type="gramStart"/>
            <w:r w:rsidRPr="00831411">
              <w:rPr>
                <w:rFonts w:asciiTheme="minorHAnsi" w:eastAsia="Times New Roman" w:hAnsiTheme="minorHAnsi" w:cstheme="minorHAnsi"/>
                <w:color w:val="000000"/>
                <w:lang w:eastAsia="en-AU"/>
              </w:rPr>
              <w:t>J(</w:t>
            </w:r>
            <w:proofErr w:type="gramEnd"/>
            <w:r w:rsidRPr="00831411">
              <w:rPr>
                <w:rFonts w:asciiTheme="minorHAnsi" w:eastAsia="Times New Roman" w:hAnsiTheme="minorHAnsi" w:cstheme="minorHAnsi"/>
                <w:color w:val="000000"/>
                <w:lang w:eastAsia="en-AU"/>
              </w:rPr>
              <w:t>4); 15N</w:t>
            </w:r>
          </w:p>
        </w:tc>
      </w:tr>
      <w:tr w:rsidR="00831411" w:rsidRPr="00831411" w14:paraId="74F342EA"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6A46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Narcotic Drugs Regulation 2016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2BF036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28; 46</w:t>
            </w:r>
          </w:p>
        </w:tc>
      </w:tr>
      <w:tr w:rsidR="00831411" w:rsidRPr="00831411" w14:paraId="64B4DA8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AEE7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Anti-Corruption Commission Act 2022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27A30F4" w14:textId="4BAC59D5"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158(3); 159(4); 224; 225; 230; 236(1)</w:t>
            </w:r>
          </w:p>
        </w:tc>
      </w:tr>
      <w:tr w:rsidR="00831411" w:rsidRPr="00831411" w14:paraId="7312E834"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1523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Act 1953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42C5057"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98E</w:t>
            </w:r>
          </w:p>
        </w:tc>
      </w:tr>
      <w:tr w:rsidR="00831411" w:rsidRPr="00831411" w14:paraId="73FC0E6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017C"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National Health and Medical Research Council Act 1992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C3CCFC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78(1)</w:t>
            </w:r>
          </w:p>
        </w:tc>
      </w:tr>
      <w:tr w:rsidR="00831411" w:rsidRPr="00831411" w14:paraId="5F1A8AD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1BB9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Health Reform Act 2011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45996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220(4); 275(4); 279(2); 54</w:t>
            </w:r>
            <w:proofErr w:type="gramStart"/>
            <w:r w:rsidRPr="00831411">
              <w:rPr>
                <w:rFonts w:asciiTheme="minorHAnsi" w:eastAsia="Times New Roman" w:hAnsiTheme="minorHAnsi" w:cstheme="minorHAnsi"/>
                <w:color w:val="000000"/>
                <w:lang w:eastAsia="en-AU"/>
              </w:rPr>
              <w:t>H(</w:t>
            </w:r>
            <w:proofErr w:type="gramEnd"/>
            <w:r w:rsidRPr="00831411">
              <w:rPr>
                <w:rFonts w:asciiTheme="minorHAnsi" w:eastAsia="Times New Roman" w:hAnsiTheme="minorHAnsi" w:cstheme="minorHAnsi"/>
                <w:color w:val="000000"/>
                <w:lang w:eastAsia="en-AU"/>
              </w:rPr>
              <w:t>3); 220A(3); 221(3)</w:t>
            </w:r>
          </w:p>
        </w:tc>
      </w:tr>
      <w:tr w:rsidR="00831411" w:rsidRPr="00831411" w14:paraId="20F4713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0B9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Residue Survey Administration Act 1992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51F686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11(1)</w:t>
            </w:r>
          </w:p>
        </w:tc>
      </w:tr>
      <w:tr w:rsidR="00831411" w:rsidRPr="00831411" w14:paraId="3D1AF0C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F6E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Sports Tribunal (Practice and Procedure) Determination 2021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2B74D3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41</w:t>
            </w:r>
          </w:p>
        </w:tc>
      </w:tr>
      <w:tr w:rsidR="00831411" w:rsidRPr="00831411" w14:paraId="1BEE0DC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3F76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Sports Tribunal Act 2019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08726F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41(3)(k)</w:t>
            </w:r>
          </w:p>
        </w:tc>
      </w:tr>
      <w:tr w:rsidR="00831411" w:rsidRPr="00831411" w14:paraId="776ADA6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3221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National Transport Commission (Model Legislation—Intelligent Access Program) Regulations 2006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58EEEC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33</w:t>
            </w:r>
          </w:p>
        </w:tc>
      </w:tr>
      <w:tr w:rsidR="00831411" w:rsidRPr="00831411" w14:paraId="65C8283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5FC9"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Native Title Act 1993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5499A4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24</w:t>
            </w:r>
            <w:proofErr w:type="gramStart"/>
            <w:r w:rsidRPr="00831411">
              <w:rPr>
                <w:rFonts w:asciiTheme="minorHAnsi" w:eastAsia="Times New Roman" w:hAnsiTheme="minorHAnsi" w:cstheme="minorHAnsi"/>
                <w:color w:val="000000"/>
                <w:lang w:eastAsia="en-AU"/>
              </w:rPr>
              <w:t>BF(</w:t>
            </w:r>
            <w:proofErr w:type="gramEnd"/>
            <w:r w:rsidRPr="00831411">
              <w:rPr>
                <w:rFonts w:asciiTheme="minorHAnsi" w:eastAsia="Times New Roman" w:hAnsiTheme="minorHAnsi" w:cstheme="minorHAnsi"/>
                <w:color w:val="000000"/>
                <w:lang w:eastAsia="en-AU"/>
              </w:rPr>
              <w:t>2); 24CF(2); 24CI(3); 24DG(2); 24DJ(3); 31(4); 44B(4A); 44F(2); 86F(2A); 98A</w:t>
            </w:r>
          </w:p>
          <w:p w14:paraId="43B0841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203</w:t>
            </w:r>
            <w:proofErr w:type="gramStart"/>
            <w:r w:rsidRPr="00831411">
              <w:rPr>
                <w:rFonts w:asciiTheme="minorHAnsi" w:eastAsia="Times New Roman" w:hAnsiTheme="minorHAnsi" w:cstheme="minorHAnsi"/>
                <w:color w:val="000000"/>
                <w:lang w:eastAsia="en-AU"/>
              </w:rPr>
              <w:t>BK(</w:t>
            </w:r>
            <w:proofErr w:type="gramEnd"/>
            <w:r w:rsidRPr="00831411">
              <w:rPr>
                <w:rFonts w:asciiTheme="minorHAnsi" w:eastAsia="Times New Roman" w:hAnsiTheme="minorHAnsi" w:cstheme="minorHAnsi"/>
                <w:color w:val="000000"/>
                <w:lang w:eastAsia="en-AU"/>
              </w:rPr>
              <w:t>4)</w:t>
            </w:r>
          </w:p>
        </w:tc>
      </w:tr>
      <w:tr w:rsidR="00831411" w:rsidRPr="00831411" w14:paraId="670F4BB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BB93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Offshore Electricity Infrastructure Act 2021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EBD811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283; 285</w:t>
            </w:r>
          </w:p>
        </w:tc>
      </w:tr>
      <w:tr w:rsidR="00831411" w:rsidRPr="00831411" w14:paraId="6C302ED9"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B83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Offshore Petroleum and Greenhouse Gas Storage Act 2006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26AF46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 xml:space="preserve">ss 712; 713; 715; 716; 738; 739; 740A; 740B; 766; 767A; sch 3, </w:t>
            </w:r>
            <w:proofErr w:type="spellStart"/>
            <w:r w:rsidRPr="00831411">
              <w:rPr>
                <w:rFonts w:asciiTheme="minorHAnsi" w:eastAsia="Times New Roman" w:hAnsiTheme="minorHAnsi" w:cstheme="minorHAnsi"/>
                <w:color w:val="000000"/>
                <w:lang w:eastAsia="en-AU"/>
              </w:rPr>
              <w:t>cls</w:t>
            </w:r>
            <w:proofErr w:type="spellEnd"/>
            <w:r w:rsidRPr="00831411">
              <w:rPr>
                <w:rFonts w:asciiTheme="minorHAnsi" w:eastAsia="Times New Roman" w:hAnsiTheme="minorHAnsi" w:cstheme="minorHAnsi"/>
                <w:color w:val="000000"/>
                <w:lang w:eastAsia="en-AU"/>
              </w:rPr>
              <w:t xml:space="preserve"> 40(3), 43(3); sch 5, cl 4</w:t>
            </w:r>
          </w:p>
        </w:tc>
      </w:tr>
      <w:tr w:rsidR="00831411" w:rsidRPr="00831411" w14:paraId="0D4FD3E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2239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Ombudsman Act 1976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9BE293"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19U; 35A; 35C; 35B</w:t>
            </w:r>
          </w:p>
        </w:tc>
      </w:tr>
      <w:tr w:rsidR="00831411" w:rsidRPr="00831411" w14:paraId="4D9F195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2F1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Parliamentary Services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8F86DF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64V; 65</w:t>
            </w:r>
            <w:proofErr w:type="gramStart"/>
            <w:r w:rsidRPr="00831411">
              <w:rPr>
                <w:rFonts w:asciiTheme="minorHAnsi" w:eastAsia="Times New Roman" w:hAnsiTheme="minorHAnsi" w:cstheme="minorHAnsi"/>
                <w:color w:val="000000"/>
                <w:lang w:eastAsia="en-AU"/>
              </w:rPr>
              <w:t>AA(</w:t>
            </w:r>
            <w:proofErr w:type="gramEnd"/>
            <w:r w:rsidRPr="00831411">
              <w:rPr>
                <w:rFonts w:asciiTheme="minorHAnsi" w:eastAsia="Times New Roman" w:hAnsiTheme="minorHAnsi" w:cstheme="minorHAnsi"/>
                <w:color w:val="000000"/>
                <w:lang w:eastAsia="en-AU"/>
              </w:rPr>
              <w:t>2); 65AB(2)</w:t>
            </w:r>
          </w:p>
        </w:tc>
      </w:tr>
      <w:tr w:rsidR="00831411" w:rsidRPr="00831411" w14:paraId="7A6CE04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B19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Patents Act 1990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55DF8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183; 56</w:t>
            </w:r>
          </w:p>
        </w:tc>
      </w:tr>
      <w:tr w:rsidR="00831411" w:rsidRPr="00831411" w14:paraId="1B56165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2AC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Patents Regulations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BA81C6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3.22</w:t>
            </w:r>
          </w:p>
        </w:tc>
      </w:tr>
      <w:tr w:rsidR="00831411" w:rsidRPr="00831411" w14:paraId="552E24F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33A81"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Petroleum and Other Fuels Reporting Act 2017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108443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16</w:t>
            </w:r>
          </w:p>
        </w:tc>
      </w:tr>
      <w:tr w:rsidR="00831411" w:rsidRPr="00831411" w14:paraId="722117F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AF10"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Plant Breeder's Rights Act 1994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D41D8A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41B</w:t>
            </w:r>
          </w:p>
        </w:tc>
      </w:tr>
      <w:tr w:rsidR="00831411" w:rsidRPr="00831411" w14:paraId="1178A78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543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Primary Industries Levies and Charges Collection Act 1991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086E12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27</w:t>
            </w:r>
            <w:proofErr w:type="gramStart"/>
            <w:r w:rsidRPr="00831411">
              <w:rPr>
                <w:rFonts w:asciiTheme="minorHAnsi" w:eastAsia="Times New Roman" w:hAnsiTheme="minorHAnsi" w:cstheme="minorHAnsi"/>
                <w:color w:val="000000"/>
                <w:lang w:eastAsia="en-AU"/>
              </w:rPr>
              <w:t>B(</w:t>
            </w:r>
            <w:proofErr w:type="gramEnd"/>
            <w:r w:rsidRPr="00831411">
              <w:rPr>
                <w:rFonts w:asciiTheme="minorHAnsi" w:eastAsia="Times New Roman" w:hAnsiTheme="minorHAnsi" w:cstheme="minorHAnsi"/>
                <w:color w:val="000000"/>
                <w:lang w:eastAsia="en-AU"/>
              </w:rPr>
              <w:t>4)</w:t>
            </w:r>
          </w:p>
        </w:tc>
      </w:tr>
      <w:tr w:rsidR="00831411" w:rsidRPr="00831411" w14:paraId="11AB2F8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CFE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Privacy Regulations 2013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F3A1102"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21</w:t>
            </w:r>
          </w:p>
        </w:tc>
      </w:tr>
      <w:tr w:rsidR="00831411" w:rsidRPr="00831411" w14:paraId="01EF73E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118D"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Public Service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ED415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72A; 72B; 13(6)</w:t>
            </w:r>
          </w:p>
        </w:tc>
      </w:tr>
      <w:tr w:rsidR="00831411" w:rsidRPr="00831411" w14:paraId="4DCC0E1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369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Public Service Regulations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FC1184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2.1</w:t>
            </w:r>
          </w:p>
        </w:tc>
      </w:tr>
      <w:tr w:rsidR="00831411" w:rsidRPr="00831411" w14:paraId="29E8380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5796"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Research Involving Human Embryos Act 2002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9AE24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29(4)</w:t>
            </w:r>
          </w:p>
        </w:tc>
      </w:tr>
      <w:tr w:rsidR="00831411" w:rsidRPr="00831411" w14:paraId="3DEA83E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B3EA3"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Safety, Rehabilitation and Compensation (</w:t>
            </w:r>
            <w:proofErr w:type="spellStart"/>
            <w:r w:rsidRPr="00831411">
              <w:rPr>
                <w:rFonts w:asciiTheme="minorHAnsi" w:eastAsia="Times New Roman" w:hAnsiTheme="minorHAnsi" w:cstheme="minorHAnsi"/>
                <w:i/>
                <w:color w:val="000000"/>
                <w:lang w:eastAsia="en-AU"/>
              </w:rPr>
              <w:t>Defence</w:t>
            </w:r>
            <w:proofErr w:type="spellEnd"/>
            <w:r w:rsidRPr="00831411">
              <w:rPr>
                <w:rFonts w:asciiTheme="minorHAnsi" w:eastAsia="Times New Roman" w:hAnsiTheme="minorHAnsi" w:cstheme="minorHAnsi"/>
                <w:i/>
                <w:color w:val="000000"/>
                <w:lang w:eastAsia="en-AU"/>
              </w:rPr>
              <w:t>-Related Claims) Act 1988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65ECCFB"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151</w:t>
            </w:r>
            <w:proofErr w:type="gramStart"/>
            <w:r w:rsidRPr="00831411">
              <w:rPr>
                <w:rFonts w:asciiTheme="minorHAnsi" w:eastAsia="Times New Roman" w:hAnsiTheme="minorHAnsi" w:cstheme="minorHAnsi"/>
                <w:color w:val="000000"/>
                <w:lang w:eastAsia="en-AU"/>
              </w:rPr>
              <w:t>A(</w:t>
            </w:r>
            <w:proofErr w:type="gramEnd"/>
            <w:r w:rsidRPr="00831411">
              <w:rPr>
                <w:rFonts w:asciiTheme="minorHAnsi" w:eastAsia="Times New Roman" w:hAnsiTheme="minorHAnsi" w:cstheme="minorHAnsi"/>
                <w:color w:val="000000"/>
                <w:lang w:eastAsia="en-AU"/>
              </w:rPr>
              <w:t>2)</w:t>
            </w:r>
          </w:p>
        </w:tc>
      </w:tr>
      <w:tr w:rsidR="00735CB7" w:rsidRPr="00831411" w14:paraId="2A5981C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68D278F9" w14:textId="77777777" w:rsidR="00735CB7" w:rsidRPr="00831411" w:rsidRDefault="00735CB7" w:rsidP="00485D14">
            <w:pPr>
              <w:rPr>
                <w:rFonts w:asciiTheme="minorHAnsi" w:eastAsia="Times New Roman" w:hAnsiTheme="minorHAnsi" w:cstheme="minorHAnsi"/>
                <w:i/>
                <w:lang w:eastAsia="en-AU"/>
              </w:rPr>
            </w:pPr>
            <w:r w:rsidRPr="00735CB7">
              <w:rPr>
                <w:rFonts w:asciiTheme="minorHAnsi" w:eastAsia="Times New Roman" w:hAnsiTheme="minorHAnsi" w:cstheme="minorHAnsi"/>
                <w:i/>
                <w:lang w:eastAsia="en-AU"/>
              </w:rPr>
              <w:t>Safety, Rehabilitation and Compensation Act 1988</w:t>
            </w:r>
          </w:p>
        </w:tc>
        <w:tc>
          <w:tcPr>
            <w:tcW w:w="3685" w:type="dxa"/>
            <w:tcBorders>
              <w:top w:val="single" w:sz="4" w:space="0" w:color="auto"/>
              <w:left w:val="nil"/>
              <w:bottom w:val="single" w:sz="4" w:space="0" w:color="auto"/>
              <w:right w:val="single" w:sz="4" w:space="0" w:color="auto"/>
            </w:tcBorders>
            <w:shd w:val="clear" w:color="auto" w:fill="auto"/>
            <w:vAlign w:val="center"/>
          </w:tcPr>
          <w:p w14:paraId="6D77DCAB" w14:textId="77777777" w:rsidR="00735CB7" w:rsidRPr="00831411" w:rsidRDefault="001E5B06" w:rsidP="00485D14">
            <w:pPr>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s </w:t>
            </w:r>
            <w:r w:rsidR="00735CB7">
              <w:rPr>
                <w:rFonts w:asciiTheme="minorHAnsi" w:eastAsia="Times New Roman" w:hAnsiTheme="minorHAnsi" w:cstheme="minorHAnsi"/>
                <w:lang w:eastAsia="en-AU"/>
              </w:rPr>
              <w:t>121A</w:t>
            </w:r>
          </w:p>
        </w:tc>
      </w:tr>
      <w:tr w:rsidR="00831411" w:rsidRPr="00831411" w14:paraId="377B786A"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D035"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Social Security (Administration)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6E76E33"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207</w:t>
            </w:r>
          </w:p>
        </w:tc>
      </w:tr>
      <w:tr w:rsidR="00831411" w:rsidRPr="00831411" w14:paraId="6212DC6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44D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Student Identifiers Act 2014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A8A6C5"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17</w:t>
            </w:r>
          </w:p>
        </w:tc>
      </w:tr>
      <w:tr w:rsidR="00831411" w:rsidRPr="00831411" w14:paraId="1531218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89D8F8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Surveillance Devices Act 2004</w:t>
            </w:r>
          </w:p>
        </w:tc>
        <w:tc>
          <w:tcPr>
            <w:tcW w:w="3685" w:type="dxa"/>
            <w:tcBorders>
              <w:top w:val="single" w:sz="4" w:space="0" w:color="auto"/>
              <w:left w:val="nil"/>
              <w:bottom w:val="single" w:sz="4" w:space="0" w:color="auto"/>
              <w:right w:val="single" w:sz="4" w:space="0" w:color="auto"/>
            </w:tcBorders>
            <w:shd w:val="clear" w:color="auto" w:fill="auto"/>
            <w:vAlign w:val="center"/>
          </w:tcPr>
          <w:p w14:paraId="1F9794B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45B(11)(e)</w:t>
            </w:r>
          </w:p>
        </w:tc>
      </w:tr>
      <w:tr w:rsidR="00831411" w:rsidRPr="00831411" w14:paraId="68319E0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D55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Telecommunications (Consumer Protection and Service Standards) Act 1999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4666B5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66(3); 67(3)</w:t>
            </w:r>
          </w:p>
        </w:tc>
      </w:tr>
      <w:tr w:rsidR="00831411" w:rsidRPr="00831411" w14:paraId="55BA5A2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9860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Telecommunications (Interception and Access) Act 1979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E7BFEB" w14:textId="5B7DE264"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180</w:t>
            </w:r>
            <w:proofErr w:type="gramStart"/>
            <w:r w:rsidRPr="00831411">
              <w:rPr>
                <w:rFonts w:asciiTheme="minorHAnsi" w:eastAsia="Times New Roman" w:hAnsiTheme="minorHAnsi" w:cstheme="minorHAnsi"/>
                <w:color w:val="000000"/>
                <w:lang w:eastAsia="en-AU"/>
              </w:rPr>
              <w:t>E(</w:t>
            </w:r>
            <w:proofErr w:type="gramEnd"/>
            <w:r w:rsidRPr="00831411">
              <w:rPr>
                <w:rFonts w:asciiTheme="minorHAnsi" w:eastAsia="Times New Roman" w:hAnsiTheme="minorHAnsi" w:cstheme="minorHAnsi"/>
                <w:color w:val="000000"/>
                <w:lang w:eastAsia="en-AU"/>
              </w:rPr>
              <w:t>1); 186(4); 186J(7); 187L(1), (1A), (2); 187P(3); 202</w:t>
            </w:r>
          </w:p>
        </w:tc>
      </w:tr>
      <w:tr w:rsidR="00831411" w:rsidRPr="00831411" w14:paraId="0418764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0BA4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Telecommunications Act 1997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97C2C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315H</w:t>
            </w:r>
          </w:p>
        </w:tc>
      </w:tr>
      <w:tr w:rsidR="00831411" w:rsidRPr="00831411" w14:paraId="176DC33A"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6DA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Telecommunications Regulations 2021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89E2E94"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31; 27; 40; 41</w:t>
            </w:r>
          </w:p>
        </w:tc>
      </w:tr>
      <w:tr w:rsidR="00831411" w:rsidRPr="00831411" w14:paraId="098F86D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4B47"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Therapeutic Goods Regulations 1990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3FE060"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42</w:t>
            </w:r>
            <w:proofErr w:type="gramStart"/>
            <w:r w:rsidRPr="00831411">
              <w:rPr>
                <w:rFonts w:asciiTheme="minorHAnsi" w:eastAsia="Times New Roman" w:hAnsiTheme="minorHAnsi" w:cstheme="minorHAnsi"/>
                <w:color w:val="000000"/>
                <w:lang w:eastAsia="en-AU"/>
              </w:rPr>
              <w:t>ZCZL(</w:t>
            </w:r>
            <w:proofErr w:type="gramEnd"/>
            <w:r w:rsidRPr="00831411">
              <w:rPr>
                <w:rFonts w:asciiTheme="minorHAnsi" w:eastAsia="Times New Roman" w:hAnsiTheme="minorHAnsi" w:cstheme="minorHAnsi"/>
                <w:color w:val="000000"/>
                <w:lang w:eastAsia="en-AU"/>
              </w:rPr>
              <w:t>4); 42ZCZQ(5)</w:t>
            </w:r>
          </w:p>
        </w:tc>
      </w:tr>
      <w:tr w:rsidR="00831411" w:rsidRPr="00831411" w14:paraId="3433C7F8"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8FEA"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Trade Marks Act 1995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581EB7D" w14:textId="0762FAA9"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258; 226A</w:t>
            </w:r>
          </w:p>
        </w:tc>
      </w:tr>
      <w:tr w:rsidR="00831411" w:rsidRPr="00831411" w14:paraId="2595D904"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395B"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Transport Safety Investigation (Voluntary and Confidential Reporting Scheme) Regulation 2012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5241DB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16; 20</w:t>
            </w:r>
          </w:p>
        </w:tc>
      </w:tr>
      <w:tr w:rsidR="00831411" w:rsidRPr="00831411" w14:paraId="3BB2473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43E0"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Transport Safety Investigation Act 2003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3F9E8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45(7)</w:t>
            </w:r>
          </w:p>
        </w:tc>
      </w:tr>
      <w:tr w:rsidR="00831411" w:rsidRPr="00831411" w14:paraId="01313E2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CCA4"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Transport Safety Investigation Regulations 2021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518A3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regs 45; 46</w:t>
            </w:r>
          </w:p>
        </w:tc>
      </w:tr>
      <w:tr w:rsidR="00831411" w:rsidRPr="00831411" w14:paraId="4AF8D89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8FDAE"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Trans-Tasman Mutual Recognition Act 1997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498F4ED"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sch 5, s 5</w:t>
            </w:r>
          </w:p>
        </w:tc>
      </w:tr>
      <w:tr w:rsidR="00831411" w:rsidRPr="00831411" w14:paraId="12D0D55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96D3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Veterans’ Entitlements Act 1986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00EEAA"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ss 116</w:t>
            </w:r>
            <w:proofErr w:type="gramStart"/>
            <w:r w:rsidRPr="00831411">
              <w:rPr>
                <w:rFonts w:asciiTheme="minorHAnsi" w:eastAsia="Times New Roman" w:hAnsiTheme="minorHAnsi" w:cstheme="minorHAnsi"/>
                <w:color w:val="000000"/>
                <w:lang w:eastAsia="en-AU"/>
              </w:rPr>
              <w:t>D(</w:t>
            </w:r>
            <w:proofErr w:type="gramEnd"/>
            <w:r w:rsidRPr="00831411">
              <w:rPr>
                <w:rFonts w:asciiTheme="minorHAnsi" w:eastAsia="Times New Roman" w:hAnsiTheme="minorHAnsi" w:cstheme="minorHAnsi"/>
                <w:color w:val="000000"/>
                <w:lang w:eastAsia="en-AU"/>
              </w:rPr>
              <w:t>6); 118ZF(7); 118ZX(2); 137(2); 140(5); 196I(2); 196ZD(2); 34(3); 35H(7); 36L(8); 37L(8); 38L(8); 45Q(8); 57E(2); 79I(5); 93ZE(2)</w:t>
            </w:r>
          </w:p>
        </w:tc>
      </w:tr>
      <w:tr w:rsidR="00831411" w:rsidRPr="00831411" w14:paraId="2CA8E39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60FF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Water Act 2007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EEBBD6"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215</w:t>
            </w:r>
          </w:p>
        </w:tc>
      </w:tr>
      <w:tr w:rsidR="00831411" w:rsidRPr="00831411" w14:paraId="50D280D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4848"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Water Charge Rules 2010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F4CFB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 53</w:t>
            </w:r>
          </w:p>
        </w:tc>
      </w:tr>
      <w:tr w:rsidR="00831411" w:rsidRPr="00831411" w14:paraId="370C835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A99F"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Water Regulations 2008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6919B9"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4.10</w:t>
            </w:r>
          </w:p>
        </w:tc>
      </w:tr>
      <w:tr w:rsidR="00831411" w:rsidRPr="00831411" w14:paraId="0E88608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72566"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Weapons of Mass Destruction Regulations 2018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102ABDE"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8(1)(b)</w:t>
            </w:r>
          </w:p>
        </w:tc>
      </w:tr>
      <w:tr w:rsidR="00831411" w:rsidRPr="00831411" w14:paraId="0EB01FD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F9A2"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t>Witness Protection Act 1994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3191B8"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s 16(3)</w:t>
            </w:r>
          </w:p>
        </w:tc>
      </w:tr>
      <w:tr w:rsidR="00831411" w:rsidRPr="00831411" w14:paraId="215D24A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D5A5" w14:textId="77777777" w:rsidR="00831411" w:rsidRPr="00831411" w:rsidRDefault="00831411" w:rsidP="00485D14">
            <w:pPr>
              <w:rPr>
                <w:rFonts w:asciiTheme="minorHAnsi" w:eastAsia="Times New Roman" w:hAnsiTheme="minorHAnsi" w:cstheme="minorHAnsi"/>
                <w:i/>
                <w:color w:val="000000"/>
                <w:lang w:eastAsia="en-AU"/>
              </w:rPr>
            </w:pPr>
            <w:r w:rsidRPr="00831411">
              <w:rPr>
                <w:rFonts w:asciiTheme="minorHAnsi" w:eastAsia="Times New Roman" w:hAnsiTheme="minorHAnsi" w:cstheme="minorHAnsi"/>
                <w:i/>
                <w:color w:val="000000"/>
                <w:lang w:eastAsia="en-AU"/>
              </w:rPr>
              <w:lastRenderedPageBreak/>
              <w:t>Work Health and Safety Regulations 2011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82DD54F" w14:textId="77777777" w:rsidR="00831411" w:rsidRPr="00831411" w:rsidRDefault="00831411" w:rsidP="00485D14">
            <w:pPr>
              <w:rPr>
                <w:rFonts w:asciiTheme="minorHAnsi" w:eastAsia="Times New Roman" w:hAnsiTheme="minorHAnsi" w:cstheme="minorHAnsi"/>
                <w:color w:val="000000"/>
                <w:lang w:eastAsia="en-AU"/>
              </w:rPr>
            </w:pPr>
            <w:r w:rsidRPr="00831411">
              <w:rPr>
                <w:rFonts w:asciiTheme="minorHAnsi" w:eastAsia="Times New Roman" w:hAnsiTheme="minorHAnsi" w:cstheme="minorHAnsi"/>
                <w:color w:val="000000"/>
                <w:lang w:eastAsia="en-AU"/>
              </w:rPr>
              <w:t>reg 263</w:t>
            </w:r>
          </w:p>
        </w:tc>
      </w:tr>
    </w:tbl>
    <w:p w14:paraId="0D53ABD4" w14:textId="3EE07854" w:rsidR="00831411" w:rsidRDefault="00831411" w:rsidP="00485D14">
      <w:pPr>
        <w:tabs>
          <w:tab w:val="left" w:pos="7938"/>
        </w:tabs>
        <w:rPr>
          <w:rFonts w:asciiTheme="minorHAnsi" w:hAnsiTheme="minorHAnsi" w:cstheme="minorHAnsi"/>
          <w:b/>
          <w:sz w:val="28"/>
          <w:szCs w:val="28"/>
        </w:rPr>
      </w:pPr>
    </w:p>
    <w:p w14:paraId="447513F8" w14:textId="77777777" w:rsidR="001B2709" w:rsidRPr="00831411" w:rsidRDefault="001B2709" w:rsidP="00485D14">
      <w:pPr>
        <w:tabs>
          <w:tab w:val="left" w:pos="7938"/>
        </w:tabs>
        <w:rPr>
          <w:rFonts w:asciiTheme="minorHAnsi" w:hAnsiTheme="minorHAnsi" w:cstheme="minorHAnsi"/>
          <w:b/>
          <w:sz w:val="28"/>
          <w:szCs w:val="28"/>
        </w:rPr>
      </w:pPr>
    </w:p>
    <w:p w14:paraId="5DF3AE58" w14:textId="77777777" w:rsidR="00831411" w:rsidRPr="00831411" w:rsidRDefault="00831411" w:rsidP="00CA2D3D">
      <w:pPr>
        <w:tabs>
          <w:tab w:val="left" w:pos="7938"/>
        </w:tabs>
        <w:spacing w:line="276" w:lineRule="auto"/>
        <w:rPr>
          <w:rFonts w:asciiTheme="minorHAnsi" w:hAnsiTheme="minorHAnsi" w:cstheme="minorHAnsi"/>
          <w:b/>
          <w:sz w:val="28"/>
          <w:szCs w:val="28"/>
        </w:rPr>
      </w:pPr>
      <w:r w:rsidRPr="00831411">
        <w:rPr>
          <w:rFonts w:asciiTheme="minorHAnsi" w:hAnsiTheme="minorHAnsi" w:cstheme="minorHAnsi"/>
          <w:b/>
          <w:sz w:val="28"/>
          <w:szCs w:val="28"/>
        </w:rPr>
        <w:t>Override provisions</w:t>
      </w:r>
    </w:p>
    <w:p w14:paraId="68744700" w14:textId="02A3E238" w:rsidR="00831411" w:rsidRDefault="00831411" w:rsidP="00CA2D3D">
      <w:pPr>
        <w:tabs>
          <w:tab w:val="left" w:pos="7938"/>
        </w:tabs>
        <w:spacing w:line="276" w:lineRule="auto"/>
        <w:rPr>
          <w:rFonts w:asciiTheme="minorHAnsi" w:hAnsiTheme="minorHAnsi" w:cstheme="minorHAnsi"/>
        </w:rPr>
      </w:pPr>
      <w:r w:rsidRPr="00831411">
        <w:rPr>
          <w:rFonts w:asciiTheme="minorHAnsi" w:hAnsiTheme="minorHAnsi" w:cstheme="minorHAnsi"/>
        </w:rPr>
        <w:t>Some Commonwealth Acts include provisions that operate to disapply (‘override’) secrecy provisions in other legislation.</w:t>
      </w:r>
      <w:r w:rsidRPr="00831411">
        <w:rPr>
          <w:rFonts w:asciiTheme="minorHAnsi" w:hAnsiTheme="minorHAnsi" w:cstheme="minorHAnsi"/>
          <w:lang w:val="en-GB"/>
        </w:rPr>
        <w:t xml:space="preserve"> The department has identified</w:t>
      </w:r>
      <w:r w:rsidRPr="00831411">
        <w:rPr>
          <w:rFonts w:asciiTheme="minorHAnsi" w:hAnsiTheme="minorHAnsi" w:cstheme="minorHAnsi"/>
        </w:rPr>
        <w:t xml:space="preserve"> </w:t>
      </w:r>
      <w:r w:rsidRPr="00831411">
        <w:rPr>
          <w:rFonts w:asciiTheme="minorHAnsi" w:hAnsiTheme="minorHAnsi" w:cstheme="minorHAnsi"/>
          <w:b/>
        </w:rPr>
        <w:t xml:space="preserve">21 override provisions </w:t>
      </w:r>
      <w:r w:rsidRPr="00831411">
        <w:rPr>
          <w:rFonts w:asciiTheme="minorHAnsi" w:hAnsiTheme="minorHAnsi" w:cstheme="minorHAnsi"/>
        </w:rPr>
        <w:t>in 18 Commonwealth laws. These most commonly facilitate provision of information to integrity and investigative agencies to support their functions.</w:t>
      </w:r>
    </w:p>
    <w:p w14:paraId="642A1E7C" w14:textId="77777777" w:rsidR="001B2709" w:rsidRPr="00831411" w:rsidRDefault="001B2709" w:rsidP="00485D14">
      <w:pPr>
        <w:tabs>
          <w:tab w:val="left" w:pos="7938"/>
        </w:tabs>
        <w:rPr>
          <w:rFonts w:asciiTheme="minorHAnsi" w:hAnsiTheme="minorHAnsi" w:cstheme="minorHAnsi"/>
        </w:rPr>
      </w:pPr>
    </w:p>
    <w:tbl>
      <w:tblPr>
        <w:tblW w:w="9354" w:type="dxa"/>
        <w:tblLayout w:type="fixed"/>
        <w:tblLook w:val="04A0" w:firstRow="1" w:lastRow="0" w:firstColumn="1" w:lastColumn="0" w:noHBand="0" w:noVBand="1"/>
      </w:tblPr>
      <w:tblGrid>
        <w:gridCol w:w="5669"/>
        <w:gridCol w:w="3685"/>
      </w:tblGrid>
      <w:tr w:rsidR="00831411" w:rsidRPr="00831411" w14:paraId="2D0F2EE8" w14:textId="77777777" w:rsidTr="00485D14">
        <w:trPr>
          <w:trHeight w:val="567"/>
          <w:tblHeader/>
        </w:trPr>
        <w:tc>
          <w:tcPr>
            <w:tcW w:w="9354" w:type="dxa"/>
            <w:gridSpan w:val="2"/>
            <w:tcBorders>
              <w:top w:val="single" w:sz="4" w:space="0" w:color="auto"/>
              <w:left w:val="single" w:sz="4" w:space="0" w:color="auto"/>
              <w:bottom w:val="single" w:sz="4" w:space="0" w:color="auto"/>
              <w:right w:val="single" w:sz="4" w:space="0" w:color="auto"/>
            </w:tcBorders>
            <w:shd w:val="clear" w:color="auto" w:fill="50748A"/>
            <w:vAlign w:val="center"/>
          </w:tcPr>
          <w:p w14:paraId="4FD4AD75" w14:textId="77777777" w:rsidR="00831411" w:rsidRPr="00CA2D3D" w:rsidRDefault="00831411" w:rsidP="001F4398">
            <w:pPr>
              <w:pStyle w:val="Heading2"/>
              <w:jc w:val="center"/>
              <w:rPr>
                <w:rFonts w:asciiTheme="minorHAnsi" w:hAnsiTheme="minorHAnsi" w:cstheme="minorHAnsi"/>
                <w:b/>
                <w:sz w:val="28"/>
                <w:szCs w:val="28"/>
              </w:rPr>
            </w:pPr>
            <w:bookmarkStart w:id="145" w:name="_Toc130465904"/>
            <w:r w:rsidRPr="00CA2D3D">
              <w:rPr>
                <w:rFonts w:asciiTheme="minorHAnsi" w:hAnsiTheme="minorHAnsi" w:cstheme="minorHAnsi"/>
                <w:b/>
                <w:color w:val="FFFFFF" w:themeColor="background1"/>
                <w:sz w:val="28"/>
                <w:szCs w:val="28"/>
              </w:rPr>
              <w:t>Table 4 – Override provisions</w:t>
            </w:r>
            <w:bookmarkEnd w:id="145"/>
          </w:p>
        </w:tc>
      </w:tr>
      <w:tr w:rsidR="00831411" w:rsidRPr="00831411" w14:paraId="03E222AA" w14:textId="77777777" w:rsidTr="00485D14">
        <w:trPr>
          <w:trHeight w:val="454"/>
          <w:tblHeader/>
        </w:trPr>
        <w:tc>
          <w:tcPr>
            <w:tcW w:w="5669" w:type="dxa"/>
            <w:tcBorders>
              <w:top w:val="single" w:sz="4" w:space="0" w:color="auto"/>
              <w:left w:val="single" w:sz="4" w:space="0" w:color="auto"/>
              <w:bottom w:val="single" w:sz="4" w:space="0" w:color="auto"/>
              <w:right w:val="single" w:sz="4" w:space="0" w:color="auto"/>
            </w:tcBorders>
            <w:shd w:val="clear" w:color="auto" w:fill="B8CBD6"/>
            <w:vAlign w:val="center"/>
          </w:tcPr>
          <w:p w14:paraId="3A87461C" w14:textId="77777777" w:rsidR="00831411" w:rsidRPr="00CA2D3D" w:rsidRDefault="00831411" w:rsidP="001F4398">
            <w:pPr>
              <w:pStyle w:val="Heading3"/>
              <w:rPr>
                <w:rFonts w:asciiTheme="minorHAnsi" w:hAnsiTheme="minorHAnsi" w:cstheme="minorHAnsi"/>
                <w:b/>
                <w:color w:val="404040"/>
                <w:sz w:val="28"/>
                <w:szCs w:val="28"/>
                <w:lang w:eastAsia="en-AU"/>
              </w:rPr>
            </w:pPr>
            <w:bookmarkStart w:id="146" w:name="_Toc130465905"/>
            <w:r w:rsidRPr="00CA2D3D">
              <w:rPr>
                <w:rFonts w:asciiTheme="minorHAnsi" w:hAnsiTheme="minorHAnsi" w:cstheme="minorHAnsi"/>
                <w:b/>
                <w:color w:val="404040"/>
                <w:sz w:val="28"/>
                <w:szCs w:val="28"/>
                <w:lang w:eastAsia="en-AU"/>
              </w:rPr>
              <w:t>Legislation</w:t>
            </w:r>
            <w:bookmarkEnd w:id="146"/>
          </w:p>
        </w:tc>
        <w:tc>
          <w:tcPr>
            <w:tcW w:w="3685" w:type="dxa"/>
            <w:tcBorders>
              <w:top w:val="single" w:sz="4" w:space="0" w:color="auto"/>
              <w:left w:val="nil"/>
              <w:bottom w:val="single" w:sz="4" w:space="0" w:color="auto"/>
              <w:right w:val="single" w:sz="4" w:space="0" w:color="auto"/>
            </w:tcBorders>
            <w:shd w:val="clear" w:color="auto" w:fill="B8CBD6"/>
            <w:vAlign w:val="center"/>
          </w:tcPr>
          <w:p w14:paraId="7299731D" w14:textId="77777777" w:rsidR="00831411" w:rsidRPr="00CA2D3D" w:rsidRDefault="00831411" w:rsidP="001F4398">
            <w:pPr>
              <w:pStyle w:val="Heading3"/>
              <w:rPr>
                <w:rFonts w:asciiTheme="minorHAnsi" w:hAnsiTheme="minorHAnsi" w:cstheme="minorHAnsi"/>
                <w:b/>
                <w:color w:val="404040"/>
                <w:sz w:val="28"/>
                <w:szCs w:val="28"/>
                <w:lang w:eastAsia="en-AU"/>
              </w:rPr>
            </w:pPr>
            <w:bookmarkStart w:id="147" w:name="_Toc130465906"/>
            <w:r w:rsidRPr="00CA2D3D">
              <w:rPr>
                <w:rFonts w:asciiTheme="minorHAnsi" w:hAnsiTheme="minorHAnsi" w:cstheme="minorHAnsi"/>
                <w:b/>
                <w:color w:val="404040"/>
                <w:sz w:val="28"/>
                <w:szCs w:val="28"/>
                <w:lang w:eastAsia="en-AU"/>
              </w:rPr>
              <w:t>Provision</w:t>
            </w:r>
            <w:bookmarkEnd w:id="147"/>
          </w:p>
        </w:tc>
      </w:tr>
      <w:tr w:rsidR="00831411" w:rsidRPr="00831411" w14:paraId="74578DFA"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15588271"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Auditor-General Act 1997</w:t>
            </w:r>
          </w:p>
        </w:tc>
        <w:tc>
          <w:tcPr>
            <w:tcW w:w="3685" w:type="dxa"/>
            <w:tcBorders>
              <w:top w:val="single" w:sz="4" w:space="0" w:color="auto"/>
              <w:left w:val="nil"/>
              <w:bottom w:val="single" w:sz="4" w:space="0" w:color="auto"/>
              <w:right w:val="single" w:sz="4" w:space="0" w:color="auto"/>
            </w:tcBorders>
            <w:shd w:val="clear" w:color="auto" w:fill="auto"/>
            <w:vAlign w:val="center"/>
          </w:tcPr>
          <w:p w14:paraId="7F90E2BE"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30</w:t>
            </w:r>
          </w:p>
        </w:tc>
      </w:tr>
      <w:tr w:rsidR="00831411" w:rsidRPr="00831411" w14:paraId="1F21C74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DEEB2DE"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Crime Commission Act 2002</w:t>
            </w:r>
          </w:p>
        </w:tc>
        <w:tc>
          <w:tcPr>
            <w:tcW w:w="3685" w:type="dxa"/>
            <w:tcBorders>
              <w:top w:val="single" w:sz="4" w:space="0" w:color="auto"/>
              <w:left w:val="nil"/>
              <w:bottom w:val="single" w:sz="4" w:space="0" w:color="auto"/>
              <w:right w:val="single" w:sz="4" w:space="0" w:color="auto"/>
            </w:tcBorders>
            <w:shd w:val="clear" w:color="auto" w:fill="auto"/>
            <w:vAlign w:val="center"/>
          </w:tcPr>
          <w:p w14:paraId="2950E304"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19</w:t>
            </w:r>
            <w:proofErr w:type="gramStart"/>
            <w:r w:rsidRPr="00831411">
              <w:rPr>
                <w:rFonts w:asciiTheme="minorHAnsi" w:eastAsia="Times New Roman" w:hAnsiTheme="minorHAnsi" w:cstheme="minorHAnsi"/>
                <w:lang w:eastAsia="en-AU"/>
              </w:rPr>
              <w:t>A(</w:t>
            </w:r>
            <w:proofErr w:type="gramEnd"/>
            <w:r w:rsidRPr="00831411">
              <w:rPr>
                <w:rFonts w:asciiTheme="minorHAnsi" w:eastAsia="Times New Roman" w:hAnsiTheme="minorHAnsi" w:cstheme="minorHAnsi"/>
                <w:lang w:eastAsia="en-AU"/>
              </w:rPr>
              <w:t xml:space="preserve">5) </w:t>
            </w:r>
          </w:p>
        </w:tc>
      </w:tr>
      <w:tr w:rsidR="00831411" w:rsidRPr="00831411" w14:paraId="0C7C188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6DE7AD50"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Australian Institute of Health and Welfare Act 1987</w:t>
            </w:r>
          </w:p>
        </w:tc>
        <w:tc>
          <w:tcPr>
            <w:tcW w:w="3685" w:type="dxa"/>
            <w:tcBorders>
              <w:top w:val="single" w:sz="4" w:space="0" w:color="auto"/>
              <w:left w:val="nil"/>
              <w:bottom w:val="single" w:sz="4" w:space="0" w:color="auto"/>
              <w:right w:val="single" w:sz="4" w:space="0" w:color="auto"/>
            </w:tcBorders>
            <w:shd w:val="clear" w:color="auto" w:fill="auto"/>
            <w:vAlign w:val="center"/>
          </w:tcPr>
          <w:p w14:paraId="6BF0B5D2"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 xml:space="preserve">s 30 </w:t>
            </w:r>
          </w:p>
        </w:tc>
      </w:tr>
      <w:tr w:rsidR="00831411" w:rsidRPr="00831411" w14:paraId="2F7B5BBC"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FC5A16D"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Child Support (Registration and Collection) Act 1988</w:t>
            </w:r>
          </w:p>
        </w:tc>
        <w:tc>
          <w:tcPr>
            <w:tcW w:w="3685" w:type="dxa"/>
            <w:tcBorders>
              <w:top w:val="single" w:sz="4" w:space="0" w:color="auto"/>
              <w:left w:val="nil"/>
              <w:bottom w:val="single" w:sz="4" w:space="0" w:color="auto"/>
              <w:right w:val="single" w:sz="4" w:space="0" w:color="auto"/>
            </w:tcBorders>
            <w:shd w:val="clear" w:color="auto" w:fill="auto"/>
            <w:vAlign w:val="center"/>
          </w:tcPr>
          <w:p w14:paraId="2BCE96C9"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16AB</w:t>
            </w:r>
          </w:p>
        </w:tc>
      </w:tr>
      <w:tr w:rsidR="00831411" w:rsidRPr="00831411" w14:paraId="55DD047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2A7B1669"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Coastal Trading (</w:t>
            </w:r>
            <w:proofErr w:type="spellStart"/>
            <w:r w:rsidRPr="00831411">
              <w:rPr>
                <w:rFonts w:asciiTheme="minorHAnsi" w:eastAsia="Times New Roman" w:hAnsiTheme="minorHAnsi" w:cstheme="minorHAnsi"/>
                <w:i/>
                <w:lang w:eastAsia="en-AU"/>
              </w:rPr>
              <w:t>Revitalising</w:t>
            </w:r>
            <w:proofErr w:type="spellEnd"/>
            <w:r w:rsidRPr="00831411">
              <w:rPr>
                <w:rFonts w:asciiTheme="minorHAnsi" w:eastAsia="Times New Roman" w:hAnsiTheme="minorHAnsi" w:cstheme="minorHAnsi"/>
                <w:i/>
                <w:lang w:eastAsia="en-AU"/>
              </w:rPr>
              <w:t xml:space="preserve"> Australian Shipping) Act 2012</w:t>
            </w:r>
          </w:p>
        </w:tc>
        <w:tc>
          <w:tcPr>
            <w:tcW w:w="3685" w:type="dxa"/>
            <w:tcBorders>
              <w:top w:val="single" w:sz="4" w:space="0" w:color="auto"/>
              <w:left w:val="nil"/>
              <w:bottom w:val="single" w:sz="4" w:space="0" w:color="auto"/>
              <w:right w:val="single" w:sz="4" w:space="0" w:color="auto"/>
            </w:tcBorders>
            <w:shd w:val="clear" w:color="auto" w:fill="auto"/>
            <w:vAlign w:val="center"/>
          </w:tcPr>
          <w:p w14:paraId="4F178F30"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110(4)</w:t>
            </w:r>
          </w:p>
        </w:tc>
      </w:tr>
      <w:tr w:rsidR="00831411" w:rsidRPr="00831411" w14:paraId="2468ABD2"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1B0250BC"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Criminal Code Act 1995</w:t>
            </w:r>
          </w:p>
        </w:tc>
        <w:tc>
          <w:tcPr>
            <w:tcW w:w="3685" w:type="dxa"/>
            <w:tcBorders>
              <w:top w:val="single" w:sz="4" w:space="0" w:color="auto"/>
              <w:left w:val="nil"/>
              <w:bottom w:val="single" w:sz="4" w:space="0" w:color="auto"/>
              <w:right w:val="single" w:sz="4" w:space="0" w:color="auto"/>
            </w:tcBorders>
            <w:shd w:val="clear" w:color="auto" w:fill="auto"/>
            <w:vAlign w:val="center"/>
          </w:tcPr>
          <w:p w14:paraId="42DFF28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105A.19(4)</w:t>
            </w:r>
          </w:p>
        </w:tc>
      </w:tr>
      <w:tr w:rsidR="00831411" w:rsidRPr="00831411" w14:paraId="339EDA00"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E944B4A"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Customs (Prohibited Exports) Regulations 1958</w:t>
            </w:r>
          </w:p>
        </w:tc>
        <w:tc>
          <w:tcPr>
            <w:tcW w:w="3685" w:type="dxa"/>
            <w:tcBorders>
              <w:top w:val="single" w:sz="4" w:space="0" w:color="auto"/>
              <w:left w:val="nil"/>
              <w:bottom w:val="single" w:sz="4" w:space="0" w:color="auto"/>
              <w:right w:val="single" w:sz="4" w:space="0" w:color="auto"/>
            </w:tcBorders>
            <w:shd w:val="clear" w:color="auto" w:fill="auto"/>
            <w:vAlign w:val="center"/>
          </w:tcPr>
          <w:p w14:paraId="7A1931F7"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13</w:t>
            </w:r>
            <w:proofErr w:type="gramStart"/>
            <w:r w:rsidRPr="00831411">
              <w:rPr>
                <w:rFonts w:asciiTheme="minorHAnsi" w:eastAsia="Times New Roman" w:hAnsiTheme="minorHAnsi" w:cstheme="minorHAnsi"/>
                <w:lang w:eastAsia="en-AU"/>
              </w:rPr>
              <w:t>EI(</w:t>
            </w:r>
            <w:proofErr w:type="gramEnd"/>
            <w:r w:rsidRPr="00831411">
              <w:rPr>
                <w:rFonts w:asciiTheme="minorHAnsi" w:eastAsia="Times New Roman" w:hAnsiTheme="minorHAnsi" w:cstheme="minorHAnsi"/>
                <w:lang w:eastAsia="en-AU"/>
              </w:rPr>
              <w:t>5)</w:t>
            </w:r>
          </w:p>
        </w:tc>
      </w:tr>
      <w:tr w:rsidR="00831411" w:rsidRPr="00831411" w14:paraId="6390F0F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01E02D8"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Data Availability and Transparency Act 2022</w:t>
            </w:r>
          </w:p>
        </w:tc>
        <w:tc>
          <w:tcPr>
            <w:tcW w:w="3685" w:type="dxa"/>
            <w:tcBorders>
              <w:top w:val="single" w:sz="4" w:space="0" w:color="auto"/>
              <w:left w:val="nil"/>
              <w:bottom w:val="single" w:sz="4" w:space="0" w:color="auto"/>
              <w:right w:val="single" w:sz="4" w:space="0" w:color="auto"/>
            </w:tcBorders>
            <w:shd w:val="clear" w:color="auto" w:fill="auto"/>
            <w:vAlign w:val="center"/>
          </w:tcPr>
          <w:p w14:paraId="4A60184C"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23</w:t>
            </w:r>
          </w:p>
        </w:tc>
      </w:tr>
      <w:tr w:rsidR="00831411" w:rsidRPr="00831411" w14:paraId="73AA12AD"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A789635" w14:textId="77777777" w:rsidR="00831411" w:rsidRPr="00831411" w:rsidRDefault="00831411" w:rsidP="00485D14">
            <w:pPr>
              <w:rPr>
                <w:rFonts w:asciiTheme="minorHAnsi" w:eastAsia="Times New Roman" w:hAnsiTheme="minorHAnsi" w:cstheme="minorHAnsi"/>
                <w:i/>
                <w:lang w:eastAsia="en-AU"/>
              </w:rPr>
            </w:pPr>
            <w:proofErr w:type="spellStart"/>
            <w:r w:rsidRPr="00831411">
              <w:rPr>
                <w:rFonts w:asciiTheme="minorHAnsi" w:eastAsia="Times New Roman" w:hAnsiTheme="minorHAnsi" w:cstheme="minorHAnsi"/>
                <w:i/>
                <w:lang w:eastAsia="en-AU"/>
              </w:rPr>
              <w:t>Defence</w:t>
            </w:r>
            <w:proofErr w:type="spellEnd"/>
            <w:r w:rsidRPr="00831411">
              <w:rPr>
                <w:rFonts w:asciiTheme="minorHAnsi" w:eastAsia="Times New Roman" w:hAnsiTheme="minorHAnsi" w:cstheme="minorHAnsi"/>
                <w:i/>
                <w:lang w:eastAsia="en-AU"/>
              </w:rPr>
              <w:t xml:space="preserve"> Trade Controls Act 2012 </w:t>
            </w:r>
          </w:p>
        </w:tc>
        <w:tc>
          <w:tcPr>
            <w:tcW w:w="3685" w:type="dxa"/>
            <w:tcBorders>
              <w:top w:val="single" w:sz="4" w:space="0" w:color="auto"/>
              <w:left w:val="nil"/>
              <w:bottom w:val="single" w:sz="4" w:space="0" w:color="auto"/>
              <w:right w:val="single" w:sz="4" w:space="0" w:color="auto"/>
            </w:tcBorders>
            <w:shd w:val="clear" w:color="auto" w:fill="auto"/>
            <w:vAlign w:val="center"/>
          </w:tcPr>
          <w:p w14:paraId="0F2759BB"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69(5)</w:t>
            </w:r>
          </w:p>
        </w:tc>
      </w:tr>
      <w:tr w:rsidR="00831411" w:rsidRPr="00831411" w14:paraId="7C4D4713"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E9B7C71"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Higher Education Support Act 2003</w:t>
            </w:r>
          </w:p>
        </w:tc>
        <w:tc>
          <w:tcPr>
            <w:tcW w:w="3685" w:type="dxa"/>
            <w:tcBorders>
              <w:top w:val="single" w:sz="4" w:space="0" w:color="auto"/>
              <w:left w:val="nil"/>
              <w:bottom w:val="single" w:sz="4" w:space="0" w:color="auto"/>
              <w:right w:val="single" w:sz="4" w:space="0" w:color="auto"/>
            </w:tcBorders>
            <w:shd w:val="clear" w:color="auto" w:fill="auto"/>
            <w:vAlign w:val="center"/>
          </w:tcPr>
          <w:p w14:paraId="0E01F629"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179-25; sch 1A, cl 76</w:t>
            </w:r>
          </w:p>
        </w:tc>
      </w:tr>
      <w:tr w:rsidR="00831411" w:rsidRPr="00831411" w14:paraId="39F3408B"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3BACAF58"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Inspector-General of Intelligence and Security Act 1986</w:t>
            </w:r>
          </w:p>
        </w:tc>
        <w:tc>
          <w:tcPr>
            <w:tcW w:w="3685" w:type="dxa"/>
            <w:tcBorders>
              <w:top w:val="single" w:sz="4" w:space="0" w:color="auto"/>
              <w:left w:val="nil"/>
              <w:bottom w:val="single" w:sz="4" w:space="0" w:color="auto"/>
              <w:right w:val="single" w:sz="4" w:space="0" w:color="auto"/>
            </w:tcBorders>
            <w:shd w:val="clear" w:color="auto" w:fill="auto"/>
            <w:vAlign w:val="center"/>
          </w:tcPr>
          <w:p w14:paraId="6ACF9E27"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34A (2)</w:t>
            </w:r>
          </w:p>
        </w:tc>
      </w:tr>
      <w:tr w:rsidR="00831411" w:rsidRPr="00831411" w14:paraId="3C99C156"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3FFF06F"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National Anti-Corruption Commission Act 2022</w:t>
            </w:r>
          </w:p>
        </w:tc>
        <w:tc>
          <w:tcPr>
            <w:tcW w:w="3685" w:type="dxa"/>
            <w:tcBorders>
              <w:top w:val="single" w:sz="4" w:space="0" w:color="auto"/>
              <w:left w:val="nil"/>
              <w:bottom w:val="single" w:sz="4" w:space="0" w:color="auto"/>
              <w:right w:val="single" w:sz="4" w:space="0" w:color="auto"/>
            </w:tcBorders>
            <w:shd w:val="clear" w:color="auto" w:fill="auto"/>
            <w:vAlign w:val="center"/>
          </w:tcPr>
          <w:p w14:paraId="4CB7A74B"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36, 205</w:t>
            </w:r>
          </w:p>
        </w:tc>
      </w:tr>
      <w:tr w:rsidR="00831411" w:rsidRPr="00831411" w14:paraId="03F6141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19AD8F4"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National Health Security Act 2007</w:t>
            </w:r>
          </w:p>
        </w:tc>
        <w:tc>
          <w:tcPr>
            <w:tcW w:w="3685" w:type="dxa"/>
            <w:tcBorders>
              <w:top w:val="single" w:sz="4" w:space="0" w:color="auto"/>
              <w:left w:val="nil"/>
              <w:bottom w:val="single" w:sz="4" w:space="0" w:color="auto"/>
              <w:right w:val="single" w:sz="4" w:space="0" w:color="auto"/>
            </w:tcBorders>
            <w:shd w:val="clear" w:color="auto" w:fill="auto"/>
            <w:vAlign w:val="center"/>
          </w:tcPr>
          <w:p w14:paraId="5C820B3D"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19(7)</w:t>
            </w:r>
          </w:p>
        </w:tc>
      </w:tr>
      <w:tr w:rsidR="00831411" w:rsidRPr="00831411" w14:paraId="1673AB0E"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126D12D8"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Ombudsman Act 1976</w:t>
            </w:r>
          </w:p>
        </w:tc>
        <w:tc>
          <w:tcPr>
            <w:tcW w:w="3685" w:type="dxa"/>
            <w:tcBorders>
              <w:top w:val="single" w:sz="4" w:space="0" w:color="auto"/>
              <w:left w:val="nil"/>
              <w:bottom w:val="single" w:sz="4" w:space="0" w:color="auto"/>
              <w:right w:val="single" w:sz="4" w:space="0" w:color="auto"/>
            </w:tcBorders>
            <w:shd w:val="clear" w:color="auto" w:fill="auto"/>
            <w:vAlign w:val="center"/>
          </w:tcPr>
          <w:p w14:paraId="7D789832"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9(4)</w:t>
            </w:r>
          </w:p>
        </w:tc>
      </w:tr>
      <w:tr w:rsidR="00831411" w:rsidRPr="00831411" w14:paraId="725FECF7"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6E75F959"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lastRenderedPageBreak/>
              <w:t>Privacy Act 1988</w:t>
            </w:r>
          </w:p>
        </w:tc>
        <w:tc>
          <w:tcPr>
            <w:tcW w:w="3685" w:type="dxa"/>
            <w:tcBorders>
              <w:top w:val="single" w:sz="4" w:space="0" w:color="auto"/>
              <w:left w:val="nil"/>
              <w:bottom w:val="single" w:sz="4" w:space="0" w:color="auto"/>
              <w:right w:val="single" w:sz="4" w:space="0" w:color="auto"/>
            </w:tcBorders>
            <w:shd w:val="clear" w:color="auto" w:fill="auto"/>
            <w:vAlign w:val="center"/>
          </w:tcPr>
          <w:p w14:paraId="3EEBAD30"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44 (4)</w:t>
            </w:r>
          </w:p>
        </w:tc>
      </w:tr>
      <w:tr w:rsidR="00831411" w:rsidRPr="00831411" w14:paraId="7583403F"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6512BA76"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Public Interest Disclosure Act 2013</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882F17"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75</w:t>
            </w:r>
          </w:p>
        </w:tc>
      </w:tr>
      <w:tr w:rsidR="00831411" w:rsidRPr="00831411" w14:paraId="4038A3B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744A83F"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VET Student Loans Act 2016</w:t>
            </w:r>
          </w:p>
        </w:tc>
        <w:tc>
          <w:tcPr>
            <w:tcW w:w="3685" w:type="dxa"/>
            <w:tcBorders>
              <w:top w:val="single" w:sz="4" w:space="0" w:color="auto"/>
              <w:left w:val="nil"/>
              <w:bottom w:val="single" w:sz="4" w:space="0" w:color="auto"/>
              <w:right w:val="single" w:sz="4" w:space="0" w:color="auto"/>
            </w:tcBorders>
            <w:shd w:val="clear" w:color="auto" w:fill="auto"/>
            <w:vAlign w:val="center"/>
          </w:tcPr>
          <w:p w14:paraId="2FF7605D"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 97 (2)</w:t>
            </w:r>
          </w:p>
        </w:tc>
      </w:tr>
      <w:tr w:rsidR="00831411" w:rsidRPr="00831411" w14:paraId="2620CBB5" w14:textId="77777777" w:rsidTr="00485D14">
        <w:trPr>
          <w:trHeight w:val="567"/>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7ED1B03" w14:textId="77777777" w:rsidR="00831411" w:rsidRPr="00831411" w:rsidRDefault="00831411" w:rsidP="00485D14">
            <w:pPr>
              <w:rPr>
                <w:rFonts w:asciiTheme="minorHAnsi" w:eastAsia="Times New Roman" w:hAnsiTheme="minorHAnsi" w:cstheme="minorHAnsi"/>
                <w:i/>
                <w:lang w:eastAsia="en-AU"/>
              </w:rPr>
            </w:pPr>
            <w:r w:rsidRPr="00831411">
              <w:rPr>
                <w:rFonts w:asciiTheme="minorHAnsi" w:eastAsia="Times New Roman" w:hAnsiTheme="minorHAnsi" w:cstheme="minorHAnsi"/>
                <w:i/>
                <w:lang w:eastAsia="en-AU"/>
              </w:rPr>
              <w:t>Water Act 2007</w:t>
            </w:r>
          </w:p>
        </w:tc>
        <w:tc>
          <w:tcPr>
            <w:tcW w:w="3685" w:type="dxa"/>
            <w:tcBorders>
              <w:top w:val="single" w:sz="4" w:space="0" w:color="auto"/>
              <w:left w:val="nil"/>
              <w:bottom w:val="single" w:sz="4" w:space="0" w:color="auto"/>
              <w:right w:val="single" w:sz="4" w:space="0" w:color="auto"/>
            </w:tcBorders>
            <w:shd w:val="clear" w:color="auto" w:fill="auto"/>
            <w:vAlign w:val="center"/>
          </w:tcPr>
          <w:p w14:paraId="3E322E23" w14:textId="77777777" w:rsidR="00831411" w:rsidRPr="00831411" w:rsidRDefault="00831411" w:rsidP="00485D14">
            <w:pPr>
              <w:rPr>
                <w:rFonts w:asciiTheme="minorHAnsi" w:eastAsia="Times New Roman" w:hAnsiTheme="minorHAnsi" w:cstheme="minorHAnsi"/>
                <w:lang w:eastAsia="en-AU"/>
              </w:rPr>
            </w:pPr>
            <w:r w:rsidRPr="00831411">
              <w:rPr>
                <w:rFonts w:asciiTheme="minorHAnsi" w:eastAsia="Times New Roman" w:hAnsiTheme="minorHAnsi" w:cstheme="minorHAnsi"/>
                <w:lang w:eastAsia="en-AU"/>
              </w:rPr>
              <w:t>ss 128, 222E</w:t>
            </w:r>
          </w:p>
        </w:tc>
      </w:tr>
    </w:tbl>
    <w:p w14:paraId="5333B42C" w14:textId="77777777" w:rsidR="00831411" w:rsidRPr="00831411" w:rsidRDefault="00831411">
      <w:pPr>
        <w:rPr>
          <w:rFonts w:asciiTheme="minorHAnsi" w:hAnsiTheme="minorHAnsi" w:cstheme="minorHAnsi"/>
        </w:rPr>
      </w:pPr>
    </w:p>
    <w:p w14:paraId="0193D886" w14:textId="77777777" w:rsidR="002B574B" w:rsidRPr="002B574B" w:rsidRDefault="002B574B" w:rsidP="002B574B">
      <w:pPr>
        <w:widowControl/>
        <w:tabs>
          <w:tab w:val="left" w:pos="7938"/>
        </w:tabs>
        <w:autoSpaceDE/>
        <w:autoSpaceDN/>
        <w:spacing w:after="200" w:line="276" w:lineRule="auto"/>
        <w:rPr>
          <w:rFonts w:ascii="Calibri" w:eastAsia="Calibri" w:hAnsi="Calibri" w:cs="Calibri"/>
          <w:w w:val="105"/>
          <w:kern w:val="40"/>
          <w:lang w:val="en-AU"/>
        </w:rPr>
        <w:sectPr w:rsidR="002B574B" w:rsidRPr="002B574B" w:rsidSect="00B1182D">
          <w:headerReference w:type="default" r:id="rId21"/>
          <w:footerReference w:type="default" r:id="rId22"/>
          <w:headerReference w:type="first" r:id="rId23"/>
          <w:footerReference w:type="first" r:id="rId24"/>
          <w:pgSz w:w="11906" w:h="16838" w:code="9"/>
          <w:pgMar w:top="1418" w:right="1418" w:bottom="1418" w:left="1418" w:header="0" w:footer="0" w:gutter="0"/>
          <w:cols w:space="708"/>
          <w:titlePg/>
          <w:docGrid w:linePitch="360"/>
        </w:sectPr>
      </w:pPr>
    </w:p>
    <w:p w14:paraId="1FE64CAC" w14:textId="77777777" w:rsidR="002B574B" w:rsidRPr="002B574B" w:rsidRDefault="00023D53" w:rsidP="002B574B">
      <w:pPr>
        <w:keepNext/>
        <w:widowControl/>
        <w:autoSpaceDE/>
        <w:autoSpaceDN/>
        <w:spacing w:before="120" w:after="120" w:line="276" w:lineRule="auto"/>
        <w:contextualSpacing/>
        <w:jc w:val="right"/>
        <w:outlineLvl w:val="1"/>
        <w:rPr>
          <w:rFonts w:ascii="Calibri" w:eastAsia="SimSun" w:hAnsi="Calibri" w:cs="Angsana New"/>
          <w:b/>
          <w:bCs/>
          <w:iCs/>
          <w:color w:val="4D738A"/>
          <w:w w:val="105"/>
          <w:kern w:val="40"/>
          <w:sz w:val="40"/>
          <w:szCs w:val="40"/>
          <w:lang w:val="en-AU"/>
        </w:rPr>
      </w:pPr>
      <w:bookmarkStart w:id="148" w:name="_Toc129709880"/>
      <w:bookmarkStart w:id="149" w:name="_Toc129710838"/>
      <w:bookmarkStart w:id="150" w:name="_Toc130218812"/>
      <w:bookmarkStart w:id="151" w:name="_Toc130226902"/>
      <w:bookmarkStart w:id="152" w:name="_Toc130307419"/>
      <w:bookmarkStart w:id="153" w:name="_Toc130307626"/>
      <w:bookmarkStart w:id="154" w:name="_Toc130307710"/>
      <w:bookmarkStart w:id="155" w:name="_Toc130310343"/>
      <w:bookmarkStart w:id="156" w:name="_Toc130311755"/>
      <w:bookmarkStart w:id="157" w:name="_Toc130312400"/>
      <w:bookmarkStart w:id="158" w:name="_Toc130465907"/>
      <w:bookmarkStart w:id="159" w:name="_Hlk129707991"/>
      <w:r>
        <w:rPr>
          <w:rFonts w:ascii="Calibri" w:eastAsia="SimSun" w:hAnsi="Calibri" w:cs="Angsana New"/>
          <w:b/>
          <w:bCs/>
          <w:iCs/>
          <w:color w:val="4D738A"/>
          <w:w w:val="105"/>
          <w:kern w:val="40"/>
          <w:sz w:val="40"/>
          <w:szCs w:val="40"/>
          <w:lang w:val="en-AU"/>
        </w:rPr>
        <w:lastRenderedPageBreak/>
        <w:t>Attachment</w:t>
      </w:r>
      <w:r w:rsidR="002B574B" w:rsidRPr="002B574B">
        <w:rPr>
          <w:rFonts w:ascii="Calibri" w:eastAsia="SimSun" w:hAnsi="Calibri" w:cs="Angsana New"/>
          <w:b/>
          <w:bCs/>
          <w:iCs/>
          <w:color w:val="4D738A"/>
          <w:w w:val="105"/>
          <w:kern w:val="40"/>
          <w:sz w:val="40"/>
          <w:szCs w:val="40"/>
          <w:lang w:val="en-AU"/>
        </w:rPr>
        <w:t xml:space="preserve"> C</w:t>
      </w:r>
      <w:bookmarkEnd w:id="148"/>
      <w:bookmarkEnd w:id="149"/>
      <w:bookmarkEnd w:id="150"/>
      <w:bookmarkEnd w:id="151"/>
      <w:bookmarkEnd w:id="152"/>
      <w:bookmarkEnd w:id="153"/>
      <w:bookmarkEnd w:id="154"/>
      <w:bookmarkEnd w:id="155"/>
      <w:bookmarkEnd w:id="156"/>
      <w:bookmarkEnd w:id="157"/>
      <w:bookmarkEnd w:id="158"/>
    </w:p>
    <w:p w14:paraId="61181A9B" w14:textId="77777777" w:rsidR="002B574B" w:rsidRPr="002B574B" w:rsidRDefault="002B574B" w:rsidP="002B574B">
      <w:pPr>
        <w:keepNext/>
        <w:widowControl/>
        <w:autoSpaceDE/>
        <w:autoSpaceDN/>
        <w:spacing w:before="120" w:after="120" w:line="276" w:lineRule="auto"/>
        <w:contextualSpacing/>
        <w:jc w:val="center"/>
        <w:outlineLvl w:val="1"/>
        <w:rPr>
          <w:rFonts w:ascii="Calibri" w:eastAsia="SimSun" w:hAnsi="Calibri" w:cs="Angsana New"/>
          <w:b/>
          <w:bCs/>
          <w:iCs/>
          <w:color w:val="4D738A"/>
          <w:w w:val="105"/>
          <w:kern w:val="40"/>
          <w:sz w:val="40"/>
          <w:szCs w:val="40"/>
          <w:lang w:val="en-AU"/>
        </w:rPr>
      </w:pPr>
      <w:bookmarkStart w:id="160" w:name="_Toc129709881"/>
      <w:bookmarkStart w:id="161" w:name="_Toc129710839"/>
      <w:bookmarkStart w:id="162" w:name="_Toc130218813"/>
      <w:bookmarkStart w:id="163" w:name="_Toc130226903"/>
      <w:bookmarkStart w:id="164" w:name="_Toc130307420"/>
      <w:bookmarkStart w:id="165" w:name="_Toc130307627"/>
      <w:bookmarkStart w:id="166" w:name="_Toc130307711"/>
      <w:bookmarkStart w:id="167" w:name="_Toc130310344"/>
      <w:bookmarkStart w:id="168" w:name="_Toc130311756"/>
      <w:bookmarkStart w:id="169" w:name="_Toc130312401"/>
      <w:bookmarkStart w:id="170" w:name="_Toc130465908"/>
      <w:r w:rsidRPr="002B574B">
        <w:rPr>
          <w:rFonts w:ascii="Calibri" w:eastAsia="SimSun" w:hAnsi="Calibri" w:cs="Angsana New"/>
          <w:b/>
          <w:bCs/>
          <w:iCs/>
          <w:color w:val="4D738A"/>
          <w:w w:val="105"/>
          <w:kern w:val="40"/>
          <w:sz w:val="40"/>
          <w:szCs w:val="40"/>
          <w:lang w:val="en-AU"/>
        </w:rPr>
        <w:t>Recent reports</w:t>
      </w:r>
      <w:r w:rsidRPr="002B574B">
        <w:rPr>
          <w:rFonts w:ascii="Calibri" w:eastAsia="SimSun" w:hAnsi="Calibri" w:cs="Angsana New"/>
          <w:b/>
          <w:bCs/>
          <w:iCs/>
          <w:color w:val="808080" w:themeColor="background1" w:themeShade="80"/>
          <w:w w:val="105"/>
          <w:kern w:val="40"/>
          <w:sz w:val="40"/>
          <w:szCs w:val="40"/>
          <w:lang w:val="en-AU"/>
        </w:rPr>
        <w:t xml:space="preserve"> </w:t>
      </w:r>
      <w:r w:rsidRPr="002B574B">
        <w:rPr>
          <w:rFonts w:ascii="Calibri" w:eastAsia="SimSun" w:hAnsi="Calibri" w:cs="Angsana New"/>
          <w:b/>
          <w:bCs/>
          <w:iCs/>
          <w:color w:val="4D738A"/>
          <w:w w:val="105"/>
          <w:kern w:val="40"/>
          <w:sz w:val="40"/>
          <w:szCs w:val="40"/>
          <w:lang w:val="en-AU"/>
        </w:rPr>
        <w:t>and inquiries</w:t>
      </w:r>
      <w:bookmarkEnd w:id="160"/>
      <w:bookmarkEnd w:id="161"/>
      <w:bookmarkEnd w:id="162"/>
      <w:bookmarkEnd w:id="163"/>
      <w:bookmarkEnd w:id="164"/>
      <w:bookmarkEnd w:id="165"/>
      <w:bookmarkEnd w:id="166"/>
      <w:bookmarkEnd w:id="167"/>
      <w:bookmarkEnd w:id="168"/>
      <w:bookmarkEnd w:id="169"/>
      <w:bookmarkEnd w:id="170"/>
    </w:p>
    <w:p w14:paraId="74C19385" w14:textId="77777777" w:rsid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As noted in the Review’s terms of reference, there has been a range of reports and inquiries that have considered and made recommendations about reforms to secrecy law. The following is a summary of recent reports relevant to the Review.</w:t>
      </w:r>
    </w:p>
    <w:p w14:paraId="41454A5B"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1A425469"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171" w:name="_Toc129709882"/>
      <w:bookmarkStart w:id="172" w:name="_Toc129710840"/>
      <w:bookmarkStart w:id="173" w:name="_Toc130218814"/>
      <w:bookmarkStart w:id="174" w:name="_Toc130226904"/>
      <w:bookmarkStart w:id="175" w:name="_Toc130307421"/>
      <w:bookmarkStart w:id="176" w:name="_Toc130307628"/>
      <w:bookmarkStart w:id="177" w:name="_Toc130307712"/>
      <w:bookmarkStart w:id="178" w:name="_Toc130310345"/>
      <w:bookmarkStart w:id="179" w:name="_Toc130311757"/>
      <w:bookmarkStart w:id="180" w:name="_Toc130312402"/>
      <w:bookmarkStart w:id="181" w:name="_Toc130465909"/>
      <w:r w:rsidRPr="002B574B">
        <w:rPr>
          <w:rFonts w:ascii="Calibri" w:eastAsia="SimSun" w:hAnsi="Calibri" w:cs="Angsana New"/>
          <w:b/>
          <w:bCs/>
          <w:color w:val="404040"/>
          <w:w w:val="105"/>
          <w:kern w:val="40"/>
          <w:sz w:val="32"/>
          <w:szCs w:val="32"/>
          <w:lang w:val="en-AU"/>
        </w:rPr>
        <w:t xml:space="preserve">Australian Law Reform Commission (ALRC) – </w:t>
      </w:r>
      <w:r w:rsidRPr="002B574B">
        <w:rPr>
          <w:rFonts w:ascii="Calibri" w:eastAsia="SimSun" w:hAnsi="Calibri" w:cs="Angsana New"/>
          <w:b/>
          <w:bCs/>
          <w:i/>
          <w:color w:val="404040"/>
          <w:w w:val="105"/>
          <w:kern w:val="40"/>
          <w:sz w:val="32"/>
          <w:szCs w:val="32"/>
          <w:lang w:val="en-AU"/>
        </w:rPr>
        <w:t>Secrecy Laws and Open Government in Australia</w:t>
      </w:r>
      <w:r w:rsidRPr="002B574B">
        <w:rPr>
          <w:rFonts w:ascii="Calibri" w:eastAsia="SimSun" w:hAnsi="Calibri" w:cs="Angsana New"/>
          <w:b/>
          <w:bCs/>
          <w:color w:val="404040"/>
          <w:w w:val="105"/>
          <w:kern w:val="40"/>
          <w:sz w:val="32"/>
          <w:szCs w:val="32"/>
          <w:lang w:val="en-AU"/>
        </w:rPr>
        <w:t xml:space="preserve"> (2009)</w:t>
      </w:r>
      <w:bookmarkEnd w:id="171"/>
      <w:bookmarkEnd w:id="172"/>
      <w:bookmarkEnd w:id="173"/>
      <w:bookmarkEnd w:id="174"/>
      <w:bookmarkEnd w:id="175"/>
      <w:bookmarkEnd w:id="176"/>
      <w:bookmarkEnd w:id="177"/>
      <w:bookmarkEnd w:id="178"/>
      <w:bookmarkEnd w:id="179"/>
      <w:bookmarkEnd w:id="180"/>
      <w:bookmarkEnd w:id="181"/>
    </w:p>
    <w:p w14:paraId="5AB6561F" w14:textId="54CEB843" w:rsidR="00C36122" w:rsidRDefault="002B574B" w:rsidP="002B574B">
      <w:pPr>
        <w:widowControl/>
        <w:autoSpaceDE/>
        <w:autoSpaceDN/>
        <w:spacing w:before="120" w:after="120" w:line="276" w:lineRule="auto"/>
        <w:rPr>
          <w:rFonts w:ascii="Calibri" w:eastAsia="Calibri" w:hAnsi="Calibri" w:cs="Calibri"/>
          <w:w w:val="105"/>
          <w:kern w:val="40"/>
          <w:lang w:val="en-AU"/>
        </w:rPr>
      </w:pPr>
      <w:r w:rsidRPr="002B574B">
        <w:rPr>
          <w:rFonts w:ascii="Calibri" w:eastAsia="Calibri" w:hAnsi="Calibri" w:cs="Calibri"/>
          <w:w w:val="105"/>
          <w:kern w:val="40"/>
          <w:lang w:val="en-AU"/>
        </w:rPr>
        <w:t xml:space="preserve">The ALRC completed its report </w:t>
      </w:r>
      <w:r w:rsidRPr="002B574B">
        <w:rPr>
          <w:rFonts w:ascii="Calibri" w:eastAsia="Calibri" w:hAnsi="Calibri" w:cs="Calibri"/>
          <w:i/>
          <w:w w:val="105"/>
          <w:kern w:val="40"/>
          <w:lang w:val="en-AU"/>
        </w:rPr>
        <w:t xml:space="preserve">Secrecy Laws and Open Government in Australia </w:t>
      </w:r>
      <w:r w:rsidRPr="002B574B">
        <w:rPr>
          <w:rFonts w:ascii="Calibri" w:eastAsia="Calibri" w:hAnsi="Calibri" w:cs="Calibri"/>
          <w:w w:val="105"/>
          <w:kern w:val="40"/>
          <w:lang w:val="en-AU"/>
        </w:rPr>
        <w:t xml:space="preserve">in December 2009. The report made a number of recommendations to support a more consistent approach across government for the protection of Commonwealth information, balanced against the need to maintain an open and accountable government by providing appropriate access to information. </w:t>
      </w:r>
    </w:p>
    <w:p w14:paraId="7118F4C4" w14:textId="65A73558" w:rsidR="002B574B" w:rsidRPr="002B574B" w:rsidRDefault="002B574B" w:rsidP="002B574B">
      <w:pPr>
        <w:widowControl/>
        <w:autoSpaceDE/>
        <w:autoSpaceDN/>
        <w:spacing w:before="120" w:after="120" w:line="276" w:lineRule="auto"/>
        <w:rPr>
          <w:rFonts w:ascii="Calibri" w:eastAsia="Calibri" w:hAnsi="Calibri" w:cs="Calibri"/>
          <w:w w:val="105"/>
          <w:kern w:val="40"/>
          <w:lang w:val="en-AU"/>
        </w:rPr>
      </w:pPr>
      <w:r w:rsidRPr="002B574B">
        <w:rPr>
          <w:rFonts w:ascii="Calibri" w:eastAsia="Calibri" w:hAnsi="Calibri" w:cs="Calibri"/>
          <w:w w:val="105"/>
          <w:kern w:val="40"/>
          <w:lang w:val="en-AU"/>
        </w:rPr>
        <w:t>In its report, the ALRC considered three broad areas for reform and:</w:t>
      </w:r>
    </w:p>
    <w:p w14:paraId="6572E9C7" w14:textId="77777777" w:rsidR="002B574B" w:rsidRPr="002B574B" w:rsidRDefault="002B574B" w:rsidP="001806FE">
      <w:pPr>
        <w:widowControl/>
        <w:numPr>
          <w:ilvl w:val="0"/>
          <w:numId w:val="6"/>
        </w:numPr>
        <w:autoSpaceDE/>
        <w:autoSpaceDN/>
        <w:spacing w:before="120" w:after="120" w:line="276" w:lineRule="auto"/>
        <w:contextualSpacing/>
        <w:jc w:val="both"/>
        <w:rPr>
          <w:rFonts w:asciiTheme="minorHAnsi" w:eastAsiaTheme="minorHAnsi" w:hAnsiTheme="minorHAnsi" w:cstheme="minorHAnsi"/>
          <w:lang w:val="en-AU"/>
        </w:rPr>
      </w:pPr>
      <w:r w:rsidRPr="002B574B">
        <w:rPr>
          <w:rFonts w:asciiTheme="minorHAnsi" w:eastAsiaTheme="minorHAnsi" w:hAnsiTheme="minorHAnsi" w:cstheme="minorBidi"/>
          <w:lang w:val="en-AU"/>
        </w:rPr>
        <w:t xml:space="preserve">recommended the repeal of sections 70 and 79 of the </w:t>
      </w:r>
      <w:r w:rsidRPr="002B574B">
        <w:rPr>
          <w:rFonts w:asciiTheme="minorHAnsi" w:eastAsiaTheme="minorHAnsi" w:hAnsiTheme="minorHAnsi" w:cstheme="minorBidi"/>
          <w:i/>
          <w:lang w:val="en-AU"/>
        </w:rPr>
        <w:t>Crimes Act 1914</w:t>
      </w:r>
      <w:r w:rsidRPr="002B574B">
        <w:rPr>
          <w:rFonts w:asciiTheme="minorHAnsi" w:eastAsiaTheme="minorHAnsi" w:hAnsiTheme="minorHAnsi" w:cstheme="minorBidi"/>
          <w:lang w:val="en-AU"/>
        </w:rPr>
        <w:t xml:space="preserve"> and the introduction of a new general secrecy offence in the Criminal Code  </w:t>
      </w:r>
    </w:p>
    <w:p w14:paraId="047F6AC3" w14:textId="77777777" w:rsidR="002B574B" w:rsidRPr="002B574B" w:rsidRDefault="002B574B" w:rsidP="001806FE">
      <w:pPr>
        <w:widowControl/>
        <w:numPr>
          <w:ilvl w:val="0"/>
          <w:numId w:val="6"/>
        </w:numPr>
        <w:autoSpaceDE/>
        <w:autoSpaceDN/>
        <w:spacing w:before="120" w:after="120" w:line="276" w:lineRule="auto"/>
        <w:contextualSpacing/>
        <w:jc w:val="both"/>
        <w:rPr>
          <w:rFonts w:asciiTheme="minorHAnsi" w:eastAsiaTheme="minorHAnsi" w:hAnsiTheme="minorHAnsi" w:cstheme="minorHAnsi"/>
          <w:lang w:val="en-AU"/>
        </w:rPr>
      </w:pPr>
      <w:r w:rsidRPr="002B574B">
        <w:rPr>
          <w:rFonts w:asciiTheme="minorHAnsi" w:eastAsiaTheme="minorHAnsi" w:hAnsiTheme="minorHAnsi" w:cstheme="minorBidi"/>
          <w:lang w:val="en-AU"/>
        </w:rPr>
        <w:t>recommended principles to guide the review, repeal and amendment of other specific secrecy provisions</w:t>
      </w:r>
    </w:p>
    <w:p w14:paraId="272F6ACC" w14:textId="77777777" w:rsidR="002B574B" w:rsidRPr="002B574B" w:rsidRDefault="002B574B" w:rsidP="001806FE">
      <w:pPr>
        <w:widowControl/>
        <w:numPr>
          <w:ilvl w:val="0"/>
          <w:numId w:val="6"/>
        </w:numPr>
        <w:autoSpaceDE/>
        <w:autoSpaceDN/>
        <w:spacing w:before="120" w:after="120" w:line="276" w:lineRule="auto"/>
        <w:contextualSpacing/>
        <w:jc w:val="both"/>
        <w:rPr>
          <w:rFonts w:asciiTheme="minorHAnsi" w:eastAsiaTheme="minorHAnsi" w:hAnsiTheme="minorHAnsi" w:cstheme="minorHAnsi"/>
          <w:lang w:val="en-AU"/>
        </w:rPr>
      </w:pPr>
      <w:r w:rsidRPr="002B574B">
        <w:rPr>
          <w:rFonts w:asciiTheme="minorHAnsi" w:eastAsiaTheme="minorHAnsi" w:hAnsiTheme="minorHAnsi" w:cstheme="minorBidi"/>
          <w:lang w:val="en-AU"/>
        </w:rPr>
        <w:t>considered the administrative frameworks governing the handling of government information, including recommendations to improve the management of government information within those frameworks.</w:t>
      </w:r>
    </w:p>
    <w:p w14:paraId="6120D12D" w14:textId="77777777" w:rsid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theme="minorHAnsi"/>
          <w:w w:val="105"/>
          <w:kern w:val="40"/>
          <w:lang w:val="en-AU"/>
        </w:rPr>
        <w:t xml:space="preserve">The </w:t>
      </w:r>
      <w:r w:rsidRPr="002B574B">
        <w:rPr>
          <w:rFonts w:ascii="Calibri" w:eastAsia="Calibri" w:hAnsi="Calibri" w:cs="Calibri"/>
          <w:i/>
          <w:w w:val="105"/>
          <w:kern w:val="40"/>
          <w:lang w:val="en-AU"/>
        </w:rPr>
        <w:t xml:space="preserve">National Security Legislation Amendment (Espionage and Foreign Interference) Act 2018 </w:t>
      </w:r>
      <w:r w:rsidRPr="002B574B">
        <w:rPr>
          <w:rFonts w:ascii="Calibri" w:eastAsia="Calibri" w:hAnsi="Calibri" w:cs="Calibri"/>
          <w:w w:val="105"/>
          <w:kern w:val="40"/>
          <w:lang w:val="en-AU"/>
        </w:rPr>
        <w:t>implemented key recommendations of the ALRC’s report, including the introduction of general secrecy offences in the Criminal Code.</w:t>
      </w:r>
    </w:p>
    <w:p w14:paraId="4305869C" w14:textId="77777777" w:rsidR="002B574B" w:rsidRPr="002B574B" w:rsidRDefault="002B574B" w:rsidP="002B574B">
      <w:pPr>
        <w:widowControl/>
        <w:autoSpaceDE/>
        <w:autoSpaceDN/>
        <w:spacing w:before="120" w:after="120" w:line="276" w:lineRule="auto"/>
        <w:contextualSpacing/>
        <w:rPr>
          <w:rFonts w:ascii="Calibri" w:eastAsia="Calibri" w:hAnsi="Calibri" w:cstheme="minorHAnsi"/>
          <w:w w:val="105"/>
          <w:kern w:val="40"/>
          <w:highlight w:val="green"/>
          <w:lang w:val="en-AU"/>
        </w:rPr>
      </w:pPr>
    </w:p>
    <w:p w14:paraId="4609F1A7"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i/>
          <w:color w:val="404040"/>
          <w:w w:val="105"/>
          <w:kern w:val="40"/>
          <w:sz w:val="32"/>
          <w:szCs w:val="32"/>
          <w:lang w:val="en-AU"/>
        </w:rPr>
      </w:pPr>
      <w:bookmarkStart w:id="182" w:name="_Toc129709883"/>
      <w:bookmarkStart w:id="183" w:name="_Toc129710841"/>
      <w:bookmarkStart w:id="184" w:name="_Toc130218815"/>
      <w:bookmarkStart w:id="185" w:name="_Toc130226905"/>
      <w:bookmarkStart w:id="186" w:name="_Toc130307422"/>
      <w:bookmarkStart w:id="187" w:name="_Toc130307629"/>
      <w:bookmarkStart w:id="188" w:name="_Toc130307713"/>
      <w:bookmarkStart w:id="189" w:name="_Toc130310346"/>
      <w:bookmarkStart w:id="190" w:name="_Toc130311758"/>
      <w:bookmarkStart w:id="191" w:name="_Toc130312403"/>
      <w:bookmarkStart w:id="192" w:name="_Toc130465910"/>
      <w:r w:rsidRPr="002B574B">
        <w:rPr>
          <w:rFonts w:ascii="Calibri" w:eastAsia="SimSun" w:hAnsi="Calibri" w:cs="Angsana New"/>
          <w:b/>
          <w:bCs/>
          <w:color w:val="404040"/>
          <w:w w:val="105"/>
          <w:kern w:val="40"/>
          <w:sz w:val="32"/>
          <w:szCs w:val="32"/>
          <w:lang w:val="en-AU"/>
        </w:rPr>
        <w:t xml:space="preserve">ALRC – </w:t>
      </w:r>
      <w:r w:rsidRPr="002B574B">
        <w:rPr>
          <w:rFonts w:ascii="Calibri" w:eastAsia="SimSun" w:hAnsi="Calibri" w:cs="Angsana New"/>
          <w:b/>
          <w:bCs/>
          <w:i/>
          <w:color w:val="404040"/>
          <w:w w:val="105"/>
          <w:kern w:val="40"/>
          <w:sz w:val="32"/>
          <w:szCs w:val="32"/>
          <w:lang w:val="en-AU"/>
        </w:rPr>
        <w:t>Making Inquiries: A new statutory framework (2009)</w:t>
      </w:r>
      <w:bookmarkEnd w:id="182"/>
      <w:bookmarkEnd w:id="183"/>
      <w:bookmarkEnd w:id="184"/>
      <w:bookmarkEnd w:id="185"/>
      <w:bookmarkEnd w:id="186"/>
      <w:bookmarkEnd w:id="187"/>
      <w:bookmarkEnd w:id="188"/>
      <w:bookmarkEnd w:id="189"/>
      <w:bookmarkEnd w:id="190"/>
      <w:bookmarkEnd w:id="191"/>
      <w:bookmarkEnd w:id="192"/>
    </w:p>
    <w:p w14:paraId="06886B7D" w14:textId="77777777" w:rsidR="002B574B" w:rsidRPr="002B574B" w:rsidRDefault="002B574B" w:rsidP="002B574B">
      <w:pPr>
        <w:widowControl/>
        <w:autoSpaceDE/>
        <w:autoSpaceDN/>
        <w:spacing w:before="120" w:after="120" w:line="276" w:lineRule="auto"/>
        <w:rPr>
          <w:rFonts w:ascii="Calibri" w:eastAsia="Calibri" w:hAnsi="Calibri" w:cs="Calibri"/>
          <w:w w:val="105"/>
          <w:kern w:val="40"/>
          <w:lang w:val="en-AU"/>
        </w:rPr>
      </w:pPr>
      <w:r w:rsidRPr="002B574B">
        <w:rPr>
          <w:rFonts w:ascii="Calibri" w:eastAsia="Calibri" w:hAnsi="Calibri" w:cs="Calibri"/>
          <w:w w:val="105"/>
          <w:kern w:val="40"/>
          <w:lang w:val="en-AU"/>
        </w:rPr>
        <w:t xml:space="preserve">In 2009, the ALRC also completed its report </w:t>
      </w:r>
      <w:r w:rsidRPr="002B574B">
        <w:rPr>
          <w:rFonts w:ascii="Calibri" w:eastAsia="Calibri" w:hAnsi="Calibri" w:cs="Calibri"/>
          <w:i/>
          <w:w w:val="105"/>
          <w:kern w:val="40"/>
          <w:lang w:val="en-AU"/>
        </w:rPr>
        <w:t xml:space="preserve">Making Inquiries: A new statutory framework, </w:t>
      </w:r>
      <w:r w:rsidRPr="002B574B">
        <w:rPr>
          <w:rFonts w:ascii="Calibri" w:eastAsia="Calibri" w:hAnsi="Calibri" w:cs="Calibri"/>
          <w:w w:val="105"/>
          <w:kern w:val="40"/>
          <w:lang w:val="en-AU"/>
        </w:rPr>
        <w:t>which considered whether an alternative form or forms of Commonwealth executive inquiry to royal commissions should be established by statute. Chapter 18 of that report discussed the impact of secrecy provisions on the communication of information to Royal Commissions and Official Inquiries.</w:t>
      </w:r>
    </w:p>
    <w:p w14:paraId="3A904964" w14:textId="77777777" w:rsidR="002B574B" w:rsidRPr="002B574B" w:rsidRDefault="002B574B" w:rsidP="002B574B">
      <w:pPr>
        <w:keepNext/>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On secrecy provisions, the ALRC recommended that:</w:t>
      </w:r>
    </w:p>
    <w:p w14:paraId="4C5C56E5" w14:textId="77777777" w:rsidR="002B574B" w:rsidRPr="002B574B" w:rsidRDefault="002B574B" w:rsidP="001806FE">
      <w:pPr>
        <w:keepNext/>
        <w:widowControl/>
        <w:numPr>
          <w:ilvl w:val="0"/>
          <w:numId w:val="7"/>
        </w:numPr>
        <w:autoSpaceDE/>
        <w:autoSpaceDN/>
        <w:spacing w:before="120" w:after="120" w:line="276" w:lineRule="auto"/>
        <w:contextualSpacing/>
        <w:jc w:val="both"/>
        <w:rPr>
          <w:rFonts w:asciiTheme="minorHAnsi" w:eastAsiaTheme="minorHAnsi" w:hAnsiTheme="minorHAnsi" w:cstheme="minorBidi"/>
          <w:lang w:val="en-AU"/>
        </w:rPr>
      </w:pPr>
      <w:r w:rsidRPr="002B574B">
        <w:rPr>
          <w:rFonts w:asciiTheme="minorHAnsi" w:eastAsiaTheme="minorHAnsi" w:hAnsiTheme="minorHAnsi" w:cstheme="minorBidi"/>
          <w:lang w:val="en-AU"/>
        </w:rPr>
        <w:t>Royal Commissions or Official Inquiries be empowered to require a person to answer questions or produce documents or things, notwithstanding any secrecy provision (with a list of secrecy provisions subject to this override power to be enumerated in statute)</w:t>
      </w:r>
    </w:p>
    <w:p w14:paraId="0D7E79AB" w14:textId="77777777" w:rsidR="002B574B" w:rsidRDefault="002B574B" w:rsidP="001806FE">
      <w:pPr>
        <w:widowControl/>
        <w:numPr>
          <w:ilvl w:val="0"/>
          <w:numId w:val="7"/>
        </w:numPr>
        <w:autoSpaceDE/>
        <w:autoSpaceDN/>
        <w:spacing w:before="120" w:after="120" w:line="276" w:lineRule="auto"/>
        <w:contextualSpacing/>
        <w:rPr>
          <w:rFonts w:asciiTheme="minorHAnsi" w:eastAsiaTheme="minorHAnsi" w:hAnsiTheme="minorHAnsi" w:cstheme="minorBidi"/>
          <w:lang w:val="en-AU"/>
        </w:rPr>
      </w:pPr>
      <w:r w:rsidRPr="002B574B">
        <w:rPr>
          <w:rFonts w:asciiTheme="minorHAnsi" w:eastAsiaTheme="minorHAnsi" w:hAnsiTheme="minorHAnsi" w:cstheme="minorBidi"/>
          <w:lang w:val="en-AU"/>
        </w:rPr>
        <w:t>a person be granted immunity from any criminal, civil, administrative or disciplinary proceedings if they are required by a Royal Commission or Official Inquiry to provide information.</w:t>
      </w:r>
    </w:p>
    <w:p w14:paraId="480E4CDE" w14:textId="77777777" w:rsidR="002B574B" w:rsidRPr="002B574B" w:rsidRDefault="002B574B" w:rsidP="002B574B">
      <w:pPr>
        <w:widowControl/>
        <w:autoSpaceDE/>
        <w:autoSpaceDN/>
        <w:spacing w:before="120" w:after="120" w:line="276" w:lineRule="auto"/>
        <w:contextualSpacing/>
        <w:rPr>
          <w:rFonts w:asciiTheme="minorHAnsi" w:eastAsiaTheme="minorHAnsi" w:hAnsiTheme="minorHAnsi" w:cstheme="minorBidi"/>
          <w:lang w:val="en-AU"/>
        </w:rPr>
      </w:pPr>
    </w:p>
    <w:p w14:paraId="67A7BFE1"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193" w:name="_Toc129709884"/>
      <w:bookmarkStart w:id="194" w:name="_Toc129710842"/>
      <w:bookmarkStart w:id="195" w:name="_Toc130218816"/>
      <w:bookmarkStart w:id="196" w:name="_Toc130226906"/>
      <w:bookmarkStart w:id="197" w:name="_Toc130307423"/>
      <w:bookmarkStart w:id="198" w:name="_Toc130307630"/>
      <w:bookmarkStart w:id="199" w:name="_Toc130307714"/>
      <w:bookmarkStart w:id="200" w:name="_Toc130310347"/>
      <w:bookmarkStart w:id="201" w:name="_Toc130311759"/>
      <w:bookmarkStart w:id="202" w:name="_Toc130312404"/>
      <w:bookmarkStart w:id="203" w:name="_Toc130465911"/>
      <w:r w:rsidRPr="002B574B">
        <w:rPr>
          <w:rFonts w:ascii="Calibri" w:eastAsia="SimSun" w:hAnsi="Calibri" w:cs="Angsana New"/>
          <w:b/>
          <w:bCs/>
          <w:color w:val="404040"/>
          <w:w w:val="105"/>
          <w:kern w:val="40"/>
          <w:sz w:val="32"/>
          <w:szCs w:val="32"/>
          <w:lang w:val="en-AU"/>
        </w:rPr>
        <w:lastRenderedPageBreak/>
        <w:t xml:space="preserve">Independent National Security Legislation Monitor (INSLM) – </w:t>
      </w:r>
      <w:r w:rsidRPr="002B574B">
        <w:rPr>
          <w:rFonts w:ascii="Calibri" w:eastAsia="SimSun" w:hAnsi="Calibri" w:cs="Angsana New"/>
          <w:b/>
          <w:bCs/>
          <w:i/>
          <w:color w:val="404040"/>
          <w:w w:val="105"/>
          <w:kern w:val="40"/>
          <w:sz w:val="32"/>
          <w:szCs w:val="32"/>
          <w:lang w:val="en-AU"/>
        </w:rPr>
        <w:t xml:space="preserve">Report on the impact on journalists of section 35P of the ASIO Act </w:t>
      </w:r>
      <w:r w:rsidRPr="002B574B">
        <w:rPr>
          <w:rFonts w:ascii="Calibri" w:eastAsia="SimSun" w:hAnsi="Calibri" w:cs="Angsana New"/>
          <w:b/>
          <w:bCs/>
          <w:color w:val="404040"/>
          <w:w w:val="105"/>
          <w:kern w:val="40"/>
          <w:sz w:val="32"/>
          <w:szCs w:val="32"/>
          <w:lang w:val="en-AU"/>
        </w:rPr>
        <w:t>(2015)</w:t>
      </w:r>
      <w:bookmarkEnd w:id="193"/>
      <w:bookmarkEnd w:id="194"/>
      <w:bookmarkEnd w:id="195"/>
      <w:bookmarkEnd w:id="196"/>
      <w:bookmarkEnd w:id="197"/>
      <w:bookmarkEnd w:id="198"/>
      <w:bookmarkEnd w:id="199"/>
      <w:bookmarkEnd w:id="200"/>
      <w:bookmarkEnd w:id="201"/>
      <w:bookmarkEnd w:id="202"/>
      <w:bookmarkEnd w:id="203"/>
    </w:p>
    <w:p w14:paraId="297915C6" w14:textId="77777777" w:rsidR="002B574B" w:rsidRDefault="002B574B" w:rsidP="002B574B">
      <w:pPr>
        <w:widowControl/>
        <w:autoSpaceDE/>
        <w:autoSpaceDN/>
        <w:spacing w:before="120" w:after="120" w:line="276" w:lineRule="auto"/>
        <w:contextualSpacing/>
        <w:rPr>
          <w:rFonts w:ascii="Calibri" w:eastAsia="Calibri" w:hAnsi="Calibri" w:cs="Calibri"/>
          <w:color w:val="000000"/>
          <w:w w:val="105"/>
          <w:kern w:val="40"/>
          <w:shd w:val="clear" w:color="auto" w:fill="FFFFFF"/>
          <w:lang w:val="en-AU"/>
        </w:rPr>
      </w:pPr>
      <w:r w:rsidRPr="002B574B">
        <w:rPr>
          <w:rFonts w:ascii="Calibri" w:eastAsia="Calibri" w:hAnsi="Calibri" w:cs="Calibri"/>
          <w:w w:val="105"/>
          <w:kern w:val="40"/>
          <w:lang w:val="en-AU"/>
        </w:rPr>
        <w:t xml:space="preserve">On 21 October 2015, the then INSLM, the Hon. Roger </w:t>
      </w:r>
      <w:proofErr w:type="spellStart"/>
      <w:r w:rsidRPr="002B574B">
        <w:rPr>
          <w:rFonts w:ascii="Calibri" w:eastAsia="Calibri" w:hAnsi="Calibri" w:cs="Calibri"/>
          <w:w w:val="105"/>
          <w:kern w:val="40"/>
          <w:lang w:val="en-AU"/>
        </w:rPr>
        <w:t>Gyles</w:t>
      </w:r>
      <w:proofErr w:type="spellEnd"/>
      <w:r w:rsidRPr="002B574B">
        <w:rPr>
          <w:rFonts w:ascii="Calibri" w:eastAsia="Calibri" w:hAnsi="Calibri" w:cs="Calibri"/>
          <w:w w:val="105"/>
          <w:kern w:val="40"/>
          <w:lang w:val="en-AU"/>
        </w:rPr>
        <w:t xml:space="preserve"> AO QC completed a report on the impact on journalists of section 35P of the </w:t>
      </w:r>
      <w:r w:rsidRPr="002B574B">
        <w:rPr>
          <w:rFonts w:ascii="Calibri" w:eastAsia="Calibri" w:hAnsi="Calibri" w:cs="Calibri"/>
          <w:i/>
          <w:w w:val="105"/>
          <w:kern w:val="40"/>
          <w:lang w:val="en-AU"/>
        </w:rPr>
        <w:t>Australian Security Intelligence Organisation Act 1979</w:t>
      </w:r>
      <w:r w:rsidRPr="002B574B">
        <w:rPr>
          <w:rFonts w:ascii="Calibri" w:eastAsia="Calibri" w:hAnsi="Calibri" w:cs="Calibri"/>
          <w:w w:val="105"/>
          <w:kern w:val="40"/>
          <w:lang w:val="en-AU"/>
        </w:rPr>
        <w:t xml:space="preserve"> (ASIO Act). The report discusses the impact on journalists of the operation of section 35P of the ASIO Act, which concerns offences for the disclosure of information relating to a special intelligence operation. The INSLM concluded that any restriction on freedom of expression by journalists should be proportional to maintaining national security. The </w:t>
      </w:r>
      <w:r w:rsidRPr="002B574B">
        <w:rPr>
          <w:rFonts w:ascii="Calibri" w:eastAsia="Calibri" w:hAnsi="Calibri" w:cs="Calibri"/>
          <w:i/>
          <w:w w:val="105"/>
          <w:kern w:val="40"/>
          <w:lang w:val="en-AU"/>
        </w:rPr>
        <w:t>Counter-Terrorism Legislation Amendment Act (No. 1) 2016</w:t>
      </w:r>
      <w:r w:rsidRPr="002B574B">
        <w:rPr>
          <w:rFonts w:ascii="Calibri" w:eastAsia="Calibri" w:hAnsi="Calibri" w:cs="Calibri"/>
          <w:w w:val="105"/>
          <w:kern w:val="40"/>
          <w:lang w:val="en-AU"/>
        </w:rPr>
        <w:t xml:space="preserve"> implemented the INSLM’s recommendations by amending section 35P so that the offence would only apply to members of the public (including journalists) in circumstances where the disclosure would </w:t>
      </w:r>
      <w:r w:rsidRPr="002B574B">
        <w:rPr>
          <w:rFonts w:ascii="Calibri" w:eastAsia="Calibri" w:hAnsi="Calibri" w:cs="Calibri"/>
          <w:color w:val="000000"/>
          <w:w w:val="105"/>
          <w:kern w:val="40"/>
          <w:shd w:val="clear" w:color="auto" w:fill="FFFFFF"/>
          <w:lang w:val="en-AU"/>
        </w:rPr>
        <w:t xml:space="preserve">endanger the health or safety of a person or prejudice the effective conduct of a special intelligence operation.  </w:t>
      </w:r>
    </w:p>
    <w:p w14:paraId="25450A26"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64A316A4"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204" w:name="_Toc129709885"/>
      <w:bookmarkStart w:id="205" w:name="_Toc129710843"/>
      <w:bookmarkStart w:id="206" w:name="_Toc130218817"/>
      <w:bookmarkStart w:id="207" w:name="_Toc130226907"/>
      <w:bookmarkStart w:id="208" w:name="_Toc130307424"/>
      <w:bookmarkStart w:id="209" w:name="_Toc130307631"/>
      <w:bookmarkStart w:id="210" w:name="_Toc130307715"/>
      <w:bookmarkStart w:id="211" w:name="_Toc130310348"/>
      <w:bookmarkStart w:id="212" w:name="_Toc130311760"/>
      <w:bookmarkStart w:id="213" w:name="_Toc130312405"/>
      <w:bookmarkStart w:id="214" w:name="_Toc130465912"/>
      <w:r w:rsidRPr="002B574B">
        <w:rPr>
          <w:rFonts w:ascii="Calibri" w:eastAsia="SimSun" w:hAnsi="Calibri" w:cs="Angsana New"/>
          <w:b/>
          <w:bCs/>
          <w:color w:val="404040"/>
          <w:w w:val="105"/>
          <w:kern w:val="40"/>
          <w:sz w:val="32"/>
          <w:szCs w:val="32"/>
          <w:lang w:val="en-AU"/>
        </w:rPr>
        <w:t xml:space="preserve">Productivity Commission – </w:t>
      </w:r>
      <w:r w:rsidRPr="002B574B">
        <w:rPr>
          <w:rFonts w:ascii="Calibri" w:eastAsia="SimSun" w:hAnsi="Calibri" w:cs="Angsana New"/>
          <w:b/>
          <w:bCs/>
          <w:i/>
          <w:color w:val="404040"/>
          <w:w w:val="105"/>
          <w:kern w:val="40"/>
          <w:sz w:val="32"/>
          <w:szCs w:val="32"/>
          <w:lang w:val="en-AU"/>
        </w:rPr>
        <w:t>Data Availability and Use, Inquiry Report (2017)</w:t>
      </w:r>
      <w:bookmarkEnd w:id="204"/>
      <w:bookmarkEnd w:id="205"/>
      <w:bookmarkEnd w:id="206"/>
      <w:bookmarkEnd w:id="207"/>
      <w:bookmarkEnd w:id="208"/>
      <w:bookmarkEnd w:id="209"/>
      <w:bookmarkEnd w:id="210"/>
      <w:bookmarkEnd w:id="211"/>
      <w:bookmarkEnd w:id="212"/>
      <w:bookmarkEnd w:id="213"/>
      <w:bookmarkEnd w:id="214"/>
    </w:p>
    <w:p w14:paraId="5FA86C51" w14:textId="77777777" w:rsid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 xml:space="preserve">On 8 May 2017, the Productivity Commission published its report on the ways for the government to improve the availability and use of public sector data, which led to the development and introduction of the Data Availability and Transparency Act 2022. </w:t>
      </w:r>
    </w:p>
    <w:p w14:paraId="5B5037FD"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2F80D993" w14:textId="77777777" w:rsidR="002B574B" w:rsidRPr="002B574B" w:rsidRDefault="002B574B" w:rsidP="001806FE">
      <w:pPr>
        <w:keepNext/>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215" w:name="_Toc129709886"/>
      <w:bookmarkStart w:id="216" w:name="_Toc129710844"/>
      <w:bookmarkStart w:id="217" w:name="_Toc130218818"/>
      <w:bookmarkStart w:id="218" w:name="_Toc130226908"/>
      <w:bookmarkStart w:id="219" w:name="_Toc130307425"/>
      <w:bookmarkStart w:id="220" w:name="_Toc130307632"/>
      <w:bookmarkStart w:id="221" w:name="_Toc130307716"/>
      <w:bookmarkStart w:id="222" w:name="_Toc130310349"/>
      <w:bookmarkStart w:id="223" w:name="_Toc130311761"/>
      <w:bookmarkStart w:id="224" w:name="_Toc130312406"/>
      <w:bookmarkStart w:id="225" w:name="_Toc130465913"/>
      <w:r w:rsidRPr="002B574B">
        <w:rPr>
          <w:rFonts w:ascii="Calibri" w:eastAsia="SimSun" w:hAnsi="Calibri" w:cs="Angsana New"/>
          <w:b/>
          <w:bCs/>
          <w:color w:val="404040"/>
          <w:w w:val="105"/>
          <w:kern w:val="40"/>
          <w:sz w:val="32"/>
          <w:szCs w:val="32"/>
          <w:lang w:val="en-AU"/>
        </w:rPr>
        <w:t>Parliamentary Joint Committee on Intelligence and Security (PJCIS) – Advisory Report on the National Security Legislation Amendment (Espionage and Foreign Interference) Bill 2017</w:t>
      </w:r>
      <w:bookmarkEnd w:id="215"/>
      <w:bookmarkEnd w:id="216"/>
      <w:bookmarkEnd w:id="217"/>
      <w:bookmarkEnd w:id="218"/>
      <w:bookmarkEnd w:id="219"/>
      <w:bookmarkEnd w:id="220"/>
      <w:bookmarkEnd w:id="221"/>
      <w:bookmarkEnd w:id="222"/>
      <w:bookmarkEnd w:id="223"/>
      <w:bookmarkEnd w:id="224"/>
      <w:bookmarkEnd w:id="225"/>
    </w:p>
    <w:p w14:paraId="7D27AF1F" w14:textId="77777777" w:rsidR="002B574B" w:rsidRPr="002B574B" w:rsidRDefault="002B574B" w:rsidP="002B574B">
      <w:pPr>
        <w:widowControl/>
        <w:autoSpaceDE/>
        <w:autoSpaceDN/>
        <w:spacing w:before="120" w:after="120" w:line="276" w:lineRule="auto"/>
        <w:contextualSpacing/>
        <w:rPr>
          <w:rFonts w:ascii="Calibri" w:eastAsia="Calibri" w:hAnsi="Calibri" w:cstheme="minorHAnsi"/>
          <w:w w:val="105"/>
          <w:kern w:val="40"/>
          <w:lang w:val="en-AU"/>
        </w:rPr>
      </w:pPr>
      <w:r w:rsidRPr="002B574B">
        <w:rPr>
          <w:rFonts w:ascii="Calibri" w:eastAsia="Calibri" w:hAnsi="Calibri" w:cs="Calibri"/>
          <w:w w:val="105"/>
          <w:kern w:val="40"/>
          <w:lang w:val="en-AU"/>
        </w:rPr>
        <w:t xml:space="preserve">The </w:t>
      </w:r>
      <w:r w:rsidRPr="002B574B">
        <w:rPr>
          <w:rFonts w:ascii="Calibri" w:eastAsia="Calibri" w:hAnsi="Calibri" w:cs="Calibri"/>
          <w:i/>
          <w:w w:val="105"/>
          <w:kern w:val="40"/>
          <w:lang w:val="en-AU"/>
        </w:rPr>
        <w:t>National Security Legislation Amendment (Espionage and Foreign Interference) Act 2018</w:t>
      </w:r>
      <w:r w:rsidRPr="002B574B">
        <w:rPr>
          <w:rFonts w:ascii="Calibri" w:eastAsia="Calibri" w:hAnsi="Calibri" w:cs="Calibri"/>
          <w:w w:val="105"/>
          <w:kern w:val="40"/>
          <w:lang w:val="en-AU"/>
        </w:rPr>
        <w:t xml:space="preserve"> (EFI Act) replaced sections 70 and 79 of the </w:t>
      </w:r>
      <w:r w:rsidRPr="002B574B">
        <w:rPr>
          <w:rFonts w:ascii="Calibri" w:eastAsia="Calibri" w:hAnsi="Calibri" w:cs="Calibri"/>
          <w:i/>
          <w:w w:val="105"/>
          <w:kern w:val="40"/>
          <w:lang w:val="en-AU"/>
        </w:rPr>
        <w:t>Crimes Act 1914</w:t>
      </w:r>
      <w:r w:rsidRPr="002B574B">
        <w:rPr>
          <w:rFonts w:ascii="Calibri" w:eastAsia="Calibri" w:hAnsi="Calibri" w:cs="Calibri"/>
          <w:w w:val="105"/>
          <w:kern w:val="40"/>
          <w:lang w:val="en-AU"/>
        </w:rPr>
        <w:t xml:space="preserve"> with the general secrecy offences in Part 5.6 of</w:t>
      </w:r>
      <w:r w:rsidRPr="002B574B">
        <w:rPr>
          <w:rFonts w:ascii="Calibri" w:eastAsia="Calibri" w:hAnsi="Calibri" w:cstheme="minorHAnsi"/>
          <w:w w:val="105"/>
          <w:kern w:val="40"/>
          <w:lang w:val="en-AU"/>
        </w:rPr>
        <w:t xml:space="preserve"> the Criminal Code. This includes section 122.4 which provides a criminal penalty for unauthorised disclosure of information by a current or former Commonwealth Officer. </w:t>
      </w:r>
    </w:p>
    <w:p w14:paraId="7676267A" w14:textId="77777777" w:rsidR="002B574B" w:rsidRPr="002B574B" w:rsidRDefault="002B574B" w:rsidP="002B574B">
      <w:pPr>
        <w:widowControl/>
        <w:autoSpaceDE/>
        <w:autoSpaceDN/>
        <w:spacing w:before="120" w:after="120" w:line="276" w:lineRule="auto"/>
        <w:rPr>
          <w:rFonts w:ascii="Calibri" w:eastAsia="Calibri" w:hAnsi="Calibri" w:cs="Calibri"/>
          <w:w w:val="105"/>
          <w:kern w:val="40"/>
          <w:lang w:val="en-AU"/>
        </w:rPr>
      </w:pPr>
      <w:r w:rsidRPr="002B574B">
        <w:rPr>
          <w:rFonts w:ascii="Calibri" w:eastAsia="Calibri" w:hAnsi="Calibri" w:cstheme="minorHAnsi"/>
          <w:w w:val="105"/>
          <w:kern w:val="40"/>
          <w:lang w:val="en-AU"/>
        </w:rPr>
        <w:t xml:space="preserve">The PJCIS’ advisory report on the Act’s enabling Bill recommended that </w:t>
      </w:r>
      <w:r w:rsidRPr="002B574B">
        <w:rPr>
          <w:rFonts w:ascii="Calibri" w:eastAsia="Calibri" w:hAnsi="Calibri" w:cs="Calibri"/>
          <w:w w:val="105"/>
          <w:kern w:val="40"/>
          <w:lang w:val="en-AU"/>
        </w:rPr>
        <w:t xml:space="preserve">a sunset period of five years apply to proposed section 122.4. This recommendation was adopted, resulting in the section’s sunsetting date of 29 December 2023. The report also recommended that the Attorney-General initiate a review of existing secrecy offences contained in other legislation, </w:t>
      </w:r>
      <w:proofErr w:type="gramStart"/>
      <w:r w:rsidRPr="002B574B">
        <w:rPr>
          <w:rFonts w:ascii="Calibri" w:eastAsia="Calibri" w:hAnsi="Calibri" w:cs="Calibri"/>
          <w:w w:val="105"/>
          <w:kern w:val="40"/>
          <w:lang w:val="en-AU"/>
        </w:rPr>
        <w:t>taking into account</w:t>
      </w:r>
      <w:proofErr w:type="gramEnd"/>
      <w:r w:rsidRPr="002B574B">
        <w:rPr>
          <w:rFonts w:ascii="Calibri" w:eastAsia="Calibri" w:hAnsi="Calibri" w:cs="Calibri"/>
          <w:w w:val="105"/>
          <w:kern w:val="40"/>
          <w:lang w:val="en-AU"/>
        </w:rPr>
        <w:t xml:space="preserve"> the set of principles contained in the ALRC report, </w:t>
      </w:r>
      <w:r w:rsidRPr="002B574B">
        <w:rPr>
          <w:rFonts w:ascii="Calibri" w:eastAsia="Calibri" w:hAnsi="Calibri" w:cs="Calibri"/>
          <w:i/>
          <w:w w:val="105"/>
          <w:kern w:val="40"/>
          <w:lang w:val="en-AU"/>
        </w:rPr>
        <w:t xml:space="preserve">Secrecy Laws and Open </w:t>
      </w:r>
      <w:r w:rsidRPr="00C36122">
        <w:rPr>
          <w:rFonts w:ascii="Calibri" w:eastAsia="Calibri" w:hAnsi="Calibri" w:cs="Calibri"/>
          <w:w w:val="105"/>
          <w:kern w:val="40"/>
          <w:lang w:val="en-AU"/>
        </w:rPr>
        <w:t xml:space="preserve">Government in Australia </w:t>
      </w:r>
      <w:r w:rsidRPr="002B574B">
        <w:rPr>
          <w:rFonts w:ascii="Calibri" w:eastAsia="Calibri" w:hAnsi="Calibri" w:cs="Calibri"/>
          <w:w w:val="105"/>
          <w:kern w:val="40"/>
          <w:lang w:val="en-AU"/>
        </w:rPr>
        <w:t>(see item 1 in this annexure).</w:t>
      </w:r>
    </w:p>
    <w:p w14:paraId="2DAF1E04" w14:textId="4A8CF0B6" w:rsidR="002B574B" w:rsidRDefault="002B574B" w:rsidP="002B574B">
      <w:pPr>
        <w:widowControl/>
        <w:autoSpaceDE/>
        <w:autoSpaceDN/>
        <w:spacing w:before="120" w:after="120" w:line="276" w:lineRule="auto"/>
        <w:rPr>
          <w:rFonts w:ascii="Calibri" w:eastAsia="Calibri" w:hAnsi="Calibri" w:cs="Calibri"/>
          <w:w w:val="105"/>
          <w:kern w:val="40"/>
          <w:lang w:val="en-AU"/>
        </w:rPr>
      </w:pPr>
      <w:r w:rsidRPr="002B574B">
        <w:rPr>
          <w:rFonts w:ascii="Calibri" w:eastAsia="Calibri" w:hAnsi="Calibri" w:cs="Calibri"/>
          <w:w w:val="105"/>
          <w:kern w:val="40"/>
          <w:lang w:val="en-AU"/>
        </w:rPr>
        <w:t xml:space="preserve">The </w:t>
      </w:r>
      <w:r w:rsidR="00C36122">
        <w:rPr>
          <w:rFonts w:ascii="Calibri" w:eastAsia="Calibri" w:hAnsi="Calibri" w:cs="Calibri"/>
          <w:w w:val="105"/>
          <w:kern w:val="40"/>
          <w:lang w:val="en-AU"/>
        </w:rPr>
        <w:t xml:space="preserve">PJCIS </w:t>
      </w:r>
      <w:r w:rsidRPr="002B574B">
        <w:rPr>
          <w:rFonts w:ascii="Calibri" w:eastAsia="Calibri" w:hAnsi="Calibri" w:cs="Calibri"/>
          <w:w w:val="105"/>
          <w:kern w:val="40"/>
          <w:lang w:val="en-AU"/>
        </w:rPr>
        <w:t>report</w:t>
      </w:r>
      <w:r w:rsidR="00C36122">
        <w:rPr>
          <w:rFonts w:ascii="Calibri" w:eastAsia="Calibri" w:hAnsi="Calibri" w:cs="Calibri"/>
          <w:w w:val="105"/>
          <w:kern w:val="40"/>
          <w:lang w:val="en-AU"/>
        </w:rPr>
        <w:t xml:space="preserve"> also</w:t>
      </w:r>
      <w:r w:rsidRPr="002B574B">
        <w:rPr>
          <w:rFonts w:ascii="Calibri" w:eastAsia="Calibri" w:hAnsi="Calibri" w:cs="Calibri"/>
          <w:w w:val="105"/>
          <w:kern w:val="40"/>
          <w:lang w:val="en-AU"/>
        </w:rPr>
        <w:t xml:space="preserve"> made recommendations to refine the proposed public interest journalism defence in Part 5.6, including legislating a requirement that a journalist seeking to rely on the defence must reasonably believe that dealing with or holding information regulated by the general secrecy offences is in the public interest. The report’s recommendations for the public interest journalism defence were implemented by the EFI Act.</w:t>
      </w:r>
    </w:p>
    <w:p w14:paraId="321F577F"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776C6705"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i/>
          <w:color w:val="404040"/>
          <w:w w:val="105"/>
          <w:kern w:val="40"/>
          <w:sz w:val="32"/>
          <w:szCs w:val="32"/>
          <w:lang w:val="en-AU"/>
        </w:rPr>
      </w:pPr>
      <w:bookmarkStart w:id="226" w:name="_Toc129709887"/>
      <w:bookmarkStart w:id="227" w:name="_Toc129710845"/>
      <w:bookmarkStart w:id="228" w:name="_Toc130218819"/>
      <w:bookmarkStart w:id="229" w:name="_Toc130226909"/>
      <w:bookmarkStart w:id="230" w:name="_Toc130307426"/>
      <w:bookmarkStart w:id="231" w:name="_Toc130307633"/>
      <w:bookmarkStart w:id="232" w:name="_Toc130307717"/>
      <w:bookmarkStart w:id="233" w:name="_Toc130310350"/>
      <w:bookmarkStart w:id="234" w:name="_Toc130311762"/>
      <w:bookmarkStart w:id="235" w:name="_Toc130312407"/>
      <w:bookmarkStart w:id="236" w:name="_Toc130465914"/>
      <w:r w:rsidRPr="002B574B">
        <w:rPr>
          <w:rFonts w:ascii="Calibri" w:eastAsia="SimSun" w:hAnsi="Calibri" w:cs="Angsana New"/>
          <w:b/>
          <w:bCs/>
          <w:color w:val="404040"/>
          <w:w w:val="105"/>
          <w:kern w:val="40"/>
          <w:sz w:val="32"/>
          <w:szCs w:val="32"/>
          <w:lang w:val="en-AU"/>
        </w:rPr>
        <w:lastRenderedPageBreak/>
        <w:t xml:space="preserve">PJCIS – </w:t>
      </w:r>
      <w:r w:rsidRPr="002B574B">
        <w:rPr>
          <w:rFonts w:ascii="Calibri" w:eastAsia="SimSun" w:hAnsi="Calibri" w:cs="Angsana New"/>
          <w:b/>
          <w:bCs/>
          <w:i/>
          <w:color w:val="404040"/>
          <w:w w:val="105"/>
          <w:kern w:val="40"/>
          <w:sz w:val="32"/>
          <w:szCs w:val="32"/>
          <w:lang w:val="en-AU"/>
        </w:rPr>
        <w:t>Inquiry into the impact of the exercise of law enforcement and intelligence powers on the freedom of the press (2020)</w:t>
      </w:r>
      <w:bookmarkEnd w:id="226"/>
      <w:bookmarkEnd w:id="227"/>
      <w:bookmarkEnd w:id="228"/>
      <w:bookmarkEnd w:id="229"/>
      <w:bookmarkEnd w:id="230"/>
      <w:bookmarkEnd w:id="231"/>
      <w:bookmarkEnd w:id="232"/>
      <w:bookmarkEnd w:id="233"/>
      <w:bookmarkEnd w:id="234"/>
      <w:bookmarkEnd w:id="235"/>
      <w:bookmarkEnd w:id="236"/>
    </w:p>
    <w:p w14:paraId="14B91A63" w14:textId="77777777" w:rsid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 xml:space="preserve">On 4 July 2019, the PJCIS commenced an inquiry into the impact of the exercise of law enforcement and intelligence powers on the freedom of the press. In August 2020, the PJCIS recommended that the former Government prioritise the review of Commonwealth secrecy offences and consider whether defences for public interest journalism should be applied to other secrecy offences within Commonwealth legislation. </w:t>
      </w:r>
    </w:p>
    <w:p w14:paraId="1C360D47"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60A810F1"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237" w:name="_Toc129709888"/>
      <w:bookmarkStart w:id="238" w:name="_Toc129710846"/>
      <w:bookmarkStart w:id="239" w:name="_Toc130218820"/>
      <w:bookmarkStart w:id="240" w:name="_Toc130226910"/>
      <w:bookmarkStart w:id="241" w:name="_Toc130307427"/>
      <w:bookmarkStart w:id="242" w:name="_Toc130307634"/>
      <w:bookmarkStart w:id="243" w:name="_Toc130307718"/>
      <w:bookmarkStart w:id="244" w:name="_Toc130310351"/>
      <w:bookmarkStart w:id="245" w:name="_Toc130311763"/>
      <w:bookmarkStart w:id="246" w:name="_Toc130312408"/>
      <w:bookmarkStart w:id="247" w:name="_Toc130465915"/>
      <w:r w:rsidRPr="002B574B">
        <w:rPr>
          <w:rFonts w:ascii="Calibri" w:eastAsia="SimSun" w:hAnsi="Calibri" w:cs="Angsana New"/>
          <w:b/>
          <w:bCs/>
          <w:color w:val="404040"/>
          <w:w w:val="105"/>
          <w:kern w:val="40"/>
          <w:sz w:val="32"/>
          <w:szCs w:val="32"/>
          <w:lang w:val="en-AU"/>
        </w:rPr>
        <w:t xml:space="preserve">The Senate Environment and Communications References Committee – </w:t>
      </w:r>
      <w:r w:rsidRPr="002B574B">
        <w:rPr>
          <w:rFonts w:ascii="Calibri" w:eastAsia="SimSun" w:hAnsi="Calibri" w:cs="Angsana New"/>
          <w:b/>
          <w:bCs/>
          <w:i/>
          <w:color w:val="404040"/>
          <w:w w:val="105"/>
          <w:kern w:val="40"/>
          <w:sz w:val="32"/>
          <w:szCs w:val="32"/>
          <w:lang w:val="en-AU"/>
        </w:rPr>
        <w:t xml:space="preserve">Freedom of the Press </w:t>
      </w:r>
      <w:r w:rsidRPr="002B574B">
        <w:rPr>
          <w:rFonts w:ascii="Calibri" w:eastAsia="SimSun" w:hAnsi="Calibri" w:cs="Angsana New"/>
          <w:b/>
          <w:bCs/>
          <w:color w:val="404040"/>
          <w:w w:val="105"/>
          <w:kern w:val="40"/>
          <w:sz w:val="32"/>
          <w:szCs w:val="32"/>
          <w:lang w:val="en-AU"/>
        </w:rPr>
        <w:t>(2021)</w:t>
      </w:r>
      <w:bookmarkEnd w:id="237"/>
      <w:bookmarkEnd w:id="238"/>
      <w:bookmarkEnd w:id="239"/>
      <w:bookmarkEnd w:id="240"/>
      <w:bookmarkEnd w:id="241"/>
      <w:bookmarkEnd w:id="242"/>
      <w:bookmarkEnd w:id="243"/>
      <w:bookmarkEnd w:id="244"/>
      <w:bookmarkEnd w:id="245"/>
      <w:bookmarkEnd w:id="246"/>
      <w:bookmarkEnd w:id="247"/>
    </w:p>
    <w:p w14:paraId="2A9ED793" w14:textId="77777777" w:rsidR="002B574B" w:rsidRDefault="002B574B" w:rsidP="002B574B">
      <w:pPr>
        <w:widowControl/>
        <w:autoSpaceDE/>
        <w:autoSpaceDN/>
        <w:spacing w:before="120" w:after="120" w:line="276" w:lineRule="auto"/>
        <w:contextualSpacing/>
        <w:rPr>
          <w:rFonts w:ascii="Calibri" w:eastAsia="Calibri" w:hAnsi="Calibri" w:cs="Tahoma"/>
          <w:w w:val="105"/>
          <w:kern w:val="40"/>
          <w:lang w:val="en-AU"/>
        </w:rPr>
      </w:pPr>
      <w:r w:rsidRPr="002B574B">
        <w:rPr>
          <w:rFonts w:ascii="Calibri" w:eastAsia="Calibri" w:hAnsi="Calibri" w:cs="Calibri"/>
          <w:w w:val="105"/>
          <w:kern w:val="40"/>
          <w:lang w:val="en-AU"/>
        </w:rPr>
        <w:t xml:space="preserve">On 23 July 2019, the Senate referred an inquiry into press freedom to the Environment and Communications References Committee for report by 4 December 2019. The inquiry’s final report was completed in May 2021. </w:t>
      </w:r>
      <w:r w:rsidRPr="002B574B">
        <w:rPr>
          <w:rFonts w:ascii="Calibri" w:eastAsia="Calibri" w:hAnsi="Calibri" w:cs="Tahoma"/>
          <w:w w:val="105"/>
          <w:kern w:val="40"/>
          <w:lang w:val="en-AU"/>
        </w:rPr>
        <w:t xml:space="preserve">The report made 17 recommendations relating to a range of matters, including the Review, reforms to the Freedom of Information regime, reforms to the </w:t>
      </w:r>
      <w:r w:rsidRPr="002B574B">
        <w:rPr>
          <w:rFonts w:ascii="Calibri" w:eastAsia="Calibri" w:hAnsi="Calibri" w:cs="Tahoma"/>
          <w:i/>
          <w:w w:val="105"/>
          <w:kern w:val="40"/>
          <w:lang w:val="en-AU"/>
        </w:rPr>
        <w:t>Public Interest Disclosure Act 2013</w:t>
      </w:r>
      <w:r w:rsidRPr="002B574B">
        <w:rPr>
          <w:rFonts w:ascii="Calibri" w:eastAsia="Calibri" w:hAnsi="Calibri" w:cs="Tahoma"/>
          <w:w w:val="105"/>
          <w:kern w:val="40"/>
          <w:lang w:val="en-AU"/>
        </w:rPr>
        <w:t xml:space="preserve"> and the journalist shield provisions in the </w:t>
      </w:r>
      <w:r w:rsidRPr="002B574B">
        <w:rPr>
          <w:rFonts w:ascii="Calibri" w:eastAsia="Calibri" w:hAnsi="Calibri" w:cs="Tahoma"/>
          <w:i/>
          <w:w w:val="105"/>
          <w:kern w:val="40"/>
          <w:lang w:val="en-AU"/>
        </w:rPr>
        <w:t>Evidence Act 1995</w:t>
      </w:r>
      <w:r w:rsidRPr="002B574B">
        <w:rPr>
          <w:rFonts w:ascii="Calibri" w:eastAsia="Calibri" w:hAnsi="Calibri" w:cs="Tahoma"/>
          <w:w w:val="105"/>
          <w:kern w:val="40"/>
          <w:lang w:val="en-AU"/>
        </w:rPr>
        <w:t xml:space="preserve">. A number of the report’s recommendations cross over with recommendations of the PJCIS press freedoms inquiry. </w:t>
      </w:r>
    </w:p>
    <w:p w14:paraId="2AC0FD11"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48B946C6" w14:textId="77777777" w:rsidR="002B574B" w:rsidRPr="002B574B" w:rsidRDefault="002B574B" w:rsidP="001806FE">
      <w:pPr>
        <w:keepNext/>
        <w:keepLines/>
        <w:widowControl/>
        <w:numPr>
          <w:ilvl w:val="0"/>
          <w:numId w:val="8"/>
        </w:numPr>
        <w:autoSpaceDE/>
        <w:autoSpaceDN/>
        <w:spacing w:before="120" w:after="120" w:line="276" w:lineRule="auto"/>
        <w:contextualSpacing/>
        <w:outlineLvl w:val="2"/>
        <w:rPr>
          <w:rFonts w:ascii="Calibri" w:eastAsia="SimSun" w:hAnsi="Calibri" w:cs="Angsana New"/>
          <w:b/>
          <w:bCs/>
          <w:color w:val="404040"/>
          <w:w w:val="105"/>
          <w:kern w:val="40"/>
          <w:sz w:val="32"/>
          <w:szCs w:val="32"/>
          <w:lang w:val="en-AU"/>
        </w:rPr>
      </w:pPr>
      <w:bookmarkStart w:id="248" w:name="_Toc129709889"/>
      <w:bookmarkStart w:id="249" w:name="_Toc129710847"/>
      <w:bookmarkStart w:id="250" w:name="_Toc130218821"/>
      <w:bookmarkStart w:id="251" w:name="_Toc130226911"/>
      <w:bookmarkStart w:id="252" w:name="_Toc130307428"/>
      <w:bookmarkStart w:id="253" w:name="_Toc130307635"/>
      <w:bookmarkStart w:id="254" w:name="_Toc130307719"/>
      <w:bookmarkStart w:id="255" w:name="_Toc130310352"/>
      <w:bookmarkStart w:id="256" w:name="_Toc130311764"/>
      <w:bookmarkStart w:id="257" w:name="_Toc130312409"/>
      <w:bookmarkStart w:id="258" w:name="_Toc130465916"/>
      <w:r w:rsidRPr="002B574B">
        <w:rPr>
          <w:rFonts w:ascii="Calibri" w:eastAsia="SimSun" w:hAnsi="Calibri" w:cs="Angsana New"/>
          <w:b/>
          <w:bCs/>
          <w:color w:val="404040"/>
          <w:w w:val="105"/>
          <w:kern w:val="40"/>
          <w:sz w:val="32"/>
          <w:szCs w:val="32"/>
          <w:lang w:val="en-AU"/>
        </w:rPr>
        <w:t xml:space="preserve">Royal Commission into Defence and Veteran Suicide – </w:t>
      </w:r>
      <w:r w:rsidRPr="002B574B">
        <w:rPr>
          <w:rFonts w:ascii="Calibri" w:eastAsia="SimSun" w:hAnsi="Calibri" w:cs="Angsana New"/>
          <w:b/>
          <w:bCs/>
          <w:i/>
          <w:color w:val="404040"/>
          <w:w w:val="105"/>
          <w:kern w:val="40"/>
          <w:sz w:val="32"/>
          <w:szCs w:val="32"/>
          <w:lang w:val="en-AU"/>
        </w:rPr>
        <w:t>Interim Report</w:t>
      </w:r>
      <w:r w:rsidRPr="002B574B">
        <w:rPr>
          <w:rFonts w:ascii="Calibri" w:eastAsia="SimSun" w:hAnsi="Calibri" w:cs="Angsana New"/>
          <w:b/>
          <w:bCs/>
          <w:color w:val="404040"/>
          <w:w w:val="105"/>
          <w:kern w:val="40"/>
          <w:sz w:val="32"/>
          <w:szCs w:val="32"/>
          <w:lang w:val="en-AU"/>
        </w:rPr>
        <w:t xml:space="preserve"> (2022)</w:t>
      </w:r>
      <w:bookmarkEnd w:id="248"/>
      <w:bookmarkEnd w:id="249"/>
      <w:bookmarkEnd w:id="250"/>
      <w:bookmarkEnd w:id="251"/>
      <w:bookmarkEnd w:id="252"/>
      <w:bookmarkEnd w:id="253"/>
      <w:bookmarkEnd w:id="254"/>
      <w:bookmarkEnd w:id="255"/>
      <w:bookmarkEnd w:id="256"/>
      <w:bookmarkEnd w:id="257"/>
      <w:bookmarkEnd w:id="258"/>
    </w:p>
    <w:p w14:paraId="06DCEC5B"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The interim report of the Royal Commission into Defence and Veteran Suicide (DVSRC) was presented to the Governor-General on 11 August 2022. The interim report recommended legislating a defence to the general secrecy offences in the Criminal Code and stated that defences to other secrecy offences would be needed to enable current and former Australian Defence Force members to provide information to the Royal Commission.</w:t>
      </w:r>
    </w:p>
    <w:p w14:paraId="64640B0A" w14:textId="7B36E12F"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r w:rsidRPr="002B574B">
        <w:rPr>
          <w:rFonts w:ascii="Calibri" w:eastAsia="Calibri" w:hAnsi="Calibri" w:cs="Calibri"/>
          <w:w w:val="105"/>
          <w:kern w:val="40"/>
          <w:lang w:val="en-AU"/>
        </w:rPr>
        <w:t>The Government responded to the DVSRC’s interim report in September 2022 and agreed in-principle with this recommendation, noting that the application of secrecy offences to future Royal Commissions would be considered by th</w:t>
      </w:r>
      <w:r w:rsidR="00C36122">
        <w:rPr>
          <w:rFonts w:ascii="Calibri" w:eastAsia="Calibri" w:hAnsi="Calibri" w:cs="Calibri"/>
          <w:w w:val="105"/>
          <w:kern w:val="40"/>
          <w:lang w:val="en-AU"/>
        </w:rPr>
        <w:t>e</w:t>
      </w:r>
      <w:r w:rsidRPr="002B574B">
        <w:rPr>
          <w:rFonts w:ascii="Calibri" w:eastAsia="Calibri" w:hAnsi="Calibri" w:cs="Calibri"/>
          <w:w w:val="105"/>
          <w:kern w:val="40"/>
          <w:lang w:val="en-AU"/>
        </w:rPr>
        <w:t xml:space="preserve"> Review</w:t>
      </w:r>
      <w:r w:rsidR="00C36122">
        <w:rPr>
          <w:rFonts w:ascii="Calibri" w:eastAsia="Calibri" w:hAnsi="Calibri" w:cs="Calibri"/>
          <w:w w:val="105"/>
          <w:kern w:val="40"/>
          <w:lang w:val="en-AU"/>
        </w:rPr>
        <w:t xml:space="preserve"> of Secrecy Provisions</w:t>
      </w:r>
      <w:r w:rsidRPr="002B574B">
        <w:rPr>
          <w:rFonts w:ascii="Calibri" w:eastAsia="Calibri" w:hAnsi="Calibri" w:cs="Calibri"/>
          <w:w w:val="105"/>
          <w:kern w:val="40"/>
          <w:lang w:val="en-AU"/>
        </w:rPr>
        <w:t xml:space="preserve">. </w:t>
      </w:r>
    </w:p>
    <w:bookmarkEnd w:id="159"/>
    <w:p w14:paraId="6D08705F" w14:textId="77777777" w:rsidR="002B574B" w:rsidRPr="002B574B" w:rsidRDefault="002B574B" w:rsidP="002B574B">
      <w:pPr>
        <w:widowControl/>
        <w:autoSpaceDE/>
        <w:autoSpaceDN/>
        <w:spacing w:before="120" w:after="120" w:line="276" w:lineRule="auto"/>
        <w:contextualSpacing/>
        <w:rPr>
          <w:rFonts w:ascii="Calibri" w:eastAsia="Calibri" w:hAnsi="Calibri" w:cs="Calibri"/>
          <w:w w:val="105"/>
          <w:kern w:val="40"/>
          <w:lang w:val="en-AU"/>
        </w:rPr>
      </w:pPr>
    </w:p>
    <w:p w14:paraId="77CBE25F" w14:textId="77777777" w:rsidR="002B574B" w:rsidRDefault="002B574B">
      <w:pPr>
        <w:pStyle w:val="BodyText"/>
        <w:spacing w:before="239" w:line="331" w:lineRule="auto"/>
        <w:ind w:left="429" w:right="373"/>
      </w:pPr>
    </w:p>
    <w:sectPr w:rsidR="002B574B" w:rsidSect="000C689D">
      <w:headerReference w:type="first" r:id="rId25"/>
      <w:footerReference w:type="first" r:id="rId26"/>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9E0F" w14:textId="77777777" w:rsidR="00BF68EF" w:rsidRDefault="00BF68EF">
      <w:r>
        <w:separator/>
      </w:r>
    </w:p>
  </w:endnote>
  <w:endnote w:type="continuationSeparator" w:id="0">
    <w:p w14:paraId="25E931D6" w14:textId="77777777" w:rsidR="00BF68EF" w:rsidRDefault="00BF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64980"/>
      <w:docPartObj>
        <w:docPartGallery w:val="Page Numbers (Bottom of Page)"/>
        <w:docPartUnique/>
      </w:docPartObj>
    </w:sdtPr>
    <w:sdtEndPr>
      <w:rPr>
        <w:noProof/>
      </w:rPr>
    </w:sdtEndPr>
    <w:sdtContent>
      <w:p w14:paraId="0A2A6098" w14:textId="1E15BE4E" w:rsidR="00B1182D" w:rsidRDefault="00B11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C6845" w14:textId="77777777" w:rsidR="00BD6A1E" w:rsidRDefault="00BD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22271"/>
      <w:docPartObj>
        <w:docPartGallery w:val="Page Numbers (Bottom of Page)"/>
        <w:docPartUnique/>
      </w:docPartObj>
    </w:sdtPr>
    <w:sdtEndPr>
      <w:rPr>
        <w:noProof/>
      </w:rPr>
    </w:sdtEndPr>
    <w:sdtContent>
      <w:p w14:paraId="2A8092F1" w14:textId="7985A869" w:rsidR="00B1182D" w:rsidRDefault="00B1182D" w:rsidP="00B11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C1930" w14:textId="77777777" w:rsidR="00BD6A1E" w:rsidRDefault="00BD6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2278" w14:textId="77777777" w:rsidR="00BD6A1E" w:rsidRDefault="00BD6A1E">
    <w:pPr>
      <w:pStyle w:val="Footer"/>
      <w:jc w:val="right"/>
    </w:pPr>
  </w:p>
  <w:p w14:paraId="7D3C2B62" w14:textId="70EDE72E" w:rsidR="00BD6A1E" w:rsidRDefault="00B1182D" w:rsidP="00B1182D">
    <w:pPr>
      <w:pStyle w:val="Footer"/>
      <w:tabs>
        <w:tab w:val="left" w:pos="7390"/>
      </w:tabs>
      <w:jc w:val="center"/>
    </w:pPr>
    <w:r>
      <w:t>20</w:t>
    </w:r>
  </w:p>
  <w:p w14:paraId="08594DFC" w14:textId="77777777" w:rsidR="00BD6A1E" w:rsidRDefault="00BD6A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546058"/>
      <w:docPartObj>
        <w:docPartGallery w:val="Page Numbers (Bottom of Page)"/>
        <w:docPartUnique/>
      </w:docPartObj>
    </w:sdtPr>
    <w:sdtEndPr>
      <w:rPr>
        <w:noProof/>
      </w:rPr>
    </w:sdtEndPr>
    <w:sdtContent>
      <w:p w14:paraId="059C6A61" w14:textId="75C73281" w:rsidR="000C689D" w:rsidRDefault="000C6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8C84D" w14:textId="1840B640" w:rsidR="00BD6A1E" w:rsidRDefault="00BD6A1E">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1160" w14:textId="08D42102" w:rsidR="00BD6A1E" w:rsidRDefault="00B1182D" w:rsidP="00B1182D">
    <w:pPr>
      <w:pStyle w:val="Footer"/>
      <w:jc w:val="center"/>
    </w:pPr>
    <w:r>
      <w:t>21</w:t>
    </w:r>
  </w:p>
  <w:p w14:paraId="7ACF4DD6" w14:textId="77777777" w:rsidR="00BD6A1E" w:rsidRDefault="00BD6A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684"/>
      <w:docPartObj>
        <w:docPartGallery w:val="Page Numbers (Bottom of Page)"/>
        <w:docPartUnique/>
      </w:docPartObj>
    </w:sdtPr>
    <w:sdtEndPr>
      <w:rPr>
        <w:noProof/>
      </w:rPr>
    </w:sdtEndPr>
    <w:sdtContent>
      <w:p w14:paraId="0D4D00F6" w14:textId="234E1145" w:rsidR="000C689D" w:rsidRDefault="000C6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B0885" w14:textId="77777777" w:rsidR="00BD6A1E" w:rsidRDefault="00BD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1130" w14:textId="77777777" w:rsidR="00BF68EF" w:rsidRDefault="00BF68EF">
      <w:r>
        <w:separator/>
      </w:r>
    </w:p>
  </w:footnote>
  <w:footnote w:type="continuationSeparator" w:id="0">
    <w:p w14:paraId="12A56E2C" w14:textId="77777777" w:rsidR="00BF68EF" w:rsidRDefault="00BF68EF">
      <w:r>
        <w:continuationSeparator/>
      </w:r>
    </w:p>
  </w:footnote>
  <w:footnote w:id="1">
    <w:p w14:paraId="1D4E28ED" w14:textId="77777777" w:rsidR="00BD6A1E" w:rsidRDefault="00BD6A1E" w:rsidP="001806FE">
      <w:pPr>
        <w:pStyle w:val="FootnoteText"/>
      </w:pPr>
      <w:r>
        <w:rPr>
          <w:rStyle w:val="FootnoteReference"/>
        </w:rPr>
        <w:footnoteRef/>
      </w:r>
      <w:r>
        <w:t xml:space="preserve"> Secrecy Laws and Open Government in Australia, ALRC Report, p. 34.</w:t>
      </w:r>
    </w:p>
  </w:footnote>
  <w:footnote w:id="2">
    <w:p w14:paraId="5A84C498" w14:textId="77777777" w:rsidR="00BD6A1E" w:rsidRPr="00C8554C" w:rsidRDefault="00BD6A1E" w:rsidP="001806FE">
      <w:pPr>
        <w:pStyle w:val="FootnoteText"/>
      </w:pPr>
      <w:r>
        <w:rPr>
          <w:rStyle w:val="FootnoteReference"/>
        </w:rPr>
        <w:footnoteRef/>
      </w:r>
      <w:r>
        <w:t xml:space="preserve"> A March 2021 survey of Commonwealth secrecy legislation found 11 general secrecy offences, 487 specific secrecy offences in Commonwealth legislation and over 200 non-disclosure duties. Additional provisions have been identified from </w:t>
      </w:r>
      <w:proofErr w:type="gramStart"/>
      <w:r>
        <w:t>legislation  enacted</w:t>
      </w:r>
      <w:proofErr w:type="gramEnd"/>
      <w:r>
        <w:t xml:space="preserve"> since March 2021, and further review in consultation with </w:t>
      </w:r>
      <w:r w:rsidRPr="00D1312C">
        <w:t xml:space="preserve">departments. </w:t>
      </w:r>
    </w:p>
  </w:footnote>
  <w:footnote w:id="3">
    <w:p w14:paraId="3276D369" w14:textId="77777777" w:rsidR="00BD6A1E" w:rsidRDefault="00BD6A1E" w:rsidP="001806FE">
      <w:pPr>
        <w:pStyle w:val="FootnoteText"/>
      </w:pPr>
      <w:r>
        <w:rPr>
          <w:rStyle w:val="FootnoteReference"/>
        </w:rPr>
        <w:footnoteRef/>
      </w:r>
      <w:r>
        <w:t xml:space="preserve"> </w:t>
      </w:r>
      <w:r w:rsidRPr="001806FE">
        <w:rPr>
          <w:rFonts w:cs="Calibri"/>
          <w:i/>
          <w:szCs w:val="24"/>
        </w:rPr>
        <w:t>National Security Legislation Amendment (Espionage and Foreign Interference) Act 2018</w:t>
      </w:r>
      <w:r w:rsidRPr="001806FE">
        <w:rPr>
          <w:rFonts w:cs="Calibri"/>
          <w:szCs w:val="24"/>
        </w:rPr>
        <w:t xml:space="preserve"> (EFI Act).</w:t>
      </w:r>
    </w:p>
  </w:footnote>
  <w:footnote w:id="4">
    <w:p w14:paraId="139934F8" w14:textId="77777777" w:rsidR="00BD6A1E" w:rsidRDefault="00BD6A1E" w:rsidP="001806FE">
      <w:pPr>
        <w:pStyle w:val="FootnoteText"/>
      </w:pPr>
      <w:r>
        <w:rPr>
          <w:rStyle w:val="FootnoteReference"/>
        </w:rPr>
        <w:footnoteRef/>
      </w:r>
      <w:r>
        <w:t xml:space="preserve"> Section 121.1 of the Criminal Code.</w:t>
      </w:r>
    </w:p>
  </w:footnote>
  <w:footnote w:id="5">
    <w:p w14:paraId="7791CF0E" w14:textId="77777777" w:rsidR="00BD6A1E" w:rsidRDefault="00BD6A1E">
      <w:pPr>
        <w:pStyle w:val="FootnoteText"/>
      </w:pPr>
      <w:r>
        <w:rPr>
          <w:rStyle w:val="FootnoteReference"/>
        </w:rPr>
        <w:footnoteRef/>
      </w:r>
      <w:r>
        <w:t xml:space="preserve"> Regulations to define proper place of custody are yet to be made.</w:t>
      </w:r>
    </w:p>
  </w:footnote>
  <w:footnote w:id="6">
    <w:p w14:paraId="2FC1386F" w14:textId="77777777" w:rsidR="00BD6A1E" w:rsidRDefault="00BD6A1E" w:rsidP="001806FE">
      <w:pPr>
        <w:pStyle w:val="FootnoteText"/>
      </w:pPr>
      <w:r>
        <w:rPr>
          <w:rStyle w:val="FootnoteReference"/>
        </w:rPr>
        <w:footnoteRef/>
      </w:r>
      <w:r>
        <w:t>S</w:t>
      </w:r>
      <w:r w:rsidRPr="102AD1D4">
        <w:rPr>
          <w:rFonts w:cs="Times New Roman"/>
        </w:rPr>
        <w:t>ection 13.3 of the Criminal Code.</w:t>
      </w:r>
    </w:p>
  </w:footnote>
  <w:footnote w:id="7">
    <w:p w14:paraId="229EC6FA" w14:textId="77777777" w:rsidR="00BD6A1E" w:rsidRDefault="00BD6A1E" w:rsidP="001806FE">
      <w:pPr>
        <w:pStyle w:val="FootnoteText"/>
      </w:pPr>
      <w:r>
        <w:rPr>
          <w:rStyle w:val="FootnoteReference"/>
        </w:rPr>
        <w:footnoteRef/>
      </w:r>
      <w:r>
        <w:t xml:space="preserve"> Recommendation 23, PJCIS </w:t>
      </w:r>
      <w:r w:rsidRPr="003F727C">
        <w:rPr>
          <w:i/>
        </w:rPr>
        <w:t>Advisory Report on the National Security Legislation Amendment (Espionage and Foreign Interference) Bill 2017</w:t>
      </w:r>
      <w:r>
        <w:t xml:space="preserve"> (2018).</w:t>
      </w:r>
    </w:p>
  </w:footnote>
  <w:footnote w:id="8">
    <w:p w14:paraId="404437B1" w14:textId="77777777" w:rsidR="00BD6A1E" w:rsidRDefault="00BD6A1E" w:rsidP="001806FE">
      <w:pPr>
        <w:pStyle w:val="FootnoteText"/>
      </w:pPr>
      <w:r>
        <w:rPr>
          <w:rStyle w:val="FootnoteReference"/>
        </w:rPr>
        <w:footnoteRef/>
      </w:r>
      <w:r>
        <w:t xml:space="preserve"> Section 123(5A) </w:t>
      </w:r>
      <w:r w:rsidRPr="00F04A63">
        <w:rPr>
          <w:i/>
        </w:rPr>
        <w:t>Anti-Money Laundering and Counter-Terrorism Financing Act 2006</w:t>
      </w:r>
      <w:r>
        <w:t xml:space="preserve">; section 105.41(2) </w:t>
      </w:r>
      <w:r w:rsidRPr="00F04A63">
        <w:rPr>
          <w:i/>
        </w:rPr>
        <w:t>Criminal Code Act 1995</w:t>
      </w:r>
      <w:r>
        <w:t xml:space="preserve">; section 67(1) </w:t>
      </w:r>
      <w:r w:rsidRPr="00F04A63">
        <w:rPr>
          <w:i/>
        </w:rPr>
        <w:t>Public Interest Disclosure Act 2013</w:t>
      </w:r>
      <w:r>
        <w:t>.</w:t>
      </w:r>
    </w:p>
  </w:footnote>
  <w:footnote w:id="9">
    <w:p w14:paraId="14195719" w14:textId="77777777" w:rsidR="00BD6A1E" w:rsidRDefault="00BD6A1E" w:rsidP="001806FE">
      <w:pPr>
        <w:pStyle w:val="FootnoteText"/>
      </w:pPr>
      <w:r>
        <w:rPr>
          <w:rStyle w:val="FootnoteReference"/>
        </w:rPr>
        <w:footnoteRef/>
      </w:r>
      <w:r>
        <w:t xml:space="preserve"> Section 62-1 </w:t>
      </w:r>
      <w:r w:rsidRPr="00F04A63">
        <w:rPr>
          <w:i/>
        </w:rPr>
        <w:t>Aged Care Act 1997</w:t>
      </w:r>
      <w:r>
        <w:t>; section 135</w:t>
      </w:r>
      <w:proofErr w:type="gramStart"/>
      <w:r>
        <w:t>AAA(</w:t>
      </w:r>
      <w:proofErr w:type="gramEnd"/>
      <w:r>
        <w:t xml:space="preserve">1), (3), (5) </w:t>
      </w:r>
      <w:r w:rsidRPr="00F04A63">
        <w:rPr>
          <w:i/>
        </w:rPr>
        <w:t>National Health Act 1953</w:t>
      </w:r>
      <w:r>
        <w:t>.</w:t>
      </w:r>
    </w:p>
  </w:footnote>
  <w:footnote w:id="10">
    <w:p w14:paraId="2B2F0CBC" w14:textId="77777777" w:rsidR="00BD6A1E" w:rsidRDefault="00BD6A1E" w:rsidP="001806FE">
      <w:pPr>
        <w:pStyle w:val="FootnoteText"/>
      </w:pPr>
      <w:r>
        <w:rPr>
          <w:rStyle w:val="FootnoteReference"/>
        </w:rPr>
        <w:footnoteRef/>
      </w:r>
      <w:r>
        <w:t xml:space="preserve"> </w:t>
      </w:r>
      <w:r w:rsidRPr="00FD2EFF">
        <w:rPr>
          <w:i/>
        </w:rPr>
        <w:t>Commonwealth v Fairfax</w:t>
      </w:r>
      <w:r w:rsidRPr="00FD2EFF">
        <w:t xml:space="preserve"> (1980) 147 CLR 39, 50</w:t>
      </w:r>
      <w:r>
        <w:t>.</w:t>
      </w:r>
    </w:p>
  </w:footnote>
  <w:footnote w:id="11">
    <w:p w14:paraId="47085A0B" w14:textId="77777777" w:rsidR="00BD6A1E" w:rsidRDefault="00BD6A1E" w:rsidP="001806FE">
      <w:pPr>
        <w:pStyle w:val="FootnoteText"/>
      </w:pPr>
      <w:r>
        <w:rPr>
          <w:rStyle w:val="FootnoteReference"/>
        </w:rPr>
        <w:footnoteRef/>
      </w:r>
      <w:r>
        <w:t xml:space="preserve"> </w:t>
      </w:r>
      <w:proofErr w:type="spellStart"/>
      <w:r w:rsidRPr="00FD2EFF">
        <w:rPr>
          <w:i/>
        </w:rPr>
        <w:t>Faccenda</w:t>
      </w:r>
      <w:proofErr w:type="spellEnd"/>
      <w:r w:rsidRPr="00FD2EFF">
        <w:rPr>
          <w:i/>
        </w:rPr>
        <w:t xml:space="preserve"> Chicken Ltd v Fowler</w:t>
      </w:r>
      <w:r w:rsidRPr="00FD2EFF">
        <w:t xml:space="preserve"> [1986] 1 All ER</w:t>
      </w:r>
      <w:r w:rsidRPr="00FD2EFF" w:rsidDel="00C417E1">
        <w:t xml:space="preserve"> </w:t>
      </w:r>
      <w:r w:rsidRPr="00FD2EFF">
        <w:t>617</w:t>
      </w:r>
      <w:r>
        <w:t>.</w:t>
      </w:r>
    </w:p>
  </w:footnote>
  <w:footnote w:id="12">
    <w:p w14:paraId="2673385B" w14:textId="77777777" w:rsidR="00BD6A1E" w:rsidRDefault="00BD6A1E" w:rsidP="001806FE">
      <w:pPr>
        <w:pStyle w:val="FootnoteText"/>
      </w:pPr>
      <w:r>
        <w:rPr>
          <w:rStyle w:val="FootnoteReference"/>
        </w:rPr>
        <w:footnoteRef/>
      </w:r>
      <w:r>
        <w:t xml:space="preserve"> </w:t>
      </w:r>
      <w:hyperlink r:id="rId1">
        <w:r w:rsidRPr="0D6F838C">
          <w:rPr>
            <w:rStyle w:val="Hyperlink"/>
            <w:i/>
            <w:iCs/>
          </w:rPr>
          <w:t>Protective Security Policy Framework: 9 Access to information</w:t>
        </w:r>
      </w:hyperlink>
      <w:r>
        <w:rPr>
          <w:rStyle w:val="Hyperlink"/>
          <w:i/>
          <w:iCs/>
        </w:rPr>
        <w:t>.</w:t>
      </w:r>
    </w:p>
  </w:footnote>
  <w:footnote w:id="13">
    <w:p w14:paraId="2D45C52A" w14:textId="77777777" w:rsidR="00BD6A1E" w:rsidRDefault="00BD6A1E" w:rsidP="001806FE">
      <w:pPr>
        <w:pStyle w:val="FootnoteText"/>
      </w:pPr>
      <w:r>
        <w:rPr>
          <w:rStyle w:val="FootnoteReference"/>
        </w:rPr>
        <w:footnoteRef/>
      </w:r>
      <w:r>
        <w:t xml:space="preserve"> Section 33 of the </w:t>
      </w:r>
      <w:r w:rsidRPr="00F04A63">
        <w:rPr>
          <w:i/>
        </w:rPr>
        <w:t>Archives Act 1983</w:t>
      </w:r>
      <w:r>
        <w:t>.</w:t>
      </w:r>
    </w:p>
  </w:footnote>
  <w:footnote w:id="14">
    <w:p w14:paraId="68A9A862" w14:textId="77777777" w:rsidR="00BD6A1E" w:rsidRDefault="00BD6A1E" w:rsidP="001806FE">
      <w:pPr>
        <w:pStyle w:val="FootnoteText"/>
      </w:pPr>
      <w:r>
        <w:rPr>
          <w:rStyle w:val="FootnoteReference"/>
        </w:rPr>
        <w:footnoteRef/>
      </w:r>
      <w:r>
        <w:t xml:space="preserve"> The Government has introduced the first tranche of reforms to improve the PID Act to align with the commencement of the National Anti-Corruption Commission in mid-2023.</w:t>
      </w:r>
    </w:p>
  </w:footnote>
  <w:footnote w:id="15">
    <w:p w14:paraId="4FADA66B" w14:textId="77777777" w:rsidR="00BD6A1E" w:rsidRDefault="00BD6A1E" w:rsidP="001806FE">
      <w:pPr>
        <w:pStyle w:val="FootnoteText"/>
      </w:pPr>
      <w:r>
        <w:rPr>
          <w:rStyle w:val="FootnoteReference"/>
        </w:rPr>
        <w:footnoteRef/>
      </w:r>
      <w:r>
        <w:t xml:space="preserve"> PID Act, section 33.</w:t>
      </w:r>
    </w:p>
  </w:footnote>
  <w:footnote w:id="16">
    <w:p w14:paraId="53D64983" w14:textId="77777777" w:rsidR="00BD6A1E" w:rsidRDefault="00BD6A1E" w:rsidP="001806FE">
      <w:pPr>
        <w:pStyle w:val="FootnoteText"/>
      </w:pPr>
      <w:r>
        <w:rPr>
          <w:rStyle w:val="FootnoteReference"/>
        </w:rPr>
        <w:footnoteRef/>
      </w:r>
      <w:r>
        <w:t xml:space="preserve"> The PID Act imposes designated publication restrictions on certain information in a range of legislation, including the </w:t>
      </w:r>
      <w:r w:rsidRPr="00E25567">
        <w:rPr>
          <w:i/>
        </w:rPr>
        <w:t>Family Law Act 1975</w:t>
      </w:r>
      <w:r>
        <w:t xml:space="preserve"> and the </w:t>
      </w:r>
      <w:r w:rsidRPr="00794FD0">
        <w:rPr>
          <w:i/>
        </w:rPr>
        <w:t>Migration Act 1958</w:t>
      </w:r>
      <w:r>
        <w:t>.</w:t>
      </w:r>
    </w:p>
  </w:footnote>
  <w:footnote w:id="17">
    <w:p w14:paraId="5ECEFCFB" w14:textId="77777777" w:rsidR="00BD6A1E" w:rsidRDefault="00BD6A1E" w:rsidP="001806FE">
      <w:pPr>
        <w:pStyle w:val="CommentText"/>
        <w:spacing w:after="0"/>
      </w:pPr>
      <w:r>
        <w:rPr>
          <w:rStyle w:val="FootnoteReference"/>
        </w:rPr>
        <w:footnoteRef/>
      </w:r>
      <w:r>
        <w:t xml:space="preserve"> PID Act, section 75.</w:t>
      </w:r>
    </w:p>
  </w:footnote>
  <w:footnote w:id="18">
    <w:p w14:paraId="45CC1395" w14:textId="77777777" w:rsidR="00BD6A1E" w:rsidRDefault="00BD6A1E" w:rsidP="001806FE">
      <w:pPr>
        <w:pStyle w:val="FootnoteText"/>
      </w:pPr>
      <w:r>
        <w:rPr>
          <w:rStyle w:val="FootnoteReference"/>
        </w:rPr>
        <w:footnoteRef/>
      </w:r>
      <w:r>
        <w:t xml:space="preserve"> Some Commonwealth entities are excluded from the scheme for national security and other reasons and are referred to as excluded entities under section 11(3) of the DAT Act. This includes the Commonwealth Ombudsman, the ANAO, the Inspector-General of Intelligence and Security and NIC agencies.</w:t>
      </w:r>
    </w:p>
  </w:footnote>
  <w:footnote w:id="19">
    <w:p w14:paraId="41181245" w14:textId="77777777" w:rsidR="00BD6A1E" w:rsidRDefault="00BD6A1E" w:rsidP="001806FE">
      <w:pPr>
        <w:pStyle w:val="FootnoteText"/>
      </w:pPr>
      <w:r>
        <w:rPr>
          <w:rStyle w:val="FootnoteReference"/>
        </w:rPr>
        <w:footnoteRef/>
      </w:r>
      <w:r>
        <w:t xml:space="preserve"> DAT Act, section 23. The secrecy override provision in the DAT Act is subject to some exceptions in circumstances where secrecy provisions protect highly sensitive data collected by the Commonwealth.</w:t>
      </w:r>
    </w:p>
  </w:footnote>
  <w:footnote w:id="20">
    <w:p w14:paraId="5381C46C" w14:textId="77777777" w:rsidR="00BD6A1E" w:rsidRDefault="00BD6A1E" w:rsidP="00E75675">
      <w:pPr>
        <w:pStyle w:val="FootnoteText"/>
      </w:pPr>
      <w:r>
        <w:rPr>
          <w:rStyle w:val="FootnoteReference"/>
        </w:rPr>
        <w:footnoteRef/>
      </w:r>
      <w:r>
        <w:t xml:space="preserve"> For example, see paragraph 4.6.1 of the </w:t>
      </w:r>
      <w:r w:rsidRPr="00F6007A">
        <w:t xml:space="preserve">Government Guidelines for Official Witnesses before Parliamentary Committees and Related Matters (last issued in February 2015) </w:t>
      </w:r>
    </w:p>
  </w:footnote>
  <w:footnote w:id="21">
    <w:p w14:paraId="34593788" w14:textId="77777777" w:rsidR="00BD6A1E" w:rsidRDefault="00BD6A1E" w:rsidP="001806FE">
      <w:pPr>
        <w:pStyle w:val="FootnoteText"/>
      </w:pPr>
      <w:r>
        <w:rPr>
          <w:rStyle w:val="FootnoteReference"/>
        </w:rPr>
        <w:footnoteRef/>
      </w:r>
      <w:r>
        <w:t xml:space="preserve"> Some secrecy offences are ‘exempt secrecy provisions’ under the Act, which means that the original secrecy offence will continue to apply despite the override, and the Commissioner will not be permitted to access the information.</w:t>
      </w:r>
    </w:p>
  </w:footnote>
  <w:footnote w:id="22">
    <w:p w14:paraId="5DB41D25" w14:textId="77777777" w:rsidR="00BD6A1E" w:rsidRDefault="00BD6A1E" w:rsidP="00F87397">
      <w:pPr>
        <w:pStyle w:val="FootnoteText"/>
      </w:pPr>
      <w:r>
        <w:rPr>
          <w:rStyle w:val="FootnoteReference"/>
        </w:rPr>
        <w:footnoteRef/>
      </w:r>
      <w:r>
        <w:t xml:space="preserve"> Further information on recent inquiries and reports is at Attachment C.</w:t>
      </w:r>
    </w:p>
  </w:footnote>
  <w:footnote w:id="23">
    <w:p w14:paraId="61CEEBE2" w14:textId="77777777" w:rsidR="00BD6A1E" w:rsidRDefault="00BD6A1E" w:rsidP="00F87397">
      <w:pPr>
        <w:pStyle w:val="FootnoteText"/>
      </w:pPr>
      <w:r>
        <w:rPr>
          <w:rStyle w:val="FootnoteReference"/>
        </w:rPr>
        <w:footnoteRef/>
      </w:r>
      <w:r>
        <w:t xml:space="preserve"> This refers to an assessment of whether criminal liability is necessary and proportionate to the harm caused by the disclosure of the information.</w:t>
      </w:r>
    </w:p>
  </w:footnote>
  <w:footnote w:id="24">
    <w:p w14:paraId="5A3C15F7" w14:textId="77777777" w:rsidR="00BD6A1E" w:rsidRDefault="00BD6A1E" w:rsidP="00F87397">
      <w:pPr>
        <w:pStyle w:val="FootnoteText"/>
      </w:pPr>
      <w:r>
        <w:rPr>
          <w:rStyle w:val="FootnoteReference"/>
        </w:rPr>
        <w:footnoteRef/>
      </w:r>
      <w:r>
        <w:t xml:space="preserve"> Recommendation 9-1 of the ALRC Report.</w:t>
      </w:r>
    </w:p>
  </w:footnote>
  <w:footnote w:id="25">
    <w:p w14:paraId="4E238EE7" w14:textId="2F3DCBBA" w:rsidR="00BD6A1E" w:rsidRDefault="00BD6A1E" w:rsidP="001806FE">
      <w:pPr>
        <w:pStyle w:val="FootnoteText"/>
      </w:pPr>
      <w:r>
        <w:rPr>
          <w:rStyle w:val="FootnoteReference"/>
        </w:rPr>
        <w:footnoteRef/>
      </w:r>
      <w:r>
        <w:t xml:space="preserve"> Section 13.3 of the Criminal Code.</w:t>
      </w:r>
    </w:p>
  </w:footnote>
  <w:footnote w:id="26">
    <w:p w14:paraId="452E1C85" w14:textId="77777777" w:rsidR="00BD6A1E" w:rsidRDefault="00BD6A1E" w:rsidP="001806FE">
      <w:pPr>
        <w:pStyle w:val="FootnoteText"/>
      </w:pPr>
      <w:r w:rsidRPr="009E551C">
        <w:rPr>
          <w:rStyle w:val="FootnoteReference"/>
        </w:rPr>
        <w:footnoteRef/>
      </w:r>
      <w:r w:rsidRPr="009E551C">
        <w:t xml:space="preserve"> </w:t>
      </w:r>
      <w:r>
        <w:t xml:space="preserve">PJCIS </w:t>
      </w:r>
      <w:r w:rsidRPr="00045393">
        <w:rPr>
          <w:i/>
        </w:rPr>
        <w:t>Inquiry into the impact of the exercise of law enforcement and intelligence powers on the freedom of the press</w:t>
      </w:r>
      <w:r>
        <w:rPr>
          <w:i/>
        </w:rPr>
        <w:t xml:space="preserve"> </w:t>
      </w:r>
      <w:r>
        <w:t>(2010).</w:t>
      </w:r>
    </w:p>
  </w:footnote>
  <w:footnote w:id="27">
    <w:p w14:paraId="1508E3AD" w14:textId="77777777" w:rsidR="00BD6A1E" w:rsidRDefault="00BD6A1E" w:rsidP="001806FE">
      <w:pPr>
        <w:pStyle w:val="FootnoteText"/>
      </w:pPr>
      <w:r>
        <w:rPr>
          <w:rStyle w:val="FootnoteReference"/>
        </w:rPr>
        <w:footnoteRef/>
      </w:r>
      <w:r>
        <w:t xml:space="preserve"> </w:t>
      </w:r>
      <w:bookmarkStart w:id="60" w:name="_Hlk130455764"/>
      <w:r>
        <w:t xml:space="preserve">Recommendation 144, </w:t>
      </w:r>
      <w:hyperlink r:id="rId2" w:history="1">
        <w:r w:rsidRPr="009E551C">
          <w:rPr>
            <w:rStyle w:val="Hyperlink"/>
            <w:i/>
          </w:rPr>
          <w:t>Comprehensive Review of the Legal Framework of the National Intelligence Community</w:t>
        </w:r>
      </w:hyperlink>
      <w:r>
        <w:t xml:space="preserve"> (2019).</w:t>
      </w:r>
      <w:bookmarkEnd w:id="60"/>
    </w:p>
  </w:footnote>
  <w:footnote w:id="28">
    <w:p w14:paraId="111310A8" w14:textId="77777777" w:rsidR="00BD6A1E" w:rsidRDefault="00BD6A1E" w:rsidP="001806FE">
      <w:pPr>
        <w:pStyle w:val="FootnoteText"/>
      </w:pPr>
      <w:r>
        <w:rPr>
          <w:rStyle w:val="FootnoteReference"/>
        </w:rPr>
        <w:footnoteRef/>
      </w:r>
      <w:r>
        <w:t xml:space="preserve"> See CDPP </w:t>
      </w:r>
      <w:hyperlink r:id="rId3" w:anchor=":~:text=The%20Prosecution%20Policy%20provides%20a,be%20in%20the%20public%20interest." w:history="1">
        <w:r w:rsidRPr="00D9019D">
          <w:rPr>
            <w:rStyle w:val="Hyperlink"/>
            <w:i/>
          </w:rPr>
          <w:t>Prosecution Policy</w:t>
        </w:r>
      </w:hyperlink>
      <w:r>
        <w:t>.</w:t>
      </w:r>
    </w:p>
  </w:footnote>
  <w:footnote w:id="29">
    <w:p w14:paraId="2372C856" w14:textId="77777777" w:rsidR="00BD6A1E" w:rsidRDefault="00BD6A1E" w:rsidP="001806FE">
      <w:pPr>
        <w:pStyle w:val="FootnoteText"/>
      </w:pPr>
      <w:r>
        <w:rPr>
          <w:rStyle w:val="FootnoteReference"/>
        </w:rPr>
        <w:footnoteRef/>
      </w:r>
      <w:r>
        <w:t xml:space="preserve"> </w:t>
      </w:r>
      <w:r w:rsidRPr="00FC0452">
        <w:t>Sections 18, 18A, 18B and 92 of the ASIO Act</w:t>
      </w:r>
      <w:r>
        <w:t xml:space="preserve">, </w:t>
      </w:r>
      <w:r w:rsidRPr="00FC0452">
        <w:t xml:space="preserve">Part 6, Division 1 of the </w:t>
      </w:r>
      <w:r w:rsidRPr="004A26BB">
        <w:rPr>
          <w:i/>
        </w:rPr>
        <w:t>Intelligence Services Act 2001</w:t>
      </w:r>
      <w:r>
        <w:rPr>
          <w:i/>
        </w:rPr>
        <w:t xml:space="preserve"> </w:t>
      </w:r>
      <w:r w:rsidRPr="00776C21">
        <w:t>and</w:t>
      </w:r>
      <w:r>
        <w:rPr>
          <w:i/>
        </w:rPr>
        <w:t xml:space="preserve"> </w:t>
      </w:r>
      <w:r w:rsidRPr="00FC0452">
        <w:t xml:space="preserve">Sections 42 and 44 of the </w:t>
      </w:r>
      <w:r w:rsidRPr="00776C21">
        <w:rPr>
          <w:i/>
        </w:rPr>
        <w:t>Office of National Intelligence Act 2018</w:t>
      </w:r>
      <w:r>
        <w:t>.</w:t>
      </w:r>
    </w:p>
  </w:footnote>
  <w:footnote w:id="30">
    <w:p w14:paraId="057C53C7" w14:textId="77777777" w:rsidR="00BD6A1E" w:rsidRDefault="00BD6A1E" w:rsidP="001806FE"/>
  </w:footnote>
  <w:footnote w:id="31">
    <w:p w14:paraId="0DA6A62E" w14:textId="77777777" w:rsidR="00BD6A1E" w:rsidRDefault="00BD6A1E" w:rsidP="001806FE">
      <w:pPr>
        <w:pStyle w:val="FootnoteText"/>
      </w:pPr>
      <w:r>
        <w:rPr>
          <w:rStyle w:val="FootnoteReference"/>
        </w:rPr>
        <w:footnoteRef/>
      </w:r>
      <w:r>
        <w:t xml:space="preserve"> Section 35P of the ASIO Act relates to the unauthorised disclosure of information relating to a special intelligence operation. The Attorney-General’s consent is also required where the alleged offence is under sections </w:t>
      </w:r>
      <w:r w:rsidRPr="00FC0452">
        <w:t>3ZZHA, 15HK, 15HL and 70 of the Crimes Act</w:t>
      </w:r>
      <w:r>
        <w:t>, sections 131.1 and 132.1 of the Criminal Code and section 73A of the Defence Act.</w:t>
      </w:r>
    </w:p>
  </w:footnote>
  <w:footnote w:id="32">
    <w:p w14:paraId="4D41DE9E" w14:textId="77777777" w:rsidR="00BD6A1E" w:rsidRDefault="00BD6A1E" w:rsidP="001B4D5D">
      <w:pPr>
        <w:pStyle w:val="FootnoteText"/>
      </w:pPr>
      <w:r>
        <w:rPr>
          <w:rStyle w:val="FootnoteReference"/>
        </w:rPr>
        <w:footnoteRef/>
      </w:r>
      <w:r>
        <w:t xml:space="preserve"> A March 2021 survey of Commonwealth laws found 11 general secrecy offences and 487 specific secrecy offences in Commonwealth legislation; and over 200 non-disclosure duties. Additional provisions have been identified from provisions enacted since March 2021, and further review in consultation with departments.</w:t>
      </w:r>
    </w:p>
  </w:footnote>
  <w:footnote w:id="33">
    <w:p w14:paraId="73063E2B" w14:textId="7248C8ED" w:rsidR="00BD6A1E" w:rsidRPr="001806FE" w:rsidRDefault="00BD6A1E" w:rsidP="001C4F0F">
      <w:pPr>
        <w:widowControl/>
        <w:autoSpaceDE/>
        <w:autoSpaceDN/>
        <w:spacing w:after="160" w:line="259" w:lineRule="auto"/>
        <w:rPr>
          <w:rFonts w:ascii="Calibri" w:eastAsia="Calibri" w:hAnsi="Calibri" w:cs="Times New Roman"/>
          <w:lang w:val="en-AU"/>
        </w:rPr>
      </w:pPr>
      <w:r w:rsidRPr="00CA2D3D">
        <w:rPr>
          <w:rStyle w:val="FootnoteReference"/>
          <w:sz w:val="20"/>
          <w:szCs w:val="20"/>
        </w:rPr>
        <w:footnoteRef/>
      </w:r>
      <w:r w:rsidRPr="00CA2D3D">
        <w:rPr>
          <w:sz w:val="20"/>
          <w:szCs w:val="20"/>
        </w:rPr>
        <w:t xml:space="preserve"> </w:t>
      </w:r>
      <w:r w:rsidRPr="00CA2D3D">
        <w:rPr>
          <w:rFonts w:ascii="Calibri" w:eastAsia="Calibri" w:hAnsi="Calibri" w:cs="Times New Roman"/>
          <w:sz w:val="20"/>
          <w:szCs w:val="20"/>
          <w:lang w:val="en-AU"/>
        </w:rPr>
        <w:t xml:space="preserve">Under the Review’s terms of reference, the department will not be reporting on amendments to the secrecy offences in the </w:t>
      </w:r>
      <w:r w:rsidRPr="00CA2D3D">
        <w:rPr>
          <w:rFonts w:ascii="Calibri" w:eastAsia="Calibri" w:hAnsi="Calibri" w:cs="Times New Roman"/>
          <w:i/>
          <w:sz w:val="20"/>
          <w:szCs w:val="20"/>
          <w:lang w:val="en-AU"/>
        </w:rPr>
        <w:t>National Security Information (Criminal and Civil Proceedings) Act 2004</w:t>
      </w:r>
      <w:r w:rsidRPr="00CA2D3D">
        <w:rPr>
          <w:rFonts w:ascii="Calibri" w:eastAsia="Calibri" w:hAnsi="Calibri" w:cs="Times New Roman"/>
          <w:sz w:val="20"/>
          <w:szCs w:val="20"/>
          <w:lang w:val="en-AU"/>
        </w:rPr>
        <w:t>.</w:t>
      </w:r>
      <w:r>
        <w:rPr>
          <w:rFonts w:ascii="Calibri" w:eastAsia="Calibri" w:hAnsi="Calibri" w:cs="Times New Roman"/>
          <w:sz w:val="20"/>
          <w:szCs w:val="20"/>
          <w:lang w:val="en-AU"/>
        </w:rPr>
        <w:t xml:space="preserve"> </w:t>
      </w:r>
      <w:r w:rsidRPr="00941ADB">
        <w:rPr>
          <w:rFonts w:cs="Times New Roman"/>
          <w:sz w:val="20"/>
          <w:szCs w:val="20"/>
        </w:rPr>
        <w:t>At the request of the Attorney-General, the Independent National Security Legislation Monitor is currently undertaking a review of that Act and will report to Government by 31 October 2023.</w:t>
      </w:r>
    </w:p>
    <w:p w14:paraId="518BF19B" w14:textId="77777777" w:rsidR="00BD6A1E" w:rsidRDefault="00BD6A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4B48" w14:textId="77777777" w:rsidR="00BD6A1E" w:rsidRDefault="00BD6A1E" w:rsidP="00AA589D">
    <w:pPr>
      <w:pStyle w:val="Header"/>
      <w:jc w:val="center"/>
      <w:rPr>
        <w:b/>
        <w:color w:val="FF0000"/>
        <w:sz w:val="28"/>
      </w:rPr>
    </w:pPr>
  </w:p>
  <w:p w14:paraId="23D8B597" w14:textId="77777777" w:rsidR="00BD6A1E" w:rsidRPr="00AA589D" w:rsidRDefault="00BD6A1E" w:rsidP="00AA589D">
    <w:pPr>
      <w:pStyle w:val="Header"/>
      <w:jc w:val="center"/>
      <w:rPr>
        <w:b/>
        <w:color w:val="FF0000"/>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858C" w14:textId="77777777" w:rsidR="00BD6A1E" w:rsidRDefault="00BD6A1E" w:rsidP="00AA589D">
    <w:pPr>
      <w:pStyle w:val="Header"/>
      <w:jc w:val="center"/>
      <w:rPr>
        <w:b/>
        <w:color w:val="FF0000"/>
        <w:sz w:val="28"/>
      </w:rPr>
    </w:pPr>
  </w:p>
  <w:p w14:paraId="602C25FF" w14:textId="77777777" w:rsidR="00BD6A1E" w:rsidRPr="00AA589D" w:rsidRDefault="00BD6A1E" w:rsidP="00AA589D">
    <w:pPr>
      <w:pStyle w:val="Header"/>
      <w:jc w:val="center"/>
      <w:rPr>
        <w:b/>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2759" w14:textId="77777777" w:rsidR="00BD6A1E" w:rsidRDefault="00BD6A1E">
    <w:pPr>
      <w:pStyle w:val="Header"/>
    </w:pPr>
    <w:r>
      <w:rPr>
        <w:noProof/>
      </w:rPr>
      <w:drawing>
        <wp:inline distT="0" distB="0" distL="0" distR="0" wp14:anchorId="6CDF7EEF" wp14:editId="255F3FF6">
          <wp:extent cx="7559998" cy="1411403"/>
          <wp:effectExtent l="0" t="0" r="3175" b="0"/>
          <wp:docPr id="3" name="Picture 3" descr="AG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537 REVIEW OF SECRECY PROVISI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41140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0E48" w14:textId="77777777" w:rsidR="00BD6A1E" w:rsidRDefault="00BD6A1E" w:rsidP="00AA589D">
    <w:pPr>
      <w:pStyle w:val="Header"/>
      <w:jc w:val="center"/>
      <w:rPr>
        <w:b/>
        <w:color w:val="FF0000"/>
        <w:sz w:val="28"/>
      </w:rPr>
    </w:pPr>
  </w:p>
  <w:p w14:paraId="6639A47D" w14:textId="77777777" w:rsidR="00BD6A1E" w:rsidRPr="00AA589D" w:rsidRDefault="00BD6A1E" w:rsidP="00AA589D">
    <w:pPr>
      <w:pStyle w:val="Header"/>
      <w:jc w:val="center"/>
      <w:rPr>
        <w:b/>
        <w:color w:val="FF0000"/>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F5D1" w14:textId="77777777" w:rsidR="00BD6A1E" w:rsidRDefault="00BD6A1E" w:rsidP="00AA589D">
    <w:pPr>
      <w:pStyle w:val="Header"/>
      <w:jc w:val="center"/>
      <w:rPr>
        <w:b/>
        <w:color w:val="FF0000"/>
        <w:sz w:val="28"/>
      </w:rPr>
    </w:pPr>
  </w:p>
  <w:p w14:paraId="3CFF4365" w14:textId="77777777" w:rsidR="00BD6A1E" w:rsidRPr="00AA589D" w:rsidRDefault="00BD6A1E" w:rsidP="00AA589D">
    <w:pPr>
      <w:pStyle w:val="Header"/>
      <w:jc w:val="center"/>
      <w:rPr>
        <w:b/>
        <w:color w:val="FF0000"/>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29D0" w14:textId="77777777" w:rsidR="00BD6A1E" w:rsidRDefault="00BD6A1E" w:rsidP="001B4D5D">
    <w:pPr>
      <w:pStyle w:val="Header"/>
      <w:ind w:left="-1417"/>
    </w:pPr>
    <w:r>
      <w:rPr>
        <w:noProof/>
      </w:rPr>
      <w:drawing>
        <wp:inline distT="0" distB="0" distL="0" distR="0" wp14:anchorId="37E27E34" wp14:editId="04E4F419">
          <wp:extent cx="7559998" cy="1411403"/>
          <wp:effectExtent l="0" t="0" r="3175" b="0"/>
          <wp:docPr id="4" name="Picture 4" descr="AG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537 REVIEW OF SECRECY PROVISI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411403"/>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C962" w14:textId="77777777" w:rsidR="00BD6A1E" w:rsidRDefault="00BD6A1E" w:rsidP="001B4D5D">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C86"/>
    <w:multiLevelType w:val="hybridMultilevel"/>
    <w:tmpl w:val="921EF2C0"/>
    <w:lvl w:ilvl="0" w:tplc="FE800596">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9152379"/>
    <w:multiLevelType w:val="hybridMultilevel"/>
    <w:tmpl w:val="491AF444"/>
    <w:lvl w:ilvl="0" w:tplc="5B44D888">
      <w:start w:val="1"/>
      <w:numFmt w:val="decimal"/>
      <w:lvlText w:val="%1."/>
      <w:lvlJc w:val="left"/>
      <w:pPr>
        <w:ind w:left="720" w:hanging="360"/>
      </w:pPr>
      <w:rPr>
        <w:rFonts w:asciiTheme="minorHAnsi" w:hAnsiTheme="minorHAnsi" w:hint="default"/>
        <w:b/>
        <w:sz w:val="22"/>
        <w:szCs w:val="22"/>
      </w:rPr>
    </w:lvl>
    <w:lvl w:ilvl="1" w:tplc="9530D4CA">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784588"/>
    <w:multiLevelType w:val="hybridMultilevel"/>
    <w:tmpl w:val="67F0D750"/>
    <w:styleLink w:val="Bullet21"/>
    <w:lvl w:ilvl="0" w:tplc="ACB08F40">
      <w:numFmt w:val="bullet"/>
      <w:lvlText w:val="•"/>
      <w:lvlJc w:val="left"/>
      <w:pPr>
        <w:ind w:left="1190" w:hanging="341"/>
      </w:pPr>
      <w:rPr>
        <w:rFonts w:ascii="Century Gothic" w:eastAsia="Century Gothic" w:hAnsi="Century Gothic" w:cs="Century Gothic" w:hint="default"/>
        <w:b/>
        <w:bCs/>
        <w:i w:val="0"/>
        <w:iCs w:val="0"/>
        <w:color w:val="009FD6"/>
        <w:w w:val="57"/>
        <w:sz w:val="20"/>
        <w:szCs w:val="20"/>
        <w:lang w:val="en-US" w:eastAsia="en-US" w:bidi="ar-SA"/>
      </w:rPr>
    </w:lvl>
    <w:lvl w:ilvl="1" w:tplc="2836E8DC">
      <w:numFmt w:val="bullet"/>
      <w:lvlText w:val="•"/>
      <w:lvlJc w:val="left"/>
      <w:pPr>
        <w:ind w:left="1530" w:hanging="341"/>
      </w:pPr>
      <w:rPr>
        <w:rFonts w:ascii="Century Gothic" w:eastAsia="Century Gothic" w:hAnsi="Century Gothic" w:cs="Century Gothic" w:hint="default"/>
        <w:b/>
        <w:bCs/>
        <w:i w:val="0"/>
        <w:iCs w:val="0"/>
        <w:color w:val="6990AA"/>
        <w:w w:val="57"/>
        <w:sz w:val="20"/>
        <w:szCs w:val="20"/>
        <w:lang w:val="en-US" w:eastAsia="en-US" w:bidi="ar-SA"/>
      </w:rPr>
    </w:lvl>
    <w:lvl w:ilvl="2" w:tplc="BD04F18C">
      <w:numFmt w:val="bullet"/>
      <w:lvlText w:val="•"/>
      <w:lvlJc w:val="left"/>
      <w:pPr>
        <w:ind w:left="2003" w:hanging="341"/>
      </w:pPr>
      <w:rPr>
        <w:rFonts w:hint="default"/>
        <w:lang w:val="en-US" w:eastAsia="en-US" w:bidi="ar-SA"/>
      </w:rPr>
    </w:lvl>
    <w:lvl w:ilvl="3" w:tplc="3C48E1DE">
      <w:numFmt w:val="bullet"/>
      <w:lvlText w:val="•"/>
      <w:lvlJc w:val="left"/>
      <w:pPr>
        <w:ind w:left="2466" w:hanging="341"/>
      </w:pPr>
      <w:rPr>
        <w:rFonts w:hint="default"/>
        <w:lang w:val="en-US" w:eastAsia="en-US" w:bidi="ar-SA"/>
      </w:rPr>
    </w:lvl>
    <w:lvl w:ilvl="4" w:tplc="8EBE95E4">
      <w:numFmt w:val="bullet"/>
      <w:lvlText w:val="•"/>
      <w:lvlJc w:val="left"/>
      <w:pPr>
        <w:ind w:left="2929" w:hanging="341"/>
      </w:pPr>
      <w:rPr>
        <w:rFonts w:hint="default"/>
        <w:lang w:val="en-US" w:eastAsia="en-US" w:bidi="ar-SA"/>
      </w:rPr>
    </w:lvl>
    <w:lvl w:ilvl="5" w:tplc="CBDA1BD4">
      <w:numFmt w:val="bullet"/>
      <w:lvlText w:val="•"/>
      <w:lvlJc w:val="left"/>
      <w:pPr>
        <w:ind w:left="3393" w:hanging="341"/>
      </w:pPr>
      <w:rPr>
        <w:rFonts w:hint="default"/>
        <w:lang w:val="en-US" w:eastAsia="en-US" w:bidi="ar-SA"/>
      </w:rPr>
    </w:lvl>
    <w:lvl w:ilvl="6" w:tplc="1DD4D408">
      <w:numFmt w:val="bullet"/>
      <w:lvlText w:val="•"/>
      <w:lvlJc w:val="left"/>
      <w:pPr>
        <w:ind w:left="3856" w:hanging="341"/>
      </w:pPr>
      <w:rPr>
        <w:rFonts w:hint="default"/>
        <w:lang w:val="en-US" w:eastAsia="en-US" w:bidi="ar-SA"/>
      </w:rPr>
    </w:lvl>
    <w:lvl w:ilvl="7" w:tplc="C540A50E">
      <w:numFmt w:val="bullet"/>
      <w:lvlText w:val="•"/>
      <w:lvlJc w:val="left"/>
      <w:pPr>
        <w:ind w:left="4319" w:hanging="341"/>
      </w:pPr>
      <w:rPr>
        <w:rFonts w:hint="default"/>
        <w:lang w:val="en-US" w:eastAsia="en-US" w:bidi="ar-SA"/>
      </w:rPr>
    </w:lvl>
    <w:lvl w:ilvl="8" w:tplc="8F38CCEA">
      <w:numFmt w:val="bullet"/>
      <w:lvlText w:val="•"/>
      <w:lvlJc w:val="left"/>
      <w:pPr>
        <w:ind w:left="4782" w:hanging="341"/>
      </w:pPr>
      <w:rPr>
        <w:rFonts w:hint="default"/>
        <w:lang w:val="en-US" w:eastAsia="en-US" w:bidi="ar-SA"/>
      </w:rPr>
    </w:lvl>
  </w:abstractNum>
  <w:abstractNum w:abstractNumId="3"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15719"/>
    <w:multiLevelType w:val="hybridMultilevel"/>
    <w:tmpl w:val="536E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8251F0"/>
    <w:multiLevelType w:val="hybridMultilevel"/>
    <w:tmpl w:val="2BD4B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D6E2AAF"/>
    <w:multiLevelType w:val="hybridMultilevel"/>
    <w:tmpl w:val="EA5C4D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53491"/>
    <w:multiLevelType w:val="hybridMultilevel"/>
    <w:tmpl w:val="C07CE504"/>
    <w:lvl w:ilvl="0" w:tplc="72883CCE">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407BB9"/>
    <w:multiLevelType w:val="hybridMultilevel"/>
    <w:tmpl w:val="655C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B4AF3"/>
    <w:multiLevelType w:val="hybridMultilevel"/>
    <w:tmpl w:val="1F94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D005CD"/>
    <w:multiLevelType w:val="hybridMultilevel"/>
    <w:tmpl w:val="5A781B56"/>
    <w:lvl w:ilvl="0" w:tplc="19902002">
      <w:numFmt w:val="bullet"/>
      <w:lvlText w:val="•"/>
      <w:lvlJc w:val="left"/>
      <w:pPr>
        <w:ind w:left="770" w:hanging="341"/>
      </w:pPr>
      <w:rPr>
        <w:rFonts w:ascii="Century Gothic" w:eastAsia="Century Gothic" w:hAnsi="Century Gothic" w:cs="Century Gothic" w:hint="default"/>
        <w:b/>
        <w:bCs/>
        <w:i w:val="0"/>
        <w:iCs w:val="0"/>
        <w:color w:val="009FD6"/>
        <w:w w:val="57"/>
        <w:sz w:val="20"/>
        <w:szCs w:val="20"/>
        <w:lang w:val="en-US" w:eastAsia="en-US" w:bidi="ar-SA"/>
      </w:rPr>
    </w:lvl>
    <w:lvl w:ilvl="1" w:tplc="40B02594">
      <w:numFmt w:val="bullet"/>
      <w:lvlText w:val="•"/>
      <w:lvlJc w:val="left"/>
      <w:pPr>
        <w:ind w:left="1317" w:hanging="341"/>
      </w:pPr>
      <w:rPr>
        <w:rFonts w:hint="default"/>
        <w:lang w:val="en-US" w:eastAsia="en-US" w:bidi="ar-SA"/>
      </w:rPr>
    </w:lvl>
    <w:lvl w:ilvl="2" w:tplc="13BC59EA">
      <w:numFmt w:val="bullet"/>
      <w:lvlText w:val="•"/>
      <w:lvlJc w:val="left"/>
      <w:pPr>
        <w:ind w:left="1855" w:hanging="341"/>
      </w:pPr>
      <w:rPr>
        <w:rFonts w:hint="default"/>
        <w:lang w:val="en-US" w:eastAsia="en-US" w:bidi="ar-SA"/>
      </w:rPr>
    </w:lvl>
    <w:lvl w:ilvl="3" w:tplc="CE82C888">
      <w:numFmt w:val="bullet"/>
      <w:lvlText w:val="•"/>
      <w:lvlJc w:val="left"/>
      <w:pPr>
        <w:ind w:left="2392" w:hanging="341"/>
      </w:pPr>
      <w:rPr>
        <w:rFonts w:hint="default"/>
        <w:lang w:val="en-US" w:eastAsia="en-US" w:bidi="ar-SA"/>
      </w:rPr>
    </w:lvl>
    <w:lvl w:ilvl="4" w:tplc="8C3E8B04">
      <w:numFmt w:val="bullet"/>
      <w:lvlText w:val="•"/>
      <w:lvlJc w:val="left"/>
      <w:pPr>
        <w:ind w:left="2930" w:hanging="341"/>
      </w:pPr>
      <w:rPr>
        <w:rFonts w:hint="default"/>
        <w:lang w:val="en-US" w:eastAsia="en-US" w:bidi="ar-SA"/>
      </w:rPr>
    </w:lvl>
    <w:lvl w:ilvl="5" w:tplc="8F3EB2B8">
      <w:numFmt w:val="bullet"/>
      <w:lvlText w:val="•"/>
      <w:lvlJc w:val="left"/>
      <w:pPr>
        <w:ind w:left="3468" w:hanging="341"/>
      </w:pPr>
      <w:rPr>
        <w:rFonts w:hint="default"/>
        <w:lang w:val="en-US" w:eastAsia="en-US" w:bidi="ar-SA"/>
      </w:rPr>
    </w:lvl>
    <w:lvl w:ilvl="6" w:tplc="A8D0E74E">
      <w:numFmt w:val="bullet"/>
      <w:lvlText w:val="•"/>
      <w:lvlJc w:val="left"/>
      <w:pPr>
        <w:ind w:left="4005" w:hanging="341"/>
      </w:pPr>
      <w:rPr>
        <w:rFonts w:hint="default"/>
        <w:lang w:val="en-US" w:eastAsia="en-US" w:bidi="ar-SA"/>
      </w:rPr>
    </w:lvl>
    <w:lvl w:ilvl="7" w:tplc="48402406">
      <w:numFmt w:val="bullet"/>
      <w:lvlText w:val="•"/>
      <w:lvlJc w:val="left"/>
      <w:pPr>
        <w:ind w:left="4543" w:hanging="341"/>
      </w:pPr>
      <w:rPr>
        <w:rFonts w:hint="default"/>
        <w:lang w:val="en-US" w:eastAsia="en-US" w:bidi="ar-SA"/>
      </w:rPr>
    </w:lvl>
    <w:lvl w:ilvl="8" w:tplc="7384FEEA">
      <w:numFmt w:val="bullet"/>
      <w:lvlText w:val="•"/>
      <w:lvlJc w:val="left"/>
      <w:pPr>
        <w:ind w:left="5080" w:hanging="341"/>
      </w:pPr>
      <w:rPr>
        <w:rFonts w:hint="default"/>
        <w:lang w:val="en-US" w:eastAsia="en-US" w:bidi="ar-SA"/>
      </w:rPr>
    </w:lvl>
  </w:abstractNum>
  <w:abstractNum w:abstractNumId="11" w15:restartNumberingAfterBreak="0">
    <w:nsid w:val="5F0870E5"/>
    <w:multiLevelType w:val="hybridMultilevel"/>
    <w:tmpl w:val="5B228782"/>
    <w:lvl w:ilvl="0" w:tplc="F57C1B7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7D3DD5"/>
    <w:multiLevelType w:val="hybridMultilevel"/>
    <w:tmpl w:val="C96EFCFA"/>
    <w:lvl w:ilvl="0" w:tplc="0C090001">
      <w:start w:val="1"/>
      <w:numFmt w:val="bullet"/>
      <w:lvlText w:val=""/>
      <w:lvlJc w:val="left"/>
      <w:pPr>
        <w:ind w:left="720" w:hanging="360"/>
      </w:pPr>
      <w:rPr>
        <w:rFonts w:ascii="Symbol" w:hAnsi="Symbol" w:hint="default"/>
      </w:rPr>
    </w:lvl>
    <w:lvl w:ilvl="1" w:tplc="9E78DC74">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E1697"/>
    <w:multiLevelType w:val="hybridMultilevel"/>
    <w:tmpl w:val="876C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4A00EB"/>
    <w:multiLevelType w:val="hybridMultilevel"/>
    <w:tmpl w:val="D17E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9416B"/>
    <w:multiLevelType w:val="hybridMultilevel"/>
    <w:tmpl w:val="C5F8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24D04"/>
    <w:multiLevelType w:val="hybridMultilevel"/>
    <w:tmpl w:val="B43C06F8"/>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18" w15:restartNumberingAfterBreak="0">
    <w:nsid w:val="78EE0C6D"/>
    <w:multiLevelType w:val="hybridMultilevel"/>
    <w:tmpl w:val="C77E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DF2CCC"/>
    <w:multiLevelType w:val="hybridMultilevel"/>
    <w:tmpl w:val="756AE2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F9C45E1"/>
    <w:multiLevelType w:val="multilevel"/>
    <w:tmpl w:val="3A6A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2"/>
  </w:num>
  <w:num w:numId="4">
    <w:abstractNumId w:val="3"/>
  </w:num>
  <w:num w:numId="5">
    <w:abstractNumId w:val="18"/>
  </w:num>
  <w:num w:numId="6">
    <w:abstractNumId w:val="6"/>
  </w:num>
  <w:num w:numId="7">
    <w:abstractNumId w:val="15"/>
  </w:num>
  <w:num w:numId="8">
    <w:abstractNumId w:val="7"/>
  </w:num>
  <w:num w:numId="9">
    <w:abstractNumId w:val="16"/>
  </w:num>
  <w:num w:numId="10">
    <w:abstractNumId w:val="13"/>
  </w:num>
  <w:num w:numId="11">
    <w:abstractNumId w:val="19"/>
  </w:num>
  <w:num w:numId="12">
    <w:abstractNumId w:val="8"/>
  </w:num>
  <w:num w:numId="13">
    <w:abstractNumId w:val="14"/>
  </w:num>
  <w:num w:numId="14">
    <w:abstractNumId w:val="4"/>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5"/>
  </w:num>
  <w:num w:numId="20">
    <w:abstractNumId w:val="20"/>
  </w:num>
  <w:num w:numId="21">
    <w:abstractNumId w:val="11"/>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31"/>
    <w:rsid w:val="00005D45"/>
    <w:rsid w:val="000207BB"/>
    <w:rsid w:val="00023D53"/>
    <w:rsid w:val="000243B9"/>
    <w:rsid w:val="000478BE"/>
    <w:rsid w:val="00063290"/>
    <w:rsid w:val="000635E3"/>
    <w:rsid w:val="00073E8E"/>
    <w:rsid w:val="00096D10"/>
    <w:rsid w:val="00097DC1"/>
    <w:rsid w:val="000B3891"/>
    <w:rsid w:val="000C689D"/>
    <w:rsid w:val="000E05A1"/>
    <w:rsid w:val="00110903"/>
    <w:rsid w:val="00137A13"/>
    <w:rsid w:val="001503FE"/>
    <w:rsid w:val="001569B8"/>
    <w:rsid w:val="001806FE"/>
    <w:rsid w:val="001A5DE7"/>
    <w:rsid w:val="001B2709"/>
    <w:rsid w:val="001B4D5D"/>
    <w:rsid w:val="001C4F0F"/>
    <w:rsid w:val="001E5B06"/>
    <w:rsid w:val="001E7082"/>
    <w:rsid w:val="001F2019"/>
    <w:rsid w:val="001F42A8"/>
    <w:rsid w:val="001F4398"/>
    <w:rsid w:val="00201FF7"/>
    <w:rsid w:val="00220B46"/>
    <w:rsid w:val="00267D66"/>
    <w:rsid w:val="002A0C0D"/>
    <w:rsid w:val="002B2379"/>
    <w:rsid w:val="002B574B"/>
    <w:rsid w:val="002B7B52"/>
    <w:rsid w:val="002C0B44"/>
    <w:rsid w:val="002C1838"/>
    <w:rsid w:val="003104EE"/>
    <w:rsid w:val="003603E0"/>
    <w:rsid w:val="003754FE"/>
    <w:rsid w:val="003C25B1"/>
    <w:rsid w:val="003C563F"/>
    <w:rsid w:val="00413F8F"/>
    <w:rsid w:val="004167AD"/>
    <w:rsid w:val="004249AE"/>
    <w:rsid w:val="004345D9"/>
    <w:rsid w:val="00441BE4"/>
    <w:rsid w:val="00444E09"/>
    <w:rsid w:val="00453025"/>
    <w:rsid w:val="0047538D"/>
    <w:rsid w:val="00485D14"/>
    <w:rsid w:val="00495D95"/>
    <w:rsid w:val="004A19E7"/>
    <w:rsid w:val="004B14D4"/>
    <w:rsid w:val="004B222B"/>
    <w:rsid w:val="00500ABC"/>
    <w:rsid w:val="0051093C"/>
    <w:rsid w:val="005132A8"/>
    <w:rsid w:val="00513690"/>
    <w:rsid w:val="005219E6"/>
    <w:rsid w:val="0052659C"/>
    <w:rsid w:val="00533E2A"/>
    <w:rsid w:val="00557E4F"/>
    <w:rsid w:val="00587C15"/>
    <w:rsid w:val="005A71FD"/>
    <w:rsid w:val="005B710A"/>
    <w:rsid w:val="005C5ED2"/>
    <w:rsid w:val="00667C36"/>
    <w:rsid w:val="00671045"/>
    <w:rsid w:val="006A7F11"/>
    <w:rsid w:val="006D47F7"/>
    <w:rsid w:val="006E6E02"/>
    <w:rsid w:val="00710B2D"/>
    <w:rsid w:val="00731CA5"/>
    <w:rsid w:val="00735CB7"/>
    <w:rsid w:val="00743404"/>
    <w:rsid w:val="007A7D0E"/>
    <w:rsid w:val="007C4752"/>
    <w:rsid w:val="007E59D7"/>
    <w:rsid w:val="00800437"/>
    <w:rsid w:val="00827970"/>
    <w:rsid w:val="00831411"/>
    <w:rsid w:val="00847070"/>
    <w:rsid w:val="008622DF"/>
    <w:rsid w:val="0086473F"/>
    <w:rsid w:val="008850D7"/>
    <w:rsid w:val="008A1B38"/>
    <w:rsid w:val="008B4B91"/>
    <w:rsid w:val="009056B3"/>
    <w:rsid w:val="0093430D"/>
    <w:rsid w:val="00986338"/>
    <w:rsid w:val="0098731D"/>
    <w:rsid w:val="00996875"/>
    <w:rsid w:val="009B70FB"/>
    <w:rsid w:val="009E699B"/>
    <w:rsid w:val="009F3F4B"/>
    <w:rsid w:val="00A1431F"/>
    <w:rsid w:val="00A51B57"/>
    <w:rsid w:val="00A55785"/>
    <w:rsid w:val="00A60D80"/>
    <w:rsid w:val="00A81F13"/>
    <w:rsid w:val="00A867BA"/>
    <w:rsid w:val="00AA589D"/>
    <w:rsid w:val="00AC58F8"/>
    <w:rsid w:val="00AC7FEA"/>
    <w:rsid w:val="00AD000A"/>
    <w:rsid w:val="00B1182D"/>
    <w:rsid w:val="00B31093"/>
    <w:rsid w:val="00B50176"/>
    <w:rsid w:val="00B62D7B"/>
    <w:rsid w:val="00B86A92"/>
    <w:rsid w:val="00B91475"/>
    <w:rsid w:val="00BA2FE7"/>
    <w:rsid w:val="00BA52EE"/>
    <w:rsid w:val="00BC6909"/>
    <w:rsid w:val="00BD6A1E"/>
    <w:rsid w:val="00BE03B1"/>
    <w:rsid w:val="00BE4044"/>
    <w:rsid w:val="00BE6388"/>
    <w:rsid w:val="00BF0B31"/>
    <w:rsid w:val="00BF68EF"/>
    <w:rsid w:val="00C122AC"/>
    <w:rsid w:val="00C161A0"/>
    <w:rsid w:val="00C3334E"/>
    <w:rsid w:val="00C36122"/>
    <w:rsid w:val="00C51554"/>
    <w:rsid w:val="00C53AF1"/>
    <w:rsid w:val="00C61FC1"/>
    <w:rsid w:val="00C733FD"/>
    <w:rsid w:val="00CA2D3D"/>
    <w:rsid w:val="00CA4C70"/>
    <w:rsid w:val="00CB1B34"/>
    <w:rsid w:val="00CE284E"/>
    <w:rsid w:val="00CF763F"/>
    <w:rsid w:val="00D0148F"/>
    <w:rsid w:val="00D041C7"/>
    <w:rsid w:val="00D070DA"/>
    <w:rsid w:val="00D27C8D"/>
    <w:rsid w:val="00D3588E"/>
    <w:rsid w:val="00D46AB4"/>
    <w:rsid w:val="00D771DC"/>
    <w:rsid w:val="00D82BCA"/>
    <w:rsid w:val="00D87BAB"/>
    <w:rsid w:val="00D92C18"/>
    <w:rsid w:val="00DA531E"/>
    <w:rsid w:val="00E0624B"/>
    <w:rsid w:val="00E75675"/>
    <w:rsid w:val="00E86C06"/>
    <w:rsid w:val="00E96812"/>
    <w:rsid w:val="00EB6B42"/>
    <w:rsid w:val="00EF0AEE"/>
    <w:rsid w:val="00EF1473"/>
    <w:rsid w:val="00F528F9"/>
    <w:rsid w:val="00F6672A"/>
    <w:rsid w:val="00F8225E"/>
    <w:rsid w:val="00F87397"/>
    <w:rsid w:val="00FA1E66"/>
    <w:rsid w:val="00FA6BDF"/>
    <w:rsid w:val="00FE0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link w:val="Heading1Char"/>
    <w:uiPriority w:val="9"/>
    <w:qFormat/>
    <w:rsid w:val="001B2709"/>
    <w:pPr>
      <w:keepNext/>
      <w:keepLines/>
      <w:widowControl/>
      <w:autoSpaceDE/>
      <w:autoSpaceDN/>
      <w:spacing w:before="240" w:after="120" w:line="259" w:lineRule="auto"/>
      <w:outlineLvl w:val="0"/>
    </w:pPr>
    <w:rPr>
      <w:rFonts w:ascii="Calibri Light" w:eastAsia="Times New Roman" w:hAnsi="Calibri Light" w:cs="Times New Roman"/>
      <w:color w:val="2F5496"/>
      <w:sz w:val="32"/>
      <w:szCs w:val="32"/>
      <w:lang w:val="en-AU"/>
    </w:rPr>
  </w:style>
  <w:style w:type="paragraph" w:styleId="Heading2">
    <w:name w:val="heading 2"/>
    <w:basedOn w:val="Normal"/>
    <w:next w:val="Normal"/>
    <w:link w:val="Heading2Char"/>
    <w:uiPriority w:val="9"/>
    <w:unhideWhenUsed/>
    <w:qFormat/>
    <w:rsid w:val="001B2709"/>
    <w:pPr>
      <w:keepNext/>
      <w:keepLines/>
      <w:widowControl/>
      <w:autoSpaceDE/>
      <w:autoSpaceDN/>
      <w:spacing w:before="120" w:after="120" w:line="259" w:lineRule="auto"/>
      <w:outlineLvl w:val="1"/>
    </w:pPr>
    <w:rPr>
      <w:rFonts w:ascii="Calibri Light" w:eastAsia="Times New Roman" w:hAnsi="Calibri Light" w:cs="Times New Roman"/>
      <w:color w:val="2F5496"/>
      <w:sz w:val="26"/>
      <w:szCs w:val="26"/>
      <w:lang w:val="en-AU"/>
    </w:rPr>
  </w:style>
  <w:style w:type="paragraph" w:styleId="Heading3">
    <w:name w:val="heading 3"/>
    <w:basedOn w:val="Normal"/>
    <w:next w:val="Normal"/>
    <w:link w:val="Heading3Char"/>
    <w:uiPriority w:val="9"/>
    <w:unhideWhenUsed/>
    <w:qFormat/>
    <w:rsid w:val="001B2709"/>
    <w:pPr>
      <w:keepNext/>
      <w:keepLines/>
      <w:widowControl/>
      <w:autoSpaceDE/>
      <w:autoSpaceDN/>
      <w:spacing w:before="120" w:after="120" w:line="259" w:lineRule="auto"/>
      <w:outlineLvl w:val="2"/>
    </w:pPr>
    <w:rPr>
      <w:rFonts w:ascii="Calibri Light" w:eastAsia="Times New Roman" w:hAnsi="Calibri Light" w:cs="Times New Roman"/>
      <w:color w:val="1F3763"/>
      <w:sz w:val="24"/>
      <w:szCs w:val="24"/>
      <w:lang w:val="en-AU"/>
    </w:rPr>
  </w:style>
  <w:style w:type="paragraph" w:styleId="Heading4">
    <w:name w:val="heading 4"/>
    <w:basedOn w:val="Normal"/>
    <w:next w:val="Normal"/>
    <w:link w:val="Heading4Char"/>
    <w:uiPriority w:val="9"/>
    <w:unhideWhenUsed/>
    <w:qFormat/>
    <w:rsid w:val="002A0C0D"/>
    <w:pPr>
      <w:keepNext/>
      <w:keepLines/>
      <w:widowControl/>
      <w:autoSpaceDE/>
      <w:autoSpaceDN/>
      <w:spacing w:before="40" w:line="259" w:lineRule="auto"/>
      <w:outlineLvl w:val="3"/>
    </w:pPr>
    <w:rPr>
      <w:rFonts w:ascii="Calibri Light" w:eastAsia="Times New Roman" w:hAnsi="Calibri Light" w:cs="Times New Roman"/>
      <w:i/>
      <w:iCs/>
      <w:color w:val="2F5496"/>
      <w:lang w:val="en-AU"/>
    </w:rPr>
  </w:style>
  <w:style w:type="paragraph" w:styleId="Heading5">
    <w:name w:val="heading 5"/>
    <w:basedOn w:val="Normal"/>
    <w:next w:val="Normal"/>
    <w:link w:val="Heading5Char"/>
    <w:uiPriority w:val="9"/>
    <w:semiHidden/>
    <w:unhideWhenUsed/>
    <w:qFormat/>
    <w:rsid w:val="001806FE"/>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217"/>
      <w:ind w:left="850"/>
    </w:pPr>
    <w:rPr>
      <w:rFonts w:ascii="Century Gothic" w:eastAsia="Century Gothic" w:hAnsi="Century Gothic" w:cs="Century Gothic"/>
      <w:b/>
      <w:bCs/>
      <w:sz w:val="48"/>
      <w:szCs w:val="48"/>
    </w:rPr>
  </w:style>
  <w:style w:type="paragraph" w:styleId="ListParagraph">
    <w:name w:val="List Paragraph"/>
    <w:aliases w:val="Bullets,CV text,Dot pt,F5 List Paragraph,FooterText,L,List Paragraph1,List Paragraph11,List Paragraph111,List Paragraph2,Medium Grid 1 - Accent 21,NAST Quote,NFP GP Bulleted List,Numbered Paragraph,Recommendation,Table text,列,No Spacing1"/>
    <w:basedOn w:val="Normal"/>
    <w:link w:val="ListParagraphChar"/>
    <w:uiPriority w:val="34"/>
    <w:qFormat/>
    <w:pPr>
      <w:spacing w:before="101"/>
      <w:ind w:left="1190" w:hanging="34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B2709"/>
    <w:rPr>
      <w:rFonts w:ascii="Calibri Light" w:eastAsia="Times New Roman" w:hAnsi="Calibri Light" w:cs="Times New Roman"/>
      <w:color w:val="2F5496"/>
      <w:sz w:val="26"/>
      <w:szCs w:val="26"/>
      <w:lang w:val="en-AU"/>
    </w:rPr>
  </w:style>
  <w:style w:type="character" w:customStyle="1" w:styleId="Heading3Char">
    <w:name w:val="Heading 3 Char"/>
    <w:basedOn w:val="DefaultParagraphFont"/>
    <w:link w:val="Heading3"/>
    <w:uiPriority w:val="9"/>
    <w:rsid w:val="001B2709"/>
    <w:rPr>
      <w:rFonts w:ascii="Calibri Light" w:eastAsia="Times New Roman" w:hAnsi="Calibri Light" w:cs="Times New Roman"/>
      <w:color w:val="1F3763"/>
      <w:sz w:val="24"/>
      <w:szCs w:val="24"/>
      <w:lang w:val="en-AU"/>
    </w:rPr>
  </w:style>
  <w:style w:type="character" w:customStyle="1" w:styleId="Heading4Char">
    <w:name w:val="Heading 4 Char"/>
    <w:basedOn w:val="DefaultParagraphFont"/>
    <w:link w:val="Heading4"/>
    <w:uiPriority w:val="9"/>
    <w:rsid w:val="002A0C0D"/>
    <w:rPr>
      <w:rFonts w:ascii="Calibri Light" w:eastAsia="Times New Roman" w:hAnsi="Calibri Light" w:cs="Times New Roman"/>
      <w:i/>
      <w:iCs/>
      <w:color w:val="2F5496"/>
      <w:lang w:val="en-AU"/>
    </w:rPr>
  </w:style>
  <w:style w:type="numbering" w:customStyle="1" w:styleId="NoList1">
    <w:name w:val="No List1"/>
    <w:next w:val="NoList"/>
    <w:uiPriority w:val="99"/>
    <w:semiHidden/>
    <w:unhideWhenUsed/>
    <w:rsid w:val="002B574B"/>
  </w:style>
  <w:style w:type="character" w:customStyle="1" w:styleId="Heading1Char">
    <w:name w:val="Heading 1 Char"/>
    <w:link w:val="Heading1"/>
    <w:uiPriority w:val="9"/>
    <w:rsid w:val="001B2709"/>
    <w:rPr>
      <w:rFonts w:ascii="Calibri Light" w:eastAsia="Times New Roman" w:hAnsi="Calibri Light" w:cs="Times New Roman"/>
      <w:color w:val="2F5496"/>
      <w:sz w:val="32"/>
      <w:szCs w:val="32"/>
      <w:lang w:val="en-AU"/>
    </w:rPr>
  </w:style>
  <w:style w:type="character" w:customStyle="1" w:styleId="TitleChar">
    <w:name w:val="Title Char"/>
    <w:link w:val="Title"/>
    <w:uiPriority w:val="10"/>
    <w:rsid w:val="002B574B"/>
    <w:rPr>
      <w:rFonts w:ascii="Century Gothic" w:eastAsia="Century Gothic" w:hAnsi="Century Gothic" w:cs="Century Gothic"/>
      <w:b/>
      <w:bCs/>
      <w:sz w:val="48"/>
      <w:szCs w:val="48"/>
    </w:rPr>
  </w:style>
  <w:style w:type="paragraph" w:styleId="Subtitle">
    <w:name w:val="Subtitle"/>
    <w:basedOn w:val="Title"/>
    <w:next w:val="Normal"/>
    <w:link w:val="SubtitleChar"/>
    <w:uiPriority w:val="11"/>
    <w:qFormat/>
    <w:rsid w:val="002B574B"/>
    <w:pPr>
      <w:widowControl/>
      <w:autoSpaceDE/>
      <w:autoSpaceDN/>
      <w:spacing w:before="240" w:after="60"/>
      <w:ind w:left="0"/>
      <w:jc w:val="right"/>
      <w:outlineLvl w:val="0"/>
    </w:pPr>
    <w:rPr>
      <w:rFonts w:ascii="Calibri" w:eastAsia="SimSun" w:hAnsi="Calibri" w:cs="Angsana New"/>
      <w:noProof/>
      <w:w w:val="105"/>
      <w:kern w:val="28"/>
      <w:sz w:val="28"/>
      <w:szCs w:val="28"/>
      <w:lang w:val="en-AU"/>
    </w:rPr>
  </w:style>
  <w:style w:type="character" w:customStyle="1" w:styleId="SubtitleChar">
    <w:name w:val="Subtitle Char"/>
    <w:basedOn w:val="DefaultParagraphFont"/>
    <w:link w:val="Subtitle"/>
    <w:uiPriority w:val="11"/>
    <w:rsid w:val="002B574B"/>
    <w:rPr>
      <w:rFonts w:ascii="Calibri" w:eastAsia="SimSun" w:hAnsi="Calibri" w:cs="Angsana New"/>
      <w:b/>
      <w:bCs/>
      <w:noProof/>
      <w:w w:val="105"/>
      <w:kern w:val="28"/>
      <w:sz w:val="28"/>
      <w:szCs w:val="28"/>
      <w:lang w:val="en-AU"/>
    </w:rPr>
  </w:style>
  <w:style w:type="paragraph" w:styleId="Header">
    <w:name w:val="header"/>
    <w:basedOn w:val="Normal"/>
    <w:link w:val="HeaderChar"/>
    <w:uiPriority w:val="99"/>
    <w:unhideWhenUsed/>
    <w:rsid w:val="002B574B"/>
    <w:pPr>
      <w:widowControl/>
      <w:tabs>
        <w:tab w:val="center" w:pos="4513"/>
        <w:tab w:val="right" w:pos="9026"/>
      </w:tabs>
      <w:autoSpaceDE/>
      <w:autoSpaceDN/>
      <w:spacing w:after="200" w:line="276" w:lineRule="auto"/>
    </w:pPr>
    <w:rPr>
      <w:rFonts w:ascii="Calibri" w:eastAsia="Calibri" w:hAnsi="Calibri" w:cs="Calibri"/>
      <w:w w:val="105"/>
      <w:kern w:val="40"/>
      <w:lang w:val="en-AU"/>
    </w:rPr>
  </w:style>
  <w:style w:type="character" w:customStyle="1" w:styleId="HeaderChar">
    <w:name w:val="Header Char"/>
    <w:basedOn w:val="DefaultParagraphFont"/>
    <w:link w:val="Header"/>
    <w:uiPriority w:val="99"/>
    <w:rsid w:val="002B574B"/>
    <w:rPr>
      <w:rFonts w:ascii="Calibri" w:eastAsia="Calibri" w:hAnsi="Calibri" w:cs="Calibri"/>
      <w:w w:val="105"/>
      <w:kern w:val="40"/>
      <w:lang w:val="en-AU"/>
    </w:rPr>
  </w:style>
  <w:style w:type="paragraph" w:styleId="Footer">
    <w:name w:val="footer"/>
    <w:basedOn w:val="Normal"/>
    <w:link w:val="FooterChar"/>
    <w:uiPriority w:val="99"/>
    <w:unhideWhenUsed/>
    <w:rsid w:val="002B574B"/>
    <w:pPr>
      <w:widowControl/>
      <w:tabs>
        <w:tab w:val="center" w:pos="4513"/>
        <w:tab w:val="right" w:pos="9026"/>
      </w:tabs>
      <w:autoSpaceDE/>
      <w:autoSpaceDN/>
      <w:spacing w:after="200" w:line="276" w:lineRule="auto"/>
    </w:pPr>
    <w:rPr>
      <w:rFonts w:ascii="Calibri" w:eastAsia="Calibri" w:hAnsi="Calibri" w:cs="Calibri"/>
      <w:w w:val="105"/>
      <w:kern w:val="40"/>
      <w:lang w:val="en-AU"/>
    </w:rPr>
  </w:style>
  <w:style w:type="character" w:customStyle="1" w:styleId="FooterChar">
    <w:name w:val="Footer Char"/>
    <w:basedOn w:val="DefaultParagraphFont"/>
    <w:link w:val="Footer"/>
    <w:uiPriority w:val="99"/>
    <w:rsid w:val="002B574B"/>
    <w:rPr>
      <w:rFonts w:ascii="Calibri" w:eastAsia="Calibri" w:hAnsi="Calibri" w:cs="Calibri"/>
      <w:w w:val="105"/>
      <w:kern w:val="40"/>
      <w:lang w:val="en-AU"/>
    </w:rPr>
  </w:style>
  <w:style w:type="paragraph" w:styleId="BalloonText">
    <w:name w:val="Balloon Text"/>
    <w:basedOn w:val="Normal"/>
    <w:link w:val="BalloonTextChar"/>
    <w:uiPriority w:val="99"/>
    <w:semiHidden/>
    <w:unhideWhenUsed/>
    <w:rsid w:val="002B574B"/>
    <w:pPr>
      <w:widowControl/>
      <w:autoSpaceDE/>
      <w:autoSpaceDN/>
    </w:pPr>
    <w:rPr>
      <w:rFonts w:ascii="Tahoma" w:eastAsia="Calibri" w:hAnsi="Tahoma" w:cs="Tahoma"/>
      <w:w w:val="105"/>
      <w:kern w:val="40"/>
      <w:sz w:val="16"/>
      <w:szCs w:val="16"/>
      <w:lang w:val="en-AU"/>
    </w:rPr>
  </w:style>
  <w:style w:type="character" w:customStyle="1" w:styleId="BalloonTextChar">
    <w:name w:val="Balloon Text Char"/>
    <w:basedOn w:val="DefaultParagraphFont"/>
    <w:link w:val="BalloonText"/>
    <w:uiPriority w:val="99"/>
    <w:semiHidden/>
    <w:rsid w:val="002B574B"/>
    <w:rPr>
      <w:rFonts w:ascii="Tahoma" w:eastAsia="Calibri" w:hAnsi="Tahoma" w:cs="Tahoma"/>
      <w:w w:val="105"/>
      <w:kern w:val="40"/>
      <w:sz w:val="16"/>
      <w:szCs w:val="16"/>
      <w:lang w:val="en-AU"/>
    </w:rPr>
  </w:style>
  <w:style w:type="paragraph" w:customStyle="1" w:styleId="Bullet1">
    <w:name w:val="Bullet 1"/>
    <w:basedOn w:val="ListBullet2"/>
    <w:autoRedefine/>
    <w:qFormat/>
    <w:rsid w:val="002B574B"/>
    <w:pPr>
      <w:numPr>
        <w:ilvl w:val="0"/>
      </w:numPr>
      <w:ind w:left="567" w:hanging="567"/>
    </w:pPr>
  </w:style>
  <w:style w:type="numbering" w:customStyle="1" w:styleId="Bullet2">
    <w:name w:val="Bullet 2"/>
    <w:basedOn w:val="NoList"/>
    <w:uiPriority w:val="99"/>
    <w:rsid w:val="002B574B"/>
    <w:pPr>
      <w:numPr>
        <w:numId w:val="4"/>
      </w:numPr>
    </w:pPr>
  </w:style>
  <w:style w:type="paragraph" w:styleId="ListBullet2">
    <w:name w:val="List Bullet 2"/>
    <w:basedOn w:val="ListBullet"/>
    <w:autoRedefine/>
    <w:uiPriority w:val="99"/>
    <w:unhideWhenUsed/>
    <w:qFormat/>
    <w:rsid w:val="002B574B"/>
    <w:pPr>
      <w:ind w:left="1134" w:hanging="567"/>
    </w:pPr>
  </w:style>
  <w:style w:type="paragraph" w:styleId="ListBullet">
    <w:name w:val="List Bullet"/>
    <w:aliases w:val="List Bullet 1"/>
    <w:basedOn w:val="Normal"/>
    <w:uiPriority w:val="99"/>
    <w:unhideWhenUsed/>
    <w:rsid w:val="002B574B"/>
    <w:pPr>
      <w:widowControl/>
      <w:numPr>
        <w:ilvl w:val="1"/>
        <w:numId w:val="3"/>
      </w:numPr>
      <w:autoSpaceDE/>
      <w:autoSpaceDN/>
      <w:spacing w:after="200" w:line="276" w:lineRule="auto"/>
      <w:ind w:left="1440"/>
      <w:contextualSpacing/>
    </w:pPr>
    <w:rPr>
      <w:rFonts w:ascii="Calibri" w:eastAsia="Calibri" w:hAnsi="Calibri" w:cs="Calibri"/>
      <w:w w:val="105"/>
      <w:kern w:val="40"/>
      <w:lang w:val="en-AU"/>
    </w:rPr>
  </w:style>
  <w:style w:type="character" w:styleId="Strong">
    <w:name w:val="Strong"/>
    <w:basedOn w:val="DefaultParagraphFont"/>
    <w:uiPriority w:val="22"/>
    <w:rsid w:val="002B574B"/>
    <w:rPr>
      <w:b/>
      <w:bCs/>
    </w:rPr>
  </w:style>
  <w:style w:type="character" w:styleId="SubtleEmphasis">
    <w:name w:val="Subtle Emphasis"/>
    <w:basedOn w:val="DefaultParagraphFont"/>
    <w:uiPriority w:val="19"/>
    <w:rsid w:val="002B574B"/>
    <w:rPr>
      <w:i/>
      <w:iCs/>
      <w:color w:val="808080" w:themeColor="text1" w:themeTint="7F"/>
    </w:rPr>
  </w:style>
  <w:style w:type="character" w:styleId="Hyperlink">
    <w:name w:val="Hyperlink"/>
    <w:basedOn w:val="DefaultParagraphFont"/>
    <w:uiPriority w:val="99"/>
    <w:unhideWhenUsed/>
    <w:rsid w:val="002B574B"/>
    <w:rPr>
      <w:color w:val="0563C1"/>
      <w:u w:val="single"/>
    </w:rPr>
  </w:style>
  <w:style w:type="character" w:styleId="FollowedHyperlink">
    <w:name w:val="FollowedHyperlink"/>
    <w:basedOn w:val="DefaultParagraphFont"/>
    <w:uiPriority w:val="99"/>
    <w:semiHidden/>
    <w:unhideWhenUsed/>
    <w:rsid w:val="002B574B"/>
    <w:rPr>
      <w:color w:val="954F72"/>
      <w:u w:val="single"/>
    </w:rPr>
  </w:style>
  <w:style w:type="paragraph" w:customStyle="1" w:styleId="msonormal0">
    <w:name w:val="msonormal"/>
    <w:basedOn w:val="Normal"/>
    <w:rsid w:val="002B574B"/>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font5">
    <w:name w:val="font5"/>
    <w:basedOn w:val="Normal"/>
    <w:rsid w:val="002B574B"/>
    <w:pPr>
      <w:widowControl/>
      <w:autoSpaceDE/>
      <w:autoSpaceDN/>
      <w:spacing w:before="100" w:beforeAutospacing="1" w:after="100" w:afterAutospacing="1"/>
    </w:pPr>
    <w:rPr>
      <w:rFonts w:ascii="Calibri" w:eastAsia="Times New Roman" w:hAnsi="Calibri" w:cs="Calibri"/>
      <w:color w:val="FF0000"/>
      <w:lang w:val="en-AU" w:eastAsia="en-AU"/>
    </w:rPr>
  </w:style>
  <w:style w:type="paragraph" w:customStyle="1" w:styleId="xl65">
    <w:name w:val="xl65"/>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en-AU" w:eastAsia="en-AU"/>
    </w:rPr>
  </w:style>
  <w:style w:type="paragraph" w:customStyle="1" w:styleId="xl66">
    <w:name w:val="xl66"/>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en-AU" w:eastAsia="en-AU"/>
    </w:rPr>
  </w:style>
  <w:style w:type="paragraph" w:customStyle="1" w:styleId="xl67">
    <w:name w:val="xl67"/>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en-AU" w:eastAsia="en-AU"/>
    </w:rPr>
  </w:style>
  <w:style w:type="paragraph" w:customStyle="1" w:styleId="xl68">
    <w:name w:val="xl68"/>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en-AU" w:eastAsia="en-AU"/>
    </w:rPr>
  </w:style>
  <w:style w:type="paragraph" w:customStyle="1" w:styleId="xl69">
    <w:name w:val="xl69"/>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xl70">
    <w:name w:val="xl70"/>
    <w:basedOn w:val="Normal"/>
    <w:rsid w:val="002B574B"/>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xl71">
    <w:name w:val="xl71"/>
    <w:basedOn w:val="Normal"/>
    <w:rsid w:val="002B574B"/>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textAlignment w:val="center"/>
    </w:pPr>
    <w:rPr>
      <w:rFonts w:ascii="Times New Roman" w:eastAsia="Times New Roman" w:hAnsi="Times New Roman" w:cs="Times New Roman"/>
      <w:b/>
      <w:bCs/>
      <w:sz w:val="24"/>
      <w:szCs w:val="24"/>
      <w:lang w:val="en-AU" w:eastAsia="en-AU"/>
    </w:rPr>
  </w:style>
  <w:style w:type="paragraph" w:customStyle="1" w:styleId="xl72">
    <w:name w:val="xl72"/>
    <w:basedOn w:val="Normal"/>
    <w:rsid w:val="002B57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AU" w:eastAsia="en-AU"/>
    </w:rPr>
  </w:style>
  <w:style w:type="paragraph" w:customStyle="1" w:styleId="xl73">
    <w:name w:val="xl73"/>
    <w:basedOn w:val="Normal"/>
    <w:rsid w:val="002B574B"/>
    <w:pPr>
      <w:widowControl/>
      <w:pBdr>
        <w:top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AU" w:eastAsia="en-AU"/>
    </w:rPr>
  </w:style>
  <w:style w:type="paragraph" w:customStyle="1" w:styleId="xl74">
    <w:name w:val="xl74"/>
    <w:basedOn w:val="Normal"/>
    <w:rsid w:val="002B574B"/>
    <w:pPr>
      <w:widowControl/>
      <w:pBdr>
        <w:bottom w:val="single" w:sz="4" w:space="0" w:color="auto"/>
      </w:pBdr>
      <w:shd w:val="clear" w:color="000000" w:fill="FCE4D6"/>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AU" w:eastAsia="en-AU"/>
    </w:rPr>
  </w:style>
  <w:style w:type="paragraph" w:customStyle="1" w:styleId="xl75">
    <w:name w:val="xl75"/>
    <w:basedOn w:val="Normal"/>
    <w:rsid w:val="002B574B"/>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AU" w:eastAsia="en-AU"/>
    </w:rPr>
  </w:style>
  <w:style w:type="table" w:styleId="TableGrid">
    <w:name w:val="Table Grid"/>
    <w:basedOn w:val="TableNormal"/>
    <w:uiPriority w:val="39"/>
    <w:rsid w:val="002B574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74B"/>
    <w:rPr>
      <w:sz w:val="16"/>
      <w:szCs w:val="16"/>
    </w:rPr>
  </w:style>
  <w:style w:type="paragraph" w:styleId="CommentText">
    <w:name w:val="annotation text"/>
    <w:basedOn w:val="Normal"/>
    <w:link w:val="CommentTextChar"/>
    <w:uiPriority w:val="99"/>
    <w:unhideWhenUsed/>
    <w:rsid w:val="002B574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2B574B"/>
    <w:rPr>
      <w:sz w:val="20"/>
      <w:szCs w:val="20"/>
      <w:lang w:val="en-AU"/>
    </w:rPr>
  </w:style>
  <w:style w:type="paragraph" w:styleId="CommentSubject">
    <w:name w:val="annotation subject"/>
    <w:basedOn w:val="CommentText"/>
    <w:next w:val="CommentText"/>
    <w:link w:val="CommentSubjectChar"/>
    <w:uiPriority w:val="99"/>
    <w:semiHidden/>
    <w:unhideWhenUsed/>
    <w:rsid w:val="002B574B"/>
    <w:rPr>
      <w:b/>
      <w:bCs/>
    </w:rPr>
  </w:style>
  <w:style w:type="character" w:customStyle="1" w:styleId="CommentSubjectChar">
    <w:name w:val="Comment Subject Char"/>
    <w:basedOn w:val="CommentTextChar"/>
    <w:link w:val="CommentSubject"/>
    <w:uiPriority w:val="99"/>
    <w:semiHidden/>
    <w:rsid w:val="002B574B"/>
    <w:rPr>
      <w:b/>
      <w:bCs/>
      <w:sz w:val="20"/>
      <w:szCs w:val="20"/>
      <w:lang w:val="en-AU"/>
    </w:rPr>
  </w:style>
  <w:style w:type="character" w:styleId="UnresolvedMention">
    <w:name w:val="Unresolved Mention"/>
    <w:basedOn w:val="DefaultParagraphFont"/>
    <w:uiPriority w:val="99"/>
    <w:semiHidden/>
    <w:unhideWhenUsed/>
    <w:rsid w:val="002B574B"/>
    <w:rPr>
      <w:color w:val="605E5C"/>
      <w:shd w:val="clear" w:color="auto" w:fill="E1DFDD"/>
    </w:rPr>
  </w:style>
  <w:style w:type="paragraph" w:styleId="FootnoteText">
    <w:name w:val="footnote text"/>
    <w:aliases w:val="Footnote Text (AGD),Footnote Text Char1,Footnote Text Char Char,Footnote Text Char1 Char Char,Footnote Text Char Char Char Char,Footnote Text Char Char Char Char Char Char Char Char Char Char Char Char,ft"/>
    <w:basedOn w:val="Normal"/>
    <w:link w:val="FootnoteTextChar"/>
    <w:uiPriority w:val="99"/>
    <w:unhideWhenUsed/>
    <w:qFormat/>
    <w:rsid w:val="002B574B"/>
    <w:pPr>
      <w:widowControl/>
      <w:autoSpaceDE/>
      <w:autoSpaceDN/>
    </w:pPr>
    <w:rPr>
      <w:rFonts w:asciiTheme="minorHAnsi" w:eastAsiaTheme="minorHAnsi" w:hAnsiTheme="minorHAnsi" w:cstheme="minorBidi"/>
      <w:sz w:val="20"/>
      <w:szCs w:val="20"/>
      <w:lang w:val="en-AU"/>
    </w:rPr>
  </w:style>
  <w:style w:type="character" w:customStyle="1" w:styleId="FootnoteTextChar">
    <w:name w:val="Footnote Text Char"/>
    <w:aliases w:val="Footnote Text (AGD) Char,Footnote Text Char1 Char,Footnote Text Char Char Char,Footnote Text Char1 Char Char Char,Footnote Text Char Char Char Char Char,Footnote Text Char Char Char Char Char Char Char Char Char Char Char Char Char"/>
    <w:basedOn w:val="DefaultParagraphFont"/>
    <w:link w:val="FootnoteText"/>
    <w:uiPriority w:val="99"/>
    <w:rsid w:val="002B574B"/>
    <w:rPr>
      <w:sz w:val="20"/>
      <w:szCs w:val="20"/>
      <w:lang w:val="en-AU"/>
    </w:rPr>
  </w:style>
  <w:style w:type="character" w:styleId="FootnoteReference">
    <w:name w:val="footnote reference"/>
    <w:aliases w:val="Footnote Reference (AGD),fr"/>
    <w:basedOn w:val="DefaultParagraphFont"/>
    <w:uiPriority w:val="99"/>
    <w:unhideWhenUsed/>
    <w:rsid w:val="002B574B"/>
    <w:rPr>
      <w:vertAlign w:val="superscript"/>
    </w:rPr>
  </w:style>
  <w:style w:type="character" w:customStyle="1" w:styleId="ListParagraphChar">
    <w:name w:val="List Paragraph Char"/>
    <w:aliases w:val="Bullets Char,CV text Char,Dot pt Char,F5 List Paragraph Char,FooterText Char,L Char,List Paragraph1 Char,List Paragraph11 Char,List Paragraph111 Char,List Paragraph2 Char,Medium Grid 1 - Accent 21 Char,NAST Quote Char,Table text Char"/>
    <w:basedOn w:val="DefaultParagraphFont"/>
    <w:link w:val="ListParagraph"/>
    <w:uiPriority w:val="34"/>
    <w:qFormat/>
    <w:locked/>
    <w:rsid w:val="002B574B"/>
    <w:rPr>
      <w:rFonts w:ascii="Gill Sans MT" w:eastAsia="Gill Sans MT" w:hAnsi="Gill Sans MT" w:cs="Gill Sans MT"/>
    </w:rPr>
  </w:style>
  <w:style w:type="paragraph" w:styleId="Revision">
    <w:name w:val="Revision"/>
    <w:hidden/>
    <w:uiPriority w:val="99"/>
    <w:semiHidden/>
    <w:rsid w:val="002B574B"/>
    <w:pPr>
      <w:widowControl/>
      <w:autoSpaceDE/>
      <w:autoSpaceDN/>
    </w:pPr>
    <w:rPr>
      <w:rFonts w:ascii="Calibri" w:eastAsia="Calibri" w:hAnsi="Calibri" w:cs="Calibri"/>
      <w:w w:val="105"/>
      <w:kern w:val="40"/>
      <w:lang w:val="en-AU"/>
    </w:rPr>
  </w:style>
  <w:style w:type="character" w:customStyle="1" w:styleId="BodyTextChar">
    <w:name w:val="Body Text Char"/>
    <w:basedOn w:val="DefaultParagraphFont"/>
    <w:link w:val="BodyText"/>
    <w:uiPriority w:val="1"/>
    <w:rsid w:val="002B574B"/>
    <w:rPr>
      <w:rFonts w:ascii="Gill Sans MT" w:eastAsia="Gill Sans MT" w:hAnsi="Gill Sans MT" w:cs="Gill Sans MT"/>
      <w:sz w:val="20"/>
      <w:szCs w:val="20"/>
    </w:rPr>
  </w:style>
  <w:style w:type="numbering" w:customStyle="1" w:styleId="NoList2">
    <w:name w:val="No List2"/>
    <w:next w:val="NoList"/>
    <w:uiPriority w:val="99"/>
    <w:semiHidden/>
    <w:unhideWhenUsed/>
    <w:rsid w:val="001B4D5D"/>
  </w:style>
  <w:style w:type="numbering" w:customStyle="1" w:styleId="Bullet21">
    <w:name w:val="Bullet 21"/>
    <w:basedOn w:val="NoList"/>
    <w:uiPriority w:val="99"/>
    <w:rsid w:val="001B4D5D"/>
    <w:pPr>
      <w:numPr>
        <w:numId w:val="2"/>
      </w:numPr>
    </w:pPr>
  </w:style>
  <w:style w:type="table" w:customStyle="1" w:styleId="TableGrid1">
    <w:name w:val="Table Grid1"/>
    <w:basedOn w:val="TableNormal"/>
    <w:next w:val="TableGrid"/>
    <w:uiPriority w:val="39"/>
    <w:rsid w:val="001B4D5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1806FE"/>
    <w:pPr>
      <w:keepNext/>
      <w:keepLines/>
      <w:widowControl/>
      <w:autoSpaceDE/>
      <w:autoSpaceDN/>
      <w:spacing w:before="40" w:line="259" w:lineRule="auto"/>
      <w:outlineLvl w:val="4"/>
    </w:pPr>
    <w:rPr>
      <w:rFonts w:ascii="Calibri Light" w:eastAsia="Times New Roman" w:hAnsi="Calibri Light" w:cs="Times New Roman"/>
      <w:color w:val="2F5496"/>
      <w:lang w:val="en-AU"/>
    </w:rPr>
  </w:style>
  <w:style w:type="numbering" w:customStyle="1" w:styleId="NoList3">
    <w:name w:val="No List3"/>
    <w:next w:val="NoList"/>
    <w:uiPriority w:val="99"/>
    <w:semiHidden/>
    <w:unhideWhenUsed/>
    <w:rsid w:val="001806FE"/>
  </w:style>
  <w:style w:type="table" w:customStyle="1" w:styleId="TableGrid2">
    <w:name w:val="Table Grid2"/>
    <w:basedOn w:val="TableNormal"/>
    <w:next w:val="TableGrid"/>
    <w:uiPriority w:val="39"/>
    <w:rsid w:val="001806F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06FE"/>
    <w:pPr>
      <w:outlineLvl w:val="9"/>
    </w:pPr>
    <w:rPr>
      <w:b/>
      <w:bCs/>
    </w:rPr>
  </w:style>
  <w:style w:type="paragraph" w:styleId="TOC1">
    <w:name w:val="toc 1"/>
    <w:basedOn w:val="Normal"/>
    <w:next w:val="Normal"/>
    <w:autoRedefine/>
    <w:uiPriority w:val="39"/>
    <w:unhideWhenUsed/>
    <w:rsid w:val="00D92C18"/>
    <w:pPr>
      <w:widowControl/>
      <w:tabs>
        <w:tab w:val="right" w:leader="dot" w:pos="9016"/>
      </w:tabs>
      <w:autoSpaceDE/>
      <w:autoSpaceDN/>
      <w:spacing w:after="100" w:line="259" w:lineRule="auto"/>
    </w:pPr>
    <w:rPr>
      <w:rFonts w:ascii="Calibri" w:eastAsia="Calibri" w:hAnsi="Calibri" w:cs="Times New Roman"/>
      <w:b/>
      <w:noProof/>
      <w:lang w:val="en-AU"/>
    </w:rPr>
  </w:style>
  <w:style w:type="paragraph" w:styleId="TOC2">
    <w:name w:val="toc 2"/>
    <w:basedOn w:val="Normal"/>
    <w:next w:val="Normal"/>
    <w:autoRedefine/>
    <w:uiPriority w:val="39"/>
    <w:unhideWhenUsed/>
    <w:rsid w:val="001806FE"/>
    <w:pPr>
      <w:widowControl/>
      <w:autoSpaceDE/>
      <w:autoSpaceDN/>
      <w:spacing w:after="100" w:line="259" w:lineRule="auto"/>
      <w:ind w:left="220"/>
    </w:pPr>
    <w:rPr>
      <w:rFonts w:ascii="Calibri" w:eastAsia="Calibri" w:hAnsi="Calibri" w:cs="Times New Roman"/>
      <w:lang w:val="en-AU"/>
    </w:rPr>
  </w:style>
  <w:style w:type="paragraph" w:styleId="TOC3">
    <w:name w:val="toc 3"/>
    <w:basedOn w:val="Normal"/>
    <w:next w:val="Normal"/>
    <w:autoRedefine/>
    <w:uiPriority w:val="39"/>
    <w:unhideWhenUsed/>
    <w:rsid w:val="001806FE"/>
    <w:pPr>
      <w:widowControl/>
      <w:autoSpaceDE/>
      <w:autoSpaceDN/>
      <w:spacing w:after="100" w:line="259" w:lineRule="auto"/>
      <w:ind w:left="440"/>
    </w:pPr>
    <w:rPr>
      <w:rFonts w:ascii="Calibri" w:eastAsia="Calibri" w:hAnsi="Calibri" w:cs="Times New Roman"/>
      <w:lang w:val="en-AU"/>
    </w:rPr>
  </w:style>
  <w:style w:type="paragraph" w:customStyle="1" w:styleId="definition">
    <w:name w:val="definition"/>
    <w:basedOn w:val="Normal"/>
    <w:rsid w:val="001806F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ragraph">
    <w:name w:val="paragraph"/>
    <w:basedOn w:val="Normal"/>
    <w:rsid w:val="001806F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subsection2">
    <w:name w:val="subsection2"/>
    <w:basedOn w:val="Normal"/>
    <w:rsid w:val="001806F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1806FE"/>
    <w:pPr>
      <w:widowControl/>
      <w:autoSpaceDE/>
      <w:autoSpaceDN/>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1806FE"/>
    <w:rPr>
      <w:rFonts w:ascii="Calibri" w:eastAsia="Calibri" w:hAnsi="Calibri" w:cs="Times New Roman"/>
      <w:szCs w:val="21"/>
      <w:lang w:val="en-AU"/>
    </w:rPr>
  </w:style>
  <w:style w:type="paragraph" w:customStyle="1" w:styleId="Tableheading">
    <w:name w:val="Table heading"/>
    <w:basedOn w:val="Normal"/>
    <w:link w:val="TableheadingChar"/>
    <w:qFormat/>
    <w:rsid w:val="001806FE"/>
    <w:pPr>
      <w:widowControl/>
      <w:autoSpaceDE/>
      <w:autoSpaceDN/>
      <w:spacing w:after="200" w:line="276" w:lineRule="auto"/>
    </w:pPr>
    <w:rPr>
      <w:rFonts w:ascii="Calibri" w:eastAsia="Calibri" w:hAnsi="Calibri" w:cs="Calibri"/>
      <w:b/>
      <w:color w:val="4D738A"/>
      <w:w w:val="105"/>
      <w:kern w:val="40"/>
      <w:sz w:val="24"/>
      <w:lang w:val="en-AU"/>
    </w:rPr>
  </w:style>
  <w:style w:type="character" w:customStyle="1" w:styleId="TableheadingChar">
    <w:name w:val="Table heading Char"/>
    <w:basedOn w:val="DefaultParagraphFont"/>
    <w:link w:val="Tableheading"/>
    <w:rsid w:val="001806FE"/>
    <w:rPr>
      <w:rFonts w:ascii="Calibri" w:eastAsia="Calibri" w:hAnsi="Calibri" w:cs="Calibri"/>
      <w:b/>
      <w:color w:val="4D738A"/>
      <w:w w:val="105"/>
      <w:kern w:val="40"/>
      <w:sz w:val="24"/>
      <w:lang w:val="en-AU"/>
    </w:rPr>
  </w:style>
  <w:style w:type="paragraph" w:styleId="NormalWeb">
    <w:name w:val="Normal (Web)"/>
    <w:basedOn w:val="Normal"/>
    <w:uiPriority w:val="99"/>
    <w:unhideWhenUsed/>
    <w:rsid w:val="001806F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5Char">
    <w:name w:val="Heading 5 Char"/>
    <w:basedOn w:val="DefaultParagraphFont"/>
    <w:link w:val="Heading5"/>
    <w:uiPriority w:val="9"/>
    <w:rsid w:val="001806FE"/>
    <w:rPr>
      <w:rFonts w:ascii="Calibri Light" w:eastAsia="Times New Roman" w:hAnsi="Calibri Light" w:cs="Times New Roman"/>
      <w:color w:val="2F5496"/>
    </w:rPr>
  </w:style>
  <w:style w:type="character" w:customStyle="1" w:styleId="Heading5Char1">
    <w:name w:val="Heading 5 Char1"/>
    <w:basedOn w:val="DefaultParagraphFont"/>
    <w:uiPriority w:val="9"/>
    <w:semiHidden/>
    <w:rsid w:val="001806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321">
      <w:bodyDiv w:val="1"/>
      <w:marLeft w:val="0"/>
      <w:marRight w:val="0"/>
      <w:marTop w:val="0"/>
      <w:marBottom w:val="0"/>
      <w:divBdr>
        <w:top w:val="none" w:sz="0" w:space="0" w:color="auto"/>
        <w:left w:val="none" w:sz="0" w:space="0" w:color="auto"/>
        <w:bottom w:val="none" w:sz="0" w:space="0" w:color="auto"/>
        <w:right w:val="none" w:sz="0" w:space="0" w:color="auto"/>
      </w:divBdr>
    </w:div>
    <w:div w:id="361594543">
      <w:bodyDiv w:val="1"/>
      <w:marLeft w:val="0"/>
      <w:marRight w:val="0"/>
      <w:marTop w:val="0"/>
      <w:marBottom w:val="0"/>
      <w:divBdr>
        <w:top w:val="none" w:sz="0" w:space="0" w:color="auto"/>
        <w:left w:val="none" w:sz="0" w:space="0" w:color="auto"/>
        <w:bottom w:val="none" w:sz="0" w:space="0" w:color="auto"/>
        <w:right w:val="none" w:sz="0" w:space="0" w:color="auto"/>
      </w:divBdr>
    </w:div>
    <w:div w:id="381289331">
      <w:bodyDiv w:val="1"/>
      <w:marLeft w:val="0"/>
      <w:marRight w:val="0"/>
      <w:marTop w:val="0"/>
      <w:marBottom w:val="0"/>
      <w:divBdr>
        <w:top w:val="none" w:sz="0" w:space="0" w:color="auto"/>
        <w:left w:val="none" w:sz="0" w:space="0" w:color="auto"/>
        <w:bottom w:val="none" w:sz="0" w:space="0" w:color="auto"/>
        <w:right w:val="none" w:sz="0" w:space="0" w:color="auto"/>
      </w:divBdr>
    </w:div>
    <w:div w:id="540367767">
      <w:bodyDiv w:val="1"/>
      <w:marLeft w:val="0"/>
      <w:marRight w:val="0"/>
      <w:marTop w:val="0"/>
      <w:marBottom w:val="0"/>
      <w:divBdr>
        <w:top w:val="none" w:sz="0" w:space="0" w:color="auto"/>
        <w:left w:val="none" w:sz="0" w:space="0" w:color="auto"/>
        <w:bottom w:val="none" w:sz="0" w:space="0" w:color="auto"/>
        <w:right w:val="none" w:sz="0" w:space="0" w:color="auto"/>
      </w:divBdr>
    </w:div>
    <w:div w:id="625237861">
      <w:bodyDiv w:val="1"/>
      <w:marLeft w:val="0"/>
      <w:marRight w:val="0"/>
      <w:marTop w:val="0"/>
      <w:marBottom w:val="0"/>
      <w:divBdr>
        <w:top w:val="none" w:sz="0" w:space="0" w:color="auto"/>
        <w:left w:val="none" w:sz="0" w:space="0" w:color="auto"/>
        <w:bottom w:val="none" w:sz="0" w:space="0" w:color="auto"/>
        <w:right w:val="none" w:sz="0" w:space="0" w:color="auto"/>
      </w:divBdr>
    </w:div>
    <w:div w:id="879166898">
      <w:bodyDiv w:val="1"/>
      <w:marLeft w:val="0"/>
      <w:marRight w:val="0"/>
      <w:marTop w:val="0"/>
      <w:marBottom w:val="0"/>
      <w:divBdr>
        <w:top w:val="none" w:sz="0" w:space="0" w:color="auto"/>
        <w:left w:val="none" w:sz="0" w:space="0" w:color="auto"/>
        <w:bottom w:val="none" w:sz="0" w:space="0" w:color="auto"/>
        <w:right w:val="none" w:sz="0" w:space="0" w:color="auto"/>
      </w:divBdr>
    </w:div>
    <w:div w:id="1054431156">
      <w:bodyDiv w:val="1"/>
      <w:marLeft w:val="0"/>
      <w:marRight w:val="0"/>
      <w:marTop w:val="0"/>
      <w:marBottom w:val="0"/>
      <w:divBdr>
        <w:top w:val="none" w:sz="0" w:space="0" w:color="auto"/>
        <w:left w:val="none" w:sz="0" w:space="0" w:color="auto"/>
        <w:bottom w:val="none" w:sz="0" w:space="0" w:color="auto"/>
        <w:right w:val="none" w:sz="0" w:space="0" w:color="auto"/>
      </w:divBdr>
    </w:div>
    <w:div w:id="1380327322">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g.gov.au/legal-system/publications/guide-framing-commonwealth-offences-infringement-notices-and-enforcement-power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gov.au/legal-system/publications/guide-framing-commonwealth-offences-infringement-notices-and-enforcement-powe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s://www.alrc.gov.au/inquiry/secrecy-laws-and-open-governme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ag.gov.au/crime/publications/terms-reference-review-secrecy-provisions"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pp.gov.au/prosecution-policy" TargetMode="External"/><Relationship Id="rId2" Type="http://schemas.openxmlformats.org/officeDocument/2006/relationships/hyperlink" Target="https://www.ag.gov.au/national-security/publications/report-comprehensive-review-legal-framework-national-intelligence-community" TargetMode="External"/><Relationship Id="rId1" Type="http://schemas.openxmlformats.org/officeDocument/2006/relationships/hyperlink" Target="https://www.protectivesecurity.gov.au/information/access-to-information/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3CB4-86B8-4135-9429-C95B62DE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11670</Words>
  <Characters>66525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Review of Secrecy Provisions - discussion paper</vt:lpstr>
    </vt:vector>
  </TitlesOfParts>
  <Company/>
  <LinksUpToDate>false</LinksUpToDate>
  <CharactersWithSpaces>78039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Secrecy Provisions - discussion paper</dc:title>
  <dc:creator/>
  <cp:lastModifiedBy/>
  <cp:revision>1</cp:revision>
  <dcterms:created xsi:type="dcterms:W3CDTF">2023-03-24T01:25:00Z</dcterms:created>
  <dcterms:modified xsi:type="dcterms:W3CDTF">2023-03-24T01:28:00Z</dcterms:modified>
</cp:coreProperties>
</file>