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CE94B" w14:textId="386A1385" w:rsidR="00A65D18" w:rsidRPr="00E11016" w:rsidRDefault="00F54DB1" w:rsidP="00E11016">
      <w:pPr>
        <w:pStyle w:val="Heading2"/>
        <w:spacing w:before="0" w:after="120" w:line="276" w:lineRule="auto"/>
        <w:jc w:val="center"/>
        <w:rPr>
          <w:sz w:val="28"/>
        </w:rPr>
      </w:pPr>
      <w:r w:rsidRPr="00E11016">
        <w:rPr>
          <w:sz w:val="28"/>
        </w:rPr>
        <w:t>Children’s Contact Services – Selection Process for Locations for Grant Opportunity</w:t>
      </w:r>
    </w:p>
    <w:p w14:paraId="4C1EA96D" w14:textId="4AD62E45" w:rsidR="00A65D18" w:rsidRDefault="00791156" w:rsidP="00E11016">
      <w:pPr>
        <w:spacing w:after="120"/>
      </w:pPr>
      <w:r>
        <w:t xml:space="preserve">Children’s Contact Services (CCSs) play a critical role in the family law system, providing a child-focussed and safe environment for supervised contact and facilitated changeovers for families who are unable to safely manage contact arrangements for their children. </w:t>
      </w:r>
      <w:r w:rsidR="00A65D18">
        <w:t xml:space="preserve">In the 2021-22 </w:t>
      </w:r>
      <w:r>
        <w:t xml:space="preserve">Federal </w:t>
      </w:r>
      <w:r w:rsidR="00A65D18">
        <w:t>Budget, the</w:t>
      </w:r>
      <w:r w:rsidR="00CF0F63">
        <w:t xml:space="preserve"> Australian</w:t>
      </w:r>
      <w:r w:rsidR="00A65D18">
        <w:t xml:space="preserve"> Government provided </w:t>
      </w:r>
      <w:r>
        <w:t xml:space="preserve">additional </w:t>
      </w:r>
      <w:r w:rsidR="00A65D18">
        <w:t xml:space="preserve">funding of </w:t>
      </w:r>
      <w:r w:rsidR="00A65D18" w:rsidRPr="00190C75">
        <w:t>$10</w:t>
      </w:r>
      <w:bookmarkStart w:id="0" w:name="_GoBack"/>
      <w:bookmarkEnd w:id="0"/>
      <w:r w:rsidR="00A65D18" w:rsidRPr="00190C75">
        <w:t xml:space="preserve">1.4 million </w:t>
      </w:r>
      <w:r w:rsidR="00A65D18">
        <w:t>for</w:t>
      </w:r>
      <w:r>
        <w:t xml:space="preserve"> CCSs</w:t>
      </w:r>
      <w:r w:rsidR="00807096">
        <w:t>, including</w:t>
      </w:r>
      <w:r w:rsidR="00A65D18">
        <w:t>:</w:t>
      </w:r>
      <w:r w:rsidR="00A65D18" w:rsidRPr="00190C75">
        <w:t xml:space="preserve"> </w:t>
      </w:r>
    </w:p>
    <w:p w14:paraId="4F56A9DE" w14:textId="6D0877A6" w:rsidR="00A65D18" w:rsidRPr="00DB2642" w:rsidRDefault="00A65D18" w:rsidP="00BA42CE">
      <w:pPr>
        <w:pStyle w:val="ListParagraph"/>
        <w:keepNext/>
        <w:numPr>
          <w:ilvl w:val="0"/>
          <w:numId w:val="23"/>
        </w:numPr>
        <w:spacing w:after="120" w:line="276" w:lineRule="auto"/>
        <w:ind w:left="714" w:hanging="357"/>
        <w:rPr>
          <w:w w:val="105"/>
        </w:rPr>
      </w:pPr>
      <w:r w:rsidRPr="00DB2642">
        <w:rPr>
          <w:w w:val="105"/>
        </w:rPr>
        <w:t xml:space="preserve">ongoing funding of $68.8 million over four years from 2021-22 </w:t>
      </w:r>
      <w:r w:rsidR="00807096">
        <w:rPr>
          <w:w w:val="105"/>
        </w:rPr>
        <w:t>to enhance the</w:t>
      </w:r>
      <w:r w:rsidRPr="00DB2642">
        <w:rPr>
          <w:w w:val="105"/>
        </w:rPr>
        <w:t xml:space="preserve"> 64 existing CCSs</w:t>
      </w:r>
      <w:r w:rsidR="00BA42CE">
        <w:rPr>
          <w:w w:val="105"/>
        </w:rPr>
        <w:t>,</w:t>
      </w:r>
      <w:r w:rsidRPr="00DB2642">
        <w:rPr>
          <w:w w:val="105"/>
        </w:rPr>
        <w:t xml:space="preserve"> and </w:t>
      </w:r>
    </w:p>
    <w:p w14:paraId="7A37BEB1" w14:textId="1AF58043" w:rsidR="00807A5D" w:rsidRPr="00DB2642" w:rsidRDefault="00A65D18" w:rsidP="00BA42CE">
      <w:pPr>
        <w:pStyle w:val="ListParagraph"/>
        <w:keepNext/>
        <w:numPr>
          <w:ilvl w:val="0"/>
          <w:numId w:val="23"/>
        </w:numPr>
        <w:spacing w:after="120" w:line="276" w:lineRule="auto"/>
        <w:ind w:left="714" w:hanging="357"/>
        <w:rPr>
          <w:w w:val="105"/>
        </w:rPr>
      </w:pPr>
      <w:r w:rsidRPr="00DB2642">
        <w:rPr>
          <w:w w:val="105"/>
        </w:rPr>
        <w:t>ongoing funding of $27.5 million over three years from 2022-23 to establish 20 new CCSs</w:t>
      </w:r>
      <w:r w:rsidR="00DB2642">
        <w:rPr>
          <w:w w:val="105"/>
        </w:rPr>
        <w:t>.</w:t>
      </w:r>
      <w:r w:rsidRPr="00DB2642">
        <w:rPr>
          <w:w w:val="105"/>
        </w:rPr>
        <w:t xml:space="preserve"> </w:t>
      </w:r>
    </w:p>
    <w:p w14:paraId="7377335E" w14:textId="5F7E3F88" w:rsidR="00B40DE9" w:rsidRDefault="00A65D18" w:rsidP="00E11016">
      <w:pPr>
        <w:spacing w:after="120"/>
      </w:pPr>
      <w:r w:rsidRPr="00190C75">
        <w:t>Th</w:t>
      </w:r>
      <w:r w:rsidR="00791156">
        <w:t>is</w:t>
      </w:r>
      <w:r w:rsidRPr="00190C75">
        <w:t xml:space="preserve"> funding </w:t>
      </w:r>
      <w:r w:rsidR="006B7E6A">
        <w:t>aims</w:t>
      </w:r>
      <w:r w:rsidR="00807096">
        <w:t xml:space="preserve"> </w:t>
      </w:r>
      <w:r w:rsidRPr="00190C75">
        <w:t>to increase capacity of services</w:t>
      </w:r>
      <w:r>
        <w:t xml:space="preserve">, </w:t>
      </w:r>
      <w:r w:rsidRPr="00190C75">
        <w:t>reduce waiting times</w:t>
      </w:r>
      <w:r>
        <w:t xml:space="preserve"> and fill geographical gaps</w:t>
      </w:r>
      <w:r w:rsidR="006B7E6A">
        <w:t xml:space="preserve"> in delivery</w:t>
      </w:r>
      <w:r w:rsidR="0060082D">
        <w:t xml:space="preserve"> – particularly for regional, rural and remote areas, where access to services can be limited</w:t>
      </w:r>
      <w:r w:rsidRPr="00190C75">
        <w:t>.</w:t>
      </w:r>
      <w:r>
        <w:t xml:space="preserve"> </w:t>
      </w:r>
    </w:p>
    <w:p w14:paraId="6FACDBDB" w14:textId="71F83E22" w:rsidR="00243A6C" w:rsidRDefault="00791156" w:rsidP="00E11016">
      <w:pPr>
        <w:keepNext/>
        <w:spacing w:after="120"/>
      </w:pPr>
      <w:r>
        <w:t>On 11 March 2022, the Attorney-General</w:t>
      </w:r>
      <w:r w:rsidR="00A83234">
        <w:t xml:space="preserve">, Senator the Hon </w:t>
      </w:r>
      <w:proofErr w:type="spellStart"/>
      <w:r w:rsidR="00A83234">
        <w:t>Michaelia</w:t>
      </w:r>
      <w:proofErr w:type="spellEnd"/>
      <w:r w:rsidR="00A83234">
        <w:t xml:space="preserve"> Cash,</w:t>
      </w:r>
      <w:r>
        <w:t xml:space="preserve"> invited applications for funding t</w:t>
      </w:r>
      <w:r w:rsidR="009F7515">
        <w:t>hrough a grant opportunity to</w:t>
      </w:r>
      <w:r>
        <w:t xml:space="preserve"> establish </w:t>
      </w:r>
      <w:r w:rsidR="00687FAA">
        <w:t xml:space="preserve">the </w:t>
      </w:r>
      <w:r w:rsidR="00B40DE9">
        <w:t>new CC</w:t>
      </w:r>
      <w:r w:rsidR="009F7515">
        <w:t>S</w:t>
      </w:r>
      <w:r w:rsidR="00B40DE9">
        <w:t>s</w:t>
      </w:r>
      <w:r>
        <w:t xml:space="preserve"> in 20</w:t>
      </w:r>
      <w:r w:rsidR="00B40DE9">
        <w:t> </w:t>
      </w:r>
      <w:r>
        <w:t>locations</w:t>
      </w:r>
      <w:r w:rsidR="00136BE1">
        <w:t>, which are li</w:t>
      </w:r>
      <w:r>
        <w:t xml:space="preserve">sted at </w:t>
      </w:r>
      <w:r w:rsidRPr="00E11016">
        <w:rPr>
          <w:b/>
        </w:rPr>
        <w:t>A</w:t>
      </w:r>
      <w:r w:rsidR="00BA42CE">
        <w:rPr>
          <w:b/>
        </w:rPr>
        <w:t>ppendix</w:t>
      </w:r>
      <w:r w:rsidRPr="00E11016">
        <w:rPr>
          <w:b/>
        </w:rPr>
        <w:t xml:space="preserve"> </w:t>
      </w:r>
      <w:r w:rsidR="00BA42CE">
        <w:rPr>
          <w:b/>
        </w:rPr>
        <w:t>A</w:t>
      </w:r>
      <w:r w:rsidR="00B40DE9">
        <w:t xml:space="preserve">. </w:t>
      </w:r>
      <w:r w:rsidR="009F7515">
        <w:t xml:space="preserve">Applications are due by 12 April 2022. </w:t>
      </w:r>
      <w:r w:rsidR="00A106E9">
        <w:t>T</w:t>
      </w:r>
      <w:r w:rsidR="0070738F">
        <w:t>o identify the 20 locations, t</w:t>
      </w:r>
      <w:r>
        <w:t>he Australian Government Attorney</w:t>
      </w:r>
      <w:r w:rsidR="00334202">
        <w:noBreakHyphen/>
      </w:r>
      <w:r>
        <w:t>General’s Department (AGD)</w:t>
      </w:r>
      <w:r w:rsidR="00A106E9">
        <w:t xml:space="preserve"> </w:t>
      </w:r>
      <w:r w:rsidR="00B40DE9">
        <w:t>us</w:t>
      </w:r>
      <w:r w:rsidR="00417F3B">
        <w:t>ed</w:t>
      </w:r>
      <w:r w:rsidR="00B40DE9">
        <w:t xml:space="preserve"> a methodology that </w:t>
      </w:r>
      <w:r w:rsidR="001A26CE">
        <w:t>considered locations</w:t>
      </w:r>
      <w:r w:rsidR="00B40DE9">
        <w:t xml:space="preserve"> </w:t>
      </w:r>
      <w:r w:rsidR="001A26CE">
        <w:t xml:space="preserve">according to the Australian Bureau of Statistics’ </w:t>
      </w:r>
      <w:r w:rsidR="007D341E">
        <w:t xml:space="preserve">(ABS) </w:t>
      </w:r>
      <w:r w:rsidR="00B40DE9">
        <w:t>Statistical Area Level 4 (SA4)</w:t>
      </w:r>
      <w:r w:rsidR="001A26CE">
        <w:t xml:space="preserve"> framework</w:t>
      </w:r>
      <w:r w:rsidR="00B40DE9">
        <w:t>,</w:t>
      </w:r>
      <w:r w:rsidR="00B40DE9">
        <w:rPr>
          <w:rStyle w:val="FootnoteReference"/>
        </w:rPr>
        <w:footnoteReference w:id="1"/>
      </w:r>
      <w:r w:rsidR="00B40DE9">
        <w:t xml:space="preserve"> and </w:t>
      </w:r>
      <w:r w:rsidR="009A75A0">
        <w:t>weighted relevant</w:t>
      </w:r>
      <w:r w:rsidR="00B40DE9">
        <w:t xml:space="preserve"> factors</w:t>
      </w:r>
      <w:r w:rsidR="00A106E9">
        <w:t xml:space="preserve"> to assess demand</w:t>
      </w:r>
      <w:r w:rsidR="00243A6C">
        <w:t xml:space="preserve">. This was informed by </w:t>
      </w:r>
      <w:r w:rsidR="007D341E">
        <w:t xml:space="preserve">analysis of relevant data and </w:t>
      </w:r>
      <w:r w:rsidR="00BA42CE">
        <w:t>research</w:t>
      </w:r>
      <w:r w:rsidR="007D341E">
        <w:t>,</w:t>
      </w:r>
      <w:r w:rsidR="00BA42CE">
        <w:t xml:space="preserve"> and </w:t>
      </w:r>
      <w:r w:rsidR="00243A6C">
        <w:t xml:space="preserve">public consultations </w:t>
      </w:r>
      <w:r w:rsidR="00B92067">
        <w:t xml:space="preserve">through an online survey </w:t>
      </w:r>
      <w:r w:rsidR="00243A6C">
        <w:t>on a draft methodology</w:t>
      </w:r>
      <w:r w:rsidR="0011564D">
        <w:rPr>
          <w:rStyle w:val="FootnoteReference"/>
        </w:rPr>
        <w:footnoteReference w:id="2"/>
      </w:r>
      <w:r w:rsidR="00243A6C">
        <w:t xml:space="preserve"> that ran from </w:t>
      </w:r>
      <w:r w:rsidR="00B92067">
        <w:t>26 October to 16 November 2021. AGD received 81 responses to the survey.</w:t>
      </w:r>
    </w:p>
    <w:p w14:paraId="5F5E1FC6" w14:textId="606DFFAE" w:rsidR="00807096" w:rsidRPr="00807096" w:rsidRDefault="009F7515" w:rsidP="00E11016">
      <w:pPr>
        <w:keepNext/>
        <w:spacing w:after="120"/>
        <w:rPr>
          <w:b/>
        </w:rPr>
      </w:pPr>
      <w:r>
        <w:t>The exact location</w:t>
      </w:r>
      <w:r w:rsidR="009A75A0">
        <w:t xml:space="preserve"> of each service</w:t>
      </w:r>
      <w:r>
        <w:t xml:space="preserve"> (town or suburb within the selected SA4s) will </w:t>
      </w:r>
      <w:r w:rsidR="001D730E">
        <w:t xml:space="preserve">ultimately </w:t>
      </w:r>
      <w:r>
        <w:t>be determined based on applications received for t</w:t>
      </w:r>
      <w:r w:rsidRPr="00FE3A4F">
        <w:t>he grant opportunity</w:t>
      </w:r>
      <w:r w:rsidR="00C212E8">
        <w:t>.</w:t>
      </w:r>
      <w:r w:rsidR="00F54DB1">
        <w:t xml:space="preserve"> </w:t>
      </w:r>
      <w:r w:rsidR="00C212E8">
        <w:t>These</w:t>
      </w:r>
      <w:r w:rsidR="00A106E9">
        <w:t xml:space="preserve"> will be assessed </w:t>
      </w:r>
      <w:r w:rsidR="0065700A">
        <w:t xml:space="preserve">through an </w:t>
      </w:r>
      <w:r w:rsidR="00755317">
        <w:t>Australian Government Department of Social Services</w:t>
      </w:r>
      <w:r w:rsidR="00AB64CF">
        <w:t xml:space="preserve"> (DSS)</w:t>
      </w:r>
      <w:r w:rsidR="00755317">
        <w:t xml:space="preserve"> </w:t>
      </w:r>
      <w:r w:rsidR="0065700A">
        <w:t xml:space="preserve">Community </w:t>
      </w:r>
      <w:r w:rsidR="00755317">
        <w:t>Grants Hub</w:t>
      </w:r>
      <w:r w:rsidR="0065700A">
        <w:t xml:space="preserve"> selection process </w:t>
      </w:r>
      <w:r w:rsidR="00AB64CF">
        <w:t>which</w:t>
      </w:r>
      <w:r w:rsidR="0065700A">
        <w:t xml:space="preserve"> </w:t>
      </w:r>
      <w:r w:rsidR="00B467B0">
        <w:t>includes representatives</w:t>
      </w:r>
      <w:r w:rsidR="0065700A">
        <w:t xml:space="preserve"> </w:t>
      </w:r>
      <w:r w:rsidR="00AB64CF">
        <w:t xml:space="preserve">from DSS and </w:t>
      </w:r>
      <w:r w:rsidR="0065700A">
        <w:t>AGD.</w:t>
      </w:r>
    </w:p>
    <w:p w14:paraId="6A5ABAF8" w14:textId="35267168" w:rsidR="00421DB5" w:rsidRPr="00BE2DF5" w:rsidRDefault="007F130F" w:rsidP="00E11016">
      <w:pPr>
        <w:pStyle w:val="Heading2"/>
        <w:spacing w:before="0" w:after="120" w:line="276" w:lineRule="auto"/>
        <w:rPr>
          <w:color w:val="auto"/>
          <w:sz w:val="28"/>
        </w:rPr>
      </w:pPr>
      <w:bookmarkStart w:id="1" w:name="_Toc99017381"/>
      <w:r w:rsidRPr="00BE2DF5">
        <w:rPr>
          <w:color w:val="auto"/>
          <w:sz w:val="28"/>
        </w:rPr>
        <w:t xml:space="preserve">Summary of </w:t>
      </w:r>
      <w:r w:rsidR="00421DB5" w:rsidRPr="00BE2DF5">
        <w:rPr>
          <w:color w:val="auto"/>
          <w:sz w:val="28"/>
        </w:rPr>
        <w:t>methodology</w:t>
      </w:r>
      <w:bookmarkEnd w:id="1"/>
    </w:p>
    <w:p w14:paraId="35C3A0A6" w14:textId="4BCB5253" w:rsidR="00421DB5" w:rsidRDefault="00136BE1" w:rsidP="00E11016">
      <w:pPr>
        <w:keepNext/>
        <w:spacing w:after="120"/>
      </w:pPr>
      <w:r>
        <w:t>To identify</w:t>
      </w:r>
      <w:r w:rsidR="00A960F1" w:rsidRPr="00A960F1">
        <w:t xml:space="preserve"> </w:t>
      </w:r>
      <w:r w:rsidR="00A960F1">
        <w:t>the locations with the greatest demand for additional services</w:t>
      </w:r>
      <w:r>
        <w:t xml:space="preserve">, AGD </w:t>
      </w:r>
      <w:r w:rsidR="006608A4">
        <w:t xml:space="preserve">assessed the </w:t>
      </w:r>
      <w:r w:rsidR="00421DB5">
        <w:t xml:space="preserve">following factors </w:t>
      </w:r>
      <w:r w:rsidR="007F130F">
        <w:t xml:space="preserve">to </w:t>
      </w:r>
      <w:r w:rsidR="00D90E11">
        <w:t>estimate</w:t>
      </w:r>
      <w:r w:rsidR="00EB18B9">
        <w:t xml:space="preserve"> </w:t>
      </w:r>
      <w:r w:rsidR="000B1B38">
        <w:t>demand</w:t>
      </w:r>
      <w:r w:rsidR="00421DB5">
        <w:t>, weighted at 50:30:20</w:t>
      </w:r>
      <w:r w:rsidR="00A960F1">
        <w:t xml:space="preserve"> percent</w:t>
      </w:r>
      <w:r w:rsidR="00421DB5">
        <w:t xml:space="preserve"> respectively</w:t>
      </w:r>
      <w:r w:rsidR="00D90E11">
        <w:t>:</w:t>
      </w:r>
    </w:p>
    <w:p w14:paraId="2CF6D101" w14:textId="59EFF5B8" w:rsidR="00421DB5" w:rsidRDefault="007F130F" w:rsidP="00BA42CE">
      <w:pPr>
        <w:pStyle w:val="ListParagraph"/>
        <w:numPr>
          <w:ilvl w:val="0"/>
          <w:numId w:val="9"/>
        </w:numPr>
        <w:spacing w:after="120" w:line="276" w:lineRule="auto"/>
        <w:ind w:left="714" w:hanging="357"/>
      </w:pPr>
      <w:r>
        <w:t>p</w:t>
      </w:r>
      <w:r w:rsidR="00421DB5">
        <w:t>roximity to</w:t>
      </w:r>
      <w:r w:rsidR="00790B86">
        <w:t xml:space="preserve"> the</w:t>
      </w:r>
      <w:r w:rsidR="00421DB5">
        <w:t xml:space="preserve"> nearest</w:t>
      </w:r>
      <w:r w:rsidR="00790B86">
        <w:t xml:space="preserve"> </w:t>
      </w:r>
      <w:r>
        <w:t>Australian G</w:t>
      </w:r>
      <w:r w:rsidR="00790B86">
        <w:t>overnment funded</w:t>
      </w:r>
      <w:r w:rsidR="00421DB5">
        <w:t xml:space="preserve"> CCS </w:t>
      </w:r>
    </w:p>
    <w:p w14:paraId="13BCDEE5" w14:textId="6383799A" w:rsidR="00421DB5" w:rsidRDefault="007F130F" w:rsidP="00BA42CE">
      <w:pPr>
        <w:pStyle w:val="ListParagraph"/>
        <w:numPr>
          <w:ilvl w:val="0"/>
          <w:numId w:val="9"/>
        </w:numPr>
        <w:spacing w:after="120" w:line="276" w:lineRule="auto"/>
        <w:ind w:left="714" w:hanging="357"/>
      </w:pPr>
      <w:r>
        <w:t>e</w:t>
      </w:r>
      <w:r w:rsidR="00421DB5">
        <w:t xml:space="preserve">stimated disadvantage based on </w:t>
      </w:r>
      <w:r>
        <w:t>the Socio-Economic Index for Areas (SEIFA), and</w:t>
      </w:r>
    </w:p>
    <w:p w14:paraId="4FBFAE43" w14:textId="52220D79" w:rsidR="00421DB5" w:rsidRDefault="007F130F" w:rsidP="00FC0846">
      <w:pPr>
        <w:pStyle w:val="ListParagraph"/>
        <w:numPr>
          <w:ilvl w:val="0"/>
          <w:numId w:val="9"/>
        </w:numPr>
        <w:spacing w:after="120" w:line="276" w:lineRule="auto"/>
        <w:ind w:left="714" w:hanging="357"/>
      </w:pPr>
      <w:r>
        <w:t>t</w:t>
      </w:r>
      <w:r w:rsidR="00421DB5">
        <w:t>arget cohort population per CCS.</w:t>
      </w:r>
    </w:p>
    <w:p w14:paraId="13984209" w14:textId="5EE6AF17" w:rsidR="00421DB5" w:rsidRPr="00DB2642" w:rsidRDefault="00A106E9" w:rsidP="00E11016">
      <w:pPr>
        <w:spacing w:after="120"/>
      </w:pPr>
      <w:r>
        <w:t>AGD</w:t>
      </w:r>
      <w:r w:rsidR="00421DB5" w:rsidRPr="00DB2642">
        <w:t xml:space="preserve"> then conducted a manual review of the SA4s ranked highest in estimated demand, to rule out the possibility of </w:t>
      </w:r>
      <w:r w:rsidR="00421DB5">
        <w:t xml:space="preserve">disadvantaging some areas through the </w:t>
      </w:r>
      <w:r w:rsidR="00421DB5" w:rsidRPr="00DB2642">
        <w:t xml:space="preserve">over-saturation of </w:t>
      </w:r>
      <w:r w:rsidR="00421DB5">
        <w:t xml:space="preserve">new services </w:t>
      </w:r>
      <w:r w:rsidR="00790B86">
        <w:t>in other areas</w:t>
      </w:r>
      <w:r w:rsidR="00F51F4C">
        <w:t xml:space="preserve">. </w:t>
      </w:r>
      <w:r w:rsidR="007D341E">
        <w:t>These factors and relevant considerations are outlined in further detail below.</w:t>
      </w:r>
    </w:p>
    <w:p w14:paraId="4ACA0ACC" w14:textId="77777777" w:rsidR="004F15FA" w:rsidRDefault="004F15FA" w:rsidP="00E11016">
      <w:pPr>
        <w:pStyle w:val="Heading3"/>
        <w:spacing w:after="120" w:line="276" w:lineRule="auto"/>
        <w:rPr>
          <w:color w:val="auto"/>
          <w:sz w:val="28"/>
        </w:rPr>
        <w:sectPr w:rsidR="004F15FA" w:rsidSect="000135FB">
          <w:headerReference w:type="default" r:id="rId7"/>
          <w:type w:val="continuous"/>
          <w:pgSz w:w="12240" w:h="15840"/>
          <w:pgMar w:top="269" w:right="964" w:bottom="964" w:left="964" w:header="113" w:footer="709" w:gutter="0"/>
          <w:cols w:space="708"/>
          <w:docGrid w:linePitch="360"/>
        </w:sectPr>
      </w:pPr>
      <w:bookmarkStart w:id="2" w:name="_Toc99017382"/>
    </w:p>
    <w:p w14:paraId="6F8132AC" w14:textId="45683BC7" w:rsidR="00421DB5" w:rsidRPr="00BE2DF5" w:rsidRDefault="00A960F1" w:rsidP="00E11016">
      <w:pPr>
        <w:pStyle w:val="Heading3"/>
        <w:spacing w:after="120" w:line="276" w:lineRule="auto"/>
        <w:rPr>
          <w:color w:val="auto"/>
          <w:sz w:val="28"/>
        </w:rPr>
      </w:pPr>
      <w:r w:rsidRPr="00BE2DF5">
        <w:rPr>
          <w:color w:val="auto"/>
          <w:sz w:val="28"/>
        </w:rPr>
        <w:lastRenderedPageBreak/>
        <w:t xml:space="preserve">Factor 1: </w:t>
      </w:r>
      <w:r w:rsidR="00421DB5" w:rsidRPr="00BE2DF5">
        <w:rPr>
          <w:color w:val="auto"/>
          <w:sz w:val="28"/>
        </w:rPr>
        <w:t>Proximity to the nearest CCS</w:t>
      </w:r>
      <w:bookmarkEnd w:id="2"/>
      <w:r w:rsidRPr="00BE2DF5">
        <w:rPr>
          <w:color w:val="auto"/>
          <w:sz w:val="28"/>
        </w:rPr>
        <w:t xml:space="preserve"> – weighted at 50%</w:t>
      </w:r>
    </w:p>
    <w:p w14:paraId="2E95BA04" w14:textId="2DD68031" w:rsidR="00F54DB1" w:rsidRDefault="00421DB5" w:rsidP="00E11016">
      <w:pPr>
        <w:spacing w:after="120"/>
      </w:pPr>
      <w:r>
        <w:t xml:space="preserve">This factor </w:t>
      </w:r>
      <w:r w:rsidR="006608A4" w:rsidRPr="00790B86">
        <w:t>consider</w:t>
      </w:r>
      <w:r w:rsidR="00EB2F48">
        <w:t>s</w:t>
      </w:r>
      <w:r w:rsidR="006608A4" w:rsidRPr="00790B86">
        <w:t xml:space="preserve"> the locations of the </w:t>
      </w:r>
      <w:r w:rsidR="006608A4">
        <w:t xml:space="preserve">64 CCS </w:t>
      </w:r>
      <w:r w:rsidR="006608A4" w:rsidRPr="00790B86">
        <w:t xml:space="preserve">providers </w:t>
      </w:r>
      <w:r w:rsidR="006608A4">
        <w:t xml:space="preserve">currently funded by the Australian Government </w:t>
      </w:r>
      <w:r w:rsidR="006608A4" w:rsidRPr="00790B86">
        <w:t>(in their known main service location)</w:t>
      </w:r>
      <w:r w:rsidR="006608A4">
        <w:t xml:space="preserve"> and</w:t>
      </w:r>
      <w:r w:rsidR="006608A4" w:rsidRPr="00790B86">
        <w:t xml:space="preserve"> </w:t>
      </w:r>
      <w:r w:rsidR="006608A4">
        <w:t xml:space="preserve">estimates </w:t>
      </w:r>
      <w:r>
        <w:t xml:space="preserve">the distance and time travelled by families in order to access their nearest government funded CCS. </w:t>
      </w:r>
      <w:r w:rsidR="00AA3B99">
        <w:t xml:space="preserve">This </w:t>
      </w:r>
      <w:r>
        <w:t xml:space="preserve">factor </w:t>
      </w:r>
      <w:r w:rsidR="00AA3B99">
        <w:t xml:space="preserve">was </w:t>
      </w:r>
      <w:r>
        <w:t xml:space="preserve">calculated </w:t>
      </w:r>
      <w:r w:rsidR="00AA3B99">
        <w:t>as follows:</w:t>
      </w:r>
      <w:r>
        <w:t xml:space="preserve"> </w:t>
      </w:r>
    </w:p>
    <w:p w14:paraId="6CDAA4D0" w14:textId="0226C05E" w:rsidR="00E97F8B" w:rsidRPr="007D297F" w:rsidRDefault="00E97F8B" w:rsidP="00E11016">
      <w:pPr>
        <w:pStyle w:val="ListParagraph"/>
        <w:numPr>
          <w:ilvl w:val="0"/>
          <w:numId w:val="21"/>
        </w:numPr>
        <w:spacing w:after="120" w:line="276" w:lineRule="auto"/>
        <w:contextualSpacing w:val="0"/>
      </w:pPr>
      <w:r w:rsidRPr="003921F6">
        <w:t>The</w:t>
      </w:r>
      <w:r>
        <w:t xml:space="preserve"> initial</w:t>
      </w:r>
      <w:r w:rsidRPr="003921F6">
        <w:t xml:space="preserve"> </w:t>
      </w:r>
      <w:r w:rsidRPr="006D71D5">
        <w:t xml:space="preserve">calculation </w:t>
      </w:r>
      <w:r>
        <w:t>was</w:t>
      </w:r>
      <w:r w:rsidRPr="006D71D5">
        <w:t xml:space="preserve"> undertaken at </w:t>
      </w:r>
      <w:r>
        <w:t xml:space="preserve">the </w:t>
      </w:r>
      <w:r w:rsidRPr="006D71D5">
        <w:t>SA3</w:t>
      </w:r>
      <w:r>
        <w:t xml:space="preserve"> level </w:t>
      </w:r>
      <w:r w:rsidRPr="008D256E">
        <w:t xml:space="preserve">(one step below SA4 – </w:t>
      </w:r>
      <w:hyperlink r:id="rId8" w:history="1">
        <w:r w:rsidRPr="008D256E">
          <w:rPr>
            <w:rStyle w:val="Hyperlink"/>
          </w:rPr>
          <w:t>see ABS for more</w:t>
        </w:r>
      </w:hyperlink>
      <w:r w:rsidRPr="008D256E">
        <w:t xml:space="preserve">) </w:t>
      </w:r>
      <w:r w:rsidRPr="006D71D5">
        <w:t xml:space="preserve">rather than </w:t>
      </w:r>
      <w:r>
        <w:t xml:space="preserve">by </w:t>
      </w:r>
      <w:r w:rsidRPr="006D71D5">
        <w:t>SA4. T</w:t>
      </w:r>
      <w:r w:rsidRPr="003921F6">
        <w:t>hi</w:t>
      </w:r>
      <w:r w:rsidRPr="006D71D5">
        <w:t>s</w:t>
      </w:r>
      <w:r>
        <w:t xml:space="preserve"> </w:t>
      </w:r>
      <w:r w:rsidRPr="006D71D5">
        <w:t>increases accuracy</w:t>
      </w:r>
      <w:r>
        <w:t xml:space="preserve"> by allowing for more precise calculations</w:t>
      </w:r>
      <w:r w:rsidRPr="006D71D5">
        <w:t xml:space="preserve">. Post calculation, aggregation to an SA4 level was </w:t>
      </w:r>
      <w:r>
        <w:t xml:space="preserve">then </w:t>
      </w:r>
      <w:r w:rsidRPr="006D71D5">
        <w:t xml:space="preserve">undertaken to ensure the </w:t>
      </w:r>
      <w:r w:rsidRPr="007D297F">
        <w:t xml:space="preserve">alignment of this factor to the broader methodology. </w:t>
      </w:r>
    </w:p>
    <w:p w14:paraId="440AC8C8" w14:textId="62DC8363" w:rsidR="00421DB5" w:rsidRPr="006D71D5" w:rsidRDefault="00421DB5" w:rsidP="00E11016">
      <w:pPr>
        <w:pStyle w:val="ListParagraph"/>
        <w:numPr>
          <w:ilvl w:val="0"/>
          <w:numId w:val="21"/>
        </w:numPr>
        <w:spacing w:after="120" w:line="276" w:lineRule="auto"/>
        <w:contextualSpacing w:val="0"/>
      </w:pPr>
      <w:r w:rsidRPr="007D297F">
        <w:t xml:space="preserve">In measuring distance to the nearest CCS, the point </w:t>
      </w:r>
      <w:r w:rsidRPr="00346332">
        <w:t xml:space="preserve">measured </w:t>
      </w:r>
      <w:r w:rsidR="00E97F8B">
        <w:t>wa</w:t>
      </w:r>
      <w:r w:rsidRPr="00EE560D">
        <w:t xml:space="preserve">s </w:t>
      </w:r>
      <w:r>
        <w:t xml:space="preserve">a </w:t>
      </w:r>
      <w:r w:rsidRPr="007D297F">
        <w:t>population centre</w:t>
      </w:r>
      <w:r>
        <w:rPr>
          <w:rStyle w:val="FootnoteReference"/>
        </w:rPr>
        <w:footnoteReference w:id="3"/>
      </w:r>
      <w:r>
        <w:t xml:space="preserve"> rather than the geographic centre. Measuring from the geographic centre of </w:t>
      </w:r>
      <w:r w:rsidR="00584EEF">
        <w:t>a location</w:t>
      </w:r>
      <w:r>
        <w:t xml:space="preserve"> is problematic, as it does not appropriately account for communities on the border of the region. </w:t>
      </w:r>
    </w:p>
    <w:p w14:paraId="6CC58834" w14:textId="3357F04A" w:rsidR="00421DB5" w:rsidRPr="003921F6" w:rsidRDefault="00421DB5" w:rsidP="00E11016">
      <w:pPr>
        <w:pStyle w:val="ListParagraph"/>
        <w:numPr>
          <w:ilvl w:val="0"/>
          <w:numId w:val="21"/>
        </w:numPr>
        <w:spacing w:after="120" w:line="276" w:lineRule="auto"/>
        <w:contextualSpacing w:val="0"/>
      </w:pPr>
      <w:r w:rsidRPr="006D71D5">
        <w:t xml:space="preserve">Instead of using </w:t>
      </w:r>
      <w:r>
        <w:t>kilometres</w:t>
      </w:r>
      <w:r w:rsidRPr="006D71D5">
        <w:t xml:space="preserve"> as the unit of measure, </w:t>
      </w:r>
      <w:r>
        <w:t xml:space="preserve">this factor </w:t>
      </w:r>
      <w:r w:rsidR="00E97F8B" w:rsidRPr="006D71D5">
        <w:t>use</w:t>
      </w:r>
      <w:r w:rsidR="00E97F8B">
        <w:t>d</w:t>
      </w:r>
      <w:r w:rsidR="00E97F8B" w:rsidRPr="006D71D5">
        <w:t xml:space="preserve"> </w:t>
      </w:r>
      <w:r w:rsidRPr="006D71D5">
        <w:t>time travelled</w:t>
      </w:r>
      <w:r>
        <w:t xml:space="preserve"> in minutes</w:t>
      </w:r>
      <w:r w:rsidR="00584EEF">
        <w:t>.</w:t>
      </w:r>
      <w:r>
        <w:rPr>
          <w:rStyle w:val="FootnoteReference"/>
        </w:rPr>
        <w:footnoteReference w:id="4"/>
      </w:r>
      <w:r w:rsidRPr="006D71D5">
        <w:t xml:space="preserve"> </w:t>
      </w:r>
      <w:r w:rsidR="00584EEF">
        <w:t>This</w:t>
      </w:r>
      <w:r w:rsidRPr="007D297F">
        <w:t xml:space="preserve"> is a more accurate representation </w:t>
      </w:r>
      <w:r w:rsidR="00584EEF">
        <w:t>as it accounts</w:t>
      </w:r>
      <w:r w:rsidRPr="007D297F">
        <w:t xml:space="preserve"> for actual time </w:t>
      </w:r>
      <w:r>
        <w:t xml:space="preserve">travelled </w:t>
      </w:r>
      <w:r w:rsidRPr="007D297F">
        <w:t>as opposed to distance</w:t>
      </w:r>
      <w:r>
        <w:t xml:space="preserve">, which </w:t>
      </w:r>
      <w:r w:rsidRPr="007D297F">
        <w:t xml:space="preserve">does not </w:t>
      </w:r>
      <w:r>
        <w:t>account for</w:t>
      </w:r>
      <w:r w:rsidRPr="007D297F">
        <w:t xml:space="preserve"> </w:t>
      </w:r>
      <w:r>
        <w:t xml:space="preserve">differing </w:t>
      </w:r>
      <w:r w:rsidRPr="007D297F">
        <w:t>speed limits</w:t>
      </w:r>
      <w:r>
        <w:t>,</w:t>
      </w:r>
      <w:r w:rsidRPr="007D297F">
        <w:t xml:space="preserve"> high-volume streets</w:t>
      </w:r>
      <w:r>
        <w:t xml:space="preserve"> or travel along highways.</w:t>
      </w:r>
    </w:p>
    <w:p w14:paraId="4FABDEE0" w14:textId="4BDBB4B5" w:rsidR="00421DB5" w:rsidRDefault="00421DB5" w:rsidP="00E11016">
      <w:pPr>
        <w:pStyle w:val="ListParagraph"/>
        <w:keepNext/>
        <w:numPr>
          <w:ilvl w:val="0"/>
          <w:numId w:val="21"/>
        </w:numPr>
        <w:spacing w:after="120" w:line="276" w:lineRule="auto"/>
        <w:contextualSpacing w:val="0"/>
      </w:pPr>
      <w:r>
        <w:t>Time</w:t>
      </w:r>
      <w:r w:rsidRPr="006D71D5">
        <w:t xml:space="preserve"> </w:t>
      </w:r>
      <w:r>
        <w:t>in minutes between the chosen location and the closest CCS was</w:t>
      </w:r>
      <w:r w:rsidRPr="006D71D5">
        <w:t xml:space="preserve"> multiplied by the population</w:t>
      </w:r>
      <w:r>
        <w:t xml:space="preserve">. </w:t>
      </w:r>
    </w:p>
    <w:p w14:paraId="74669F2C" w14:textId="28AB3DEA" w:rsidR="00421DB5" w:rsidRDefault="00421DB5" w:rsidP="00E11016">
      <w:pPr>
        <w:pStyle w:val="ListParagraph"/>
        <w:keepNext/>
        <w:keepLines/>
        <w:numPr>
          <w:ilvl w:val="1"/>
          <w:numId w:val="21"/>
        </w:numPr>
        <w:spacing w:after="120" w:line="276" w:lineRule="auto"/>
        <w:contextualSpacing w:val="0"/>
      </w:pPr>
      <w:r>
        <w:t xml:space="preserve">Population was considered </w:t>
      </w:r>
      <w:r w:rsidR="00E97F8B">
        <w:t xml:space="preserve">recognising that </w:t>
      </w:r>
      <w:r>
        <w:t xml:space="preserve">there are some very large SA4s with a small population. A distance measure which didn’t consider population would inappropriately preference these SA4s, and would not accurately indicate higher demand. </w:t>
      </w:r>
    </w:p>
    <w:p w14:paraId="5D94A4FF" w14:textId="776FBDEC" w:rsidR="00584EEF" w:rsidRDefault="001D730E" w:rsidP="00E11016">
      <w:pPr>
        <w:pStyle w:val="ListParagraph"/>
        <w:numPr>
          <w:ilvl w:val="0"/>
          <w:numId w:val="21"/>
        </w:numPr>
        <w:spacing w:after="120" w:line="276" w:lineRule="auto"/>
        <w:contextualSpacing w:val="0"/>
      </w:pPr>
      <w:r>
        <w:t>SA4s</w:t>
      </w:r>
      <w:r w:rsidR="00421DB5" w:rsidRPr="007D297F">
        <w:t xml:space="preserve"> with the </w:t>
      </w:r>
      <w:r w:rsidR="00421DB5">
        <w:t xml:space="preserve">highest total of time by population </w:t>
      </w:r>
      <w:r w:rsidR="00421DB5" w:rsidRPr="007D297F">
        <w:t xml:space="preserve">were ranked the highest. </w:t>
      </w:r>
    </w:p>
    <w:p w14:paraId="14D5F69B" w14:textId="19009745" w:rsidR="00A334C7" w:rsidRDefault="00A334C7" w:rsidP="00A334C7">
      <w:pPr>
        <w:spacing w:after="120"/>
      </w:pPr>
      <w:r>
        <w:t>Consultation with stakeholders indicated that proximity to the nearest CCS was the key factor influencing relative demand for a new service. As a result, this factor was assigned</w:t>
      </w:r>
      <w:r w:rsidRPr="00806B1B">
        <w:t xml:space="preserve"> 50</w:t>
      </w:r>
      <w:r>
        <w:t> percent</w:t>
      </w:r>
      <w:r w:rsidRPr="00806B1B">
        <w:t xml:space="preserve"> of the total </w:t>
      </w:r>
      <w:r>
        <w:t>weighting</w:t>
      </w:r>
      <w:r w:rsidRPr="00806B1B">
        <w:t>.</w:t>
      </w:r>
    </w:p>
    <w:p w14:paraId="03F90D23" w14:textId="70EA5B6A" w:rsidR="00421DB5" w:rsidRPr="00BE2DF5" w:rsidRDefault="00A960F1" w:rsidP="00E11016">
      <w:pPr>
        <w:pStyle w:val="Heading3"/>
        <w:spacing w:after="120" w:line="276" w:lineRule="auto"/>
        <w:rPr>
          <w:color w:val="auto"/>
          <w:sz w:val="28"/>
        </w:rPr>
      </w:pPr>
      <w:r w:rsidRPr="00BE2DF5">
        <w:rPr>
          <w:color w:val="auto"/>
          <w:sz w:val="28"/>
        </w:rPr>
        <w:t xml:space="preserve">Factor 2: </w:t>
      </w:r>
      <w:bookmarkStart w:id="3" w:name="_Toc99017383"/>
      <w:r w:rsidR="00421DB5" w:rsidRPr="00BE2DF5">
        <w:rPr>
          <w:color w:val="auto"/>
          <w:sz w:val="28"/>
        </w:rPr>
        <w:t>Estimated disadvantage based on SEIFA</w:t>
      </w:r>
      <w:bookmarkEnd w:id="3"/>
      <w:r w:rsidRPr="00BE2DF5">
        <w:rPr>
          <w:color w:val="auto"/>
          <w:sz w:val="28"/>
        </w:rPr>
        <w:t xml:space="preserve"> – weighted at 30%</w:t>
      </w:r>
    </w:p>
    <w:p w14:paraId="254C132F" w14:textId="6C8900D1" w:rsidR="00E602EA" w:rsidRDefault="00E602EA" w:rsidP="00E11016">
      <w:pPr>
        <w:spacing w:after="120"/>
      </w:pPr>
      <w:r>
        <w:t>This factor takes account of overall levels of disadvantage for a statistical area</w:t>
      </w:r>
      <w:r w:rsidR="006608A4">
        <w:t xml:space="preserve">, which </w:t>
      </w:r>
      <w:r>
        <w:t xml:space="preserve">recognises that clients of the family law system </w:t>
      </w:r>
      <w:r w:rsidR="00631217">
        <w:t xml:space="preserve">commonly </w:t>
      </w:r>
      <w:r>
        <w:t xml:space="preserve">face higher levels of disadvantage, such as </w:t>
      </w:r>
      <w:r w:rsidR="00C2211E">
        <w:t>lower incomes</w:t>
      </w:r>
      <w:r w:rsidR="00631217">
        <w:t xml:space="preserve"> and levels of educational attainment</w:t>
      </w:r>
      <w:r w:rsidR="00C2211E">
        <w:t>,</w:t>
      </w:r>
      <w:r w:rsidR="00631217">
        <w:t xml:space="preserve"> </w:t>
      </w:r>
      <w:r w:rsidR="004F15FA">
        <w:t xml:space="preserve">as well as </w:t>
      </w:r>
      <w:r w:rsidR="00C2211E">
        <w:t>being more dependent on government benefits</w:t>
      </w:r>
      <w:r w:rsidR="00631217">
        <w:t>.</w:t>
      </w:r>
      <w:r w:rsidR="00C2211E">
        <w:t xml:space="preserve">  </w:t>
      </w:r>
    </w:p>
    <w:p w14:paraId="1A7BA1F2" w14:textId="21B30B0E" w:rsidR="00E602EA" w:rsidRDefault="00E602EA" w:rsidP="00E11016">
      <w:pPr>
        <w:spacing w:after="120"/>
      </w:pPr>
      <w:r>
        <w:t>The ABS Index of Relative Socio Economic (IRSD) measure of SEIFA uses 16 variables to determine an overall level of disadvantage for a statistical area. For example, the percentage of people with low income households (between $1 and $25,999 per year), the percentage of people aged over 15 with no educational attainment, and the percentage of people with children under 15 years old who live with jobless parents. A low</w:t>
      </w:r>
      <w:r w:rsidR="00A677C8">
        <w:t>er</w:t>
      </w:r>
      <w:r>
        <w:t xml:space="preserve"> SEIFA score indicates a greater level of disadvantage</w:t>
      </w:r>
      <w:r w:rsidR="00C2211E">
        <w:t>.</w:t>
      </w:r>
    </w:p>
    <w:p w14:paraId="1C60B27D" w14:textId="2482EDA3" w:rsidR="00421DB5" w:rsidRDefault="00C2211E" w:rsidP="00E11016">
      <w:pPr>
        <w:spacing w:after="120"/>
      </w:pPr>
      <w:r>
        <w:t>Consultation with stakeholders indicated that SEIFA was the most appropriate method of assessing disadvantage, and that this factor was important, though less influential</w:t>
      </w:r>
      <w:r w:rsidR="008B4BBC">
        <w:t>,</w:t>
      </w:r>
      <w:r>
        <w:t xml:space="preserve"> than proximity to the nearest service. As a result, estimated disadvantage based on </w:t>
      </w:r>
      <w:r w:rsidR="006608A4">
        <w:t xml:space="preserve">the IRSD index of </w:t>
      </w:r>
      <w:r>
        <w:t xml:space="preserve">SEIFA was </w:t>
      </w:r>
      <w:r w:rsidR="008D1032">
        <w:t>assigned</w:t>
      </w:r>
      <w:r>
        <w:t xml:space="preserve"> 3</w:t>
      </w:r>
      <w:r w:rsidR="008B4BBC">
        <w:t>0 percent of the total weighting.</w:t>
      </w:r>
      <w:r w:rsidR="00E452C2">
        <w:t xml:space="preserve"> </w:t>
      </w:r>
      <w:r w:rsidR="00421DB5">
        <w:t>Each SA4 was ranked according to their SEIFA value</w:t>
      </w:r>
      <w:r w:rsidR="00A677C8">
        <w:t xml:space="preserve"> to assess relative </w:t>
      </w:r>
      <w:r w:rsidR="00421DB5">
        <w:t xml:space="preserve">disadvantage. </w:t>
      </w:r>
    </w:p>
    <w:p w14:paraId="44AC2207" w14:textId="18999FCE" w:rsidR="00421DB5" w:rsidRPr="00BE2DF5" w:rsidRDefault="00A960F1" w:rsidP="00E11016">
      <w:pPr>
        <w:pStyle w:val="Heading3"/>
        <w:spacing w:after="120" w:line="276" w:lineRule="auto"/>
        <w:rPr>
          <w:color w:val="auto"/>
          <w:sz w:val="28"/>
          <w:szCs w:val="28"/>
        </w:rPr>
      </w:pPr>
      <w:bookmarkStart w:id="4" w:name="_Toc99017384"/>
      <w:r w:rsidRPr="00BE2DF5">
        <w:rPr>
          <w:color w:val="auto"/>
          <w:sz w:val="28"/>
          <w:szCs w:val="28"/>
        </w:rPr>
        <w:lastRenderedPageBreak/>
        <w:t xml:space="preserve">Factor 3: </w:t>
      </w:r>
      <w:r w:rsidR="00421DB5" w:rsidRPr="00BE2DF5">
        <w:rPr>
          <w:color w:val="auto"/>
          <w:sz w:val="28"/>
          <w:szCs w:val="28"/>
        </w:rPr>
        <w:t>Target cohort population per CCS</w:t>
      </w:r>
      <w:bookmarkEnd w:id="4"/>
      <w:r w:rsidRPr="00BE2DF5">
        <w:rPr>
          <w:color w:val="auto"/>
          <w:sz w:val="28"/>
          <w:szCs w:val="28"/>
        </w:rPr>
        <w:t xml:space="preserve"> – weighted at 20%</w:t>
      </w:r>
    </w:p>
    <w:p w14:paraId="45992CE2" w14:textId="56C31573" w:rsidR="00D824E6" w:rsidRPr="00BC77C6" w:rsidRDefault="00D824E6" w:rsidP="00E11016">
      <w:pPr>
        <w:keepLines/>
        <w:spacing w:after="120"/>
      </w:pPr>
      <w:r>
        <w:t xml:space="preserve">This factor prioritises providing services for a target cohort of children </w:t>
      </w:r>
      <w:r w:rsidR="005F2D48">
        <w:t xml:space="preserve">aged </w:t>
      </w:r>
      <w:r>
        <w:t>0—14 years</w:t>
      </w:r>
      <w:r w:rsidR="004F15FA">
        <w:t>,</w:t>
      </w:r>
      <w:r>
        <w:t xml:space="preserve"> </w:t>
      </w:r>
      <w:r w:rsidR="004F15FA">
        <w:t>reflecting</w:t>
      </w:r>
      <w:r>
        <w:t xml:space="preserve"> that children are the primary clients of CCSs. </w:t>
      </w:r>
      <w:r w:rsidR="00C3200A">
        <w:t>While the key target cohort of other family law services is 25</w:t>
      </w:r>
      <w:r w:rsidR="00C3200A">
        <w:noBreakHyphen/>
        <w:t>49</w:t>
      </w:r>
      <w:r w:rsidR="00C3200A">
        <w:noBreakHyphen/>
        <w:t xml:space="preserve">year-olds, </w:t>
      </w:r>
      <w:r w:rsidR="004F15FA">
        <w:t>this approach</w:t>
      </w:r>
      <w:r w:rsidR="00C3200A">
        <w:t xml:space="preserve"> </w:t>
      </w:r>
      <w:r>
        <w:t xml:space="preserve">assumes that the percentage of adults </w:t>
      </w:r>
      <w:r w:rsidRPr="00807170">
        <w:t>likely to need CCSs will fluctuate based on numbers of families without children</w:t>
      </w:r>
      <w:r>
        <w:t xml:space="preserve"> and</w:t>
      </w:r>
      <w:r w:rsidRPr="00807170">
        <w:t xml:space="preserve"> the number of separating families</w:t>
      </w:r>
      <w:r>
        <w:t>,</w:t>
      </w:r>
      <w:r w:rsidRPr="00807170">
        <w:t xml:space="preserve"> and the fact that CCSs also provide service</w:t>
      </w:r>
      <w:r>
        <w:t>s</w:t>
      </w:r>
      <w:r w:rsidRPr="00807170">
        <w:t xml:space="preserve"> to other members of the family not captured by</w:t>
      </w:r>
      <w:r w:rsidR="00C3200A">
        <w:t xml:space="preserve"> this age range (such as grandparents).</w:t>
      </w:r>
      <w:r>
        <w:t xml:space="preserve"> </w:t>
      </w:r>
    </w:p>
    <w:p w14:paraId="5D3F24C4" w14:textId="2CF79768" w:rsidR="00421DB5" w:rsidRDefault="00D824E6" w:rsidP="00C3200A">
      <w:pPr>
        <w:keepLines/>
        <w:spacing w:after="120"/>
      </w:pPr>
      <w:r>
        <w:t xml:space="preserve">Consultation with stakeholders indicated that this factor was important, but less important than the above two factors, </w:t>
      </w:r>
      <w:r w:rsidR="00421DB5">
        <w:t xml:space="preserve">and </w:t>
      </w:r>
      <w:r w:rsidR="00A334C7">
        <w:t xml:space="preserve">it </w:t>
      </w:r>
      <w:r w:rsidR="00421DB5">
        <w:t>was allocated the remaining 20</w:t>
      </w:r>
      <w:r>
        <w:t xml:space="preserve"> percent </w:t>
      </w:r>
      <w:r w:rsidR="00421DB5">
        <w:t xml:space="preserve">of weighting. </w:t>
      </w:r>
      <w:r w:rsidR="00421DB5" w:rsidRPr="00B23385">
        <w:t xml:space="preserve">The target </w:t>
      </w:r>
      <w:r>
        <w:t xml:space="preserve">cohort </w:t>
      </w:r>
      <w:r w:rsidR="00421DB5" w:rsidRPr="00B23385">
        <w:t xml:space="preserve">population per SA4 </w:t>
      </w:r>
      <w:r>
        <w:t>wa</w:t>
      </w:r>
      <w:r w:rsidR="00421DB5" w:rsidRPr="00B23385">
        <w:t xml:space="preserve">s </w:t>
      </w:r>
      <w:r w:rsidR="00421DB5" w:rsidRPr="00993302">
        <w:t>divided by the number of existing CCSs in the SA4 (plus one additional CCS</w:t>
      </w:r>
      <w:r w:rsidR="00421DB5">
        <w:rPr>
          <w:rStyle w:val="FootnoteReference"/>
        </w:rPr>
        <w:footnoteReference w:id="5"/>
      </w:r>
      <w:r w:rsidR="00421DB5" w:rsidRPr="00993302">
        <w:t>)</w:t>
      </w:r>
      <w:r w:rsidR="00421DB5" w:rsidRPr="00B23385">
        <w:t xml:space="preserve"> and SA4s </w:t>
      </w:r>
      <w:r w:rsidR="009C1DBA">
        <w:t>wer</w:t>
      </w:r>
      <w:r w:rsidR="00421DB5" w:rsidRPr="00B23385">
        <w:t xml:space="preserve">e then ranked according to the highest </w:t>
      </w:r>
      <w:r w:rsidR="009C1DBA">
        <w:t xml:space="preserve">proportion of the target cohort </w:t>
      </w:r>
      <w:r w:rsidR="00C3200A">
        <w:t xml:space="preserve">population </w:t>
      </w:r>
      <w:r w:rsidR="00421DB5" w:rsidRPr="00B23385">
        <w:t xml:space="preserve">per CCS. </w:t>
      </w:r>
    </w:p>
    <w:p w14:paraId="2476932B" w14:textId="77777777" w:rsidR="00BE2DF5" w:rsidRPr="00BE2DF5" w:rsidRDefault="00BE2DF5" w:rsidP="00BE2DF5">
      <w:pPr>
        <w:pStyle w:val="Heading2"/>
        <w:spacing w:after="120"/>
        <w:rPr>
          <w:rFonts w:eastAsia="Calibri" w:cs="Calibri"/>
          <w:b w:val="0"/>
          <w:bCs w:val="0"/>
          <w:iCs w:val="0"/>
          <w:color w:val="auto"/>
          <w:sz w:val="20"/>
          <w:szCs w:val="22"/>
        </w:rPr>
      </w:pPr>
      <w:r w:rsidRPr="00BE2DF5">
        <w:rPr>
          <w:color w:val="auto"/>
          <w:sz w:val="28"/>
        </w:rPr>
        <w:t>Factors that were excluded</w:t>
      </w:r>
      <w:r w:rsidRPr="00BE2DF5">
        <w:rPr>
          <w:rFonts w:eastAsia="Calibri" w:cs="Calibri"/>
          <w:b w:val="0"/>
          <w:bCs w:val="0"/>
          <w:iCs w:val="0"/>
          <w:color w:val="auto"/>
          <w:sz w:val="20"/>
          <w:szCs w:val="22"/>
        </w:rPr>
        <w:t xml:space="preserve"> </w:t>
      </w:r>
    </w:p>
    <w:p w14:paraId="73F8A9D7" w14:textId="391AD20D" w:rsidR="00BE2DF5" w:rsidRDefault="00BE2DF5" w:rsidP="00BE2DF5">
      <w:pPr>
        <w:keepLines/>
      </w:pPr>
      <w:r>
        <w:t>In developing the methodology, the department undertook an analysis of each of the factors listed below and assessed whether the factor was relevant and/or measurable. This helped to inform whether the factor was included in the methodology as it was developed. The analysis for each factor has been summarised below.</w:t>
      </w:r>
    </w:p>
    <w:tbl>
      <w:tblPr>
        <w:tblStyle w:val="TableGrid"/>
        <w:tblW w:w="0" w:type="auto"/>
        <w:tblLook w:val="04A0" w:firstRow="1" w:lastRow="0" w:firstColumn="1" w:lastColumn="0" w:noHBand="0" w:noVBand="1"/>
      </w:tblPr>
      <w:tblGrid>
        <w:gridCol w:w="1696"/>
        <w:gridCol w:w="4111"/>
        <w:gridCol w:w="4495"/>
      </w:tblGrid>
      <w:tr w:rsidR="00BE2DF5" w14:paraId="6BF1257D" w14:textId="77777777" w:rsidTr="001E505B">
        <w:trPr>
          <w:tblHeader/>
        </w:trPr>
        <w:tc>
          <w:tcPr>
            <w:tcW w:w="1696" w:type="dxa"/>
            <w:shd w:val="clear" w:color="auto" w:fill="EEECE1" w:themeFill="background2"/>
          </w:tcPr>
          <w:p w14:paraId="2598996A" w14:textId="77777777" w:rsidR="00BE2DF5" w:rsidRPr="00253CAC" w:rsidRDefault="00BE2DF5" w:rsidP="001E505B">
            <w:pPr>
              <w:keepLines/>
              <w:spacing w:after="0" w:line="240" w:lineRule="auto"/>
              <w:rPr>
                <w:b/>
                <w:sz w:val="20"/>
                <w:szCs w:val="20"/>
              </w:rPr>
            </w:pPr>
            <w:r w:rsidRPr="00253CAC">
              <w:rPr>
                <w:b/>
                <w:sz w:val="20"/>
                <w:szCs w:val="20"/>
              </w:rPr>
              <w:t>Factor</w:t>
            </w:r>
          </w:p>
        </w:tc>
        <w:tc>
          <w:tcPr>
            <w:tcW w:w="4111" w:type="dxa"/>
            <w:shd w:val="clear" w:color="auto" w:fill="EEECE1" w:themeFill="background2"/>
          </w:tcPr>
          <w:p w14:paraId="6A42382B" w14:textId="77777777" w:rsidR="00BE2DF5" w:rsidRPr="00253CAC" w:rsidRDefault="00BE2DF5" w:rsidP="001E505B">
            <w:pPr>
              <w:keepLines/>
              <w:spacing w:after="0" w:line="240" w:lineRule="auto"/>
              <w:rPr>
                <w:b/>
                <w:sz w:val="20"/>
                <w:szCs w:val="20"/>
              </w:rPr>
            </w:pPr>
            <w:r w:rsidRPr="00253CAC">
              <w:rPr>
                <w:b/>
                <w:sz w:val="20"/>
                <w:szCs w:val="20"/>
              </w:rPr>
              <w:t>Relevant?</w:t>
            </w:r>
          </w:p>
        </w:tc>
        <w:tc>
          <w:tcPr>
            <w:tcW w:w="4495" w:type="dxa"/>
            <w:shd w:val="clear" w:color="auto" w:fill="EEECE1" w:themeFill="background2"/>
          </w:tcPr>
          <w:p w14:paraId="0971C076" w14:textId="77777777" w:rsidR="00BE2DF5" w:rsidRPr="00253CAC" w:rsidRDefault="00BE2DF5" w:rsidP="001E505B">
            <w:pPr>
              <w:keepLines/>
              <w:spacing w:after="0" w:line="240" w:lineRule="auto"/>
              <w:rPr>
                <w:b/>
                <w:sz w:val="20"/>
                <w:szCs w:val="20"/>
              </w:rPr>
            </w:pPr>
            <w:r w:rsidRPr="00253CAC">
              <w:rPr>
                <w:b/>
                <w:sz w:val="20"/>
                <w:szCs w:val="20"/>
              </w:rPr>
              <w:t>Measurable?</w:t>
            </w:r>
          </w:p>
        </w:tc>
      </w:tr>
      <w:tr w:rsidR="00BE2DF5" w14:paraId="1266160B" w14:textId="77777777" w:rsidTr="001E505B">
        <w:tc>
          <w:tcPr>
            <w:tcW w:w="1696" w:type="dxa"/>
            <w:shd w:val="clear" w:color="auto" w:fill="EEECE1" w:themeFill="background2"/>
          </w:tcPr>
          <w:p w14:paraId="1D381636" w14:textId="77777777" w:rsidR="00BE2DF5" w:rsidRPr="00083B3B" w:rsidRDefault="00BE2DF5" w:rsidP="00083B3B">
            <w:pPr>
              <w:keepLines/>
              <w:spacing w:after="0" w:line="240" w:lineRule="auto"/>
              <w:rPr>
                <w:b/>
                <w:sz w:val="20"/>
                <w:szCs w:val="20"/>
              </w:rPr>
            </w:pPr>
            <w:r w:rsidRPr="00083B3B">
              <w:rPr>
                <w:b/>
                <w:sz w:val="20"/>
                <w:szCs w:val="20"/>
              </w:rPr>
              <w:t>Family Violence Statistics</w:t>
            </w:r>
          </w:p>
        </w:tc>
        <w:tc>
          <w:tcPr>
            <w:tcW w:w="4111" w:type="dxa"/>
          </w:tcPr>
          <w:p w14:paraId="0BB8DB61" w14:textId="77777777" w:rsidR="00BE2DF5" w:rsidRPr="00083B3B" w:rsidRDefault="00BE2DF5" w:rsidP="00083B3B">
            <w:pPr>
              <w:keepLines/>
              <w:spacing w:after="0" w:line="240" w:lineRule="auto"/>
              <w:rPr>
                <w:sz w:val="20"/>
                <w:szCs w:val="20"/>
              </w:rPr>
            </w:pPr>
            <w:r w:rsidRPr="00083B3B">
              <w:rPr>
                <w:b/>
                <w:sz w:val="20"/>
                <w:szCs w:val="20"/>
              </w:rPr>
              <w:t>Yes.</w:t>
            </w:r>
            <w:r w:rsidRPr="00083B3B">
              <w:rPr>
                <w:sz w:val="20"/>
                <w:szCs w:val="20"/>
              </w:rPr>
              <w:t xml:space="preserve"> Australian and International research has highlighted domestic and family violence as a shared experience of some families using CCS.</w:t>
            </w:r>
          </w:p>
        </w:tc>
        <w:tc>
          <w:tcPr>
            <w:tcW w:w="4495" w:type="dxa"/>
          </w:tcPr>
          <w:p w14:paraId="4DC4CFD6" w14:textId="77777777" w:rsidR="00BE2DF5" w:rsidRPr="00083B3B" w:rsidRDefault="00BE2DF5" w:rsidP="00083B3B">
            <w:pPr>
              <w:keepLines/>
              <w:spacing w:after="0" w:line="240" w:lineRule="auto"/>
              <w:rPr>
                <w:sz w:val="20"/>
                <w:szCs w:val="20"/>
              </w:rPr>
            </w:pPr>
            <w:r w:rsidRPr="00083B3B">
              <w:rPr>
                <w:b/>
                <w:sz w:val="20"/>
                <w:szCs w:val="20"/>
              </w:rPr>
              <w:t>No.</w:t>
            </w:r>
            <w:r w:rsidRPr="00083B3B">
              <w:rPr>
                <w:sz w:val="20"/>
                <w:szCs w:val="20"/>
              </w:rPr>
              <w:t xml:space="preserve"> Consistent national dataset not available. Several statistical data sets (including ABS recorded crime statistics) were considered but were not found to be appropriate, as data is collected and recorded differently across jurisdictions.</w:t>
            </w:r>
          </w:p>
        </w:tc>
      </w:tr>
      <w:tr w:rsidR="00BE2DF5" w14:paraId="5D843125" w14:textId="77777777" w:rsidTr="001E505B">
        <w:tc>
          <w:tcPr>
            <w:tcW w:w="1696" w:type="dxa"/>
            <w:shd w:val="clear" w:color="auto" w:fill="EEECE1" w:themeFill="background2"/>
          </w:tcPr>
          <w:p w14:paraId="71685A8B" w14:textId="77777777" w:rsidR="00BE2DF5" w:rsidRPr="00083B3B" w:rsidRDefault="00BE2DF5" w:rsidP="00083B3B">
            <w:pPr>
              <w:keepLines/>
              <w:spacing w:after="0" w:line="240" w:lineRule="auto"/>
              <w:rPr>
                <w:b/>
                <w:sz w:val="20"/>
                <w:szCs w:val="20"/>
              </w:rPr>
            </w:pPr>
            <w:r w:rsidRPr="00083B3B">
              <w:rPr>
                <w:b/>
                <w:sz w:val="20"/>
                <w:szCs w:val="20"/>
              </w:rPr>
              <w:t>Current CCS Waiting Times</w:t>
            </w:r>
          </w:p>
        </w:tc>
        <w:tc>
          <w:tcPr>
            <w:tcW w:w="4111" w:type="dxa"/>
          </w:tcPr>
          <w:p w14:paraId="4B666953" w14:textId="77777777" w:rsidR="00BE2DF5" w:rsidRPr="00083B3B" w:rsidRDefault="00BE2DF5" w:rsidP="00083B3B">
            <w:pPr>
              <w:pStyle w:val="Bullet1"/>
              <w:spacing w:after="0" w:line="240" w:lineRule="auto"/>
              <w:rPr>
                <w:sz w:val="20"/>
                <w:szCs w:val="20"/>
              </w:rPr>
            </w:pPr>
            <w:r w:rsidRPr="00083B3B">
              <w:rPr>
                <w:b/>
                <w:sz w:val="20"/>
                <w:szCs w:val="20"/>
              </w:rPr>
              <w:t>Yes.</w:t>
            </w:r>
            <w:r w:rsidRPr="00083B3B">
              <w:rPr>
                <w:sz w:val="20"/>
                <w:szCs w:val="20"/>
              </w:rPr>
              <w:t xml:space="preserve"> Longer waiting times in an existing CCS could indicate demand for additional services.</w:t>
            </w:r>
          </w:p>
        </w:tc>
        <w:tc>
          <w:tcPr>
            <w:tcW w:w="4495" w:type="dxa"/>
          </w:tcPr>
          <w:p w14:paraId="32E38579" w14:textId="77777777" w:rsidR="00BE2DF5" w:rsidRPr="00083B3B" w:rsidRDefault="00BE2DF5" w:rsidP="00083B3B">
            <w:pPr>
              <w:keepLines/>
              <w:spacing w:after="0" w:line="240" w:lineRule="auto"/>
              <w:rPr>
                <w:sz w:val="20"/>
                <w:szCs w:val="20"/>
              </w:rPr>
            </w:pPr>
            <w:r w:rsidRPr="00083B3B">
              <w:rPr>
                <w:b/>
                <w:sz w:val="20"/>
                <w:szCs w:val="20"/>
              </w:rPr>
              <w:t>No.</w:t>
            </w:r>
            <w:r w:rsidRPr="00083B3B">
              <w:rPr>
                <w:sz w:val="20"/>
                <w:szCs w:val="20"/>
              </w:rPr>
              <w:t xml:space="preserve"> The dataset could be accessible through grant program </w:t>
            </w:r>
            <w:proofErr w:type="gramStart"/>
            <w:r w:rsidRPr="00083B3B">
              <w:rPr>
                <w:sz w:val="20"/>
                <w:szCs w:val="20"/>
              </w:rPr>
              <w:t>reporting,</w:t>
            </w:r>
            <w:proofErr w:type="gramEnd"/>
            <w:r w:rsidRPr="00083B3B">
              <w:rPr>
                <w:sz w:val="20"/>
                <w:szCs w:val="20"/>
              </w:rPr>
              <w:t xml:space="preserve"> however it would not be available in sufficient time to inform the methodology.</w:t>
            </w:r>
          </w:p>
        </w:tc>
      </w:tr>
      <w:tr w:rsidR="00BE2DF5" w14:paraId="45E6A616" w14:textId="77777777" w:rsidTr="001E505B">
        <w:tc>
          <w:tcPr>
            <w:tcW w:w="1696" w:type="dxa"/>
            <w:shd w:val="clear" w:color="auto" w:fill="EEECE1" w:themeFill="background2"/>
          </w:tcPr>
          <w:p w14:paraId="335E4F81" w14:textId="77777777" w:rsidR="00BE2DF5" w:rsidRPr="00083B3B" w:rsidRDefault="00BE2DF5" w:rsidP="00083B3B">
            <w:pPr>
              <w:keepLines/>
              <w:spacing w:after="0" w:line="240" w:lineRule="auto"/>
              <w:rPr>
                <w:b/>
                <w:sz w:val="20"/>
                <w:szCs w:val="20"/>
              </w:rPr>
            </w:pPr>
            <w:r w:rsidRPr="00083B3B">
              <w:rPr>
                <w:b/>
                <w:sz w:val="20"/>
                <w:szCs w:val="20"/>
              </w:rPr>
              <w:t>Additional funding to current services</w:t>
            </w:r>
          </w:p>
        </w:tc>
        <w:tc>
          <w:tcPr>
            <w:tcW w:w="4111" w:type="dxa"/>
          </w:tcPr>
          <w:p w14:paraId="441CD364" w14:textId="77777777" w:rsidR="00BE2DF5" w:rsidRPr="00083B3B" w:rsidRDefault="00BE2DF5" w:rsidP="00083B3B">
            <w:pPr>
              <w:pStyle w:val="Bullet1"/>
              <w:spacing w:after="0" w:line="240" w:lineRule="auto"/>
              <w:rPr>
                <w:sz w:val="20"/>
                <w:szCs w:val="20"/>
              </w:rPr>
            </w:pPr>
            <w:r w:rsidRPr="00083B3B">
              <w:rPr>
                <w:b/>
                <w:sz w:val="20"/>
                <w:szCs w:val="20"/>
              </w:rPr>
              <w:t>Yes</w:t>
            </w:r>
            <w:r w:rsidRPr="00083B3B">
              <w:rPr>
                <w:sz w:val="20"/>
                <w:szCs w:val="20"/>
              </w:rPr>
              <w:t xml:space="preserve">. The increase to funding for existing services will impact the demand for new services in the areas currently serviced by the existing CCSs. </w:t>
            </w:r>
          </w:p>
        </w:tc>
        <w:tc>
          <w:tcPr>
            <w:tcW w:w="4495" w:type="dxa"/>
          </w:tcPr>
          <w:p w14:paraId="20E680C4" w14:textId="77777777" w:rsidR="00BE2DF5" w:rsidRPr="00083B3B" w:rsidRDefault="00BE2DF5" w:rsidP="00083B3B">
            <w:pPr>
              <w:keepLines/>
              <w:spacing w:after="0" w:line="240" w:lineRule="auto"/>
              <w:rPr>
                <w:sz w:val="20"/>
                <w:szCs w:val="20"/>
              </w:rPr>
            </w:pPr>
            <w:r w:rsidRPr="00083B3B">
              <w:rPr>
                <w:b/>
                <w:sz w:val="20"/>
                <w:szCs w:val="20"/>
              </w:rPr>
              <w:t>No.</w:t>
            </w:r>
            <w:r w:rsidRPr="00083B3B">
              <w:rPr>
                <w:sz w:val="20"/>
                <w:szCs w:val="20"/>
              </w:rPr>
              <w:t xml:space="preserve"> Consistent, point in time information from all providers not available. </w:t>
            </w:r>
          </w:p>
        </w:tc>
      </w:tr>
      <w:tr w:rsidR="00BE2DF5" w14:paraId="280FF553" w14:textId="77777777" w:rsidTr="001E505B">
        <w:tc>
          <w:tcPr>
            <w:tcW w:w="1696" w:type="dxa"/>
            <w:shd w:val="clear" w:color="auto" w:fill="EEECE1" w:themeFill="background2"/>
          </w:tcPr>
          <w:p w14:paraId="3C7E6D63" w14:textId="77777777" w:rsidR="00BE2DF5" w:rsidRPr="00083B3B" w:rsidRDefault="00BE2DF5" w:rsidP="00083B3B">
            <w:pPr>
              <w:keepLines/>
              <w:spacing w:after="0" w:line="240" w:lineRule="auto"/>
              <w:rPr>
                <w:b/>
                <w:sz w:val="20"/>
                <w:szCs w:val="20"/>
              </w:rPr>
            </w:pPr>
            <w:r w:rsidRPr="00083B3B">
              <w:rPr>
                <w:b/>
                <w:sz w:val="20"/>
                <w:szCs w:val="20"/>
              </w:rPr>
              <w:t>Court filings/location of courts as a factor</w:t>
            </w:r>
          </w:p>
        </w:tc>
        <w:tc>
          <w:tcPr>
            <w:tcW w:w="4111" w:type="dxa"/>
          </w:tcPr>
          <w:p w14:paraId="59374F2C" w14:textId="77777777" w:rsidR="00BE2DF5" w:rsidRPr="00083B3B" w:rsidRDefault="00BE2DF5" w:rsidP="00083B3B">
            <w:pPr>
              <w:keepLines/>
              <w:spacing w:after="0" w:line="240" w:lineRule="auto"/>
              <w:rPr>
                <w:sz w:val="20"/>
                <w:szCs w:val="20"/>
              </w:rPr>
            </w:pPr>
            <w:r w:rsidRPr="00083B3B">
              <w:rPr>
                <w:b/>
                <w:sz w:val="20"/>
                <w:szCs w:val="20"/>
              </w:rPr>
              <w:t>Yes.</w:t>
            </w:r>
            <w:r w:rsidRPr="00083B3B">
              <w:rPr>
                <w:sz w:val="20"/>
                <w:szCs w:val="20"/>
              </w:rPr>
              <w:t xml:space="preserve"> The number of court filings in a particular registry might indicate areas of higher demand for court ordered CCSs.</w:t>
            </w:r>
          </w:p>
        </w:tc>
        <w:tc>
          <w:tcPr>
            <w:tcW w:w="4495" w:type="dxa"/>
          </w:tcPr>
          <w:p w14:paraId="39E52D84" w14:textId="77777777" w:rsidR="00BE2DF5" w:rsidRPr="00083B3B" w:rsidRDefault="00BE2DF5" w:rsidP="00083B3B">
            <w:pPr>
              <w:keepLines/>
              <w:spacing w:after="0" w:line="240" w:lineRule="auto"/>
              <w:rPr>
                <w:sz w:val="20"/>
                <w:szCs w:val="20"/>
              </w:rPr>
            </w:pPr>
            <w:r w:rsidRPr="00083B3B">
              <w:rPr>
                <w:b/>
                <w:sz w:val="20"/>
                <w:szCs w:val="20"/>
              </w:rPr>
              <w:t>No.</w:t>
            </w:r>
            <w:r w:rsidRPr="00083B3B">
              <w:rPr>
                <w:sz w:val="20"/>
                <w:szCs w:val="20"/>
              </w:rPr>
              <w:t xml:space="preserve"> AGD does not hold consolidated data on court registry filings, and this data is not available at an SA4 level. AGD could request this data from the Federal Circuit and Family Court of Australia, however it would not be available in sufficient time to inform the methodology.</w:t>
            </w:r>
          </w:p>
        </w:tc>
      </w:tr>
      <w:tr w:rsidR="00BE2DF5" w:rsidRPr="001E505B" w14:paraId="0C2522C6" w14:textId="77777777" w:rsidTr="001E505B">
        <w:tc>
          <w:tcPr>
            <w:tcW w:w="1696" w:type="dxa"/>
            <w:shd w:val="clear" w:color="auto" w:fill="EEECE1" w:themeFill="background2"/>
          </w:tcPr>
          <w:p w14:paraId="074338DD" w14:textId="77777777" w:rsidR="00BE2DF5" w:rsidRPr="00083B3B" w:rsidRDefault="00BE2DF5" w:rsidP="00083B3B">
            <w:pPr>
              <w:keepLines/>
              <w:spacing w:after="0" w:line="240" w:lineRule="auto"/>
              <w:rPr>
                <w:b/>
                <w:sz w:val="20"/>
                <w:szCs w:val="20"/>
              </w:rPr>
            </w:pPr>
            <w:r w:rsidRPr="00083B3B">
              <w:rPr>
                <w:b/>
                <w:sz w:val="20"/>
                <w:szCs w:val="20"/>
              </w:rPr>
              <w:t>Alcohol consumption as a factor</w:t>
            </w:r>
          </w:p>
        </w:tc>
        <w:tc>
          <w:tcPr>
            <w:tcW w:w="4111" w:type="dxa"/>
          </w:tcPr>
          <w:p w14:paraId="38E9233E" w14:textId="77777777" w:rsidR="00BE2DF5" w:rsidRPr="00083B3B" w:rsidRDefault="00BE2DF5" w:rsidP="00083B3B">
            <w:pPr>
              <w:keepLines/>
              <w:spacing w:after="0" w:line="240" w:lineRule="auto"/>
              <w:rPr>
                <w:sz w:val="20"/>
                <w:szCs w:val="20"/>
              </w:rPr>
            </w:pPr>
            <w:r w:rsidRPr="00083B3B">
              <w:rPr>
                <w:b/>
                <w:sz w:val="20"/>
                <w:szCs w:val="20"/>
              </w:rPr>
              <w:t xml:space="preserve">Not adequately demonstrated. </w:t>
            </w:r>
            <w:r w:rsidRPr="00083B3B">
              <w:rPr>
                <w:sz w:val="20"/>
                <w:szCs w:val="20"/>
              </w:rPr>
              <w:t>A Standing Committee on Legal and Constitutional Affairs report lists alcohol consumption as a high-risk contributor to marriage breakdown,</w:t>
            </w:r>
            <w:r w:rsidRPr="00083B3B">
              <w:rPr>
                <w:rStyle w:val="FootnoteReference"/>
                <w:sz w:val="20"/>
                <w:szCs w:val="20"/>
              </w:rPr>
              <w:footnoteReference w:id="6"/>
            </w:r>
            <w:r w:rsidRPr="00083B3B">
              <w:rPr>
                <w:sz w:val="20"/>
                <w:szCs w:val="20"/>
              </w:rPr>
              <w:t xml:space="preserve"> which could indicate a greater demand for CCSs. However, AGD did not identify any direct evidence to conclude a correlation between alcohol consumption and use of a CCS. </w:t>
            </w:r>
          </w:p>
        </w:tc>
        <w:tc>
          <w:tcPr>
            <w:tcW w:w="4495" w:type="dxa"/>
          </w:tcPr>
          <w:p w14:paraId="62F9DAC3" w14:textId="77777777" w:rsidR="00BE2DF5" w:rsidRPr="00083B3B" w:rsidRDefault="00BE2DF5" w:rsidP="00083B3B">
            <w:pPr>
              <w:pStyle w:val="Bullet1"/>
              <w:spacing w:after="0" w:line="240" w:lineRule="auto"/>
              <w:rPr>
                <w:sz w:val="20"/>
                <w:szCs w:val="20"/>
              </w:rPr>
            </w:pPr>
            <w:r w:rsidRPr="00083B3B">
              <w:rPr>
                <w:b/>
                <w:sz w:val="20"/>
                <w:szCs w:val="20"/>
              </w:rPr>
              <w:t>Yes.</w:t>
            </w:r>
            <w:r w:rsidRPr="00083B3B">
              <w:rPr>
                <w:sz w:val="20"/>
                <w:szCs w:val="20"/>
              </w:rPr>
              <w:t xml:space="preserve"> Data on alcohol consumption is available from the HILDA Survey 2019, using variable ‘days per week a person drinks alcohol’.</w:t>
            </w:r>
          </w:p>
          <w:p w14:paraId="264A517E" w14:textId="77777777" w:rsidR="00BE2DF5" w:rsidRPr="00083B3B" w:rsidRDefault="00BE2DF5" w:rsidP="00083B3B">
            <w:pPr>
              <w:pStyle w:val="Bullet1"/>
              <w:spacing w:after="0" w:line="240" w:lineRule="auto"/>
              <w:rPr>
                <w:sz w:val="20"/>
                <w:szCs w:val="20"/>
              </w:rPr>
            </w:pPr>
          </w:p>
        </w:tc>
      </w:tr>
      <w:tr w:rsidR="00BE2DF5" w:rsidRPr="001E505B" w14:paraId="13200318" w14:textId="77777777" w:rsidTr="001E505B">
        <w:tc>
          <w:tcPr>
            <w:tcW w:w="1696" w:type="dxa"/>
            <w:shd w:val="clear" w:color="auto" w:fill="EEECE1" w:themeFill="background2"/>
          </w:tcPr>
          <w:p w14:paraId="07B3AACC" w14:textId="77777777" w:rsidR="00BE2DF5" w:rsidRPr="00083B3B" w:rsidRDefault="00BE2DF5" w:rsidP="00083B3B">
            <w:pPr>
              <w:keepLines/>
              <w:spacing w:after="0" w:line="240" w:lineRule="auto"/>
              <w:rPr>
                <w:b/>
                <w:sz w:val="20"/>
                <w:szCs w:val="20"/>
              </w:rPr>
            </w:pPr>
            <w:r w:rsidRPr="00083B3B">
              <w:rPr>
                <w:b/>
                <w:sz w:val="20"/>
                <w:szCs w:val="20"/>
              </w:rPr>
              <w:lastRenderedPageBreak/>
              <w:t xml:space="preserve">Aboriginal and Torres Strait Islander (ATSI) population </w:t>
            </w:r>
          </w:p>
        </w:tc>
        <w:tc>
          <w:tcPr>
            <w:tcW w:w="4111" w:type="dxa"/>
          </w:tcPr>
          <w:p w14:paraId="12AC15AD" w14:textId="77777777" w:rsidR="00BE2DF5" w:rsidRPr="00083B3B" w:rsidRDefault="00BE2DF5" w:rsidP="00083B3B">
            <w:pPr>
              <w:keepLines/>
              <w:spacing w:after="0" w:line="240" w:lineRule="auto"/>
              <w:rPr>
                <w:sz w:val="20"/>
                <w:szCs w:val="20"/>
              </w:rPr>
            </w:pPr>
            <w:r w:rsidRPr="00083B3B">
              <w:rPr>
                <w:b/>
                <w:sz w:val="20"/>
                <w:szCs w:val="20"/>
              </w:rPr>
              <w:t>Not adequately demonstrated.</w:t>
            </w:r>
            <w:r w:rsidRPr="00083B3B">
              <w:rPr>
                <w:sz w:val="20"/>
                <w:szCs w:val="20"/>
              </w:rPr>
              <w:t xml:space="preserve"> AGD does not hold any data which would indicate that indicate that ATSI populations use CCSs at a higher rate.</w:t>
            </w:r>
          </w:p>
        </w:tc>
        <w:tc>
          <w:tcPr>
            <w:tcW w:w="4495" w:type="dxa"/>
          </w:tcPr>
          <w:p w14:paraId="6EC83ED9" w14:textId="77777777" w:rsidR="00BE2DF5" w:rsidRPr="00083B3B" w:rsidRDefault="00BE2DF5" w:rsidP="00083B3B">
            <w:pPr>
              <w:pStyle w:val="Bullet1"/>
              <w:spacing w:after="0" w:line="240" w:lineRule="auto"/>
              <w:rPr>
                <w:sz w:val="20"/>
                <w:szCs w:val="20"/>
              </w:rPr>
            </w:pPr>
            <w:r w:rsidRPr="00083B3B">
              <w:rPr>
                <w:b/>
                <w:sz w:val="20"/>
                <w:szCs w:val="20"/>
              </w:rPr>
              <w:t>Yes.</w:t>
            </w:r>
            <w:r w:rsidRPr="00083B3B">
              <w:rPr>
                <w:sz w:val="20"/>
                <w:szCs w:val="20"/>
              </w:rPr>
              <w:t xml:space="preserve"> ATSI population compared to total population can be measured at the required statistical area level, using data from the Australian Bureau of Statistics. </w:t>
            </w:r>
          </w:p>
        </w:tc>
      </w:tr>
      <w:tr w:rsidR="00BE2DF5" w:rsidRPr="001E505B" w14:paraId="24411323" w14:textId="77777777" w:rsidTr="001E505B">
        <w:tc>
          <w:tcPr>
            <w:tcW w:w="1696" w:type="dxa"/>
            <w:shd w:val="clear" w:color="auto" w:fill="EEECE1" w:themeFill="background2"/>
          </w:tcPr>
          <w:p w14:paraId="4E2377B9" w14:textId="77777777" w:rsidR="00BE2DF5" w:rsidRPr="00083B3B" w:rsidRDefault="00BE2DF5" w:rsidP="00083B3B">
            <w:pPr>
              <w:keepLines/>
              <w:spacing w:after="0" w:line="240" w:lineRule="auto"/>
              <w:rPr>
                <w:b/>
                <w:sz w:val="20"/>
                <w:szCs w:val="20"/>
              </w:rPr>
            </w:pPr>
            <w:r w:rsidRPr="00083B3B">
              <w:rPr>
                <w:b/>
                <w:sz w:val="20"/>
                <w:szCs w:val="20"/>
              </w:rPr>
              <w:t>Culturally and Linguistically Diverse (CALD) population</w:t>
            </w:r>
          </w:p>
        </w:tc>
        <w:tc>
          <w:tcPr>
            <w:tcW w:w="4111" w:type="dxa"/>
          </w:tcPr>
          <w:p w14:paraId="41B4E367" w14:textId="77777777" w:rsidR="00BE2DF5" w:rsidRPr="00083B3B" w:rsidRDefault="00BE2DF5" w:rsidP="00083B3B">
            <w:pPr>
              <w:pStyle w:val="Bullet1"/>
              <w:spacing w:after="0" w:line="240" w:lineRule="auto"/>
              <w:rPr>
                <w:sz w:val="20"/>
                <w:szCs w:val="20"/>
              </w:rPr>
            </w:pPr>
            <w:r w:rsidRPr="00083B3B">
              <w:rPr>
                <w:b/>
                <w:sz w:val="20"/>
                <w:szCs w:val="20"/>
              </w:rPr>
              <w:t>Not adequately demonstrated.</w:t>
            </w:r>
            <w:r w:rsidRPr="00083B3B">
              <w:rPr>
                <w:sz w:val="20"/>
                <w:szCs w:val="20"/>
              </w:rPr>
              <w:t xml:space="preserve"> AGD does not hold any data which would indicate that Culturally and Linguistically Diverse (CALD) populations use CCSs at a higher rate. </w:t>
            </w:r>
          </w:p>
        </w:tc>
        <w:tc>
          <w:tcPr>
            <w:tcW w:w="4495" w:type="dxa"/>
          </w:tcPr>
          <w:p w14:paraId="5384AF2C" w14:textId="77777777" w:rsidR="00BE2DF5" w:rsidRPr="00083B3B" w:rsidRDefault="00BE2DF5" w:rsidP="00083B3B">
            <w:pPr>
              <w:keepLines/>
              <w:spacing w:after="0" w:line="240" w:lineRule="auto"/>
              <w:rPr>
                <w:sz w:val="20"/>
                <w:szCs w:val="20"/>
              </w:rPr>
            </w:pPr>
            <w:r w:rsidRPr="00083B3B">
              <w:rPr>
                <w:b/>
                <w:sz w:val="20"/>
                <w:szCs w:val="20"/>
              </w:rPr>
              <w:t>Yes.</w:t>
            </w:r>
            <w:r w:rsidRPr="00083B3B">
              <w:rPr>
                <w:sz w:val="20"/>
                <w:szCs w:val="20"/>
              </w:rPr>
              <w:t xml:space="preserve"> CALD population compared to total population can be measured at the required statistical area level, using data from the Australian Bureau of Statistics.</w:t>
            </w:r>
          </w:p>
        </w:tc>
      </w:tr>
    </w:tbl>
    <w:p w14:paraId="13043BCB" w14:textId="77777777" w:rsidR="00BE2DF5" w:rsidRDefault="00BE2DF5" w:rsidP="00C3200A">
      <w:pPr>
        <w:keepLines/>
        <w:spacing w:after="120"/>
      </w:pPr>
    </w:p>
    <w:p w14:paraId="6D5E9809" w14:textId="77777777" w:rsidR="00421DB5" w:rsidRPr="00F52379" w:rsidRDefault="00421DB5" w:rsidP="00E11016">
      <w:pPr>
        <w:pStyle w:val="Heading3"/>
        <w:spacing w:after="120" w:line="276" w:lineRule="auto"/>
        <w:rPr>
          <w:sz w:val="28"/>
          <w:szCs w:val="28"/>
        </w:rPr>
      </w:pPr>
      <w:bookmarkStart w:id="5" w:name="_Toc99017385"/>
      <w:r w:rsidRPr="00F52379">
        <w:rPr>
          <w:sz w:val="28"/>
          <w:szCs w:val="28"/>
        </w:rPr>
        <w:t>Final calculation</w:t>
      </w:r>
      <w:bookmarkEnd w:id="5"/>
    </w:p>
    <w:p w14:paraId="486B0FA8" w14:textId="4E447872" w:rsidR="00A334C7" w:rsidRDefault="00C50A93" w:rsidP="00E11016">
      <w:pPr>
        <w:spacing w:after="120"/>
      </w:pPr>
      <w:r>
        <w:t xml:space="preserve">To </w:t>
      </w:r>
      <w:r w:rsidR="005F2D48">
        <w:t xml:space="preserve">determine </w:t>
      </w:r>
      <w:r>
        <w:t>estimated demand</w:t>
      </w:r>
      <w:r w:rsidR="005F2D48">
        <w:t xml:space="preserve"> by SA4</w:t>
      </w:r>
      <w:r>
        <w:t>, the corresponding ra</w:t>
      </w:r>
      <w:r w:rsidR="002E3E03">
        <w:t xml:space="preserve">nk for </w:t>
      </w:r>
      <w:r w:rsidR="005F2D48">
        <w:t xml:space="preserve">the </w:t>
      </w:r>
      <w:r w:rsidR="00253CAC">
        <w:t xml:space="preserve">three </w:t>
      </w:r>
      <w:r w:rsidR="00A334C7">
        <w:t xml:space="preserve">key </w:t>
      </w:r>
      <w:r w:rsidR="00253CAC">
        <w:t>factors outlined above</w:t>
      </w:r>
      <w:r w:rsidR="005F2D48">
        <w:t xml:space="preserve"> was multiplied by the weighting for each factor, and figures were then totalled for each SA4 to provide a final rank. </w:t>
      </w:r>
      <w:r w:rsidR="00421DB5">
        <w:t xml:space="preserve">The SA4 with the lowest value according to this ranking </w:t>
      </w:r>
      <w:r w:rsidR="005F2D48">
        <w:t>wa</w:t>
      </w:r>
      <w:r w:rsidR="00421DB5">
        <w:t xml:space="preserve">s considered to have the highest </w:t>
      </w:r>
      <w:r w:rsidR="00F83D74">
        <w:t>demand</w:t>
      </w:r>
      <w:r w:rsidR="00421DB5">
        <w:t xml:space="preserve">. </w:t>
      </w:r>
    </w:p>
    <w:p w14:paraId="7280A554" w14:textId="49588CAA" w:rsidR="005F2D48" w:rsidRDefault="005F2D48" w:rsidP="00A334C7">
      <w:pPr>
        <w:spacing w:after="120"/>
      </w:pPr>
      <w:r>
        <w:t>AGD then</w:t>
      </w:r>
      <w:r w:rsidR="00421DB5">
        <w:t xml:space="preserve"> manually examined each of the highest ranking SA4s, in conjunction with the neighbouring SA4s which also appeared in the list, </w:t>
      </w:r>
      <w:r w:rsidR="00F83D74">
        <w:t>to assess</w:t>
      </w:r>
      <w:r w:rsidR="00421DB5">
        <w:t xml:space="preserve"> whether it would be appropriate to exclude an SA4 for any reason.</w:t>
      </w:r>
      <w:r w:rsidR="00A334C7">
        <w:t xml:space="preserve"> </w:t>
      </w:r>
      <w:r w:rsidR="00421DB5">
        <w:t>For example</w:t>
      </w:r>
      <w:r>
        <w:t xml:space="preserve">, two high ranked SA4s border each other </w:t>
      </w:r>
      <w:r w:rsidR="00560933">
        <w:t>and,</w:t>
      </w:r>
      <w:r>
        <w:t xml:space="preserve"> </w:t>
      </w:r>
      <w:r w:rsidR="00560933">
        <w:t>d</w:t>
      </w:r>
      <w:r>
        <w:t>espite the two SA4s neighbouring each other, their geographic size and spread of population across the total area provided no reason for exclusion</w:t>
      </w:r>
      <w:r w:rsidR="00FE1B97">
        <w:t>,</w:t>
      </w:r>
      <w:r>
        <w:t xml:space="preserve"> as clients in either SA4 were not likely to be serviced by the establishment of a new CCS in the other</w:t>
      </w:r>
      <w:r w:rsidR="00AB64CF">
        <w:t>, due to the size and location of the areas.</w:t>
      </w:r>
      <w:r>
        <w:t xml:space="preserve"> In contrast</w:t>
      </w:r>
      <w:r w:rsidR="00EF2111">
        <w:t>,</w:t>
      </w:r>
      <w:r>
        <w:t xml:space="preserve"> </w:t>
      </w:r>
      <w:r w:rsidR="00FE1B97">
        <w:t>comparing</w:t>
      </w:r>
      <w:r w:rsidR="00EF2111">
        <w:t xml:space="preserve"> </w:t>
      </w:r>
      <w:r>
        <w:t>the next two SA4s, it could be seen that establishing a new CCS in either SA4 would service clients across both SA4s with relative convenience. Further, the establishment of one new CCS in either SA4 would reduce pressure on the existing services in the area. For this reason, one was excluded, with the furthest SA4 from</w:t>
      </w:r>
      <w:r w:rsidR="00560933">
        <w:t xml:space="preserve"> an</w:t>
      </w:r>
      <w:r>
        <w:t xml:space="preserve"> existing </w:t>
      </w:r>
      <w:r w:rsidR="00EF2111">
        <w:t>service</w:t>
      </w:r>
      <w:r>
        <w:t xml:space="preserve"> remaining in the list for the grant opportunity. </w:t>
      </w:r>
    </w:p>
    <w:p w14:paraId="7E73360A" w14:textId="1FBD354D" w:rsidR="004156CC" w:rsidRDefault="00421DB5" w:rsidP="00083B3B">
      <w:pPr>
        <w:pStyle w:val="Bullet1"/>
      </w:pPr>
      <w:r>
        <w:t xml:space="preserve">This process was completed for all SA4s on the list, including where an SA4 was drawn into the top 20 based on the exclusion of an SA4 through the above process. </w:t>
      </w:r>
      <w:bookmarkStart w:id="6" w:name="_Toc99017386"/>
    </w:p>
    <w:p w14:paraId="38B27B61" w14:textId="7B0B5174" w:rsidR="00C7598D" w:rsidRDefault="00C7598D" w:rsidP="00083B3B">
      <w:pPr>
        <w:pStyle w:val="Bullet1"/>
      </w:pPr>
    </w:p>
    <w:p w14:paraId="7C40C274" w14:textId="0F86944A" w:rsidR="00C7598D" w:rsidRPr="009878ED" w:rsidRDefault="00A334C7" w:rsidP="00FC0846">
      <w:pPr>
        <w:pStyle w:val="Heading3"/>
        <w:rPr>
          <w:sz w:val="28"/>
        </w:rPr>
      </w:pPr>
      <w:r w:rsidRPr="009878ED">
        <w:rPr>
          <w:sz w:val="28"/>
        </w:rPr>
        <w:t xml:space="preserve">Acknowledgment and </w:t>
      </w:r>
      <w:r w:rsidR="00253CAC" w:rsidRPr="009878ED">
        <w:rPr>
          <w:sz w:val="28"/>
        </w:rPr>
        <w:t xml:space="preserve">Questions </w:t>
      </w:r>
    </w:p>
    <w:bookmarkEnd w:id="6"/>
    <w:p w14:paraId="4BC0094A" w14:textId="2A39BA6E" w:rsidR="00560933" w:rsidRDefault="00A334C7" w:rsidP="0079375B">
      <w:r>
        <w:t xml:space="preserve">AGD extends its thanks to stakeholders for the substantial contribution their input made to the final methodology through public consultations. Questions about policy in relation to CCSs in general can be directed to: </w:t>
      </w:r>
      <w:hyperlink r:id="rId9" w:history="1">
        <w:r w:rsidR="00560933" w:rsidRPr="00D53239">
          <w:rPr>
            <w:rStyle w:val="Hyperlink"/>
          </w:rPr>
          <w:t>FamilyLawServices@ag.gov.au</w:t>
        </w:r>
      </w:hyperlink>
      <w:r w:rsidR="00560933">
        <w:t xml:space="preserve"> </w:t>
      </w:r>
    </w:p>
    <w:p w14:paraId="5DF09ABB" w14:textId="5B74A49F" w:rsidR="00B069E2" w:rsidRDefault="00253CAC" w:rsidP="0079375B">
      <w:r w:rsidRPr="00253CAC">
        <w:t xml:space="preserve">Any questions </w:t>
      </w:r>
      <w:r>
        <w:t xml:space="preserve">in relation to the </w:t>
      </w:r>
      <w:r w:rsidR="00A334C7">
        <w:t xml:space="preserve">current </w:t>
      </w:r>
      <w:r>
        <w:t>grant opportunity</w:t>
      </w:r>
      <w:r w:rsidR="00A334C7">
        <w:t>, including t</w:t>
      </w:r>
      <w:r>
        <w:t xml:space="preserve">he methodology for selecting </w:t>
      </w:r>
      <w:r w:rsidR="00A334C7">
        <w:t>locations,</w:t>
      </w:r>
      <w:r>
        <w:t xml:space="preserve"> </w:t>
      </w:r>
      <w:r w:rsidR="00A334C7">
        <w:t>should</w:t>
      </w:r>
      <w:r w:rsidRPr="00253CAC">
        <w:t xml:space="preserve"> be directed to </w:t>
      </w:r>
      <w:hyperlink r:id="rId10" w:history="1">
        <w:r w:rsidR="00EF2111" w:rsidRPr="00D53239">
          <w:rPr>
            <w:rStyle w:val="Hyperlink"/>
          </w:rPr>
          <w:t>support@communitygrants.gov.au</w:t>
        </w:r>
      </w:hyperlink>
      <w:r w:rsidR="00EF2111">
        <w:t xml:space="preserve"> </w:t>
      </w:r>
    </w:p>
    <w:p w14:paraId="37F90784" w14:textId="77777777" w:rsidR="00AB64CF" w:rsidRDefault="00AB64CF" w:rsidP="0079375B">
      <w:pPr>
        <w:sectPr w:rsidR="00AB64CF" w:rsidSect="000135FB">
          <w:headerReference w:type="default" r:id="rId11"/>
          <w:type w:val="continuous"/>
          <w:pgSz w:w="12240" w:h="15840"/>
          <w:pgMar w:top="269" w:right="964" w:bottom="964" w:left="964" w:header="113" w:footer="709" w:gutter="0"/>
          <w:cols w:space="708"/>
          <w:docGrid w:linePitch="360"/>
        </w:sectPr>
      </w:pPr>
    </w:p>
    <w:p w14:paraId="6D50D717" w14:textId="77777777" w:rsidR="00AB64CF" w:rsidRDefault="00AB64CF" w:rsidP="00AB64CF">
      <w:pPr>
        <w:pStyle w:val="Heading3"/>
        <w:spacing w:before="240" w:after="240"/>
      </w:pPr>
      <w:bookmarkStart w:id="7" w:name="_Toc99017380"/>
      <w:bookmarkStart w:id="8" w:name="_Hlk99549117"/>
      <w:r w:rsidRPr="00F562F4">
        <w:rPr>
          <w:sz w:val="28"/>
        </w:rPr>
        <w:lastRenderedPageBreak/>
        <w:t>Selected</w:t>
      </w:r>
      <w:r>
        <w:t xml:space="preserve"> </w:t>
      </w:r>
      <w:r w:rsidRPr="00F562F4">
        <w:rPr>
          <w:sz w:val="28"/>
        </w:rPr>
        <w:t>Locations</w:t>
      </w:r>
      <w:bookmarkEnd w:id="7"/>
      <w:r>
        <w:t xml:space="preserve"> </w:t>
      </w:r>
    </w:p>
    <w:tbl>
      <w:tblPr>
        <w:tblStyle w:val="Style1"/>
        <w:tblW w:w="96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72"/>
        <w:gridCol w:w="3026"/>
        <w:gridCol w:w="1410"/>
      </w:tblGrid>
      <w:tr w:rsidR="00AB64CF" w14:paraId="178F144F" w14:textId="77777777" w:rsidTr="00AB64CF">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172" w:type="dxa"/>
            <w:tcBorders>
              <w:top w:val="single" w:sz="4" w:space="0" w:color="auto"/>
              <w:left w:val="single" w:sz="4" w:space="0" w:color="auto"/>
              <w:bottom w:val="single" w:sz="6" w:space="0" w:color="000000"/>
              <w:right w:val="single" w:sz="6" w:space="0" w:color="000000"/>
            </w:tcBorders>
            <w:noWrap/>
            <w:hideMark/>
          </w:tcPr>
          <w:p w14:paraId="515888C3" w14:textId="77777777" w:rsidR="00AB64CF" w:rsidRPr="00B467B0" w:rsidRDefault="00AB64CF">
            <w:pPr>
              <w:keepNext/>
              <w:spacing w:after="0" w:line="240" w:lineRule="auto"/>
              <w:rPr>
                <w:rFonts w:asciiTheme="minorHAnsi" w:eastAsia="Times New Roman" w:hAnsiTheme="minorHAnsi" w:cstheme="minorHAnsi"/>
                <w:color w:val="000000"/>
                <w:w w:val="100"/>
                <w:kern w:val="0"/>
                <w:lang w:eastAsia="en-AU"/>
              </w:rPr>
            </w:pPr>
            <w:r w:rsidRPr="00B467B0">
              <w:rPr>
                <w:rFonts w:asciiTheme="minorHAnsi" w:eastAsia="Times New Roman" w:hAnsiTheme="minorHAnsi" w:cstheme="minorHAnsi"/>
                <w:color w:val="000000"/>
                <w:w w:val="100"/>
                <w:kern w:val="0"/>
                <w:lang w:eastAsia="en-AU"/>
              </w:rPr>
              <w:t>Statistical Area 4</w:t>
            </w:r>
          </w:p>
        </w:tc>
        <w:tc>
          <w:tcPr>
            <w:tcW w:w="3026" w:type="dxa"/>
            <w:tcBorders>
              <w:top w:val="single" w:sz="4" w:space="0" w:color="auto"/>
              <w:left w:val="single" w:sz="6" w:space="0" w:color="000000"/>
              <w:bottom w:val="single" w:sz="6" w:space="0" w:color="000000"/>
              <w:right w:val="single" w:sz="6" w:space="0" w:color="000000"/>
            </w:tcBorders>
            <w:noWrap/>
            <w:hideMark/>
          </w:tcPr>
          <w:p w14:paraId="4C8380F9" w14:textId="77777777" w:rsidR="00AB64CF" w:rsidRPr="00B467B0" w:rsidRDefault="00AB64CF">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w w:val="100"/>
                <w:kern w:val="0"/>
                <w:lang w:eastAsia="en-AU"/>
              </w:rPr>
            </w:pPr>
            <w:r w:rsidRPr="00B467B0">
              <w:rPr>
                <w:rFonts w:asciiTheme="minorHAnsi" w:eastAsia="Times New Roman" w:hAnsiTheme="minorHAnsi" w:cstheme="minorHAnsi"/>
                <w:color w:val="000000"/>
                <w:w w:val="100"/>
                <w:kern w:val="0"/>
                <w:lang w:eastAsia="en-AU"/>
              </w:rPr>
              <w:t>Classification of area</w:t>
            </w:r>
          </w:p>
        </w:tc>
        <w:tc>
          <w:tcPr>
            <w:tcW w:w="1410" w:type="dxa"/>
            <w:tcBorders>
              <w:top w:val="single" w:sz="4" w:space="0" w:color="auto"/>
              <w:left w:val="single" w:sz="6" w:space="0" w:color="000000"/>
              <w:bottom w:val="single" w:sz="6" w:space="0" w:color="000000"/>
              <w:right w:val="single" w:sz="4" w:space="0" w:color="auto"/>
            </w:tcBorders>
            <w:noWrap/>
            <w:hideMark/>
          </w:tcPr>
          <w:p w14:paraId="6BF7AC04" w14:textId="77777777" w:rsidR="00AB64CF" w:rsidRPr="00B467B0" w:rsidRDefault="00AB64CF">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w w:val="100"/>
                <w:kern w:val="0"/>
                <w:lang w:eastAsia="en-AU"/>
              </w:rPr>
            </w:pPr>
            <w:r w:rsidRPr="00B467B0">
              <w:rPr>
                <w:rFonts w:asciiTheme="minorHAnsi" w:eastAsia="Times New Roman" w:hAnsiTheme="minorHAnsi" w:cstheme="minorHAnsi"/>
                <w:color w:val="000000"/>
                <w:w w:val="100"/>
                <w:kern w:val="0"/>
                <w:lang w:eastAsia="en-AU"/>
              </w:rPr>
              <w:t>State</w:t>
            </w:r>
          </w:p>
        </w:tc>
      </w:tr>
      <w:tr w:rsidR="00AB64CF" w14:paraId="42D8C06A" w14:textId="77777777" w:rsidTr="00B467B0">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172" w:type="dxa"/>
            <w:tcBorders>
              <w:top w:val="single" w:sz="6" w:space="0" w:color="000000"/>
              <w:left w:val="single" w:sz="4" w:space="0" w:color="auto"/>
              <w:bottom w:val="single" w:sz="6" w:space="0" w:color="000000"/>
              <w:right w:val="single" w:sz="6" w:space="0" w:color="000000"/>
            </w:tcBorders>
            <w:shd w:val="clear" w:color="auto" w:fill="EEECE1" w:themeFill="background2"/>
            <w:noWrap/>
            <w:hideMark/>
          </w:tcPr>
          <w:p w14:paraId="670AE21B" w14:textId="77777777" w:rsidR="00AB64CF" w:rsidRPr="00B467B0" w:rsidRDefault="00AB64CF" w:rsidP="00AB64CF">
            <w:pPr>
              <w:pStyle w:val="ListParagraph"/>
              <w:keepNext/>
              <w:numPr>
                <w:ilvl w:val="0"/>
                <w:numId w:val="28"/>
              </w:numPr>
              <w:tabs>
                <w:tab w:val="left" w:pos="3799"/>
              </w:tabs>
              <w:spacing w:after="0" w:line="240" w:lineRule="auto"/>
              <w:rPr>
                <w:rFonts w:eastAsia="Times New Roman" w:cstheme="minorHAnsi"/>
                <w:color w:val="000000"/>
                <w:lang w:eastAsia="en-AU"/>
              </w:rPr>
            </w:pPr>
            <w:r w:rsidRPr="00B467B0">
              <w:rPr>
                <w:rFonts w:eastAsia="Times New Roman" w:cstheme="minorHAnsi"/>
                <w:color w:val="000000"/>
                <w:lang w:eastAsia="en-AU"/>
              </w:rPr>
              <w:t>Wide Bay</w:t>
            </w:r>
          </w:p>
        </w:tc>
        <w:tc>
          <w:tcPr>
            <w:tcW w:w="3026" w:type="dxa"/>
            <w:tcBorders>
              <w:top w:val="single" w:sz="6" w:space="0" w:color="000000"/>
              <w:left w:val="single" w:sz="6" w:space="0" w:color="000000"/>
              <w:bottom w:val="single" w:sz="6" w:space="0" w:color="000000"/>
              <w:right w:val="single" w:sz="6" w:space="0" w:color="000000"/>
            </w:tcBorders>
            <w:shd w:val="clear" w:color="auto" w:fill="EEECE1" w:themeFill="background2"/>
            <w:noWrap/>
            <w:hideMark/>
          </w:tcPr>
          <w:p w14:paraId="2791039F" w14:textId="77777777" w:rsidR="00AB64CF" w:rsidRPr="00B467B0" w:rsidRDefault="00AB64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w w:val="100"/>
                <w:kern w:val="0"/>
                <w:lang w:eastAsia="en-AU"/>
              </w:rPr>
            </w:pPr>
            <w:r w:rsidRPr="00B467B0">
              <w:rPr>
                <w:rFonts w:asciiTheme="minorHAnsi" w:eastAsia="Times New Roman" w:hAnsiTheme="minorHAnsi" w:cstheme="minorHAnsi"/>
                <w:color w:val="000000"/>
                <w:w w:val="100"/>
                <w:kern w:val="0"/>
                <w:lang w:eastAsia="en-AU"/>
              </w:rPr>
              <w:t>Regional</w:t>
            </w:r>
          </w:p>
        </w:tc>
        <w:tc>
          <w:tcPr>
            <w:tcW w:w="1410" w:type="dxa"/>
            <w:tcBorders>
              <w:top w:val="single" w:sz="6" w:space="0" w:color="000000"/>
              <w:left w:val="single" w:sz="6" w:space="0" w:color="000000"/>
              <w:bottom w:val="single" w:sz="6" w:space="0" w:color="000000"/>
              <w:right w:val="single" w:sz="4" w:space="0" w:color="auto"/>
            </w:tcBorders>
            <w:shd w:val="clear" w:color="auto" w:fill="EEECE1" w:themeFill="background2"/>
            <w:noWrap/>
            <w:hideMark/>
          </w:tcPr>
          <w:p w14:paraId="0144AE20" w14:textId="77777777" w:rsidR="00AB64CF" w:rsidRPr="00B467B0" w:rsidRDefault="00AB64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w w:val="100"/>
                <w:kern w:val="0"/>
                <w:lang w:eastAsia="en-AU"/>
              </w:rPr>
            </w:pPr>
            <w:r w:rsidRPr="00B467B0">
              <w:rPr>
                <w:rFonts w:asciiTheme="minorHAnsi" w:eastAsia="Times New Roman" w:hAnsiTheme="minorHAnsi" w:cstheme="minorHAnsi"/>
                <w:color w:val="000000"/>
                <w:w w:val="100"/>
                <w:kern w:val="0"/>
                <w:lang w:eastAsia="en-AU"/>
              </w:rPr>
              <w:t>QLD</w:t>
            </w:r>
          </w:p>
        </w:tc>
      </w:tr>
      <w:tr w:rsidR="00AB64CF" w14:paraId="5551F0EA" w14:textId="77777777" w:rsidTr="00AB64CF">
        <w:trPr>
          <w:trHeight w:val="398"/>
        </w:trPr>
        <w:tc>
          <w:tcPr>
            <w:cnfStyle w:val="001000000000" w:firstRow="0" w:lastRow="0" w:firstColumn="1" w:lastColumn="0" w:oddVBand="0" w:evenVBand="0" w:oddHBand="0" w:evenHBand="0" w:firstRowFirstColumn="0" w:firstRowLastColumn="0" w:lastRowFirstColumn="0" w:lastRowLastColumn="0"/>
            <w:tcW w:w="5172" w:type="dxa"/>
            <w:tcBorders>
              <w:top w:val="single" w:sz="6" w:space="0" w:color="000000"/>
              <w:left w:val="single" w:sz="4" w:space="0" w:color="auto"/>
              <w:bottom w:val="single" w:sz="6" w:space="0" w:color="000000"/>
              <w:right w:val="single" w:sz="6" w:space="0" w:color="000000"/>
            </w:tcBorders>
            <w:noWrap/>
            <w:hideMark/>
          </w:tcPr>
          <w:p w14:paraId="105A8498" w14:textId="77777777" w:rsidR="00AB64CF" w:rsidRPr="00B467B0" w:rsidRDefault="00AB64CF" w:rsidP="00AB64CF">
            <w:pPr>
              <w:pStyle w:val="ListParagraph"/>
              <w:keepNext/>
              <w:numPr>
                <w:ilvl w:val="0"/>
                <w:numId w:val="28"/>
              </w:numPr>
              <w:tabs>
                <w:tab w:val="left" w:pos="3799"/>
              </w:tabs>
              <w:spacing w:after="0" w:line="240" w:lineRule="auto"/>
              <w:rPr>
                <w:rFonts w:eastAsia="Times New Roman" w:cstheme="minorHAnsi"/>
                <w:color w:val="000000"/>
                <w:lang w:eastAsia="en-AU"/>
              </w:rPr>
            </w:pPr>
            <w:r w:rsidRPr="00B467B0">
              <w:rPr>
                <w:rFonts w:eastAsia="Times New Roman" w:cstheme="minorHAnsi"/>
                <w:color w:val="000000"/>
                <w:lang w:eastAsia="en-AU"/>
              </w:rPr>
              <w:t>Queensland – Outback</w:t>
            </w:r>
          </w:p>
        </w:tc>
        <w:tc>
          <w:tcPr>
            <w:tcW w:w="3026" w:type="dxa"/>
            <w:tcBorders>
              <w:top w:val="single" w:sz="6" w:space="0" w:color="000000"/>
              <w:left w:val="single" w:sz="6" w:space="0" w:color="000000"/>
              <w:bottom w:val="single" w:sz="6" w:space="0" w:color="000000"/>
              <w:right w:val="single" w:sz="6" w:space="0" w:color="000000"/>
            </w:tcBorders>
            <w:noWrap/>
            <w:hideMark/>
          </w:tcPr>
          <w:p w14:paraId="7B9D713D" w14:textId="77777777" w:rsidR="00AB64CF" w:rsidRPr="00B467B0" w:rsidRDefault="00AB64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w w:val="100"/>
                <w:kern w:val="0"/>
                <w:lang w:eastAsia="en-AU"/>
              </w:rPr>
            </w:pPr>
            <w:r w:rsidRPr="00B467B0">
              <w:rPr>
                <w:rFonts w:asciiTheme="minorHAnsi" w:eastAsia="Times New Roman" w:hAnsiTheme="minorHAnsi" w:cstheme="minorHAnsi"/>
                <w:color w:val="000000"/>
                <w:w w:val="100"/>
                <w:kern w:val="0"/>
                <w:lang w:eastAsia="en-AU"/>
              </w:rPr>
              <w:t>Remote</w:t>
            </w:r>
          </w:p>
        </w:tc>
        <w:tc>
          <w:tcPr>
            <w:tcW w:w="1410" w:type="dxa"/>
            <w:tcBorders>
              <w:top w:val="single" w:sz="6" w:space="0" w:color="000000"/>
              <w:left w:val="single" w:sz="6" w:space="0" w:color="000000"/>
              <w:bottom w:val="single" w:sz="6" w:space="0" w:color="000000"/>
              <w:right w:val="single" w:sz="4" w:space="0" w:color="auto"/>
            </w:tcBorders>
            <w:noWrap/>
            <w:hideMark/>
          </w:tcPr>
          <w:p w14:paraId="620E2FF0" w14:textId="77777777" w:rsidR="00AB64CF" w:rsidRPr="00B467B0" w:rsidRDefault="00AB64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w w:val="100"/>
                <w:kern w:val="0"/>
                <w:lang w:eastAsia="en-AU"/>
              </w:rPr>
            </w:pPr>
            <w:r w:rsidRPr="00B467B0">
              <w:rPr>
                <w:rFonts w:asciiTheme="minorHAnsi" w:eastAsia="Times New Roman" w:hAnsiTheme="minorHAnsi" w:cstheme="minorHAnsi"/>
                <w:color w:val="000000"/>
                <w:w w:val="100"/>
                <w:kern w:val="0"/>
                <w:lang w:eastAsia="en-AU"/>
              </w:rPr>
              <w:t>QLD</w:t>
            </w:r>
          </w:p>
        </w:tc>
      </w:tr>
      <w:tr w:rsidR="00AB64CF" w14:paraId="5B5EFCE1" w14:textId="77777777" w:rsidTr="00B467B0">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172" w:type="dxa"/>
            <w:tcBorders>
              <w:top w:val="single" w:sz="6" w:space="0" w:color="000000"/>
              <w:left w:val="single" w:sz="4" w:space="0" w:color="auto"/>
              <w:bottom w:val="single" w:sz="6" w:space="0" w:color="000000"/>
              <w:right w:val="single" w:sz="6" w:space="0" w:color="000000"/>
            </w:tcBorders>
            <w:shd w:val="clear" w:color="auto" w:fill="EEECE1" w:themeFill="background2"/>
            <w:noWrap/>
            <w:hideMark/>
          </w:tcPr>
          <w:p w14:paraId="43941BF9" w14:textId="77777777" w:rsidR="00AB64CF" w:rsidRPr="00B467B0" w:rsidRDefault="00AB64CF" w:rsidP="00AB64CF">
            <w:pPr>
              <w:pStyle w:val="ListParagraph"/>
              <w:numPr>
                <w:ilvl w:val="0"/>
                <w:numId w:val="28"/>
              </w:numPr>
              <w:tabs>
                <w:tab w:val="left" w:pos="3799"/>
              </w:tabs>
              <w:spacing w:after="0" w:line="240" w:lineRule="auto"/>
              <w:rPr>
                <w:rFonts w:eastAsia="Times New Roman" w:cstheme="minorHAnsi"/>
                <w:color w:val="000000"/>
                <w:lang w:eastAsia="en-AU"/>
              </w:rPr>
            </w:pPr>
            <w:r w:rsidRPr="00B467B0">
              <w:rPr>
                <w:rFonts w:eastAsia="Times New Roman" w:cstheme="minorHAnsi"/>
                <w:color w:val="000000"/>
                <w:lang w:eastAsia="en-AU"/>
              </w:rPr>
              <w:t>Sydney - South West</w:t>
            </w:r>
          </w:p>
        </w:tc>
        <w:tc>
          <w:tcPr>
            <w:tcW w:w="3026" w:type="dxa"/>
            <w:tcBorders>
              <w:top w:val="single" w:sz="6" w:space="0" w:color="000000"/>
              <w:left w:val="single" w:sz="6" w:space="0" w:color="000000"/>
              <w:bottom w:val="single" w:sz="6" w:space="0" w:color="000000"/>
              <w:right w:val="single" w:sz="6" w:space="0" w:color="000000"/>
            </w:tcBorders>
            <w:shd w:val="clear" w:color="auto" w:fill="EEECE1" w:themeFill="background2"/>
            <w:noWrap/>
            <w:hideMark/>
          </w:tcPr>
          <w:p w14:paraId="2401E691" w14:textId="77777777" w:rsidR="00AB64CF" w:rsidRPr="00B467B0" w:rsidRDefault="00AB64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w w:val="100"/>
                <w:kern w:val="0"/>
                <w:lang w:eastAsia="en-AU"/>
              </w:rPr>
            </w:pPr>
            <w:r w:rsidRPr="00B467B0">
              <w:rPr>
                <w:rFonts w:asciiTheme="minorHAnsi" w:eastAsia="Times New Roman" w:hAnsiTheme="minorHAnsi" w:cstheme="minorHAnsi"/>
                <w:color w:val="000000"/>
                <w:w w:val="100"/>
                <w:kern w:val="0"/>
                <w:lang w:eastAsia="en-AU"/>
              </w:rPr>
              <w:t>Metro</w:t>
            </w:r>
          </w:p>
        </w:tc>
        <w:tc>
          <w:tcPr>
            <w:tcW w:w="1410" w:type="dxa"/>
            <w:tcBorders>
              <w:top w:val="single" w:sz="6" w:space="0" w:color="000000"/>
              <w:left w:val="single" w:sz="6" w:space="0" w:color="000000"/>
              <w:bottom w:val="single" w:sz="6" w:space="0" w:color="000000"/>
              <w:right w:val="single" w:sz="4" w:space="0" w:color="auto"/>
            </w:tcBorders>
            <w:shd w:val="clear" w:color="auto" w:fill="EEECE1" w:themeFill="background2"/>
            <w:noWrap/>
            <w:hideMark/>
          </w:tcPr>
          <w:p w14:paraId="77F70A9C" w14:textId="77777777" w:rsidR="00AB64CF" w:rsidRPr="00B467B0" w:rsidRDefault="00AB64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w w:val="100"/>
                <w:kern w:val="0"/>
                <w:lang w:eastAsia="en-AU"/>
              </w:rPr>
            </w:pPr>
            <w:r w:rsidRPr="00B467B0">
              <w:rPr>
                <w:rFonts w:asciiTheme="minorHAnsi" w:eastAsia="Times New Roman" w:hAnsiTheme="minorHAnsi" w:cstheme="minorHAnsi"/>
                <w:color w:val="000000"/>
                <w:w w:val="100"/>
                <w:kern w:val="0"/>
                <w:lang w:eastAsia="en-AU"/>
              </w:rPr>
              <w:t>NSW</w:t>
            </w:r>
          </w:p>
        </w:tc>
      </w:tr>
      <w:tr w:rsidR="00AB64CF" w14:paraId="3016CA42" w14:textId="77777777" w:rsidTr="00AB64CF">
        <w:trPr>
          <w:trHeight w:val="398"/>
        </w:trPr>
        <w:tc>
          <w:tcPr>
            <w:cnfStyle w:val="001000000000" w:firstRow="0" w:lastRow="0" w:firstColumn="1" w:lastColumn="0" w:oddVBand="0" w:evenVBand="0" w:oddHBand="0" w:evenHBand="0" w:firstRowFirstColumn="0" w:firstRowLastColumn="0" w:lastRowFirstColumn="0" w:lastRowLastColumn="0"/>
            <w:tcW w:w="5172" w:type="dxa"/>
            <w:tcBorders>
              <w:top w:val="single" w:sz="6" w:space="0" w:color="000000"/>
              <w:left w:val="single" w:sz="4" w:space="0" w:color="auto"/>
              <w:bottom w:val="single" w:sz="6" w:space="0" w:color="000000"/>
              <w:right w:val="single" w:sz="6" w:space="0" w:color="000000"/>
            </w:tcBorders>
            <w:noWrap/>
            <w:hideMark/>
          </w:tcPr>
          <w:p w14:paraId="66182777" w14:textId="77777777" w:rsidR="00AB64CF" w:rsidRPr="00B467B0" w:rsidRDefault="00AB64CF" w:rsidP="00AB64CF">
            <w:pPr>
              <w:pStyle w:val="ListParagraph"/>
              <w:numPr>
                <w:ilvl w:val="0"/>
                <w:numId w:val="28"/>
              </w:numPr>
              <w:tabs>
                <w:tab w:val="left" w:pos="3799"/>
              </w:tabs>
              <w:spacing w:after="0" w:line="240" w:lineRule="auto"/>
              <w:rPr>
                <w:rFonts w:eastAsia="Times New Roman" w:cstheme="minorHAnsi"/>
                <w:color w:val="000000"/>
                <w:lang w:eastAsia="en-AU"/>
              </w:rPr>
            </w:pPr>
            <w:r w:rsidRPr="00B467B0">
              <w:rPr>
                <w:rFonts w:eastAsia="Times New Roman" w:cstheme="minorHAnsi"/>
                <w:color w:val="000000"/>
                <w:lang w:eastAsia="en-AU"/>
              </w:rPr>
              <w:t xml:space="preserve">Hunter Valley </w:t>
            </w:r>
            <w:proofErr w:type="spellStart"/>
            <w:r w:rsidRPr="00B467B0">
              <w:rPr>
                <w:rFonts w:eastAsia="Times New Roman" w:cstheme="minorHAnsi"/>
                <w:color w:val="000000"/>
                <w:lang w:eastAsia="en-AU"/>
              </w:rPr>
              <w:t>exc</w:t>
            </w:r>
            <w:proofErr w:type="spellEnd"/>
            <w:r w:rsidRPr="00B467B0">
              <w:rPr>
                <w:rFonts w:eastAsia="Times New Roman" w:cstheme="minorHAnsi"/>
                <w:color w:val="000000"/>
                <w:lang w:eastAsia="en-AU"/>
              </w:rPr>
              <w:t xml:space="preserve"> Newcastle</w:t>
            </w:r>
          </w:p>
        </w:tc>
        <w:tc>
          <w:tcPr>
            <w:tcW w:w="3026" w:type="dxa"/>
            <w:tcBorders>
              <w:top w:val="single" w:sz="6" w:space="0" w:color="000000"/>
              <w:left w:val="single" w:sz="6" w:space="0" w:color="000000"/>
              <w:bottom w:val="single" w:sz="6" w:space="0" w:color="000000"/>
              <w:right w:val="single" w:sz="6" w:space="0" w:color="000000"/>
            </w:tcBorders>
            <w:noWrap/>
            <w:hideMark/>
          </w:tcPr>
          <w:p w14:paraId="47AEF75E" w14:textId="77777777" w:rsidR="00AB64CF" w:rsidRPr="00B467B0" w:rsidRDefault="00AB64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w w:val="100"/>
                <w:kern w:val="0"/>
                <w:lang w:eastAsia="en-AU"/>
              </w:rPr>
            </w:pPr>
            <w:r w:rsidRPr="00B467B0">
              <w:rPr>
                <w:rFonts w:asciiTheme="minorHAnsi" w:eastAsia="Times New Roman" w:hAnsiTheme="minorHAnsi" w:cstheme="minorHAnsi"/>
                <w:color w:val="000000"/>
                <w:w w:val="100"/>
                <w:kern w:val="0"/>
                <w:lang w:eastAsia="en-AU"/>
              </w:rPr>
              <w:t>Metro</w:t>
            </w:r>
          </w:p>
        </w:tc>
        <w:tc>
          <w:tcPr>
            <w:tcW w:w="1410" w:type="dxa"/>
            <w:tcBorders>
              <w:top w:val="single" w:sz="6" w:space="0" w:color="000000"/>
              <w:left w:val="single" w:sz="6" w:space="0" w:color="000000"/>
              <w:bottom w:val="single" w:sz="6" w:space="0" w:color="000000"/>
              <w:right w:val="single" w:sz="4" w:space="0" w:color="auto"/>
            </w:tcBorders>
            <w:noWrap/>
            <w:hideMark/>
          </w:tcPr>
          <w:p w14:paraId="1E54A3A6" w14:textId="77777777" w:rsidR="00AB64CF" w:rsidRPr="00B467B0" w:rsidRDefault="00AB64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w w:val="100"/>
                <w:kern w:val="0"/>
                <w:lang w:eastAsia="en-AU"/>
              </w:rPr>
            </w:pPr>
            <w:r w:rsidRPr="00B467B0">
              <w:rPr>
                <w:rFonts w:asciiTheme="minorHAnsi" w:eastAsia="Times New Roman" w:hAnsiTheme="minorHAnsi" w:cstheme="minorHAnsi"/>
                <w:color w:val="000000"/>
                <w:w w:val="100"/>
                <w:kern w:val="0"/>
                <w:lang w:eastAsia="en-AU"/>
              </w:rPr>
              <w:t>NSW</w:t>
            </w:r>
          </w:p>
        </w:tc>
      </w:tr>
      <w:tr w:rsidR="00AB64CF" w14:paraId="5D263023" w14:textId="77777777" w:rsidTr="00B467B0">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172" w:type="dxa"/>
            <w:tcBorders>
              <w:top w:val="single" w:sz="6" w:space="0" w:color="000000"/>
              <w:left w:val="single" w:sz="4" w:space="0" w:color="auto"/>
              <w:bottom w:val="single" w:sz="6" w:space="0" w:color="000000"/>
              <w:right w:val="single" w:sz="6" w:space="0" w:color="000000"/>
            </w:tcBorders>
            <w:shd w:val="clear" w:color="auto" w:fill="EEECE1" w:themeFill="background2"/>
            <w:noWrap/>
            <w:hideMark/>
          </w:tcPr>
          <w:p w14:paraId="755A0D3B" w14:textId="77777777" w:rsidR="00AB64CF" w:rsidRPr="00B467B0" w:rsidRDefault="00AB64CF" w:rsidP="00AB64CF">
            <w:pPr>
              <w:pStyle w:val="ListParagraph"/>
              <w:numPr>
                <w:ilvl w:val="0"/>
                <w:numId w:val="28"/>
              </w:numPr>
              <w:tabs>
                <w:tab w:val="left" w:pos="3799"/>
              </w:tabs>
              <w:spacing w:after="0" w:line="240" w:lineRule="auto"/>
              <w:rPr>
                <w:rFonts w:eastAsia="Times New Roman" w:cstheme="minorHAnsi"/>
                <w:color w:val="000000"/>
                <w:lang w:eastAsia="en-AU"/>
              </w:rPr>
            </w:pPr>
            <w:r w:rsidRPr="00B467B0">
              <w:rPr>
                <w:rFonts w:eastAsia="Times New Roman" w:cstheme="minorHAnsi"/>
                <w:color w:val="000000"/>
                <w:lang w:eastAsia="en-AU"/>
              </w:rPr>
              <w:t>Northern Territory - Outback</w:t>
            </w:r>
          </w:p>
        </w:tc>
        <w:tc>
          <w:tcPr>
            <w:tcW w:w="3026" w:type="dxa"/>
            <w:tcBorders>
              <w:top w:val="single" w:sz="6" w:space="0" w:color="000000"/>
              <w:left w:val="single" w:sz="6" w:space="0" w:color="000000"/>
              <w:bottom w:val="single" w:sz="6" w:space="0" w:color="000000"/>
              <w:right w:val="single" w:sz="6" w:space="0" w:color="000000"/>
            </w:tcBorders>
            <w:shd w:val="clear" w:color="auto" w:fill="EEECE1" w:themeFill="background2"/>
            <w:noWrap/>
            <w:hideMark/>
          </w:tcPr>
          <w:p w14:paraId="1ABA86AC" w14:textId="77777777" w:rsidR="00AB64CF" w:rsidRPr="00B467B0" w:rsidRDefault="00AB64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w w:val="100"/>
                <w:kern w:val="0"/>
                <w:lang w:eastAsia="en-AU"/>
              </w:rPr>
            </w:pPr>
            <w:r w:rsidRPr="00B467B0">
              <w:rPr>
                <w:rFonts w:asciiTheme="minorHAnsi" w:eastAsia="Times New Roman" w:hAnsiTheme="minorHAnsi" w:cstheme="minorHAnsi"/>
                <w:color w:val="000000"/>
                <w:w w:val="100"/>
                <w:kern w:val="0"/>
                <w:lang w:eastAsia="en-AU"/>
              </w:rPr>
              <w:t>Remote</w:t>
            </w:r>
          </w:p>
        </w:tc>
        <w:tc>
          <w:tcPr>
            <w:tcW w:w="1410" w:type="dxa"/>
            <w:tcBorders>
              <w:top w:val="single" w:sz="6" w:space="0" w:color="000000"/>
              <w:left w:val="single" w:sz="6" w:space="0" w:color="000000"/>
              <w:bottom w:val="single" w:sz="6" w:space="0" w:color="000000"/>
              <w:right w:val="single" w:sz="4" w:space="0" w:color="auto"/>
            </w:tcBorders>
            <w:shd w:val="clear" w:color="auto" w:fill="EEECE1" w:themeFill="background2"/>
            <w:noWrap/>
            <w:hideMark/>
          </w:tcPr>
          <w:p w14:paraId="00CD403E" w14:textId="77777777" w:rsidR="00AB64CF" w:rsidRPr="00B467B0" w:rsidRDefault="00AB64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w w:val="100"/>
                <w:kern w:val="0"/>
                <w:lang w:eastAsia="en-AU"/>
              </w:rPr>
            </w:pPr>
            <w:r w:rsidRPr="00B467B0">
              <w:rPr>
                <w:rFonts w:asciiTheme="minorHAnsi" w:eastAsia="Times New Roman" w:hAnsiTheme="minorHAnsi" w:cstheme="minorHAnsi"/>
                <w:color w:val="000000"/>
                <w:w w:val="100"/>
                <w:kern w:val="0"/>
                <w:lang w:eastAsia="en-AU"/>
              </w:rPr>
              <w:t>NT</w:t>
            </w:r>
          </w:p>
        </w:tc>
      </w:tr>
      <w:tr w:rsidR="00AB64CF" w14:paraId="6D5892B4" w14:textId="77777777" w:rsidTr="00AB64CF">
        <w:trPr>
          <w:trHeight w:val="398"/>
        </w:trPr>
        <w:tc>
          <w:tcPr>
            <w:cnfStyle w:val="001000000000" w:firstRow="0" w:lastRow="0" w:firstColumn="1" w:lastColumn="0" w:oddVBand="0" w:evenVBand="0" w:oddHBand="0" w:evenHBand="0" w:firstRowFirstColumn="0" w:firstRowLastColumn="0" w:lastRowFirstColumn="0" w:lastRowLastColumn="0"/>
            <w:tcW w:w="5172" w:type="dxa"/>
            <w:tcBorders>
              <w:top w:val="single" w:sz="6" w:space="0" w:color="000000"/>
              <w:left w:val="single" w:sz="4" w:space="0" w:color="auto"/>
              <w:bottom w:val="single" w:sz="6" w:space="0" w:color="000000"/>
              <w:right w:val="single" w:sz="6" w:space="0" w:color="000000"/>
            </w:tcBorders>
            <w:noWrap/>
            <w:hideMark/>
          </w:tcPr>
          <w:p w14:paraId="1D118F9A" w14:textId="77777777" w:rsidR="00AB64CF" w:rsidRPr="00B467B0" w:rsidRDefault="00AB64CF" w:rsidP="00AB64CF">
            <w:pPr>
              <w:pStyle w:val="ListParagraph"/>
              <w:numPr>
                <w:ilvl w:val="0"/>
                <w:numId w:val="28"/>
              </w:numPr>
              <w:tabs>
                <w:tab w:val="left" w:pos="3799"/>
              </w:tabs>
              <w:spacing w:after="0" w:line="240" w:lineRule="auto"/>
              <w:rPr>
                <w:rFonts w:eastAsia="Times New Roman" w:cstheme="minorHAnsi"/>
                <w:color w:val="000000"/>
                <w:lang w:eastAsia="en-AU"/>
              </w:rPr>
            </w:pPr>
            <w:r w:rsidRPr="00B467B0">
              <w:rPr>
                <w:rFonts w:eastAsia="Times New Roman" w:cstheme="minorHAnsi"/>
                <w:color w:val="000000"/>
                <w:lang w:eastAsia="en-AU"/>
              </w:rPr>
              <w:t>Western Australia - Outback (North)</w:t>
            </w:r>
          </w:p>
        </w:tc>
        <w:tc>
          <w:tcPr>
            <w:tcW w:w="3026" w:type="dxa"/>
            <w:tcBorders>
              <w:top w:val="single" w:sz="6" w:space="0" w:color="000000"/>
              <w:left w:val="single" w:sz="6" w:space="0" w:color="000000"/>
              <w:bottom w:val="single" w:sz="6" w:space="0" w:color="000000"/>
              <w:right w:val="single" w:sz="6" w:space="0" w:color="000000"/>
            </w:tcBorders>
            <w:noWrap/>
            <w:hideMark/>
          </w:tcPr>
          <w:p w14:paraId="45BEC091" w14:textId="77777777" w:rsidR="00AB64CF" w:rsidRPr="00B467B0" w:rsidRDefault="00AB64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w w:val="100"/>
                <w:kern w:val="0"/>
                <w:lang w:eastAsia="en-AU"/>
              </w:rPr>
            </w:pPr>
            <w:r w:rsidRPr="00B467B0">
              <w:rPr>
                <w:rFonts w:asciiTheme="minorHAnsi" w:eastAsia="Times New Roman" w:hAnsiTheme="minorHAnsi" w:cstheme="minorHAnsi"/>
                <w:color w:val="000000"/>
                <w:w w:val="100"/>
                <w:kern w:val="0"/>
                <w:lang w:eastAsia="en-AU"/>
              </w:rPr>
              <w:t>Remote</w:t>
            </w:r>
          </w:p>
        </w:tc>
        <w:tc>
          <w:tcPr>
            <w:tcW w:w="1410" w:type="dxa"/>
            <w:tcBorders>
              <w:top w:val="single" w:sz="6" w:space="0" w:color="000000"/>
              <w:left w:val="single" w:sz="6" w:space="0" w:color="000000"/>
              <w:bottom w:val="single" w:sz="6" w:space="0" w:color="000000"/>
              <w:right w:val="single" w:sz="4" w:space="0" w:color="auto"/>
            </w:tcBorders>
            <w:noWrap/>
            <w:hideMark/>
          </w:tcPr>
          <w:p w14:paraId="41EE484D" w14:textId="77777777" w:rsidR="00AB64CF" w:rsidRPr="00B467B0" w:rsidRDefault="00AB64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w w:val="100"/>
                <w:kern w:val="0"/>
                <w:lang w:eastAsia="en-AU"/>
              </w:rPr>
            </w:pPr>
            <w:r w:rsidRPr="00B467B0">
              <w:rPr>
                <w:rFonts w:asciiTheme="minorHAnsi" w:eastAsia="Times New Roman" w:hAnsiTheme="minorHAnsi" w:cstheme="minorHAnsi"/>
                <w:color w:val="000000"/>
                <w:w w:val="100"/>
                <w:kern w:val="0"/>
                <w:lang w:eastAsia="en-AU"/>
              </w:rPr>
              <w:t>WA</w:t>
            </w:r>
          </w:p>
        </w:tc>
      </w:tr>
      <w:tr w:rsidR="00AB64CF" w14:paraId="263C3D1D" w14:textId="77777777" w:rsidTr="00B467B0">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172" w:type="dxa"/>
            <w:tcBorders>
              <w:top w:val="single" w:sz="6" w:space="0" w:color="000000"/>
              <w:left w:val="single" w:sz="4" w:space="0" w:color="auto"/>
              <w:bottom w:val="single" w:sz="6" w:space="0" w:color="000000"/>
              <w:right w:val="single" w:sz="6" w:space="0" w:color="000000"/>
            </w:tcBorders>
            <w:shd w:val="clear" w:color="auto" w:fill="EEECE1" w:themeFill="background2"/>
            <w:noWrap/>
            <w:hideMark/>
          </w:tcPr>
          <w:p w14:paraId="7A00F055" w14:textId="77777777" w:rsidR="00AB64CF" w:rsidRPr="00B467B0" w:rsidRDefault="00AB64CF" w:rsidP="00AB64CF">
            <w:pPr>
              <w:pStyle w:val="ListParagraph"/>
              <w:numPr>
                <w:ilvl w:val="0"/>
                <w:numId w:val="28"/>
              </w:numPr>
              <w:tabs>
                <w:tab w:val="left" w:pos="3799"/>
              </w:tabs>
              <w:spacing w:after="0" w:line="240" w:lineRule="auto"/>
              <w:rPr>
                <w:rFonts w:eastAsia="Times New Roman" w:cstheme="minorHAnsi"/>
                <w:color w:val="000000"/>
                <w:lang w:eastAsia="en-AU"/>
              </w:rPr>
            </w:pPr>
            <w:r w:rsidRPr="00B467B0">
              <w:rPr>
                <w:rFonts w:eastAsia="Times New Roman" w:cstheme="minorHAnsi"/>
                <w:color w:val="000000"/>
                <w:lang w:eastAsia="en-AU"/>
              </w:rPr>
              <w:t>New England and North West</w:t>
            </w:r>
          </w:p>
        </w:tc>
        <w:tc>
          <w:tcPr>
            <w:tcW w:w="3026" w:type="dxa"/>
            <w:tcBorders>
              <w:top w:val="single" w:sz="6" w:space="0" w:color="000000"/>
              <w:left w:val="single" w:sz="6" w:space="0" w:color="000000"/>
              <w:bottom w:val="single" w:sz="6" w:space="0" w:color="000000"/>
              <w:right w:val="single" w:sz="6" w:space="0" w:color="000000"/>
            </w:tcBorders>
            <w:shd w:val="clear" w:color="auto" w:fill="EEECE1" w:themeFill="background2"/>
            <w:noWrap/>
            <w:hideMark/>
          </w:tcPr>
          <w:p w14:paraId="1110F148" w14:textId="77777777" w:rsidR="00AB64CF" w:rsidRPr="00B467B0" w:rsidRDefault="00AB64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w w:val="100"/>
                <w:kern w:val="0"/>
                <w:lang w:eastAsia="en-AU"/>
              </w:rPr>
            </w:pPr>
            <w:r w:rsidRPr="00B467B0">
              <w:rPr>
                <w:rFonts w:asciiTheme="minorHAnsi" w:eastAsia="Times New Roman" w:hAnsiTheme="minorHAnsi" w:cstheme="minorHAnsi"/>
                <w:color w:val="000000"/>
                <w:w w:val="100"/>
                <w:kern w:val="0"/>
                <w:lang w:eastAsia="en-AU"/>
              </w:rPr>
              <w:t>Regional</w:t>
            </w:r>
          </w:p>
        </w:tc>
        <w:tc>
          <w:tcPr>
            <w:tcW w:w="1410" w:type="dxa"/>
            <w:tcBorders>
              <w:top w:val="single" w:sz="6" w:space="0" w:color="000000"/>
              <w:left w:val="single" w:sz="6" w:space="0" w:color="000000"/>
              <w:bottom w:val="single" w:sz="6" w:space="0" w:color="000000"/>
              <w:right w:val="single" w:sz="4" w:space="0" w:color="auto"/>
            </w:tcBorders>
            <w:shd w:val="clear" w:color="auto" w:fill="EEECE1" w:themeFill="background2"/>
            <w:noWrap/>
            <w:hideMark/>
          </w:tcPr>
          <w:p w14:paraId="52050922" w14:textId="77777777" w:rsidR="00AB64CF" w:rsidRPr="00B467B0" w:rsidRDefault="00AB64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w w:val="100"/>
                <w:kern w:val="0"/>
                <w:lang w:eastAsia="en-AU"/>
              </w:rPr>
            </w:pPr>
            <w:r w:rsidRPr="00B467B0">
              <w:rPr>
                <w:rFonts w:asciiTheme="minorHAnsi" w:eastAsia="Times New Roman" w:hAnsiTheme="minorHAnsi" w:cstheme="minorHAnsi"/>
                <w:color w:val="000000"/>
                <w:w w:val="100"/>
                <w:kern w:val="0"/>
                <w:lang w:eastAsia="en-AU"/>
              </w:rPr>
              <w:t>NSW</w:t>
            </w:r>
          </w:p>
        </w:tc>
      </w:tr>
      <w:tr w:rsidR="00AB64CF" w14:paraId="33F48AEE" w14:textId="77777777" w:rsidTr="00AB64CF">
        <w:trPr>
          <w:trHeight w:val="398"/>
        </w:trPr>
        <w:tc>
          <w:tcPr>
            <w:cnfStyle w:val="001000000000" w:firstRow="0" w:lastRow="0" w:firstColumn="1" w:lastColumn="0" w:oddVBand="0" w:evenVBand="0" w:oddHBand="0" w:evenHBand="0" w:firstRowFirstColumn="0" w:firstRowLastColumn="0" w:lastRowFirstColumn="0" w:lastRowLastColumn="0"/>
            <w:tcW w:w="5172" w:type="dxa"/>
            <w:tcBorders>
              <w:top w:val="single" w:sz="6" w:space="0" w:color="000000"/>
              <w:left w:val="single" w:sz="4" w:space="0" w:color="auto"/>
              <w:bottom w:val="single" w:sz="6" w:space="0" w:color="000000"/>
              <w:right w:val="single" w:sz="6" w:space="0" w:color="000000"/>
            </w:tcBorders>
            <w:noWrap/>
            <w:hideMark/>
          </w:tcPr>
          <w:p w14:paraId="70013A41" w14:textId="77777777" w:rsidR="00AB64CF" w:rsidRPr="00B467B0" w:rsidRDefault="00AB64CF" w:rsidP="00AB64CF">
            <w:pPr>
              <w:pStyle w:val="ListParagraph"/>
              <w:numPr>
                <w:ilvl w:val="0"/>
                <w:numId w:val="28"/>
              </w:numPr>
              <w:tabs>
                <w:tab w:val="left" w:pos="3799"/>
              </w:tabs>
              <w:spacing w:after="0" w:line="240" w:lineRule="auto"/>
              <w:rPr>
                <w:rFonts w:eastAsia="Times New Roman" w:cstheme="minorHAnsi"/>
                <w:color w:val="000000"/>
                <w:lang w:eastAsia="en-AU"/>
              </w:rPr>
            </w:pPr>
            <w:r w:rsidRPr="00B467B0">
              <w:rPr>
                <w:rFonts w:eastAsia="Times New Roman" w:cstheme="minorHAnsi"/>
                <w:color w:val="000000"/>
                <w:lang w:eastAsia="en-AU"/>
              </w:rPr>
              <w:t>Melbourne - North West</w:t>
            </w:r>
          </w:p>
        </w:tc>
        <w:tc>
          <w:tcPr>
            <w:tcW w:w="3026" w:type="dxa"/>
            <w:tcBorders>
              <w:top w:val="single" w:sz="6" w:space="0" w:color="000000"/>
              <w:left w:val="single" w:sz="6" w:space="0" w:color="000000"/>
              <w:bottom w:val="single" w:sz="6" w:space="0" w:color="000000"/>
              <w:right w:val="single" w:sz="6" w:space="0" w:color="000000"/>
            </w:tcBorders>
            <w:noWrap/>
            <w:hideMark/>
          </w:tcPr>
          <w:p w14:paraId="7A24BCB5" w14:textId="77777777" w:rsidR="00AB64CF" w:rsidRPr="00B467B0" w:rsidRDefault="00AB64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w w:val="100"/>
                <w:kern w:val="0"/>
                <w:lang w:eastAsia="en-AU"/>
              </w:rPr>
            </w:pPr>
            <w:r w:rsidRPr="00B467B0">
              <w:rPr>
                <w:rFonts w:asciiTheme="minorHAnsi" w:eastAsia="Times New Roman" w:hAnsiTheme="minorHAnsi" w:cstheme="minorHAnsi"/>
                <w:color w:val="000000"/>
                <w:w w:val="100"/>
                <w:kern w:val="0"/>
                <w:lang w:eastAsia="en-AU"/>
              </w:rPr>
              <w:t>Metro</w:t>
            </w:r>
          </w:p>
        </w:tc>
        <w:tc>
          <w:tcPr>
            <w:tcW w:w="1410" w:type="dxa"/>
            <w:tcBorders>
              <w:top w:val="single" w:sz="6" w:space="0" w:color="000000"/>
              <w:left w:val="single" w:sz="6" w:space="0" w:color="000000"/>
              <w:bottom w:val="single" w:sz="6" w:space="0" w:color="000000"/>
              <w:right w:val="single" w:sz="4" w:space="0" w:color="auto"/>
            </w:tcBorders>
            <w:noWrap/>
            <w:hideMark/>
          </w:tcPr>
          <w:p w14:paraId="6E685793" w14:textId="77777777" w:rsidR="00AB64CF" w:rsidRPr="00B467B0" w:rsidRDefault="00AB64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w w:val="100"/>
                <w:kern w:val="0"/>
                <w:lang w:eastAsia="en-AU"/>
              </w:rPr>
            </w:pPr>
            <w:r w:rsidRPr="00B467B0">
              <w:rPr>
                <w:rFonts w:asciiTheme="minorHAnsi" w:eastAsia="Times New Roman" w:hAnsiTheme="minorHAnsi" w:cstheme="minorHAnsi"/>
                <w:color w:val="000000"/>
                <w:w w:val="100"/>
                <w:kern w:val="0"/>
                <w:lang w:eastAsia="en-AU"/>
              </w:rPr>
              <w:t>VIC</w:t>
            </w:r>
          </w:p>
        </w:tc>
      </w:tr>
      <w:tr w:rsidR="00AB64CF" w14:paraId="761BE3EA" w14:textId="77777777" w:rsidTr="00B467B0">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172" w:type="dxa"/>
            <w:tcBorders>
              <w:top w:val="single" w:sz="6" w:space="0" w:color="000000"/>
              <w:left w:val="single" w:sz="4" w:space="0" w:color="auto"/>
              <w:bottom w:val="single" w:sz="6" w:space="0" w:color="000000"/>
              <w:right w:val="single" w:sz="6" w:space="0" w:color="000000"/>
            </w:tcBorders>
            <w:shd w:val="clear" w:color="auto" w:fill="EEECE1" w:themeFill="background2"/>
            <w:noWrap/>
            <w:hideMark/>
          </w:tcPr>
          <w:p w14:paraId="47828EEC" w14:textId="77777777" w:rsidR="00AB64CF" w:rsidRPr="00B467B0" w:rsidRDefault="00AB64CF" w:rsidP="00AB64CF">
            <w:pPr>
              <w:pStyle w:val="ListParagraph"/>
              <w:numPr>
                <w:ilvl w:val="0"/>
                <w:numId w:val="28"/>
              </w:numPr>
              <w:tabs>
                <w:tab w:val="left" w:pos="3799"/>
              </w:tabs>
              <w:spacing w:after="0" w:line="240" w:lineRule="auto"/>
              <w:rPr>
                <w:rFonts w:eastAsia="Times New Roman" w:cstheme="minorHAnsi"/>
                <w:color w:val="000000"/>
                <w:lang w:eastAsia="en-AU"/>
              </w:rPr>
            </w:pPr>
            <w:r w:rsidRPr="00B467B0">
              <w:rPr>
                <w:rFonts w:eastAsia="Times New Roman" w:cstheme="minorHAnsi"/>
                <w:color w:val="000000"/>
                <w:lang w:eastAsia="en-AU"/>
              </w:rPr>
              <w:t>Melbourne - Outer East</w:t>
            </w:r>
          </w:p>
        </w:tc>
        <w:tc>
          <w:tcPr>
            <w:tcW w:w="3026" w:type="dxa"/>
            <w:tcBorders>
              <w:top w:val="single" w:sz="6" w:space="0" w:color="000000"/>
              <w:left w:val="single" w:sz="6" w:space="0" w:color="000000"/>
              <w:bottom w:val="single" w:sz="6" w:space="0" w:color="000000"/>
              <w:right w:val="single" w:sz="6" w:space="0" w:color="000000"/>
            </w:tcBorders>
            <w:shd w:val="clear" w:color="auto" w:fill="EEECE1" w:themeFill="background2"/>
            <w:noWrap/>
            <w:hideMark/>
          </w:tcPr>
          <w:p w14:paraId="76B1D1FE" w14:textId="77777777" w:rsidR="00AB64CF" w:rsidRPr="00B467B0" w:rsidRDefault="00AB64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w w:val="100"/>
                <w:kern w:val="0"/>
                <w:lang w:eastAsia="en-AU"/>
              </w:rPr>
            </w:pPr>
            <w:r w:rsidRPr="00B467B0">
              <w:rPr>
                <w:rFonts w:asciiTheme="minorHAnsi" w:eastAsia="Times New Roman" w:hAnsiTheme="minorHAnsi" w:cstheme="minorHAnsi"/>
                <w:color w:val="000000"/>
                <w:w w:val="100"/>
                <w:kern w:val="0"/>
                <w:lang w:eastAsia="en-AU"/>
              </w:rPr>
              <w:t>Metro</w:t>
            </w:r>
          </w:p>
        </w:tc>
        <w:tc>
          <w:tcPr>
            <w:tcW w:w="1410" w:type="dxa"/>
            <w:tcBorders>
              <w:top w:val="single" w:sz="6" w:space="0" w:color="000000"/>
              <w:left w:val="single" w:sz="6" w:space="0" w:color="000000"/>
              <w:bottom w:val="single" w:sz="6" w:space="0" w:color="000000"/>
              <w:right w:val="single" w:sz="4" w:space="0" w:color="auto"/>
            </w:tcBorders>
            <w:shd w:val="clear" w:color="auto" w:fill="EEECE1" w:themeFill="background2"/>
            <w:noWrap/>
            <w:hideMark/>
          </w:tcPr>
          <w:p w14:paraId="1ED1EA72" w14:textId="77777777" w:rsidR="00AB64CF" w:rsidRPr="00B467B0" w:rsidRDefault="00AB64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w w:val="100"/>
                <w:kern w:val="0"/>
                <w:lang w:eastAsia="en-AU"/>
              </w:rPr>
            </w:pPr>
            <w:r w:rsidRPr="00B467B0">
              <w:rPr>
                <w:rFonts w:asciiTheme="minorHAnsi" w:eastAsia="Times New Roman" w:hAnsiTheme="minorHAnsi" w:cstheme="minorHAnsi"/>
                <w:color w:val="000000"/>
                <w:w w:val="100"/>
                <w:kern w:val="0"/>
                <w:lang w:eastAsia="en-AU"/>
              </w:rPr>
              <w:t>VIC</w:t>
            </w:r>
          </w:p>
        </w:tc>
      </w:tr>
      <w:tr w:rsidR="00AB64CF" w14:paraId="0FFFAC16" w14:textId="77777777" w:rsidTr="00AB64CF">
        <w:trPr>
          <w:trHeight w:val="398"/>
        </w:trPr>
        <w:tc>
          <w:tcPr>
            <w:cnfStyle w:val="001000000000" w:firstRow="0" w:lastRow="0" w:firstColumn="1" w:lastColumn="0" w:oddVBand="0" w:evenVBand="0" w:oddHBand="0" w:evenHBand="0" w:firstRowFirstColumn="0" w:firstRowLastColumn="0" w:lastRowFirstColumn="0" w:lastRowLastColumn="0"/>
            <w:tcW w:w="5172" w:type="dxa"/>
            <w:tcBorders>
              <w:top w:val="single" w:sz="6" w:space="0" w:color="000000"/>
              <w:left w:val="single" w:sz="4" w:space="0" w:color="auto"/>
              <w:bottom w:val="single" w:sz="6" w:space="0" w:color="000000"/>
              <w:right w:val="single" w:sz="6" w:space="0" w:color="000000"/>
            </w:tcBorders>
            <w:noWrap/>
            <w:hideMark/>
          </w:tcPr>
          <w:p w14:paraId="2703734F" w14:textId="77777777" w:rsidR="00AB64CF" w:rsidRPr="00B467B0" w:rsidRDefault="00AB64CF" w:rsidP="00AB64CF">
            <w:pPr>
              <w:pStyle w:val="ListParagraph"/>
              <w:numPr>
                <w:ilvl w:val="0"/>
                <w:numId w:val="28"/>
              </w:numPr>
              <w:tabs>
                <w:tab w:val="left" w:pos="3799"/>
              </w:tabs>
              <w:spacing w:after="0" w:line="240" w:lineRule="auto"/>
              <w:rPr>
                <w:rFonts w:eastAsia="Times New Roman" w:cstheme="minorHAnsi"/>
                <w:color w:val="000000"/>
                <w:lang w:eastAsia="en-AU"/>
              </w:rPr>
            </w:pPr>
            <w:r w:rsidRPr="00B467B0">
              <w:rPr>
                <w:rFonts w:eastAsia="Times New Roman" w:cstheme="minorHAnsi"/>
                <w:color w:val="000000"/>
                <w:lang w:eastAsia="en-AU"/>
              </w:rPr>
              <w:t>Adelaide – North</w:t>
            </w:r>
          </w:p>
        </w:tc>
        <w:tc>
          <w:tcPr>
            <w:tcW w:w="3026" w:type="dxa"/>
            <w:tcBorders>
              <w:top w:val="single" w:sz="6" w:space="0" w:color="000000"/>
              <w:left w:val="single" w:sz="6" w:space="0" w:color="000000"/>
              <w:bottom w:val="single" w:sz="6" w:space="0" w:color="000000"/>
              <w:right w:val="single" w:sz="6" w:space="0" w:color="000000"/>
            </w:tcBorders>
            <w:noWrap/>
            <w:hideMark/>
          </w:tcPr>
          <w:p w14:paraId="4A6B555F" w14:textId="77777777" w:rsidR="00AB64CF" w:rsidRPr="00B467B0" w:rsidRDefault="00AB64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w w:val="100"/>
                <w:kern w:val="0"/>
                <w:lang w:eastAsia="en-AU"/>
              </w:rPr>
            </w:pPr>
            <w:r w:rsidRPr="00B467B0">
              <w:rPr>
                <w:rFonts w:asciiTheme="minorHAnsi" w:eastAsia="Times New Roman" w:hAnsiTheme="minorHAnsi" w:cstheme="minorHAnsi"/>
                <w:color w:val="000000"/>
                <w:w w:val="100"/>
                <w:kern w:val="0"/>
                <w:lang w:eastAsia="en-AU"/>
              </w:rPr>
              <w:t>Metro</w:t>
            </w:r>
          </w:p>
        </w:tc>
        <w:tc>
          <w:tcPr>
            <w:tcW w:w="1410" w:type="dxa"/>
            <w:tcBorders>
              <w:top w:val="single" w:sz="6" w:space="0" w:color="000000"/>
              <w:left w:val="single" w:sz="6" w:space="0" w:color="000000"/>
              <w:bottom w:val="single" w:sz="6" w:space="0" w:color="000000"/>
              <w:right w:val="single" w:sz="4" w:space="0" w:color="auto"/>
            </w:tcBorders>
            <w:noWrap/>
            <w:hideMark/>
          </w:tcPr>
          <w:p w14:paraId="12B6F5C8" w14:textId="77777777" w:rsidR="00AB64CF" w:rsidRPr="00B467B0" w:rsidRDefault="00AB64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w w:val="100"/>
                <w:kern w:val="0"/>
                <w:lang w:eastAsia="en-AU"/>
              </w:rPr>
            </w:pPr>
            <w:r w:rsidRPr="00B467B0">
              <w:rPr>
                <w:rFonts w:asciiTheme="minorHAnsi" w:eastAsia="Times New Roman" w:hAnsiTheme="minorHAnsi" w:cstheme="minorHAnsi"/>
                <w:color w:val="000000"/>
                <w:w w:val="100"/>
                <w:kern w:val="0"/>
                <w:lang w:eastAsia="en-AU"/>
              </w:rPr>
              <w:t>SA</w:t>
            </w:r>
          </w:p>
        </w:tc>
      </w:tr>
      <w:tr w:rsidR="00AB64CF" w14:paraId="172D8E71" w14:textId="77777777" w:rsidTr="00B467B0">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172" w:type="dxa"/>
            <w:tcBorders>
              <w:top w:val="single" w:sz="6" w:space="0" w:color="000000"/>
              <w:left w:val="single" w:sz="4" w:space="0" w:color="auto"/>
              <w:bottom w:val="single" w:sz="6" w:space="0" w:color="000000"/>
              <w:right w:val="single" w:sz="6" w:space="0" w:color="000000"/>
            </w:tcBorders>
            <w:shd w:val="clear" w:color="auto" w:fill="EEECE1" w:themeFill="background2"/>
            <w:noWrap/>
            <w:hideMark/>
          </w:tcPr>
          <w:p w14:paraId="5E7984D5" w14:textId="77777777" w:rsidR="00AB64CF" w:rsidRPr="00B467B0" w:rsidRDefault="00AB64CF" w:rsidP="00AB64CF">
            <w:pPr>
              <w:pStyle w:val="ListParagraph"/>
              <w:numPr>
                <w:ilvl w:val="0"/>
                <w:numId w:val="28"/>
              </w:numPr>
              <w:tabs>
                <w:tab w:val="left" w:pos="3799"/>
              </w:tabs>
              <w:spacing w:after="0" w:line="240" w:lineRule="auto"/>
              <w:rPr>
                <w:rFonts w:eastAsia="Times New Roman" w:cstheme="minorHAnsi"/>
                <w:color w:val="000000"/>
                <w:lang w:eastAsia="en-AU"/>
              </w:rPr>
            </w:pPr>
            <w:r w:rsidRPr="00B467B0">
              <w:rPr>
                <w:rFonts w:eastAsia="Times New Roman" w:cstheme="minorHAnsi"/>
                <w:color w:val="000000"/>
                <w:lang w:eastAsia="en-AU"/>
              </w:rPr>
              <w:t>North West</w:t>
            </w:r>
          </w:p>
        </w:tc>
        <w:tc>
          <w:tcPr>
            <w:tcW w:w="3026" w:type="dxa"/>
            <w:tcBorders>
              <w:top w:val="single" w:sz="6" w:space="0" w:color="000000"/>
              <w:left w:val="single" w:sz="6" w:space="0" w:color="000000"/>
              <w:bottom w:val="single" w:sz="6" w:space="0" w:color="000000"/>
              <w:right w:val="single" w:sz="6" w:space="0" w:color="000000"/>
            </w:tcBorders>
            <w:shd w:val="clear" w:color="auto" w:fill="EEECE1" w:themeFill="background2"/>
            <w:noWrap/>
            <w:hideMark/>
          </w:tcPr>
          <w:p w14:paraId="76E9CC19" w14:textId="77777777" w:rsidR="00AB64CF" w:rsidRPr="00B467B0" w:rsidRDefault="00AB64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w w:val="100"/>
                <w:kern w:val="0"/>
                <w:lang w:eastAsia="en-AU"/>
              </w:rPr>
            </w:pPr>
            <w:r w:rsidRPr="00B467B0">
              <w:rPr>
                <w:rFonts w:asciiTheme="minorHAnsi" w:eastAsia="Times New Roman" w:hAnsiTheme="minorHAnsi" w:cstheme="minorHAnsi"/>
                <w:color w:val="000000"/>
                <w:w w:val="100"/>
                <w:kern w:val="0"/>
                <w:lang w:eastAsia="en-AU"/>
              </w:rPr>
              <w:t>Regional</w:t>
            </w:r>
          </w:p>
        </w:tc>
        <w:tc>
          <w:tcPr>
            <w:tcW w:w="1410" w:type="dxa"/>
            <w:tcBorders>
              <w:top w:val="single" w:sz="6" w:space="0" w:color="000000"/>
              <w:left w:val="single" w:sz="6" w:space="0" w:color="000000"/>
              <w:bottom w:val="single" w:sz="6" w:space="0" w:color="000000"/>
              <w:right w:val="single" w:sz="4" w:space="0" w:color="auto"/>
            </w:tcBorders>
            <w:shd w:val="clear" w:color="auto" w:fill="EEECE1" w:themeFill="background2"/>
            <w:noWrap/>
            <w:hideMark/>
          </w:tcPr>
          <w:p w14:paraId="0247CA6E" w14:textId="77777777" w:rsidR="00AB64CF" w:rsidRPr="00B467B0" w:rsidRDefault="00AB64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w w:val="100"/>
                <w:kern w:val="0"/>
                <w:lang w:eastAsia="en-AU"/>
              </w:rPr>
            </w:pPr>
            <w:r w:rsidRPr="00B467B0">
              <w:rPr>
                <w:rFonts w:asciiTheme="minorHAnsi" w:eastAsia="Times New Roman" w:hAnsiTheme="minorHAnsi" w:cstheme="minorHAnsi"/>
                <w:color w:val="000000"/>
                <w:w w:val="100"/>
                <w:kern w:val="0"/>
                <w:lang w:eastAsia="en-AU"/>
              </w:rPr>
              <w:t>VIC</w:t>
            </w:r>
          </w:p>
        </w:tc>
      </w:tr>
      <w:tr w:rsidR="00AB64CF" w14:paraId="7D5B70CE" w14:textId="77777777" w:rsidTr="00AB64CF">
        <w:trPr>
          <w:trHeight w:val="398"/>
        </w:trPr>
        <w:tc>
          <w:tcPr>
            <w:cnfStyle w:val="001000000000" w:firstRow="0" w:lastRow="0" w:firstColumn="1" w:lastColumn="0" w:oddVBand="0" w:evenVBand="0" w:oddHBand="0" w:evenHBand="0" w:firstRowFirstColumn="0" w:firstRowLastColumn="0" w:lastRowFirstColumn="0" w:lastRowLastColumn="0"/>
            <w:tcW w:w="5172" w:type="dxa"/>
            <w:tcBorders>
              <w:top w:val="single" w:sz="6" w:space="0" w:color="000000"/>
              <w:left w:val="single" w:sz="4" w:space="0" w:color="auto"/>
              <w:bottom w:val="single" w:sz="6" w:space="0" w:color="000000"/>
              <w:right w:val="single" w:sz="6" w:space="0" w:color="000000"/>
            </w:tcBorders>
            <w:noWrap/>
            <w:hideMark/>
          </w:tcPr>
          <w:p w14:paraId="49BE4C89" w14:textId="77777777" w:rsidR="00AB64CF" w:rsidRPr="00B467B0" w:rsidRDefault="00AB64CF" w:rsidP="00AB64CF">
            <w:pPr>
              <w:pStyle w:val="ListParagraph"/>
              <w:numPr>
                <w:ilvl w:val="0"/>
                <w:numId w:val="28"/>
              </w:numPr>
              <w:tabs>
                <w:tab w:val="left" w:pos="3799"/>
              </w:tabs>
              <w:spacing w:after="0" w:line="240" w:lineRule="auto"/>
              <w:rPr>
                <w:rFonts w:eastAsia="Times New Roman" w:cstheme="minorHAnsi"/>
                <w:color w:val="000000"/>
                <w:lang w:eastAsia="en-AU"/>
              </w:rPr>
            </w:pPr>
            <w:r w:rsidRPr="00B467B0">
              <w:rPr>
                <w:rFonts w:eastAsia="Times New Roman" w:cstheme="minorHAnsi"/>
                <w:color w:val="000000"/>
                <w:lang w:eastAsia="en-AU"/>
              </w:rPr>
              <w:t>Gold Coast</w:t>
            </w:r>
          </w:p>
        </w:tc>
        <w:tc>
          <w:tcPr>
            <w:tcW w:w="3026" w:type="dxa"/>
            <w:tcBorders>
              <w:top w:val="single" w:sz="6" w:space="0" w:color="000000"/>
              <w:left w:val="single" w:sz="6" w:space="0" w:color="000000"/>
              <w:bottom w:val="single" w:sz="6" w:space="0" w:color="000000"/>
              <w:right w:val="single" w:sz="6" w:space="0" w:color="000000"/>
            </w:tcBorders>
            <w:noWrap/>
            <w:hideMark/>
          </w:tcPr>
          <w:p w14:paraId="248AF931" w14:textId="77777777" w:rsidR="00AB64CF" w:rsidRPr="00B467B0" w:rsidRDefault="00AB64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w w:val="100"/>
                <w:kern w:val="0"/>
                <w:lang w:eastAsia="en-AU"/>
              </w:rPr>
            </w:pPr>
            <w:r w:rsidRPr="00B467B0">
              <w:rPr>
                <w:rFonts w:asciiTheme="minorHAnsi" w:eastAsia="Times New Roman" w:hAnsiTheme="minorHAnsi" w:cstheme="minorHAnsi"/>
                <w:color w:val="000000"/>
                <w:w w:val="100"/>
                <w:kern w:val="0"/>
                <w:lang w:eastAsia="en-AU"/>
              </w:rPr>
              <w:t>Metro</w:t>
            </w:r>
          </w:p>
        </w:tc>
        <w:tc>
          <w:tcPr>
            <w:tcW w:w="1410" w:type="dxa"/>
            <w:tcBorders>
              <w:top w:val="single" w:sz="6" w:space="0" w:color="000000"/>
              <w:left w:val="single" w:sz="6" w:space="0" w:color="000000"/>
              <w:bottom w:val="single" w:sz="6" w:space="0" w:color="000000"/>
              <w:right w:val="single" w:sz="4" w:space="0" w:color="auto"/>
            </w:tcBorders>
            <w:noWrap/>
            <w:hideMark/>
          </w:tcPr>
          <w:p w14:paraId="028682FA" w14:textId="77777777" w:rsidR="00AB64CF" w:rsidRPr="00B467B0" w:rsidRDefault="00AB64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w w:val="100"/>
                <w:kern w:val="0"/>
                <w:lang w:eastAsia="en-AU"/>
              </w:rPr>
            </w:pPr>
            <w:r w:rsidRPr="00B467B0">
              <w:rPr>
                <w:rFonts w:asciiTheme="minorHAnsi" w:eastAsia="Times New Roman" w:hAnsiTheme="minorHAnsi" w:cstheme="minorHAnsi"/>
                <w:color w:val="000000"/>
                <w:w w:val="100"/>
                <w:kern w:val="0"/>
                <w:lang w:eastAsia="en-AU"/>
              </w:rPr>
              <w:t>QLD</w:t>
            </w:r>
          </w:p>
        </w:tc>
      </w:tr>
      <w:tr w:rsidR="00AB64CF" w14:paraId="1E293FF4" w14:textId="77777777" w:rsidTr="00B467B0">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172" w:type="dxa"/>
            <w:tcBorders>
              <w:top w:val="single" w:sz="6" w:space="0" w:color="000000"/>
              <w:left w:val="single" w:sz="4" w:space="0" w:color="auto"/>
              <w:bottom w:val="single" w:sz="6" w:space="0" w:color="000000"/>
              <w:right w:val="single" w:sz="6" w:space="0" w:color="000000"/>
            </w:tcBorders>
            <w:shd w:val="clear" w:color="auto" w:fill="EEECE1" w:themeFill="background2"/>
            <w:noWrap/>
            <w:hideMark/>
          </w:tcPr>
          <w:p w14:paraId="380393B0" w14:textId="77777777" w:rsidR="00AB64CF" w:rsidRPr="00B467B0" w:rsidRDefault="00AB64CF" w:rsidP="00AB64CF">
            <w:pPr>
              <w:pStyle w:val="ListParagraph"/>
              <w:numPr>
                <w:ilvl w:val="0"/>
                <w:numId w:val="28"/>
              </w:numPr>
              <w:tabs>
                <w:tab w:val="left" w:pos="3799"/>
              </w:tabs>
              <w:spacing w:after="0" w:line="240" w:lineRule="auto"/>
              <w:rPr>
                <w:rFonts w:eastAsia="Times New Roman" w:cstheme="minorHAnsi"/>
                <w:color w:val="000000"/>
                <w:lang w:eastAsia="en-AU"/>
              </w:rPr>
            </w:pPr>
            <w:r w:rsidRPr="00B467B0">
              <w:rPr>
                <w:rFonts w:eastAsia="Times New Roman" w:cstheme="minorHAnsi"/>
                <w:color w:val="000000"/>
                <w:lang w:eastAsia="en-AU"/>
              </w:rPr>
              <w:t>Far West and Orana</w:t>
            </w:r>
          </w:p>
        </w:tc>
        <w:tc>
          <w:tcPr>
            <w:tcW w:w="3026" w:type="dxa"/>
            <w:tcBorders>
              <w:top w:val="single" w:sz="6" w:space="0" w:color="000000"/>
              <w:left w:val="single" w:sz="6" w:space="0" w:color="000000"/>
              <w:bottom w:val="single" w:sz="6" w:space="0" w:color="000000"/>
              <w:right w:val="single" w:sz="6" w:space="0" w:color="000000"/>
            </w:tcBorders>
            <w:shd w:val="clear" w:color="auto" w:fill="EEECE1" w:themeFill="background2"/>
            <w:noWrap/>
            <w:hideMark/>
          </w:tcPr>
          <w:p w14:paraId="7C459349" w14:textId="77777777" w:rsidR="00AB64CF" w:rsidRPr="00B467B0" w:rsidRDefault="00AB64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w w:val="100"/>
                <w:kern w:val="0"/>
                <w:lang w:eastAsia="en-AU"/>
              </w:rPr>
            </w:pPr>
            <w:r w:rsidRPr="00B467B0">
              <w:rPr>
                <w:rFonts w:asciiTheme="minorHAnsi" w:eastAsia="Times New Roman" w:hAnsiTheme="minorHAnsi" w:cstheme="minorHAnsi"/>
                <w:color w:val="000000"/>
                <w:w w:val="100"/>
                <w:kern w:val="0"/>
                <w:lang w:eastAsia="en-AU"/>
              </w:rPr>
              <w:t>Remote</w:t>
            </w:r>
          </w:p>
        </w:tc>
        <w:tc>
          <w:tcPr>
            <w:tcW w:w="1410" w:type="dxa"/>
            <w:tcBorders>
              <w:top w:val="single" w:sz="6" w:space="0" w:color="000000"/>
              <w:left w:val="single" w:sz="6" w:space="0" w:color="000000"/>
              <w:bottom w:val="single" w:sz="6" w:space="0" w:color="000000"/>
              <w:right w:val="single" w:sz="4" w:space="0" w:color="auto"/>
            </w:tcBorders>
            <w:shd w:val="clear" w:color="auto" w:fill="EEECE1" w:themeFill="background2"/>
            <w:noWrap/>
            <w:hideMark/>
          </w:tcPr>
          <w:p w14:paraId="14305B3F" w14:textId="77777777" w:rsidR="00AB64CF" w:rsidRPr="00B467B0" w:rsidRDefault="00AB64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w w:val="100"/>
                <w:kern w:val="0"/>
                <w:lang w:eastAsia="en-AU"/>
              </w:rPr>
            </w:pPr>
            <w:r w:rsidRPr="00B467B0">
              <w:rPr>
                <w:rFonts w:asciiTheme="minorHAnsi" w:eastAsia="Times New Roman" w:hAnsiTheme="minorHAnsi" w:cstheme="minorHAnsi"/>
                <w:color w:val="000000"/>
                <w:w w:val="100"/>
                <w:kern w:val="0"/>
                <w:lang w:eastAsia="en-AU"/>
              </w:rPr>
              <w:t>NSW</w:t>
            </w:r>
          </w:p>
        </w:tc>
      </w:tr>
      <w:tr w:rsidR="00AB64CF" w14:paraId="7F4EFE9D" w14:textId="77777777" w:rsidTr="00AB64CF">
        <w:trPr>
          <w:trHeight w:val="398"/>
        </w:trPr>
        <w:tc>
          <w:tcPr>
            <w:cnfStyle w:val="001000000000" w:firstRow="0" w:lastRow="0" w:firstColumn="1" w:lastColumn="0" w:oddVBand="0" w:evenVBand="0" w:oddHBand="0" w:evenHBand="0" w:firstRowFirstColumn="0" w:firstRowLastColumn="0" w:lastRowFirstColumn="0" w:lastRowLastColumn="0"/>
            <w:tcW w:w="5172" w:type="dxa"/>
            <w:tcBorders>
              <w:top w:val="single" w:sz="6" w:space="0" w:color="000000"/>
              <w:left w:val="single" w:sz="4" w:space="0" w:color="auto"/>
              <w:bottom w:val="single" w:sz="6" w:space="0" w:color="000000"/>
              <w:right w:val="single" w:sz="6" w:space="0" w:color="000000"/>
            </w:tcBorders>
            <w:noWrap/>
            <w:hideMark/>
          </w:tcPr>
          <w:p w14:paraId="2F8732BB" w14:textId="77777777" w:rsidR="00AB64CF" w:rsidRPr="00B467B0" w:rsidRDefault="00AB64CF" w:rsidP="00AB64CF">
            <w:pPr>
              <w:pStyle w:val="ListParagraph"/>
              <w:numPr>
                <w:ilvl w:val="0"/>
                <w:numId w:val="28"/>
              </w:numPr>
              <w:tabs>
                <w:tab w:val="left" w:pos="3799"/>
              </w:tabs>
              <w:spacing w:after="0" w:line="240" w:lineRule="auto"/>
              <w:rPr>
                <w:rFonts w:eastAsia="Times New Roman" w:cstheme="minorHAnsi"/>
                <w:color w:val="000000"/>
                <w:lang w:eastAsia="en-AU"/>
              </w:rPr>
            </w:pPr>
            <w:r w:rsidRPr="00B467B0">
              <w:rPr>
                <w:rFonts w:eastAsia="Times New Roman" w:cstheme="minorHAnsi"/>
                <w:color w:val="000000"/>
                <w:lang w:eastAsia="en-AU"/>
              </w:rPr>
              <w:t>Perth - North East</w:t>
            </w:r>
          </w:p>
        </w:tc>
        <w:tc>
          <w:tcPr>
            <w:tcW w:w="3026" w:type="dxa"/>
            <w:tcBorders>
              <w:top w:val="single" w:sz="6" w:space="0" w:color="000000"/>
              <w:left w:val="single" w:sz="6" w:space="0" w:color="000000"/>
              <w:bottom w:val="single" w:sz="6" w:space="0" w:color="000000"/>
              <w:right w:val="single" w:sz="6" w:space="0" w:color="000000"/>
            </w:tcBorders>
            <w:noWrap/>
            <w:hideMark/>
          </w:tcPr>
          <w:p w14:paraId="70B20786" w14:textId="77777777" w:rsidR="00AB64CF" w:rsidRPr="00B467B0" w:rsidRDefault="00AB64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w w:val="100"/>
                <w:kern w:val="0"/>
                <w:lang w:eastAsia="en-AU"/>
              </w:rPr>
            </w:pPr>
            <w:r w:rsidRPr="00B467B0">
              <w:rPr>
                <w:rFonts w:asciiTheme="minorHAnsi" w:eastAsia="Times New Roman" w:hAnsiTheme="minorHAnsi" w:cstheme="minorHAnsi"/>
                <w:color w:val="000000"/>
                <w:w w:val="100"/>
                <w:kern w:val="0"/>
                <w:lang w:eastAsia="en-AU"/>
              </w:rPr>
              <w:t>Metro</w:t>
            </w:r>
          </w:p>
        </w:tc>
        <w:tc>
          <w:tcPr>
            <w:tcW w:w="1410" w:type="dxa"/>
            <w:tcBorders>
              <w:top w:val="single" w:sz="6" w:space="0" w:color="000000"/>
              <w:left w:val="single" w:sz="6" w:space="0" w:color="000000"/>
              <w:bottom w:val="single" w:sz="6" w:space="0" w:color="000000"/>
              <w:right w:val="single" w:sz="4" w:space="0" w:color="auto"/>
            </w:tcBorders>
            <w:noWrap/>
            <w:hideMark/>
          </w:tcPr>
          <w:p w14:paraId="78D7867A" w14:textId="77777777" w:rsidR="00AB64CF" w:rsidRPr="00B467B0" w:rsidRDefault="00AB64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w w:val="100"/>
                <w:kern w:val="0"/>
                <w:lang w:eastAsia="en-AU"/>
              </w:rPr>
            </w:pPr>
            <w:r w:rsidRPr="00B467B0">
              <w:rPr>
                <w:rFonts w:asciiTheme="minorHAnsi" w:eastAsia="Times New Roman" w:hAnsiTheme="minorHAnsi" w:cstheme="minorHAnsi"/>
                <w:color w:val="000000"/>
                <w:w w:val="100"/>
                <w:kern w:val="0"/>
                <w:lang w:eastAsia="en-AU"/>
              </w:rPr>
              <w:t>WA</w:t>
            </w:r>
          </w:p>
        </w:tc>
      </w:tr>
      <w:tr w:rsidR="00AB64CF" w14:paraId="3629120B" w14:textId="77777777" w:rsidTr="00B467B0">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172" w:type="dxa"/>
            <w:tcBorders>
              <w:top w:val="single" w:sz="6" w:space="0" w:color="000000"/>
              <w:left w:val="single" w:sz="4" w:space="0" w:color="auto"/>
              <w:bottom w:val="single" w:sz="6" w:space="0" w:color="000000"/>
              <w:right w:val="single" w:sz="6" w:space="0" w:color="000000"/>
            </w:tcBorders>
            <w:shd w:val="clear" w:color="auto" w:fill="EEECE1" w:themeFill="background2"/>
            <w:noWrap/>
            <w:hideMark/>
          </w:tcPr>
          <w:p w14:paraId="148AB676" w14:textId="77777777" w:rsidR="00AB64CF" w:rsidRPr="00B467B0" w:rsidRDefault="00AB64CF" w:rsidP="00AB64CF">
            <w:pPr>
              <w:pStyle w:val="ListParagraph"/>
              <w:numPr>
                <w:ilvl w:val="0"/>
                <w:numId w:val="28"/>
              </w:numPr>
              <w:tabs>
                <w:tab w:val="left" w:pos="3799"/>
              </w:tabs>
              <w:spacing w:after="0" w:line="240" w:lineRule="auto"/>
              <w:rPr>
                <w:rFonts w:eastAsia="Times New Roman" w:cstheme="minorHAnsi"/>
                <w:color w:val="000000"/>
                <w:lang w:eastAsia="en-AU"/>
              </w:rPr>
            </w:pPr>
            <w:r w:rsidRPr="00B467B0">
              <w:rPr>
                <w:rFonts w:eastAsia="Times New Roman" w:cstheme="minorHAnsi"/>
                <w:color w:val="000000"/>
                <w:lang w:eastAsia="en-AU"/>
              </w:rPr>
              <w:t>Hume</w:t>
            </w:r>
          </w:p>
        </w:tc>
        <w:tc>
          <w:tcPr>
            <w:tcW w:w="3026" w:type="dxa"/>
            <w:tcBorders>
              <w:top w:val="single" w:sz="6" w:space="0" w:color="000000"/>
              <w:left w:val="single" w:sz="6" w:space="0" w:color="000000"/>
              <w:bottom w:val="single" w:sz="6" w:space="0" w:color="000000"/>
              <w:right w:val="single" w:sz="6" w:space="0" w:color="000000"/>
            </w:tcBorders>
            <w:shd w:val="clear" w:color="auto" w:fill="EEECE1" w:themeFill="background2"/>
            <w:noWrap/>
            <w:hideMark/>
          </w:tcPr>
          <w:p w14:paraId="28869639" w14:textId="77777777" w:rsidR="00AB64CF" w:rsidRPr="00B467B0" w:rsidRDefault="00AB64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w w:val="100"/>
                <w:kern w:val="0"/>
                <w:lang w:eastAsia="en-AU"/>
              </w:rPr>
            </w:pPr>
            <w:r w:rsidRPr="00B467B0">
              <w:rPr>
                <w:rFonts w:asciiTheme="minorHAnsi" w:eastAsia="Times New Roman" w:hAnsiTheme="minorHAnsi" w:cstheme="minorHAnsi"/>
                <w:color w:val="000000"/>
                <w:w w:val="100"/>
                <w:kern w:val="0"/>
                <w:lang w:eastAsia="en-AU"/>
              </w:rPr>
              <w:t>Regional</w:t>
            </w:r>
          </w:p>
        </w:tc>
        <w:tc>
          <w:tcPr>
            <w:tcW w:w="1410" w:type="dxa"/>
            <w:tcBorders>
              <w:top w:val="single" w:sz="6" w:space="0" w:color="000000"/>
              <w:left w:val="single" w:sz="6" w:space="0" w:color="000000"/>
              <w:bottom w:val="single" w:sz="6" w:space="0" w:color="000000"/>
              <w:right w:val="single" w:sz="4" w:space="0" w:color="auto"/>
            </w:tcBorders>
            <w:shd w:val="clear" w:color="auto" w:fill="EEECE1" w:themeFill="background2"/>
            <w:noWrap/>
            <w:hideMark/>
          </w:tcPr>
          <w:p w14:paraId="4E3DDBE0" w14:textId="77777777" w:rsidR="00AB64CF" w:rsidRPr="00B467B0" w:rsidRDefault="00AB64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w w:val="100"/>
                <w:kern w:val="0"/>
                <w:lang w:eastAsia="en-AU"/>
              </w:rPr>
            </w:pPr>
            <w:r w:rsidRPr="00B467B0">
              <w:rPr>
                <w:rFonts w:asciiTheme="minorHAnsi" w:eastAsia="Times New Roman" w:hAnsiTheme="minorHAnsi" w:cstheme="minorHAnsi"/>
                <w:color w:val="000000"/>
                <w:w w:val="100"/>
                <w:kern w:val="0"/>
                <w:lang w:eastAsia="en-AU"/>
              </w:rPr>
              <w:t>VIC</w:t>
            </w:r>
          </w:p>
        </w:tc>
      </w:tr>
      <w:tr w:rsidR="00AB64CF" w14:paraId="1AA03DF2" w14:textId="77777777" w:rsidTr="00AB64CF">
        <w:trPr>
          <w:trHeight w:val="398"/>
        </w:trPr>
        <w:tc>
          <w:tcPr>
            <w:cnfStyle w:val="001000000000" w:firstRow="0" w:lastRow="0" w:firstColumn="1" w:lastColumn="0" w:oddVBand="0" w:evenVBand="0" w:oddHBand="0" w:evenHBand="0" w:firstRowFirstColumn="0" w:firstRowLastColumn="0" w:lastRowFirstColumn="0" w:lastRowLastColumn="0"/>
            <w:tcW w:w="5172" w:type="dxa"/>
            <w:tcBorders>
              <w:top w:val="single" w:sz="6" w:space="0" w:color="000000"/>
              <w:left w:val="single" w:sz="4" w:space="0" w:color="auto"/>
              <w:bottom w:val="single" w:sz="6" w:space="0" w:color="000000"/>
              <w:right w:val="single" w:sz="6" w:space="0" w:color="000000"/>
            </w:tcBorders>
            <w:noWrap/>
            <w:hideMark/>
          </w:tcPr>
          <w:p w14:paraId="60A5F886" w14:textId="77777777" w:rsidR="00AB64CF" w:rsidRPr="00B467B0" w:rsidRDefault="00AB64CF" w:rsidP="00AB64CF">
            <w:pPr>
              <w:pStyle w:val="ListParagraph"/>
              <w:numPr>
                <w:ilvl w:val="0"/>
                <w:numId w:val="28"/>
              </w:numPr>
              <w:tabs>
                <w:tab w:val="left" w:pos="3799"/>
              </w:tabs>
              <w:spacing w:after="0" w:line="240" w:lineRule="auto"/>
              <w:rPr>
                <w:rFonts w:eastAsia="Times New Roman" w:cstheme="minorHAnsi"/>
                <w:color w:val="000000"/>
                <w:lang w:eastAsia="en-AU"/>
              </w:rPr>
            </w:pPr>
            <w:r w:rsidRPr="00B467B0">
              <w:rPr>
                <w:rFonts w:eastAsia="Times New Roman" w:cstheme="minorHAnsi"/>
                <w:color w:val="000000"/>
                <w:lang w:eastAsia="en-AU"/>
              </w:rPr>
              <w:t>Barossa - Yorke - Mid North</w:t>
            </w:r>
          </w:p>
        </w:tc>
        <w:tc>
          <w:tcPr>
            <w:tcW w:w="3026" w:type="dxa"/>
            <w:tcBorders>
              <w:top w:val="single" w:sz="6" w:space="0" w:color="000000"/>
              <w:left w:val="single" w:sz="6" w:space="0" w:color="000000"/>
              <w:bottom w:val="single" w:sz="6" w:space="0" w:color="000000"/>
              <w:right w:val="single" w:sz="6" w:space="0" w:color="000000"/>
            </w:tcBorders>
            <w:noWrap/>
            <w:hideMark/>
          </w:tcPr>
          <w:p w14:paraId="5A3C2649" w14:textId="77777777" w:rsidR="00AB64CF" w:rsidRPr="00B467B0" w:rsidRDefault="00AB64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w w:val="100"/>
                <w:kern w:val="0"/>
                <w:lang w:eastAsia="en-AU"/>
              </w:rPr>
            </w:pPr>
            <w:r w:rsidRPr="00B467B0">
              <w:rPr>
                <w:rFonts w:asciiTheme="minorHAnsi" w:eastAsia="Times New Roman" w:hAnsiTheme="minorHAnsi" w:cstheme="minorHAnsi"/>
                <w:color w:val="000000"/>
                <w:w w:val="100"/>
                <w:kern w:val="0"/>
                <w:lang w:eastAsia="en-AU"/>
              </w:rPr>
              <w:t>Regional</w:t>
            </w:r>
          </w:p>
        </w:tc>
        <w:tc>
          <w:tcPr>
            <w:tcW w:w="1410" w:type="dxa"/>
            <w:tcBorders>
              <w:top w:val="single" w:sz="6" w:space="0" w:color="000000"/>
              <w:left w:val="single" w:sz="6" w:space="0" w:color="000000"/>
              <w:bottom w:val="single" w:sz="6" w:space="0" w:color="000000"/>
              <w:right w:val="single" w:sz="4" w:space="0" w:color="auto"/>
            </w:tcBorders>
            <w:noWrap/>
            <w:hideMark/>
          </w:tcPr>
          <w:p w14:paraId="5095B727" w14:textId="77777777" w:rsidR="00AB64CF" w:rsidRPr="00B467B0" w:rsidRDefault="00AB64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w w:val="100"/>
                <w:kern w:val="0"/>
                <w:lang w:eastAsia="en-AU"/>
              </w:rPr>
            </w:pPr>
            <w:r w:rsidRPr="00B467B0">
              <w:rPr>
                <w:rFonts w:asciiTheme="minorHAnsi" w:eastAsia="Times New Roman" w:hAnsiTheme="minorHAnsi" w:cstheme="minorHAnsi"/>
                <w:color w:val="000000"/>
                <w:w w:val="100"/>
                <w:kern w:val="0"/>
                <w:lang w:eastAsia="en-AU"/>
              </w:rPr>
              <w:t>SA</w:t>
            </w:r>
          </w:p>
        </w:tc>
      </w:tr>
      <w:tr w:rsidR="00AB64CF" w14:paraId="7A72FCDF" w14:textId="77777777" w:rsidTr="00B467B0">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172" w:type="dxa"/>
            <w:tcBorders>
              <w:top w:val="single" w:sz="6" w:space="0" w:color="000000"/>
              <w:left w:val="single" w:sz="4" w:space="0" w:color="auto"/>
              <w:bottom w:val="single" w:sz="6" w:space="0" w:color="000000"/>
              <w:right w:val="single" w:sz="6" w:space="0" w:color="000000"/>
            </w:tcBorders>
            <w:shd w:val="clear" w:color="auto" w:fill="EEECE1" w:themeFill="background2"/>
            <w:noWrap/>
            <w:hideMark/>
          </w:tcPr>
          <w:p w14:paraId="10751A2D" w14:textId="77777777" w:rsidR="00AB64CF" w:rsidRPr="00B467B0" w:rsidRDefault="00AB64CF" w:rsidP="00AB64CF">
            <w:pPr>
              <w:pStyle w:val="ListParagraph"/>
              <w:numPr>
                <w:ilvl w:val="0"/>
                <w:numId w:val="28"/>
              </w:numPr>
              <w:tabs>
                <w:tab w:val="left" w:pos="3799"/>
              </w:tabs>
              <w:spacing w:after="0" w:line="240" w:lineRule="auto"/>
              <w:rPr>
                <w:rFonts w:eastAsia="Times New Roman" w:cstheme="minorHAnsi"/>
                <w:color w:val="000000"/>
                <w:lang w:eastAsia="en-AU"/>
              </w:rPr>
            </w:pPr>
            <w:r w:rsidRPr="00B467B0">
              <w:rPr>
                <w:rFonts w:eastAsia="Times New Roman" w:cstheme="minorHAnsi"/>
                <w:color w:val="000000"/>
                <w:lang w:eastAsia="en-AU"/>
              </w:rPr>
              <w:t>Latrobe - Gippsland</w:t>
            </w:r>
          </w:p>
        </w:tc>
        <w:tc>
          <w:tcPr>
            <w:tcW w:w="3026" w:type="dxa"/>
            <w:tcBorders>
              <w:top w:val="single" w:sz="6" w:space="0" w:color="000000"/>
              <w:left w:val="single" w:sz="6" w:space="0" w:color="000000"/>
              <w:bottom w:val="single" w:sz="6" w:space="0" w:color="000000"/>
              <w:right w:val="single" w:sz="6" w:space="0" w:color="000000"/>
            </w:tcBorders>
            <w:shd w:val="clear" w:color="auto" w:fill="EEECE1" w:themeFill="background2"/>
            <w:noWrap/>
            <w:hideMark/>
          </w:tcPr>
          <w:p w14:paraId="7779D8BB" w14:textId="77777777" w:rsidR="00AB64CF" w:rsidRPr="00B467B0" w:rsidRDefault="00AB64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w w:val="100"/>
                <w:kern w:val="0"/>
                <w:lang w:eastAsia="en-AU"/>
              </w:rPr>
            </w:pPr>
            <w:r w:rsidRPr="00B467B0">
              <w:rPr>
                <w:rFonts w:asciiTheme="minorHAnsi" w:eastAsia="Times New Roman" w:hAnsiTheme="minorHAnsi" w:cstheme="minorHAnsi"/>
                <w:color w:val="000000"/>
                <w:w w:val="100"/>
                <w:kern w:val="0"/>
                <w:lang w:eastAsia="en-AU"/>
              </w:rPr>
              <w:t>Regional</w:t>
            </w:r>
          </w:p>
        </w:tc>
        <w:tc>
          <w:tcPr>
            <w:tcW w:w="1410" w:type="dxa"/>
            <w:tcBorders>
              <w:top w:val="single" w:sz="6" w:space="0" w:color="000000"/>
              <w:left w:val="single" w:sz="6" w:space="0" w:color="000000"/>
              <w:bottom w:val="single" w:sz="6" w:space="0" w:color="000000"/>
              <w:right w:val="single" w:sz="4" w:space="0" w:color="auto"/>
            </w:tcBorders>
            <w:shd w:val="clear" w:color="auto" w:fill="EEECE1" w:themeFill="background2"/>
            <w:noWrap/>
            <w:hideMark/>
          </w:tcPr>
          <w:p w14:paraId="187C7A78" w14:textId="77777777" w:rsidR="00AB64CF" w:rsidRPr="00B467B0" w:rsidRDefault="00AB64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w w:val="100"/>
                <w:kern w:val="0"/>
                <w:lang w:eastAsia="en-AU"/>
              </w:rPr>
            </w:pPr>
            <w:r w:rsidRPr="00B467B0">
              <w:rPr>
                <w:rFonts w:asciiTheme="minorHAnsi" w:eastAsia="Times New Roman" w:hAnsiTheme="minorHAnsi" w:cstheme="minorHAnsi"/>
                <w:color w:val="000000"/>
                <w:w w:val="100"/>
                <w:kern w:val="0"/>
                <w:lang w:eastAsia="en-AU"/>
              </w:rPr>
              <w:t>VIC</w:t>
            </w:r>
          </w:p>
        </w:tc>
      </w:tr>
      <w:tr w:rsidR="00AB64CF" w14:paraId="22442383" w14:textId="77777777" w:rsidTr="00AB64CF">
        <w:trPr>
          <w:trHeight w:val="398"/>
        </w:trPr>
        <w:tc>
          <w:tcPr>
            <w:cnfStyle w:val="001000000000" w:firstRow="0" w:lastRow="0" w:firstColumn="1" w:lastColumn="0" w:oddVBand="0" w:evenVBand="0" w:oddHBand="0" w:evenHBand="0" w:firstRowFirstColumn="0" w:firstRowLastColumn="0" w:lastRowFirstColumn="0" w:lastRowLastColumn="0"/>
            <w:tcW w:w="5172" w:type="dxa"/>
            <w:tcBorders>
              <w:top w:val="single" w:sz="6" w:space="0" w:color="000000"/>
              <w:left w:val="single" w:sz="4" w:space="0" w:color="auto"/>
              <w:bottom w:val="single" w:sz="6" w:space="0" w:color="000000"/>
              <w:right w:val="single" w:sz="6" w:space="0" w:color="000000"/>
            </w:tcBorders>
            <w:noWrap/>
            <w:hideMark/>
          </w:tcPr>
          <w:p w14:paraId="285BE874" w14:textId="77777777" w:rsidR="00AB64CF" w:rsidRPr="00B467B0" w:rsidRDefault="00AB64CF" w:rsidP="00AB64CF">
            <w:pPr>
              <w:pStyle w:val="ListParagraph"/>
              <w:numPr>
                <w:ilvl w:val="0"/>
                <w:numId w:val="28"/>
              </w:numPr>
              <w:tabs>
                <w:tab w:val="left" w:pos="3799"/>
              </w:tabs>
              <w:spacing w:after="0" w:line="240" w:lineRule="auto"/>
              <w:rPr>
                <w:rFonts w:eastAsia="Times New Roman" w:cstheme="minorHAnsi"/>
                <w:color w:val="000000"/>
                <w:lang w:eastAsia="en-AU"/>
              </w:rPr>
            </w:pPr>
            <w:r w:rsidRPr="00B467B0">
              <w:rPr>
                <w:rFonts w:eastAsia="Times New Roman" w:cstheme="minorHAnsi"/>
                <w:color w:val="000000"/>
                <w:lang w:eastAsia="en-AU"/>
              </w:rPr>
              <w:t>Cairns</w:t>
            </w:r>
          </w:p>
        </w:tc>
        <w:tc>
          <w:tcPr>
            <w:tcW w:w="3026" w:type="dxa"/>
            <w:tcBorders>
              <w:top w:val="single" w:sz="6" w:space="0" w:color="000000"/>
              <w:left w:val="single" w:sz="6" w:space="0" w:color="000000"/>
              <w:bottom w:val="single" w:sz="6" w:space="0" w:color="000000"/>
              <w:right w:val="single" w:sz="6" w:space="0" w:color="000000"/>
            </w:tcBorders>
            <w:noWrap/>
            <w:hideMark/>
          </w:tcPr>
          <w:p w14:paraId="68F18447" w14:textId="77777777" w:rsidR="00AB64CF" w:rsidRPr="00B467B0" w:rsidRDefault="00AB64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w w:val="100"/>
                <w:kern w:val="0"/>
                <w:lang w:eastAsia="en-AU"/>
              </w:rPr>
            </w:pPr>
            <w:r w:rsidRPr="00B467B0">
              <w:rPr>
                <w:rFonts w:asciiTheme="minorHAnsi" w:eastAsia="Times New Roman" w:hAnsiTheme="minorHAnsi" w:cstheme="minorHAnsi"/>
                <w:color w:val="000000"/>
                <w:w w:val="100"/>
                <w:kern w:val="0"/>
                <w:lang w:eastAsia="en-AU"/>
              </w:rPr>
              <w:t>Regional</w:t>
            </w:r>
          </w:p>
        </w:tc>
        <w:tc>
          <w:tcPr>
            <w:tcW w:w="1410" w:type="dxa"/>
            <w:tcBorders>
              <w:top w:val="single" w:sz="6" w:space="0" w:color="000000"/>
              <w:left w:val="single" w:sz="6" w:space="0" w:color="000000"/>
              <w:bottom w:val="single" w:sz="6" w:space="0" w:color="000000"/>
              <w:right w:val="single" w:sz="4" w:space="0" w:color="auto"/>
            </w:tcBorders>
            <w:noWrap/>
            <w:hideMark/>
          </w:tcPr>
          <w:p w14:paraId="146C8557" w14:textId="77777777" w:rsidR="00AB64CF" w:rsidRPr="00B467B0" w:rsidRDefault="00AB64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w w:val="100"/>
                <w:kern w:val="0"/>
                <w:lang w:eastAsia="en-AU"/>
              </w:rPr>
            </w:pPr>
            <w:r w:rsidRPr="00B467B0">
              <w:rPr>
                <w:rFonts w:asciiTheme="minorHAnsi" w:eastAsia="Times New Roman" w:hAnsiTheme="minorHAnsi" w:cstheme="minorHAnsi"/>
                <w:color w:val="000000"/>
                <w:w w:val="100"/>
                <w:kern w:val="0"/>
                <w:lang w:eastAsia="en-AU"/>
              </w:rPr>
              <w:t>QLD</w:t>
            </w:r>
          </w:p>
        </w:tc>
      </w:tr>
      <w:tr w:rsidR="00AB64CF" w14:paraId="285EDC60" w14:textId="77777777" w:rsidTr="00B467B0">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172" w:type="dxa"/>
            <w:tcBorders>
              <w:top w:val="single" w:sz="6" w:space="0" w:color="000000"/>
              <w:left w:val="single" w:sz="4" w:space="0" w:color="auto"/>
              <w:bottom w:val="single" w:sz="6" w:space="0" w:color="000000"/>
              <w:right w:val="single" w:sz="6" w:space="0" w:color="000000"/>
            </w:tcBorders>
            <w:shd w:val="clear" w:color="auto" w:fill="EEECE1" w:themeFill="background2"/>
            <w:noWrap/>
            <w:hideMark/>
          </w:tcPr>
          <w:p w14:paraId="2B132851" w14:textId="77777777" w:rsidR="00AB64CF" w:rsidRPr="00B467B0" w:rsidRDefault="00AB64CF" w:rsidP="00AB64CF">
            <w:pPr>
              <w:pStyle w:val="ListParagraph"/>
              <w:numPr>
                <w:ilvl w:val="0"/>
                <w:numId w:val="28"/>
              </w:numPr>
              <w:tabs>
                <w:tab w:val="left" w:pos="3799"/>
              </w:tabs>
              <w:spacing w:after="0" w:line="240" w:lineRule="auto"/>
              <w:rPr>
                <w:rFonts w:eastAsia="Times New Roman" w:cstheme="minorHAnsi"/>
                <w:color w:val="000000"/>
                <w:lang w:eastAsia="en-AU"/>
              </w:rPr>
            </w:pPr>
            <w:r w:rsidRPr="00B467B0">
              <w:rPr>
                <w:rFonts w:eastAsia="Times New Roman" w:cstheme="minorHAnsi"/>
                <w:color w:val="000000"/>
                <w:lang w:eastAsia="en-AU"/>
              </w:rPr>
              <w:t>Sydney - North Sydney and Hornsby</w:t>
            </w:r>
          </w:p>
        </w:tc>
        <w:tc>
          <w:tcPr>
            <w:tcW w:w="3026" w:type="dxa"/>
            <w:tcBorders>
              <w:top w:val="single" w:sz="6" w:space="0" w:color="000000"/>
              <w:left w:val="single" w:sz="6" w:space="0" w:color="000000"/>
              <w:bottom w:val="single" w:sz="6" w:space="0" w:color="000000"/>
              <w:right w:val="single" w:sz="6" w:space="0" w:color="000000"/>
            </w:tcBorders>
            <w:shd w:val="clear" w:color="auto" w:fill="EEECE1" w:themeFill="background2"/>
            <w:noWrap/>
            <w:hideMark/>
          </w:tcPr>
          <w:p w14:paraId="18FE6918" w14:textId="77777777" w:rsidR="00AB64CF" w:rsidRPr="00B467B0" w:rsidRDefault="00AB64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w w:val="100"/>
                <w:kern w:val="0"/>
                <w:lang w:eastAsia="en-AU"/>
              </w:rPr>
            </w:pPr>
            <w:r w:rsidRPr="00B467B0">
              <w:rPr>
                <w:rFonts w:asciiTheme="minorHAnsi" w:eastAsia="Times New Roman" w:hAnsiTheme="minorHAnsi" w:cstheme="minorHAnsi"/>
                <w:color w:val="000000"/>
                <w:w w:val="100"/>
                <w:kern w:val="0"/>
                <w:lang w:eastAsia="en-AU"/>
              </w:rPr>
              <w:t>Metro</w:t>
            </w:r>
          </w:p>
        </w:tc>
        <w:tc>
          <w:tcPr>
            <w:tcW w:w="1410" w:type="dxa"/>
            <w:tcBorders>
              <w:top w:val="single" w:sz="6" w:space="0" w:color="000000"/>
              <w:left w:val="single" w:sz="6" w:space="0" w:color="000000"/>
              <w:bottom w:val="single" w:sz="6" w:space="0" w:color="000000"/>
              <w:right w:val="single" w:sz="4" w:space="0" w:color="auto"/>
            </w:tcBorders>
            <w:shd w:val="clear" w:color="auto" w:fill="EEECE1" w:themeFill="background2"/>
            <w:noWrap/>
            <w:hideMark/>
          </w:tcPr>
          <w:p w14:paraId="73128400" w14:textId="77777777" w:rsidR="00AB64CF" w:rsidRPr="00B467B0" w:rsidRDefault="00AB64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w w:val="100"/>
                <w:kern w:val="0"/>
                <w:lang w:eastAsia="en-AU"/>
              </w:rPr>
            </w:pPr>
            <w:r w:rsidRPr="00B467B0">
              <w:rPr>
                <w:rFonts w:asciiTheme="minorHAnsi" w:eastAsia="Times New Roman" w:hAnsiTheme="minorHAnsi" w:cstheme="minorHAnsi"/>
                <w:color w:val="000000"/>
                <w:w w:val="100"/>
                <w:kern w:val="0"/>
                <w:lang w:eastAsia="en-AU"/>
              </w:rPr>
              <w:t>NSW</w:t>
            </w:r>
          </w:p>
        </w:tc>
      </w:tr>
      <w:tr w:rsidR="00AB64CF" w14:paraId="121B6204" w14:textId="77777777" w:rsidTr="00AB64CF">
        <w:trPr>
          <w:trHeight w:val="398"/>
        </w:trPr>
        <w:tc>
          <w:tcPr>
            <w:cnfStyle w:val="001000000000" w:firstRow="0" w:lastRow="0" w:firstColumn="1" w:lastColumn="0" w:oddVBand="0" w:evenVBand="0" w:oddHBand="0" w:evenHBand="0" w:firstRowFirstColumn="0" w:firstRowLastColumn="0" w:lastRowFirstColumn="0" w:lastRowLastColumn="0"/>
            <w:tcW w:w="5172" w:type="dxa"/>
            <w:tcBorders>
              <w:top w:val="single" w:sz="6" w:space="0" w:color="000000"/>
              <w:left w:val="single" w:sz="4" w:space="0" w:color="auto"/>
              <w:bottom w:val="single" w:sz="4" w:space="0" w:color="auto"/>
              <w:right w:val="single" w:sz="6" w:space="0" w:color="000000"/>
            </w:tcBorders>
            <w:noWrap/>
            <w:hideMark/>
          </w:tcPr>
          <w:p w14:paraId="5A3929C3" w14:textId="77777777" w:rsidR="00AB64CF" w:rsidRPr="00B467B0" w:rsidRDefault="00AB64CF" w:rsidP="00AB64CF">
            <w:pPr>
              <w:pStyle w:val="ListParagraph"/>
              <w:numPr>
                <w:ilvl w:val="0"/>
                <w:numId w:val="28"/>
              </w:numPr>
              <w:tabs>
                <w:tab w:val="left" w:pos="3799"/>
              </w:tabs>
              <w:spacing w:after="0" w:line="240" w:lineRule="auto"/>
              <w:rPr>
                <w:rFonts w:eastAsia="Times New Roman" w:cstheme="minorHAnsi"/>
                <w:color w:val="000000"/>
                <w:lang w:eastAsia="en-AU"/>
              </w:rPr>
            </w:pPr>
            <w:r w:rsidRPr="00B467B0">
              <w:rPr>
                <w:rFonts w:eastAsia="Times New Roman" w:cstheme="minorHAnsi"/>
                <w:color w:val="000000"/>
                <w:lang w:eastAsia="en-AU"/>
              </w:rPr>
              <w:t>Riverina</w:t>
            </w:r>
          </w:p>
        </w:tc>
        <w:tc>
          <w:tcPr>
            <w:tcW w:w="3026" w:type="dxa"/>
            <w:tcBorders>
              <w:top w:val="single" w:sz="6" w:space="0" w:color="000000"/>
              <w:left w:val="single" w:sz="6" w:space="0" w:color="000000"/>
              <w:bottom w:val="single" w:sz="4" w:space="0" w:color="auto"/>
              <w:right w:val="single" w:sz="6" w:space="0" w:color="000000"/>
            </w:tcBorders>
            <w:noWrap/>
            <w:hideMark/>
          </w:tcPr>
          <w:p w14:paraId="5E040457" w14:textId="77777777" w:rsidR="00AB64CF" w:rsidRPr="00B467B0" w:rsidRDefault="00AB64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w w:val="100"/>
                <w:kern w:val="0"/>
                <w:lang w:eastAsia="en-AU"/>
              </w:rPr>
            </w:pPr>
            <w:r w:rsidRPr="00B467B0">
              <w:rPr>
                <w:rFonts w:asciiTheme="minorHAnsi" w:eastAsia="Times New Roman" w:hAnsiTheme="minorHAnsi" w:cstheme="minorHAnsi"/>
                <w:color w:val="000000"/>
                <w:w w:val="100"/>
                <w:kern w:val="0"/>
                <w:lang w:eastAsia="en-AU"/>
              </w:rPr>
              <w:t>Regional</w:t>
            </w:r>
          </w:p>
        </w:tc>
        <w:tc>
          <w:tcPr>
            <w:tcW w:w="1410" w:type="dxa"/>
            <w:tcBorders>
              <w:top w:val="single" w:sz="6" w:space="0" w:color="000000"/>
              <w:left w:val="single" w:sz="6" w:space="0" w:color="000000"/>
              <w:bottom w:val="single" w:sz="4" w:space="0" w:color="auto"/>
              <w:right w:val="single" w:sz="4" w:space="0" w:color="auto"/>
            </w:tcBorders>
            <w:noWrap/>
            <w:hideMark/>
          </w:tcPr>
          <w:p w14:paraId="5B276A06" w14:textId="77777777" w:rsidR="00AB64CF" w:rsidRPr="00B467B0" w:rsidRDefault="00AB64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w w:val="100"/>
                <w:kern w:val="0"/>
                <w:lang w:eastAsia="en-AU"/>
              </w:rPr>
            </w:pPr>
            <w:r w:rsidRPr="00B467B0">
              <w:rPr>
                <w:rFonts w:asciiTheme="minorHAnsi" w:eastAsia="Times New Roman" w:hAnsiTheme="minorHAnsi" w:cstheme="minorHAnsi"/>
                <w:color w:val="000000"/>
                <w:w w:val="100"/>
                <w:kern w:val="0"/>
                <w:lang w:eastAsia="en-AU"/>
              </w:rPr>
              <w:t>NSW</w:t>
            </w:r>
          </w:p>
        </w:tc>
        <w:bookmarkEnd w:id="8"/>
      </w:tr>
    </w:tbl>
    <w:p w14:paraId="24DC54C9" w14:textId="1D82A4CD" w:rsidR="00AB64CF" w:rsidRPr="00253CAC" w:rsidRDefault="00AB64CF" w:rsidP="0079375B"/>
    <w:sectPr w:rsidR="00AB64CF" w:rsidRPr="00253CAC" w:rsidSect="00AB64CF">
      <w:headerReference w:type="default" r:id="rId12"/>
      <w:pgSz w:w="12240" w:h="15840"/>
      <w:pgMar w:top="269" w:right="964" w:bottom="964" w:left="964" w:header="25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127BC" w14:textId="77777777" w:rsidR="006D0F00" w:rsidRDefault="006D0F00" w:rsidP="006150CB">
      <w:r>
        <w:separator/>
      </w:r>
    </w:p>
  </w:endnote>
  <w:endnote w:type="continuationSeparator" w:id="0">
    <w:p w14:paraId="769C110F" w14:textId="77777777" w:rsidR="006D0F00" w:rsidRDefault="006D0F00" w:rsidP="0061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26576" w14:textId="77777777" w:rsidR="006D0F00" w:rsidRDefault="006D0F00" w:rsidP="006150CB">
      <w:r>
        <w:separator/>
      </w:r>
    </w:p>
  </w:footnote>
  <w:footnote w:type="continuationSeparator" w:id="0">
    <w:p w14:paraId="262C22C0" w14:textId="77777777" w:rsidR="006D0F00" w:rsidRDefault="006D0F00" w:rsidP="006150CB">
      <w:r>
        <w:continuationSeparator/>
      </w:r>
    </w:p>
  </w:footnote>
  <w:footnote w:id="1">
    <w:p w14:paraId="48B1F221" w14:textId="77777777" w:rsidR="00687FAA" w:rsidRPr="00E11016" w:rsidRDefault="00687FAA" w:rsidP="00B40DE9">
      <w:pPr>
        <w:pStyle w:val="FootnoteText"/>
        <w:keepNext/>
        <w:keepLines/>
        <w:rPr>
          <w:sz w:val="16"/>
          <w:szCs w:val="16"/>
        </w:rPr>
      </w:pPr>
      <w:r w:rsidRPr="00E11016">
        <w:rPr>
          <w:rStyle w:val="FootnoteReference"/>
          <w:sz w:val="16"/>
          <w:szCs w:val="16"/>
        </w:rPr>
        <w:footnoteRef/>
      </w:r>
      <w:r w:rsidRPr="00E11016">
        <w:rPr>
          <w:sz w:val="16"/>
          <w:szCs w:val="16"/>
        </w:rPr>
        <w:t xml:space="preserve"> The ABS Australian Statistical Geography Standard (ASGS) framework for 2011, has been used in the application of this methodology.  SA4s are the largest sub-State geographical areas as defined by the ABS. While in regional areas, SA4s tend to have populations somewhere between (100,000 - 300,000), metropolitan areas tend to have larger populations (300,000 - 500,000). Grant agreements for all Family Law Services funded under the Family Relationship Services Program, including CCSs, define service delivery area by SA4.</w:t>
      </w:r>
    </w:p>
  </w:footnote>
  <w:footnote w:id="2">
    <w:p w14:paraId="4F993FB2" w14:textId="3EB5D7CB" w:rsidR="0011564D" w:rsidRDefault="0011564D">
      <w:pPr>
        <w:pStyle w:val="FootnoteText"/>
      </w:pPr>
      <w:r w:rsidRPr="00E11016">
        <w:rPr>
          <w:rStyle w:val="FootnoteReference"/>
          <w:sz w:val="16"/>
          <w:szCs w:val="16"/>
        </w:rPr>
        <w:footnoteRef/>
      </w:r>
      <w:r w:rsidRPr="00E11016">
        <w:rPr>
          <w:sz w:val="16"/>
          <w:szCs w:val="16"/>
        </w:rPr>
        <w:t xml:space="preserve"> The draft methodology is available at: </w:t>
      </w:r>
      <w:hyperlink r:id="rId1" w:history="1">
        <w:r w:rsidR="00755317" w:rsidRPr="00755317">
          <w:rPr>
            <w:rStyle w:val="Hyperlink"/>
            <w:sz w:val="16"/>
            <w:szCs w:val="16"/>
          </w:rPr>
          <w:t>https://consultations.ag.gov.au/families-and-marriage/childrens-contact-services/</w:t>
        </w:r>
      </w:hyperlink>
      <w:r w:rsidR="00755317">
        <w:rPr>
          <w:sz w:val="16"/>
          <w:szCs w:val="16"/>
        </w:rPr>
        <w:t xml:space="preserve"> </w:t>
      </w:r>
    </w:p>
  </w:footnote>
  <w:footnote w:id="3">
    <w:p w14:paraId="20A08CEC" w14:textId="128CD4AA" w:rsidR="00687FAA" w:rsidRPr="00E11016" w:rsidRDefault="00687FAA" w:rsidP="00421DB5">
      <w:pPr>
        <w:pStyle w:val="FootnoteText"/>
        <w:rPr>
          <w:sz w:val="16"/>
        </w:rPr>
      </w:pPr>
      <w:r w:rsidRPr="00E11016">
        <w:rPr>
          <w:rStyle w:val="FootnoteReference"/>
          <w:sz w:val="16"/>
        </w:rPr>
        <w:footnoteRef/>
      </w:r>
      <w:r w:rsidRPr="00E11016">
        <w:rPr>
          <w:sz w:val="16"/>
        </w:rPr>
        <w:t xml:space="preserve"> </w:t>
      </w:r>
      <w:r w:rsidR="00584EEF" w:rsidRPr="00E11016">
        <w:rPr>
          <w:sz w:val="16"/>
        </w:rPr>
        <w:t>AGD</w:t>
      </w:r>
      <w:r w:rsidRPr="00E11016">
        <w:rPr>
          <w:sz w:val="16"/>
        </w:rPr>
        <w:t xml:space="preserve"> examined each of the 339 SA3 regions individually to choose a location in each of these SA3s that accounted for both geographic and population centres of each SA3.</w:t>
      </w:r>
    </w:p>
  </w:footnote>
  <w:footnote w:id="4">
    <w:p w14:paraId="338208E9" w14:textId="7B47726F" w:rsidR="00687FAA" w:rsidRDefault="00687FAA" w:rsidP="00421DB5">
      <w:pPr>
        <w:pStyle w:val="FootnoteText"/>
      </w:pPr>
      <w:r w:rsidRPr="00E11016">
        <w:rPr>
          <w:rStyle w:val="FootnoteReference"/>
          <w:sz w:val="16"/>
        </w:rPr>
        <w:footnoteRef/>
      </w:r>
      <w:r w:rsidRPr="00E11016">
        <w:rPr>
          <w:sz w:val="16"/>
        </w:rPr>
        <w:t xml:space="preserve"> </w:t>
      </w:r>
      <w:r w:rsidRPr="00E11016">
        <w:rPr>
          <w:sz w:val="16"/>
          <w:lang w:val="en-US"/>
        </w:rPr>
        <w:t xml:space="preserve">Time traveled was calculated </w:t>
      </w:r>
      <w:r w:rsidRPr="00E11016">
        <w:rPr>
          <w:sz w:val="16"/>
        </w:rPr>
        <w:t>using Google Maps, at a consistent time of 2-4 pm in the afternoon.</w:t>
      </w:r>
    </w:p>
  </w:footnote>
  <w:footnote w:id="5">
    <w:p w14:paraId="6F7388F7" w14:textId="1180C6AC" w:rsidR="00687FAA" w:rsidRDefault="00687FAA" w:rsidP="00421DB5">
      <w:pPr>
        <w:pStyle w:val="FootnoteText"/>
      </w:pPr>
      <w:r>
        <w:rPr>
          <w:rStyle w:val="FootnoteReference"/>
        </w:rPr>
        <w:footnoteRef/>
      </w:r>
      <w:r>
        <w:t xml:space="preserve"> The addition of one CCS to every SA4 </w:t>
      </w:r>
      <w:r w:rsidRPr="00993302">
        <w:t>ensures that</w:t>
      </w:r>
      <w:r>
        <w:t xml:space="preserve"> the calculation accurately compares</w:t>
      </w:r>
      <w:r w:rsidRPr="00993302">
        <w:t xml:space="preserve"> SA4s without any existing centres </w:t>
      </w:r>
      <w:r>
        <w:t xml:space="preserve">to </w:t>
      </w:r>
      <w:r w:rsidRPr="00993302">
        <w:t>SA4s with existing centres.</w:t>
      </w:r>
      <w:r>
        <w:t xml:space="preserve"> This is a common statistical method.</w:t>
      </w:r>
    </w:p>
  </w:footnote>
  <w:footnote w:id="6">
    <w:p w14:paraId="4C671EA8" w14:textId="77777777" w:rsidR="00BE2DF5" w:rsidRDefault="00BE2DF5" w:rsidP="00BE2DF5">
      <w:pPr>
        <w:pStyle w:val="FootnoteText"/>
      </w:pPr>
      <w:r w:rsidRPr="00AF798A">
        <w:rPr>
          <w:rStyle w:val="FootnoteReference"/>
          <w:sz w:val="18"/>
        </w:rPr>
        <w:footnoteRef/>
      </w:r>
      <w:r w:rsidRPr="00AF798A">
        <w:rPr>
          <w:sz w:val="18"/>
        </w:rPr>
        <w:t xml:space="preserve"> Standing Committee on Legal and Constitutional Affairs, 1998, To have and to hold: Strategies to strengthen marriage and relationships.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81D33" w14:textId="30503439" w:rsidR="000135FB" w:rsidRPr="00955400" w:rsidRDefault="004F15FA" w:rsidP="00955400">
    <w:pPr>
      <w:pStyle w:val="Header"/>
    </w:pPr>
    <w:r>
      <w:rPr>
        <w:noProof/>
        <w:lang w:eastAsia="en-AU"/>
      </w:rPr>
      <w:drawing>
        <wp:inline distT="0" distB="0" distL="0" distR="0" wp14:anchorId="0FF0391D" wp14:editId="0DCBCF2D">
          <wp:extent cx="6520815" cy="1288706"/>
          <wp:effectExtent l="0" t="0" r="0" b="6985"/>
          <wp:docPr id="21" name="Picture 21" descr="Australian Government | Attorney-General's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8915" cy="129623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95921" w14:textId="401A9D2B" w:rsidR="004F15FA" w:rsidRPr="00955400" w:rsidRDefault="004F15FA" w:rsidP="009554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4752B" w14:textId="6BAAA4BE" w:rsidR="00AB64CF" w:rsidRPr="00AB64CF" w:rsidRDefault="00AB64CF" w:rsidP="00AB64CF">
    <w:pPr>
      <w:pStyle w:val="Header"/>
      <w:jc w:val="right"/>
      <w:rPr>
        <w:b/>
      </w:rPr>
    </w:pPr>
    <w:r w:rsidRPr="00AB64CF">
      <w:rPr>
        <w:b/>
      </w:rP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55E6B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1C288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F54C7C"/>
    <w:multiLevelType w:val="hybridMultilevel"/>
    <w:tmpl w:val="2B8638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E1911"/>
    <w:multiLevelType w:val="hybridMultilevel"/>
    <w:tmpl w:val="BEC4D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2721E"/>
    <w:multiLevelType w:val="multilevel"/>
    <w:tmpl w:val="EFDC8A06"/>
    <w:numStyleLink w:val="Bullet2"/>
  </w:abstractNum>
  <w:abstractNum w:abstractNumId="5" w15:restartNumberingAfterBreak="0">
    <w:nsid w:val="0ADD7AC5"/>
    <w:multiLevelType w:val="hybridMultilevel"/>
    <w:tmpl w:val="F798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AA12D9"/>
    <w:multiLevelType w:val="hybridMultilevel"/>
    <w:tmpl w:val="F0708D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932166"/>
    <w:multiLevelType w:val="multilevel"/>
    <w:tmpl w:val="EFDC8A06"/>
    <w:styleLink w:val="Bulle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F733512"/>
    <w:multiLevelType w:val="hybridMultilevel"/>
    <w:tmpl w:val="C2BC3E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607610"/>
    <w:multiLevelType w:val="hybridMultilevel"/>
    <w:tmpl w:val="47448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5A2948"/>
    <w:multiLevelType w:val="hybridMultilevel"/>
    <w:tmpl w:val="CC545EC2"/>
    <w:lvl w:ilvl="0" w:tplc="08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8724F3"/>
    <w:multiLevelType w:val="hybridMultilevel"/>
    <w:tmpl w:val="823465C4"/>
    <w:lvl w:ilvl="0" w:tplc="0B74C594">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2E66BF6"/>
    <w:multiLevelType w:val="hybridMultilevel"/>
    <w:tmpl w:val="0A4A2D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3695067"/>
    <w:multiLevelType w:val="hybridMultilevel"/>
    <w:tmpl w:val="880EE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ED66C3"/>
    <w:multiLevelType w:val="hybridMultilevel"/>
    <w:tmpl w:val="A770E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73F0C4C"/>
    <w:multiLevelType w:val="hybridMultilevel"/>
    <w:tmpl w:val="E81AF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1F6E2C"/>
    <w:multiLevelType w:val="hybridMultilevel"/>
    <w:tmpl w:val="E4AC37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8881D2F"/>
    <w:multiLevelType w:val="hybridMultilevel"/>
    <w:tmpl w:val="9DDA29F6"/>
    <w:lvl w:ilvl="0" w:tplc="28A80CC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AF546A"/>
    <w:multiLevelType w:val="hybridMultilevel"/>
    <w:tmpl w:val="6D221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A15FB9"/>
    <w:multiLevelType w:val="hybridMultilevel"/>
    <w:tmpl w:val="E43A2076"/>
    <w:lvl w:ilvl="0" w:tplc="B396FD64">
      <w:start w:val="1"/>
      <w:numFmt w:val="bullet"/>
      <w:lvlText w:val=""/>
      <w:lvlJc w:val="left"/>
      <w:pPr>
        <w:ind w:left="360" w:hanging="360"/>
      </w:pPr>
      <w:rPr>
        <w:rFonts w:ascii="Symbol" w:hAnsi="Symbol" w:hint="default"/>
        <w:color w:val="5C5C5C"/>
      </w:rPr>
    </w:lvl>
    <w:lvl w:ilvl="1" w:tplc="7610D95C">
      <w:start w:val="1"/>
      <w:numFmt w:val="bullet"/>
      <w:pStyle w:val="ListBullet"/>
      <w:lvlText w:val=""/>
      <w:lvlJc w:val="left"/>
      <w:pPr>
        <w:ind w:left="993" w:hanging="360"/>
      </w:pPr>
      <w:rPr>
        <w:rFonts w:ascii="Symbol" w:hAnsi="Symbol" w:hint="default"/>
        <w:color w:val="4D738A"/>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7277E43"/>
    <w:multiLevelType w:val="hybridMultilevel"/>
    <w:tmpl w:val="C8CA8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643E22"/>
    <w:multiLevelType w:val="hybridMultilevel"/>
    <w:tmpl w:val="D6109A9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AF2631C"/>
    <w:multiLevelType w:val="hybridMultilevel"/>
    <w:tmpl w:val="A7620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482283"/>
    <w:multiLevelType w:val="hybridMultilevel"/>
    <w:tmpl w:val="29027F2A"/>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19"/>
  </w:num>
  <w:num w:numId="2">
    <w:abstractNumId w:val="7"/>
  </w:num>
  <w:num w:numId="3">
    <w:abstractNumId w:val="4"/>
  </w:num>
  <w:num w:numId="4">
    <w:abstractNumId w:val="0"/>
  </w:num>
  <w:num w:numId="5">
    <w:abstractNumId w:val="1"/>
  </w:num>
  <w:num w:numId="6">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23"/>
  </w:num>
  <w:num w:numId="8">
    <w:abstractNumId w:val="11"/>
  </w:num>
  <w:num w:numId="9">
    <w:abstractNumId w:val="9"/>
  </w:num>
  <w:num w:numId="10">
    <w:abstractNumId w:val="17"/>
  </w:num>
  <w:num w:numId="11">
    <w:abstractNumId w:val="22"/>
  </w:num>
  <w:num w:numId="12">
    <w:abstractNumId w:val="20"/>
  </w:num>
  <w:num w:numId="13">
    <w:abstractNumId w:val="5"/>
  </w:num>
  <w:num w:numId="14">
    <w:abstractNumId w:val="2"/>
  </w:num>
  <w:num w:numId="15">
    <w:abstractNumId w:val="14"/>
  </w:num>
  <w:num w:numId="16">
    <w:abstractNumId w:val="3"/>
  </w:num>
  <w:num w:numId="17">
    <w:abstractNumId w:val="6"/>
  </w:num>
  <w:num w:numId="18">
    <w:abstractNumId w:val="8"/>
  </w:num>
  <w:num w:numId="19">
    <w:abstractNumId w:val="10"/>
  </w:num>
  <w:num w:numId="20">
    <w:abstractNumId w:val="21"/>
  </w:num>
  <w:num w:numId="21">
    <w:abstractNumId w:val="16"/>
  </w:num>
  <w:num w:numId="22">
    <w:abstractNumId w:val="18"/>
  </w:num>
  <w:num w:numId="23">
    <w:abstractNumId w:val="13"/>
  </w:num>
  <w:num w:numId="24">
    <w:abstractNumId w:val="19"/>
  </w:num>
  <w:num w:numId="25">
    <w:abstractNumId w:val="15"/>
  </w:num>
  <w:num w:numId="26">
    <w:abstractNumId w:val="12"/>
  </w:num>
  <w:num w:numId="27">
    <w:abstractNumId w:val="19"/>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8B8"/>
    <w:rsid w:val="00000F7C"/>
    <w:rsid w:val="00004609"/>
    <w:rsid w:val="000135FB"/>
    <w:rsid w:val="00031256"/>
    <w:rsid w:val="00035B34"/>
    <w:rsid w:val="00041DC0"/>
    <w:rsid w:val="00043D71"/>
    <w:rsid w:val="00046562"/>
    <w:rsid w:val="000505CB"/>
    <w:rsid w:val="00057104"/>
    <w:rsid w:val="00057285"/>
    <w:rsid w:val="000610EA"/>
    <w:rsid w:val="00070C30"/>
    <w:rsid w:val="000779BE"/>
    <w:rsid w:val="00083138"/>
    <w:rsid w:val="000836DA"/>
    <w:rsid w:val="00083B3B"/>
    <w:rsid w:val="00086C1E"/>
    <w:rsid w:val="0009470D"/>
    <w:rsid w:val="00096884"/>
    <w:rsid w:val="00096B7A"/>
    <w:rsid w:val="000A33E3"/>
    <w:rsid w:val="000A5DEB"/>
    <w:rsid w:val="000A7032"/>
    <w:rsid w:val="000B075B"/>
    <w:rsid w:val="000B1B38"/>
    <w:rsid w:val="000B4A14"/>
    <w:rsid w:val="000C06D5"/>
    <w:rsid w:val="000C60A0"/>
    <w:rsid w:val="000D22D1"/>
    <w:rsid w:val="000D5074"/>
    <w:rsid w:val="000D635E"/>
    <w:rsid w:val="000E0C76"/>
    <w:rsid w:val="000E4C21"/>
    <w:rsid w:val="000F274B"/>
    <w:rsid w:val="000F3D72"/>
    <w:rsid w:val="000F59B1"/>
    <w:rsid w:val="0010673E"/>
    <w:rsid w:val="00107B19"/>
    <w:rsid w:val="00113D4C"/>
    <w:rsid w:val="0011430B"/>
    <w:rsid w:val="0011564D"/>
    <w:rsid w:val="001318FC"/>
    <w:rsid w:val="00133651"/>
    <w:rsid w:val="0013526A"/>
    <w:rsid w:val="00136BE1"/>
    <w:rsid w:val="00140DBD"/>
    <w:rsid w:val="00146B5B"/>
    <w:rsid w:val="00151A0A"/>
    <w:rsid w:val="00154E58"/>
    <w:rsid w:val="00162949"/>
    <w:rsid w:val="001727A2"/>
    <w:rsid w:val="001900C2"/>
    <w:rsid w:val="00192F33"/>
    <w:rsid w:val="001A26CE"/>
    <w:rsid w:val="001A2BC0"/>
    <w:rsid w:val="001A6174"/>
    <w:rsid w:val="001B2BE5"/>
    <w:rsid w:val="001D016B"/>
    <w:rsid w:val="001D730E"/>
    <w:rsid w:val="001F3215"/>
    <w:rsid w:val="001F53DC"/>
    <w:rsid w:val="001F5414"/>
    <w:rsid w:val="001F6098"/>
    <w:rsid w:val="00205068"/>
    <w:rsid w:val="0021106B"/>
    <w:rsid w:val="00213F46"/>
    <w:rsid w:val="00216175"/>
    <w:rsid w:val="00230B26"/>
    <w:rsid w:val="00231E2A"/>
    <w:rsid w:val="002358DD"/>
    <w:rsid w:val="00240905"/>
    <w:rsid w:val="00243A6C"/>
    <w:rsid w:val="00245F74"/>
    <w:rsid w:val="0024726F"/>
    <w:rsid w:val="00247436"/>
    <w:rsid w:val="00253442"/>
    <w:rsid w:val="00253CAC"/>
    <w:rsid w:val="0025409D"/>
    <w:rsid w:val="00255551"/>
    <w:rsid w:val="00262CBE"/>
    <w:rsid w:val="00263B7A"/>
    <w:rsid w:val="00277C0D"/>
    <w:rsid w:val="00286208"/>
    <w:rsid w:val="002933E5"/>
    <w:rsid w:val="002A0994"/>
    <w:rsid w:val="002A3ABF"/>
    <w:rsid w:val="002A7EC2"/>
    <w:rsid w:val="002B148E"/>
    <w:rsid w:val="002B1951"/>
    <w:rsid w:val="002B6119"/>
    <w:rsid w:val="002C36D2"/>
    <w:rsid w:val="002C4B80"/>
    <w:rsid w:val="002D2314"/>
    <w:rsid w:val="002E257F"/>
    <w:rsid w:val="002E3E03"/>
    <w:rsid w:val="002E705E"/>
    <w:rsid w:val="003258BA"/>
    <w:rsid w:val="0033012E"/>
    <w:rsid w:val="003312B3"/>
    <w:rsid w:val="003319C5"/>
    <w:rsid w:val="00331FC3"/>
    <w:rsid w:val="00334202"/>
    <w:rsid w:val="00337E46"/>
    <w:rsid w:val="003435B5"/>
    <w:rsid w:val="00343AA2"/>
    <w:rsid w:val="00346332"/>
    <w:rsid w:val="00351473"/>
    <w:rsid w:val="00351871"/>
    <w:rsid w:val="00361217"/>
    <w:rsid w:val="00372C25"/>
    <w:rsid w:val="00377834"/>
    <w:rsid w:val="00380DD4"/>
    <w:rsid w:val="00386134"/>
    <w:rsid w:val="003910F0"/>
    <w:rsid w:val="003921F6"/>
    <w:rsid w:val="003932E2"/>
    <w:rsid w:val="00394664"/>
    <w:rsid w:val="00395615"/>
    <w:rsid w:val="0039657E"/>
    <w:rsid w:val="003A0C59"/>
    <w:rsid w:val="003A172B"/>
    <w:rsid w:val="003A31F4"/>
    <w:rsid w:val="003A7CA5"/>
    <w:rsid w:val="003B28B8"/>
    <w:rsid w:val="003E611C"/>
    <w:rsid w:val="003F5DCF"/>
    <w:rsid w:val="003F6587"/>
    <w:rsid w:val="0040692F"/>
    <w:rsid w:val="0041070D"/>
    <w:rsid w:val="004156CC"/>
    <w:rsid w:val="00417F3B"/>
    <w:rsid w:val="00421DB5"/>
    <w:rsid w:val="00422526"/>
    <w:rsid w:val="0042454D"/>
    <w:rsid w:val="004252EA"/>
    <w:rsid w:val="004450A3"/>
    <w:rsid w:val="00445561"/>
    <w:rsid w:val="00452DA3"/>
    <w:rsid w:val="00453257"/>
    <w:rsid w:val="00453D8A"/>
    <w:rsid w:val="004703AB"/>
    <w:rsid w:val="0047074F"/>
    <w:rsid w:val="00470FD5"/>
    <w:rsid w:val="00482E27"/>
    <w:rsid w:val="00484283"/>
    <w:rsid w:val="00487433"/>
    <w:rsid w:val="00494443"/>
    <w:rsid w:val="004A5EE2"/>
    <w:rsid w:val="004A63B1"/>
    <w:rsid w:val="004B7523"/>
    <w:rsid w:val="004B7AEA"/>
    <w:rsid w:val="004D7BE3"/>
    <w:rsid w:val="004E4652"/>
    <w:rsid w:val="004E4C43"/>
    <w:rsid w:val="004F0EA6"/>
    <w:rsid w:val="004F15FA"/>
    <w:rsid w:val="00500F3E"/>
    <w:rsid w:val="00504795"/>
    <w:rsid w:val="00505752"/>
    <w:rsid w:val="005133CF"/>
    <w:rsid w:val="00516618"/>
    <w:rsid w:val="00521973"/>
    <w:rsid w:val="00524589"/>
    <w:rsid w:val="00527D25"/>
    <w:rsid w:val="00530BA6"/>
    <w:rsid w:val="005332EE"/>
    <w:rsid w:val="00534150"/>
    <w:rsid w:val="00544EC8"/>
    <w:rsid w:val="00554B27"/>
    <w:rsid w:val="00560933"/>
    <w:rsid w:val="00565024"/>
    <w:rsid w:val="00565F46"/>
    <w:rsid w:val="005733E8"/>
    <w:rsid w:val="005769E2"/>
    <w:rsid w:val="00582130"/>
    <w:rsid w:val="00582532"/>
    <w:rsid w:val="00584E3A"/>
    <w:rsid w:val="00584EEF"/>
    <w:rsid w:val="0059058D"/>
    <w:rsid w:val="0059317B"/>
    <w:rsid w:val="00593421"/>
    <w:rsid w:val="005944ED"/>
    <w:rsid w:val="00594B6A"/>
    <w:rsid w:val="005A01AB"/>
    <w:rsid w:val="005B4EEC"/>
    <w:rsid w:val="005B5C12"/>
    <w:rsid w:val="005C0F81"/>
    <w:rsid w:val="005C1BB3"/>
    <w:rsid w:val="005C2EE6"/>
    <w:rsid w:val="005C55AA"/>
    <w:rsid w:val="005D3FEF"/>
    <w:rsid w:val="005D6BFE"/>
    <w:rsid w:val="005E1D79"/>
    <w:rsid w:val="005E619F"/>
    <w:rsid w:val="005F2D48"/>
    <w:rsid w:val="0060082D"/>
    <w:rsid w:val="006107FD"/>
    <w:rsid w:val="0061192A"/>
    <w:rsid w:val="006150CB"/>
    <w:rsid w:val="00622E8F"/>
    <w:rsid w:val="00623EEC"/>
    <w:rsid w:val="0062588C"/>
    <w:rsid w:val="00631217"/>
    <w:rsid w:val="006320E9"/>
    <w:rsid w:val="00640367"/>
    <w:rsid w:val="0065321E"/>
    <w:rsid w:val="0065700A"/>
    <w:rsid w:val="006608A4"/>
    <w:rsid w:val="006654F4"/>
    <w:rsid w:val="0067010A"/>
    <w:rsid w:val="006744C0"/>
    <w:rsid w:val="006776B9"/>
    <w:rsid w:val="00687FAA"/>
    <w:rsid w:val="00687FF9"/>
    <w:rsid w:val="006A141F"/>
    <w:rsid w:val="006A2450"/>
    <w:rsid w:val="006A49B3"/>
    <w:rsid w:val="006B7E6A"/>
    <w:rsid w:val="006C5972"/>
    <w:rsid w:val="006D0F00"/>
    <w:rsid w:val="006D6B1B"/>
    <w:rsid w:val="006D71D5"/>
    <w:rsid w:val="006E1399"/>
    <w:rsid w:val="006E438E"/>
    <w:rsid w:val="00702CF8"/>
    <w:rsid w:val="00702ED1"/>
    <w:rsid w:val="0070738F"/>
    <w:rsid w:val="0073343F"/>
    <w:rsid w:val="00742A32"/>
    <w:rsid w:val="00742C1A"/>
    <w:rsid w:val="0074661D"/>
    <w:rsid w:val="0075333E"/>
    <w:rsid w:val="00755317"/>
    <w:rsid w:val="0075786D"/>
    <w:rsid w:val="007665C7"/>
    <w:rsid w:val="00777054"/>
    <w:rsid w:val="00790B86"/>
    <w:rsid w:val="00791156"/>
    <w:rsid w:val="007911FF"/>
    <w:rsid w:val="0079375B"/>
    <w:rsid w:val="007B0031"/>
    <w:rsid w:val="007C09BF"/>
    <w:rsid w:val="007C17BA"/>
    <w:rsid w:val="007C23FA"/>
    <w:rsid w:val="007D297F"/>
    <w:rsid w:val="007D341E"/>
    <w:rsid w:val="007D6D46"/>
    <w:rsid w:val="007E3ABF"/>
    <w:rsid w:val="007F0FB6"/>
    <w:rsid w:val="007F130F"/>
    <w:rsid w:val="0080330A"/>
    <w:rsid w:val="00806B1B"/>
    <w:rsid w:val="00807096"/>
    <w:rsid w:val="00807170"/>
    <w:rsid w:val="00807A5D"/>
    <w:rsid w:val="00807C65"/>
    <w:rsid w:val="00812CEA"/>
    <w:rsid w:val="00813BE4"/>
    <w:rsid w:val="00817991"/>
    <w:rsid w:val="008322FA"/>
    <w:rsid w:val="00840768"/>
    <w:rsid w:val="0084509C"/>
    <w:rsid w:val="00854BE2"/>
    <w:rsid w:val="0085761E"/>
    <w:rsid w:val="008640D9"/>
    <w:rsid w:val="00876E0D"/>
    <w:rsid w:val="00881EE2"/>
    <w:rsid w:val="00884CE8"/>
    <w:rsid w:val="008934DA"/>
    <w:rsid w:val="008A23FB"/>
    <w:rsid w:val="008A6E57"/>
    <w:rsid w:val="008B4787"/>
    <w:rsid w:val="008B4BBC"/>
    <w:rsid w:val="008B4CA5"/>
    <w:rsid w:val="008C2EDD"/>
    <w:rsid w:val="008C48CA"/>
    <w:rsid w:val="008D1032"/>
    <w:rsid w:val="008D2EF7"/>
    <w:rsid w:val="008D2FCA"/>
    <w:rsid w:val="008E1507"/>
    <w:rsid w:val="008F05B8"/>
    <w:rsid w:val="008F621A"/>
    <w:rsid w:val="008F64A7"/>
    <w:rsid w:val="008F690F"/>
    <w:rsid w:val="00905FA9"/>
    <w:rsid w:val="0091052D"/>
    <w:rsid w:val="0091664C"/>
    <w:rsid w:val="00920404"/>
    <w:rsid w:val="00942181"/>
    <w:rsid w:val="009529CF"/>
    <w:rsid w:val="00954BDA"/>
    <w:rsid w:val="00955400"/>
    <w:rsid w:val="00960B91"/>
    <w:rsid w:val="00961664"/>
    <w:rsid w:val="00963101"/>
    <w:rsid w:val="00963359"/>
    <w:rsid w:val="009765FD"/>
    <w:rsid w:val="0098333D"/>
    <w:rsid w:val="00984346"/>
    <w:rsid w:val="0098671E"/>
    <w:rsid w:val="009878ED"/>
    <w:rsid w:val="00990C84"/>
    <w:rsid w:val="0099103B"/>
    <w:rsid w:val="00993302"/>
    <w:rsid w:val="0099359F"/>
    <w:rsid w:val="0099603E"/>
    <w:rsid w:val="009A0232"/>
    <w:rsid w:val="009A1F22"/>
    <w:rsid w:val="009A6035"/>
    <w:rsid w:val="009A6E78"/>
    <w:rsid w:val="009A75A0"/>
    <w:rsid w:val="009B16DC"/>
    <w:rsid w:val="009B2BF1"/>
    <w:rsid w:val="009B6954"/>
    <w:rsid w:val="009B7E58"/>
    <w:rsid w:val="009C1DBA"/>
    <w:rsid w:val="009C21A3"/>
    <w:rsid w:val="009D50B3"/>
    <w:rsid w:val="009E0CCB"/>
    <w:rsid w:val="009E2B3F"/>
    <w:rsid w:val="009F3B4F"/>
    <w:rsid w:val="009F7515"/>
    <w:rsid w:val="00A106E9"/>
    <w:rsid w:val="00A134A3"/>
    <w:rsid w:val="00A26AF7"/>
    <w:rsid w:val="00A315DB"/>
    <w:rsid w:val="00A334C7"/>
    <w:rsid w:val="00A44B4A"/>
    <w:rsid w:val="00A45234"/>
    <w:rsid w:val="00A55FB1"/>
    <w:rsid w:val="00A5673C"/>
    <w:rsid w:val="00A60AA5"/>
    <w:rsid w:val="00A62B75"/>
    <w:rsid w:val="00A65D18"/>
    <w:rsid w:val="00A66FC6"/>
    <w:rsid w:val="00A677C8"/>
    <w:rsid w:val="00A73B64"/>
    <w:rsid w:val="00A82191"/>
    <w:rsid w:val="00A83234"/>
    <w:rsid w:val="00A861DE"/>
    <w:rsid w:val="00A960F1"/>
    <w:rsid w:val="00AA3B99"/>
    <w:rsid w:val="00AA549A"/>
    <w:rsid w:val="00AB0CB2"/>
    <w:rsid w:val="00AB0F1E"/>
    <w:rsid w:val="00AB64CF"/>
    <w:rsid w:val="00AC5874"/>
    <w:rsid w:val="00AD53F4"/>
    <w:rsid w:val="00AF2E11"/>
    <w:rsid w:val="00AF5B6D"/>
    <w:rsid w:val="00AF69A6"/>
    <w:rsid w:val="00AF798A"/>
    <w:rsid w:val="00B03E3C"/>
    <w:rsid w:val="00B069E2"/>
    <w:rsid w:val="00B101A3"/>
    <w:rsid w:val="00B23385"/>
    <w:rsid w:val="00B251DF"/>
    <w:rsid w:val="00B25B2C"/>
    <w:rsid w:val="00B26F42"/>
    <w:rsid w:val="00B27175"/>
    <w:rsid w:val="00B32C7B"/>
    <w:rsid w:val="00B40DE9"/>
    <w:rsid w:val="00B413FB"/>
    <w:rsid w:val="00B44425"/>
    <w:rsid w:val="00B4475B"/>
    <w:rsid w:val="00B4504D"/>
    <w:rsid w:val="00B45986"/>
    <w:rsid w:val="00B467B0"/>
    <w:rsid w:val="00B47594"/>
    <w:rsid w:val="00B610D4"/>
    <w:rsid w:val="00B61E01"/>
    <w:rsid w:val="00B62E39"/>
    <w:rsid w:val="00B64CDF"/>
    <w:rsid w:val="00B67F72"/>
    <w:rsid w:val="00B74535"/>
    <w:rsid w:val="00B8267B"/>
    <w:rsid w:val="00B911A7"/>
    <w:rsid w:val="00B92067"/>
    <w:rsid w:val="00B92314"/>
    <w:rsid w:val="00B9639B"/>
    <w:rsid w:val="00B966E2"/>
    <w:rsid w:val="00B97BAE"/>
    <w:rsid w:val="00BA42CE"/>
    <w:rsid w:val="00BA7580"/>
    <w:rsid w:val="00BB7038"/>
    <w:rsid w:val="00BC77C6"/>
    <w:rsid w:val="00BD2B7A"/>
    <w:rsid w:val="00BE1F56"/>
    <w:rsid w:val="00BE2DF5"/>
    <w:rsid w:val="00BE5F87"/>
    <w:rsid w:val="00BE7E96"/>
    <w:rsid w:val="00BF004D"/>
    <w:rsid w:val="00BF1613"/>
    <w:rsid w:val="00C07D1A"/>
    <w:rsid w:val="00C140EE"/>
    <w:rsid w:val="00C17A49"/>
    <w:rsid w:val="00C20738"/>
    <w:rsid w:val="00C212E8"/>
    <w:rsid w:val="00C21653"/>
    <w:rsid w:val="00C2211E"/>
    <w:rsid w:val="00C279C1"/>
    <w:rsid w:val="00C3200A"/>
    <w:rsid w:val="00C33C6B"/>
    <w:rsid w:val="00C45F41"/>
    <w:rsid w:val="00C50A93"/>
    <w:rsid w:val="00C536A5"/>
    <w:rsid w:val="00C63C1A"/>
    <w:rsid w:val="00C65C0C"/>
    <w:rsid w:val="00C75112"/>
    <w:rsid w:val="00C752E1"/>
    <w:rsid w:val="00C7598D"/>
    <w:rsid w:val="00C770D6"/>
    <w:rsid w:val="00C772D4"/>
    <w:rsid w:val="00C82ED2"/>
    <w:rsid w:val="00C85B67"/>
    <w:rsid w:val="00C92491"/>
    <w:rsid w:val="00CA03E0"/>
    <w:rsid w:val="00CA10ED"/>
    <w:rsid w:val="00CB3231"/>
    <w:rsid w:val="00CD0C81"/>
    <w:rsid w:val="00CD55C4"/>
    <w:rsid w:val="00CE587E"/>
    <w:rsid w:val="00CE59D6"/>
    <w:rsid w:val="00CF0F63"/>
    <w:rsid w:val="00CF7680"/>
    <w:rsid w:val="00CF7D0B"/>
    <w:rsid w:val="00D03CC4"/>
    <w:rsid w:val="00D12E18"/>
    <w:rsid w:val="00D22BD6"/>
    <w:rsid w:val="00D2434B"/>
    <w:rsid w:val="00D24911"/>
    <w:rsid w:val="00D4127A"/>
    <w:rsid w:val="00D43901"/>
    <w:rsid w:val="00D4724F"/>
    <w:rsid w:val="00D63FC8"/>
    <w:rsid w:val="00D723F5"/>
    <w:rsid w:val="00D824E6"/>
    <w:rsid w:val="00D90E11"/>
    <w:rsid w:val="00D93BB8"/>
    <w:rsid w:val="00D94BD9"/>
    <w:rsid w:val="00DA6221"/>
    <w:rsid w:val="00DB2642"/>
    <w:rsid w:val="00DB3B02"/>
    <w:rsid w:val="00DB3BC9"/>
    <w:rsid w:val="00DB5238"/>
    <w:rsid w:val="00DB5CDD"/>
    <w:rsid w:val="00DC0D03"/>
    <w:rsid w:val="00DE2DD9"/>
    <w:rsid w:val="00DE361D"/>
    <w:rsid w:val="00DE69E0"/>
    <w:rsid w:val="00DF4023"/>
    <w:rsid w:val="00E05D4C"/>
    <w:rsid w:val="00E11016"/>
    <w:rsid w:val="00E17B14"/>
    <w:rsid w:val="00E308C3"/>
    <w:rsid w:val="00E34811"/>
    <w:rsid w:val="00E37654"/>
    <w:rsid w:val="00E452C2"/>
    <w:rsid w:val="00E4739C"/>
    <w:rsid w:val="00E50AA1"/>
    <w:rsid w:val="00E602EA"/>
    <w:rsid w:val="00E64FAB"/>
    <w:rsid w:val="00E65C5D"/>
    <w:rsid w:val="00E701B5"/>
    <w:rsid w:val="00E70D29"/>
    <w:rsid w:val="00E815E2"/>
    <w:rsid w:val="00E92EF9"/>
    <w:rsid w:val="00E97F8B"/>
    <w:rsid w:val="00EA07AD"/>
    <w:rsid w:val="00EA67C1"/>
    <w:rsid w:val="00EA68CA"/>
    <w:rsid w:val="00EB18B9"/>
    <w:rsid w:val="00EB2F48"/>
    <w:rsid w:val="00EC1143"/>
    <w:rsid w:val="00ED3DD6"/>
    <w:rsid w:val="00EE2797"/>
    <w:rsid w:val="00EE2BCB"/>
    <w:rsid w:val="00EE560D"/>
    <w:rsid w:val="00EE630E"/>
    <w:rsid w:val="00EF2111"/>
    <w:rsid w:val="00EF3CEB"/>
    <w:rsid w:val="00EF561B"/>
    <w:rsid w:val="00F0369B"/>
    <w:rsid w:val="00F204E1"/>
    <w:rsid w:val="00F258A8"/>
    <w:rsid w:val="00F3388B"/>
    <w:rsid w:val="00F41388"/>
    <w:rsid w:val="00F4414D"/>
    <w:rsid w:val="00F47524"/>
    <w:rsid w:val="00F51F4C"/>
    <w:rsid w:val="00F52379"/>
    <w:rsid w:val="00F53246"/>
    <w:rsid w:val="00F54DB1"/>
    <w:rsid w:val="00F562F4"/>
    <w:rsid w:val="00F70B4B"/>
    <w:rsid w:val="00F7536D"/>
    <w:rsid w:val="00F80561"/>
    <w:rsid w:val="00F83D74"/>
    <w:rsid w:val="00F911D8"/>
    <w:rsid w:val="00F97F4A"/>
    <w:rsid w:val="00FA0948"/>
    <w:rsid w:val="00FA127B"/>
    <w:rsid w:val="00FA6162"/>
    <w:rsid w:val="00FC0846"/>
    <w:rsid w:val="00FD19FA"/>
    <w:rsid w:val="00FD6918"/>
    <w:rsid w:val="00FE1B97"/>
    <w:rsid w:val="00FE3370"/>
    <w:rsid w:val="00FE3A4F"/>
    <w:rsid w:val="00FF2CE1"/>
    <w:rsid w:val="00FF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F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0CB"/>
    <w:pPr>
      <w:spacing w:after="200" w:line="276" w:lineRule="auto"/>
    </w:pPr>
    <w:rPr>
      <w:rFonts w:cs="Calibri"/>
      <w:w w:val="105"/>
      <w:kern w:val="40"/>
      <w:sz w:val="22"/>
      <w:szCs w:val="22"/>
      <w:lang w:eastAsia="en-US"/>
    </w:rPr>
  </w:style>
  <w:style w:type="paragraph" w:styleId="Heading1">
    <w:name w:val="heading 1"/>
    <w:basedOn w:val="Normal"/>
    <w:next w:val="Normal"/>
    <w:link w:val="Heading1Char"/>
    <w:uiPriority w:val="9"/>
    <w:qFormat/>
    <w:rsid w:val="006150CB"/>
    <w:pPr>
      <w:keepNext/>
      <w:spacing w:after="0" w:line="240" w:lineRule="auto"/>
      <w:jc w:val="right"/>
      <w:outlineLvl w:val="0"/>
    </w:pPr>
    <w:rPr>
      <w:rFonts w:eastAsia="SimSun" w:cs="Angsana New"/>
      <w:b/>
      <w:bCs/>
      <w:color w:val="404040"/>
      <w:kern w:val="32"/>
      <w:sz w:val="52"/>
      <w:szCs w:val="52"/>
    </w:rPr>
  </w:style>
  <w:style w:type="paragraph" w:styleId="Heading2">
    <w:name w:val="heading 2"/>
    <w:basedOn w:val="Normal"/>
    <w:next w:val="Normal"/>
    <w:link w:val="Heading2Char"/>
    <w:uiPriority w:val="9"/>
    <w:unhideWhenUsed/>
    <w:qFormat/>
    <w:rsid w:val="00394664"/>
    <w:pPr>
      <w:keepNext/>
      <w:spacing w:before="240" w:after="60" w:line="240" w:lineRule="auto"/>
      <w:outlineLvl w:val="1"/>
    </w:pPr>
    <w:rPr>
      <w:rFonts w:eastAsia="SimSun" w:cs="Angsana New"/>
      <w:b/>
      <w:bCs/>
      <w:iCs/>
      <w:color w:val="4D738A"/>
      <w:sz w:val="40"/>
      <w:szCs w:val="48"/>
    </w:rPr>
  </w:style>
  <w:style w:type="paragraph" w:styleId="Heading3">
    <w:name w:val="heading 3"/>
    <w:basedOn w:val="Normal"/>
    <w:next w:val="Normal"/>
    <w:link w:val="Heading3Char"/>
    <w:uiPriority w:val="9"/>
    <w:unhideWhenUsed/>
    <w:qFormat/>
    <w:rsid w:val="006150CB"/>
    <w:pPr>
      <w:keepNext/>
      <w:spacing w:after="60" w:line="240" w:lineRule="auto"/>
      <w:outlineLvl w:val="2"/>
    </w:pPr>
    <w:rPr>
      <w:rFonts w:eastAsia="SimSun" w:cs="Angsana New"/>
      <w:b/>
      <w:bCs/>
      <w:color w:val="404040"/>
      <w:sz w:val="32"/>
      <w:szCs w:val="32"/>
    </w:rPr>
  </w:style>
  <w:style w:type="paragraph" w:styleId="Heading4">
    <w:name w:val="heading 4"/>
    <w:basedOn w:val="Heading3"/>
    <w:next w:val="Normal"/>
    <w:link w:val="Heading4Char"/>
    <w:uiPriority w:val="9"/>
    <w:unhideWhenUsed/>
    <w:qFormat/>
    <w:rsid w:val="001F6098"/>
    <w:pPr>
      <w:spacing w:before="240"/>
      <w:outlineLvl w:val="3"/>
    </w:pPr>
    <w:rPr>
      <w:color w:val="595959" w:themeColor="text1" w:themeTint="A6"/>
      <w:sz w:val="26"/>
      <w:szCs w:val="26"/>
    </w:rPr>
  </w:style>
  <w:style w:type="paragraph" w:styleId="Heading5">
    <w:name w:val="heading 5"/>
    <w:basedOn w:val="Normal"/>
    <w:next w:val="Normal"/>
    <w:link w:val="Heading5Char"/>
    <w:uiPriority w:val="9"/>
    <w:unhideWhenUsed/>
    <w:qFormat/>
    <w:rsid w:val="001F6098"/>
    <w:pPr>
      <w:keepNext/>
      <w:keepLines/>
      <w:spacing w:before="12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361217"/>
    <w:pPr>
      <w:keepNext/>
      <w:keepLines/>
      <w:spacing w:before="4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A62B7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150CB"/>
    <w:rPr>
      <w:rFonts w:eastAsia="SimSun" w:cs="Angsana New"/>
      <w:b/>
      <w:bCs/>
      <w:color w:val="404040"/>
      <w:w w:val="105"/>
      <w:kern w:val="32"/>
      <w:sz w:val="52"/>
      <w:szCs w:val="52"/>
      <w:lang w:eastAsia="en-US"/>
    </w:rPr>
  </w:style>
  <w:style w:type="paragraph" w:styleId="Title">
    <w:name w:val="Title"/>
    <w:basedOn w:val="Normal"/>
    <w:next w:val="Normal"/>
    <w:link w:val="TitleChar"/>
    <w:uiPriority w:val="10"/>
    <w:qFormat/>
    <w:rsid w:val="006150CB"/>
    <w:pPr>
      <w:spacing w:before="240" w:after="60" w:line="240" w:lineRule="auto"/>
      <w:outlineLvl w:val="0"/>
    </w:pPr>
    <w:rPr>
      <w:rFonts w:eastAsia="SimSun" w:cs="Angsana New"/>
      <w:b/>
      <w:bCs/>
      <w:noProof/>
      <w:kern w:val="28"/>
      <w:sz w:val="56"/>
      <w:szCs w:val="32"/>
    </w:rPr>
  </w:style>
  <w:style w:type="character" w:customStyle="1" w:styleId="TitleChar">
    <w:name w:val="Title Char"/>
    <w:link w:val="Title"/>
    <w:uiPriority w:val="10"/>
    <w:rsid w:val="006150CB"/>
    <w:rPr>
      <w:rFonts w:eastAsia="SimSun" w:cs="Angsana New"/>
      <w:b/>
      <w:bCs/>
      <w:noProof/>
      <w:w w:val="105"/>
      <w:kern w:val="28"/>
      <w:sz w:val="56"/>
      <w:szCs w:val="32"/>
      <w:lang w:eastAsia="en-US"/>
    </w:rPr>
  </w:style>
  <w:style w:type="character" w:customStyle="1" w:styleId="Heading2Char">
    <w:name w:val="Heading 2 Char"/>
    <w:link w:val="Heading2"/>
    <w:uiPriority w:val="9"/>
    <w:rsid w:val="00394664"/>
    <w:rPr>
      <w:rFonts w:eastAsia="SimSun" w:cs="Angsana New"/>
      <w:b/>
      <w:bCs/>
      <w:iCs/>
      <w:color w:val="4D738A"/>
      <w:w w:val="105"/>
      <w:kern w:val="40"/>
      <w:sz w:val="40"/>
      <w:szCs w:val="48"/>
      <w:lang w:eastAsia="en-US"/>
    </w:rPr>
  </w:style>
  <w:style w:type="paragraph" w:styleId="Subtitle">
    <w:name w:val="Subtitle"/>
    <w:basedOn w:val="Title"/>
    <w:next w:val="Normal"/>
    <w:link w:val="SubtitleChar"/>
    <w:uiPriority w:val="11"/>
    <w:qFormat/>
    <w:rsid w:val="006150CB"/>
    <w:pPr>
      <w:jc w:val="right"/>
    </w:pPr>
    <w:rPr>
      <w:sz w:val="28"/>
      <w:szCs w:val="28"/>
    </w:rPr>
  </w:style>
  <w:style w:type="character" w:customStyle="1" w:styleId="SubtitleChar">
    <w:name w:val="Subtitle Char"/>
    <w:link w:val="Subtitle"/>
    <w:uiPriority w:val="11"/>
    <w:rsid w:val="006150CB"/>
    <w:rPr>
      <w:rFonts w:eastAsia="SimSun" w:cs="Angsana New"/>
      <w:b/>
      <w:bCs/>
      <w:noProof/>
      <w:w w:val="105"/>
      <w:kern w:val="28"/>
      <w:sz w:val="28"/>
      <w:szCs w:val="28"/>
      <w:lang w:eastAsia="en-US"/>
    </w:rPr>
  </w:style>
  <w:style w:type="character" w:customStyle="1" w:styleId="Heading3Char">
    <w:name w:val="Heading 3 Char"/>
    <w:link w:val="Heading3"/>
    <w:uiPriority w:val="9"/>
    <w:rsid w:val="006150CB"/>
    <w:rPr>
      <w:rFonts w:eastAsia="SimSun" w:cs="Angsana New"/>
      <w:b/>
      <w:bCs/>
      <w:color w:val="404040"/>
      <w:w w:val="105"/>
      <w:kern w:val="40"/>
      <w:sz w:val="32"/>
      <w:szCs w:val="32"/>
      <w:lang w:eastAsia="en-US"/>
    </w:rPr>
  </w:style>
  <w:style w:type="paragraph" w:styleId="Header">
    <w:name w:val="header"/>
    <w:basedOn w:val="Normal"/>
    <w:link w:val="HeaderChar"/>
    <w:uiPriority w:val="99"/>
    <w:unhideWhenUsed/>
    <w:rsid w:val="006150CB"/>
    <w:pPr>
      <w:tabs>
        <w:tab w:val="center" w:pos="4513"/>
        <w:tab w:val="right" w:pos="9026"/>
      </w:tabs>
    </w:pPr>
  </w:style>
  <w:style w:type="character" w:customStyle="1" w:styleId="HeaderChar">
    <w:name w:val="Header Char"/>
    <w:link w:val="Header"/>
    <w:uiPriority w:val="99"/>
    <w:rsid w:val="006150CB"/>
    <w:rPr>
      <w:sz w:val="22"/>
      <w:szCs w:val="22"/>
      <w:lang w:eastAsia="en-US"/>
    </w:rPr>
  </w:style>
  <w:style w:type="paragraph" w:styleId="Footer">
    <w:name w:val="footer"/>
    <w:basedOn w:val="Normal"/>
    <w:link w:val="FooterChar"/>
    <w:uiPriority w:val="99"/>
    <w:unhideWhenUsed/>
    <w:rsid w:val="006150CB"/>
    <w:pPr>
      <w:tabs>
        <w:tab w:val="center" w:pos="4513"/>
        <w:tab w:val="right" w:pos="9026"/>
      </w:tabs>
    </w:pPr>
  </w:style>
  <w:style w:type="character" w:customStyle="1" w:styleId="FooterChar">
    <w:name w:val="Footer Char"/>
    <w:link w:val="Footer"/>
    <w:uiPriority w:val="99"/>
    <w:rsid w:val="006150CB"/>
    <w:rPr>
      <w:sz w:val="22"/>
      <w:szCs w:val="22"/>
      <w:lang w:eastAsia="en-US"/>
    </w:rPr>
  </w:style>
  <w:style w:type="paragraph" w:styleId="BalloonText">
    <w:name w:val="Balloon Text"/>
    <w:basedOn w:val="Normal"/>
    <w:link w:val="BalloonTextChar"/>
    <w:uiPriority w:val="99"/>
    <w:semiHidden/>
    <w:unhideWhenUsed/>
    <w:rsid w:val="005C1B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C1BB3"/>
    <w:rPr>
      <w:rFonts w:ascii="Tahoma" w:hAnsi="Tahoma" w:cs="Tahoma"/>
      <w:w w:val="105"/>
      <w:kern w:val="40"/>
      <w:sz w:val="16"/>
      <w:szCs w:val="16"/>
      <w:lang w:eastAsia="en-US"/>
    </w:rPr>
  </w:style>
  <w:style w:type="paragraph" w:customStyle="1" w:styleId="Bullet1">
    <w:name w:val="Bullet 1"/>
    <w:basedOn w:val="ListBullet2"/>
    <w:link w:val="Bullet1Char"/>
    <w:autoRedefine/>
    <w:qFormat/>
    <w:rsid w:val="00083B3B"/>
    <w:pPr>
      <w:numPr>
        <w:ilvl w:val="0"/>
        <w:numId w:val="0"/>
      </w:numPr>
      <w:spacing w:after="120"/>
    </w:pPr>
  </w:style>
  <w:style w:type="numbering" w:customStyle="1" w:styleId="Bullet2">
    <w:name w:val="Bullet 2"/>
    <w:basedOn w:val="NoList"/>
    <w:uiPriority w:val="99"/>
    <w:rsid w:val="0011430B"/>
    <w:pPr>
      <w:numPr>
        <w:numId w:val="2"/>
      </w:numPr>
    </w:pPr>
  </w:style>
  <w:style w:type="paragraph" w:styleId="ListBullet2">
    <w:name w:val="List Bullet 2"/>
    <w:basedOn w:val="ListBullet"/>
    <w:link w:val="ListBullet2Char"/>
    <w:autoRedefine/>
    <w:uiPriority w:val="99"/>
    <w:unhideWhenUsed/>
    <w:qFormat/>
    <w:rsid w:val="00151A0A"/>
    <w:pPr>
      <w:ind w:left="1134" w:hanging="567"/>
    </w:pPr>
  </w:style>
  <w:style w:type="character" w:customStyle="1" w:styleId="Heading4Char">
    <w:name w:val="Heading 4 Char"/>
    <w:basedOn w:val="DefaultParagraphFont"/>
    <w:link w:val="Heading4"/>
    <w:uiPriority w:val="9"/>
    <w:rsid w:val="001F6098"/>
    <w:rPr>
      <w:rFonts w:eastAsia="SimSun" w:cs="Angsana New"/>
      <w:b/>
      <w:bCs/>
      <w:color w:val="595959" w:themeColor="text1" w:themeTint="A6"/>
      <w:w w:val="105"/>
      <w:kern w:val="40"/>
      <w:sz w:val="26"/>
      <w:szCs w:val="26"/>
      <w:lang w:eastAsia="en-US"/>
    </w:rPr>
  </w:style>
  <w:style w:type="paragraph" w:styleId="ListBullet">
    <w:name w:val="List Bullet"/>
    <w:aliases w:val="List Bullet 1"/>
    <w:basedOn w:val="Normal"/>
    <w:link w:val="ListBulletChar"/>
    <w:uiPriority w:val="99"/>
    <w:unhideWhenUsed/>
    <w:rsid w:val="0011430B"/>
    <w:pPr>
      <w:numPr>
        <w:ilvl w:val="1"/>
        <w:numId w:val="1"/>
      </w:numPr>
      <w:ind w:left="1440"/>
      <w:contextualSpacing/>
    </w:pPr>
  </w:style>
  <w:style w:type="character" w:styleId="Strong">
    <w:name w:val="Strong"/>
    <w:basedOn w:val="DefaultParagraphFont"/>
    <w:uiPriority w:val="22"/>
    <w:rsid w:val="0011430B"/>
    <w:rPr>
      <w:b/>
      <w:bCs/>
    </w:rPr>
  </w:style>
  <w:style w:type="character" w:styleId="SubtleEmphasis">
    <w:name w:val="Subtle Emphasis"/>
    <w:basedOn w:val="DefaultParagraphFont"/>
    <w:uiPriority w:val="19"/>
    <w:rsid w:val="0011430B"/>
    <w:rPr>
      <w:i/>
      <w:iCs/>
      <w:color w:val="808080" w:themeColor="text1" w:themeTint="7F"/>
    </w:rPr>
  </w:style>
  <w:style w:type="paragraph" w:styleId="FootnoteText">
    <w:name w:val="footnote text"/>
    <w:basedOn w:val="Normal"/>
    <w:link w:val="FootnoteTextChar"/>
    <w:uiPriority w:val="99"/>
    <w:semiHidden/>
    <w:unhideWhenUsed/>
    <w:rsid w:val="001F6098"/>
    <w:pPr>
      <w:spacing w:after="0" w:line="240" w:lineRule="auto"/>
    </w:pPr>
    <w:rPr>
      <w:rFonts w:asciiTheme="minorHAnsi" w:eastAsiaTheme="minorHAnsi" w:hAnsiTheme="minorHAnsi" w:cstheme="minorBidi"/>
      <w:w w:val="100"/>
      <w:kern w:val="0"/>
      <w:sz w:val="20"/>
      <w:szCs w:val="20"/>
    </w:rPr>
  </w:style>
  <w:style w:type="character" w:customStyle="1" w:styleId="FootnoteTextChar">
    <w:name w:val="Footnote Text Char"/>
    <w:basedOn w:val="DefaultParagraphFont"/>
    <w:link w:val="FootnoteText"/>
    <w:uiPriority w:val="99"/>
    <w:semiHidden/>
    <w:rsid w:val="001F6098"/>
    <w:rPr>
      <w:rFonts w:asciiTheme="minorHAnsi" w:eastAsiaTheme="minorHAnsi" w:hAnsiTheme="minorHAnsi" w:cstheme="minorBidi"/>
      <w:lang w:eastAsia="en-US"/>
    </w:rPr>
  </w:style>
  <w:style w:type="paragraph" w:styleId="ListParagraph">
    <w:name w:val="List Paragraph"/>
    <w:basedOn w:val="Normal"/>
    <w:uiPriority w:val="34"/>
    <w:qFormat/>
    <w:rsid w:val="001F6098"/>
    <w:pPr>
      <w:spacing w:after="160" w:line="256" w:lineRule="auto"/>
      <w:ind w:left="720"/>
      <w:contextualSpacing/>
    </w:pPr>
    <w:rPr>
      <w:rFonts w:asciiTheme="minorHAnsi" w:eastAsiaTheme="minorHAnsi" w:hAnsiTheme="minorHAnsi" w:cstheme="minorBidi"/>
      <w:w w:val="100"/>
      <w:kern w:val="0"/>
    </w:rPr>
  </w:style>
  <w:style w:type="character" w:styleId="FootnoteReference">
    <w:name w:val="footnote reference"/>
    <w:basedOn w:val="DefaultParagraphFont"/>
    <w:uiPriority w:val="99"/>
    <w:semiHidden/>
    <w:unhideWhenUsed/>
    <w:rsid w:val="001F6098"/>
    <w:rPr>
      <w:vertAlign w:val="superscript"/>
    </w:rPr>
  </w:style>
  <w:style w:type="table" w:styleId="GridTable2-Accent3">
    <w:name w:val="Grid Table 2 Accent 3"/>
    <w:basedOn w:val="TableNormal"/>
    <w:uiPriority w:val="47"/>
    <w:rsid w:val="001F6098"/>
    <w:rPr>
      <w:rFonts w:asciiTheme="minorHAnsi" w:eastAsiaTheme="minorHAnsi" w:hAnsiTheme="minorHAnsi" w:cstheme="minorBidi"/>
      <w:sz w:val="22"/>
      <w:szCs w:val="22"/>
      <w:lang w:eastAsia="en-US"/>
    </w:rPr>
    <w:tblPr>
      <w:tblStyleRowBandSize w:val="1"/>
      <w:tblStyleColBandSize w:val="1"/>
      <w:tblInd w:w="0" w:type="nil"/>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Numberedlist">
    <w:name w:val="Numbered list"/>
    <w:basedOn w:val="Bullet1"/>
    <w:link w:val="NumberedlistChar"/>
    <w:qFormat/>
    <w:rsid w:val="001F6098"/>
    <w:pPr>
      <w:numPr>
        <w:numId w:val="8"/>
      </w:numPr>
    </w:pPr>
  </w:style>
  <w:style w:type="character" w:customStyle="1" w:styleId="Heading5Char">
    <w:name w:val="Heading 5 Char"/>
    <w:basedOn w:val="DefaultParagraphFont"/>
    <w:link w:val="Heading5"/>
    <w:uiPriority w:val="9"/>
    <w:rsid w:val="001F6098"/>
    <w:rPr>
      <w:rFonts w:asciiTheme="majorHAnsi" w:eastAsiaTheme="majorEastAsia" w:hAnsiTheme="majorHAnsi" w:cstheme="majorBidi"/>
      <w:color w:val="365F91" w:themeColor="accent1" w:themeShade="BF"/>
      <w:w w:val="105"/>
      <w:kern w:val="40"/>
      <w:sz w:val="22"/>
      <w:szCs w:val="22"/>
      <w:lang w:eastAsia="en-US"/>
    </w:rPr>
  </w:style>
  <w:style w:type="character" w:customStyle="1" w:styleId="ListBulletChar">
    <w:name w:val="List Bullet Char"/>
    <w:aliases w:val="List Bullet 1 Char"/>
    <w:basedOn w:val="DefaultParagraphFont"/>
    <w:link w:val="ListBullet"/>
    <w:uiPriority w:val="99"/>
    <w:rsid w:val="001F6098"/>
    <w:rPr>
      <w:rFonts w:cs="Calibri"/>
      <w:w w:val="105"/>
      <w:kern w:val="40"/>
      <w:sz w:val="22"/>
      <w:szCs w:val="22"/>
      <w:lang w:eastAsia="en-US"/>
    </w:rPr>
  </w:style>
  <w:style w:type="character" w:customStyle="1" w:styleId="ListBullet2Char">
    <w:name w:val="List Bullet 2 Char"/>
    <w:basedOn w:val="ListBulletChar"/>
    <w:link w:val="ListBullet2"/>
    <w:uiPriority w:val="99"/>
    <w:rsid w:val="001F6098"/>
    <w:rPr>
      <w:rFonts w:cs="Calibri"/>
      <w:w w:val="105"/>
      <w:kern w:val="40"/>
      <w:sz w:val="22"/>
      <w:szCs w:val="22"/>
      <w:lang w:eastAsia="en-US"/>
    </w:rPr>
  </w:style>
  <w:style w:type="character" w:customStyle="1" w:styleId="Bullet1Char">
    <w:name w:val="Bullet 1 Char"/>
    <w:basedOn w:val="ListBullet2Char"/>
    <w:link w:val="Bullet1"/>
    <w:rsid w:val="00083B3B"/>
    <w:rPr>
      <w:rFonts w:cs="Calibri"/>
      <w:w w:val="105"/>
      <w:kern w:val="40"/>
      <w:sz w:val="22"/>
      <w:szCs w:val="22"/>
      <w:lang w:eastAsia="en-US"/>
    </w:rPr>
  </w:style>
  <w:style w:type="character" w:customStyle="1" w:styleId="NumberedlistChar">
    <w:name w:val="Numbered list Char"/>
    <w:basedOn w:val="Bullet1Char"/>
    <w:link w:val="Numberedlist"/>
    <w:rsid w:val="001F6098"/>
    <w:rPr>
      <w:rFonts w:cs="Calibri"/>
      <w:w w:val="105"/>
      <w:kern w:val="40"/>
      <w:sz w:val="22"/>
      <w:szCs w:val="22"/>
      <w:lang w:eastAsia="en-US"/>
    </w:rPr>
  </w:style>
  <w:style w:type="character" w:customStyle="1" w:styleId="Heading6Char">
    <w:name w:val="Heading 6 Char"/>
    <w:basedOn w:val="DefaultParagraphFont"/>
    <w:link w:val="Heading6"/>
    <w:uiPriority w:val="9"/>
    <w:rsid w:val="00361217"/>
    <w:rPr>
      <w:rFonts w:asciiTheme="majorHAnsi" w:eastAsiaTheme="majorEastAsia" w:hAnsiTheme="majorHAnsi" w:cstheme="majorBidi"/>
      <w:i/>
      <w:color w:val="243F60" w:themeColor="accent1" w:themeShade="7F"/>
      <w:w w:val="105"/>
      <w:kern w:val="40"/>
      <w:sz w:val="22"/>
      <w:szCs w:val="22"/>
      <w:lang w:eastAsia="en-US"/>
    </w:rPr>
  </w:style>
  <w:style w:type="table" w:styleId="GridTable2-Accent1">
    <w:name w:val="Grid Table 2 Accent 1"/>
    <w:basedOn w:val="TableNormal"/>
    <w:uiPriority w:val="47"/>
    <w:rsid w:val="00516618"/>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004609"/>
    <w:rPr>
      <w:color w:val="0000FF" w:themeColor="hyperlink"/>
      <w:u w:val="single"/>
    </w:rPr>
  </w:style>
  <w:style w:type="character" w:customStyle="1" w:styleId="UnresolvedMention1">
    <w:name w:val="Unresolved Mention1"/>
    <w:basedOn w:val="DefaultParagraphFont"/>
    <w:uiPriority w:val="99"/>
    <w:semiHidden/>
    <w:unhideWhenUsed/>
    <w:rsid w:val="00004609"/>
    <w:rPr>
      <w:color w:val="605E5C"/>
      <w:shd w:val="clear" w:color="auto" w:fill="E1DFDD"/>
    </w:rPr>
  </w:style>
  <w:style w:type="table" w:styleId="GridTable1Light-Accent1">
    <w:name w:val="Grid Table 1 Light Accent 1"/>
    <w:basedOn w:val="TableNormal"/>
    <w:uiPriority w:val="46"/>
    <w:rsid w:val="006C597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1Light-Accent1">
    <w:name w:val="List Table 1 Light Accent 1"/>
    <w:basedOn w:val="TableNormal"/>
    <w:uiPriority w:val="46"/>
    <w:rsid w:val="006C5972"/>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6C5972"/>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5">
    <w:name w:val="Grid Table 2 Accent 5"/>
    <w:basedOn w:val="TableNormal"/>
    <w:uiPriority w:val="47"/>
    <w:rsid w:val="006C5972"/>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Style1">
    <w:name w:val="Style1"/>
    <w:basedOn w:val="TableGrid2"/>
    <w:uiPriority w:val="99"/>
    <w:rsid w:val="00070C30"/>
    <w:tblPr>
      <w:tblStyleRowBandSize w:val="1"/>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tblPr/>
      <w:tcPr>
        <w:shd w:val="clear" w:color="auto" w:fill="A4BDCC"/>
      </w:tcPr>
    </w:tblStylePr>
  </w:style>
  <w:style w:type="table" w:styleId="TableGrid">
    <w:name w:val="Table Grid"/>
    <w:basedOn w:val="TableNormal"/>
    <w:uiPriority w:val="39"/>
    <w:rsid w:val="00640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uiPriority w:val="99"/>
    <w:semiHidden/>
    <w:unhideWhenUsed/>
    <w:rsid w:val="00640367"/>
    <w:pPr>
      <w:spacing w:after="20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8F621A"/>
    <w:pPr>
      <w:keepLines/>
      <w:spacing w:before="240" w:line="259" w:lineRule="auto"/>
      <w:jc w:val="left"/>
      <w:outlineLvl w:val="9"/>
    </w:pPr>
    <w:rPr>
      <w:rFonts w:asciiTheme="majorHAnsi" w:eastAsiaTheme="majorEastAsia" w:hAnsiTheme="majorHAnsi" w:cstheme="majorBidi"/>
      <w:b w:val="0"/>
      <w:bCs w:val="0"/>
      <w:color w:val="365F91" w:themeColor="accent1" w:themeShade="BF"/>
      <w:w w:val="100"/>
      <w:kern w:val="0"/>
      <w:sz w:val="32"/>
      <w:szCs w:val="32"/>
      <w:lang w:val="en-US"/>
    </w:rPr>
  </w:style>
  <w:style w:type="paragraph" w:styleId="TOC1">
    <w:name w:val="toc 1"/>
    <w:basedOn w:val="Normal"/>
    <w:next w:val="Normal"/>
    <w:autoRedefine/>
    <w:uiPriority w:val="39"/>
    <w:unhideWhenUsed/>
    <w:rsid w:val="008F621A"/>
    <w:pPr>
      <w:spacing w:after="100"/>
    </w:pPr>
  </w:style>
  <w:style w:type="paragraph" w:styleId="TOC2">
    <w:name w:val="toc 2"/>
    <w:basedOn w:val="Normal"/>
    <w:next w:val="Normal"/>
    <w:autoRedefine/>
    <w:uiPriority w:val="39"/>
    <w:unhideWhenUsed/>
    <w:rsid w:val="008F621A"/>
    <w:pPr>
      <w:spacing w:after="100"/>
      <w:ind w:left="220"/>
    </w:pPr>
  </w:style>
  <w:style w:type="paragraph" w:styleId="TOC3">
    <w:name w:val="toc 3"/>
    <w:basedOn w:val="Normal"/>
    <w:next w:val="Normal"/>
    <w:autoRedefine/>
    <w:uiPriority w:val="39"/>
    <w:unhideWhenUsed/>
    <w:rsid w:val="008F621A"/>
    <w:pPr>
      <w:spacing w:after="100"/>
      <w:ind w:left="440"/>
    </w:pPr>
  </w:style>
  <w:style w:type="paragraph" w:styleId="TOC5">
    <w:name w:val="toc 5"/>
    <w:basedOn w:val="Normal"/>
    <w:next w:val="Normal"/>
    <w:autoRedefine/>
    <w:uiPriority w:val="39"/>
    <w:unhideWhenUsed/>
    <w:rsid w:val="00A62B75"/>
    <w:pPr>
      <w:spacing w:after="100"/>
      <w:ind w:left="880"/>
    </w:pPr>
  </w:style>
  <w:style w:type="paragraph" w:styleId="TOC4">
    <w:name w:val="toc 4"/>
    <w:basedOn w:val="Normal"/>
    <w:next w:val="Normal"/>
    <w:autoRedefine/>
    <w:uiPriority w:val="39"/>
    <w:unhideWhenUsed/>
    <w:rsid w:val="00A62B75"/>
    <w:pPr>
      <w:spacing w:after="100"/>
      <w:ind w:left="660"/>
    </w:pPr>
  </w:style>
  <w:style w:type="character" w:customStyle="1" w:styleId="Heading7Char">
    <w:name w:val="Heading 7 Char"/>
    <w:basedOn w:val="DefaultParagraphFont"/>
    <w:link w:val="Heading7"/>
    <w:uiPriority w:val="9"/>
    <w:semiHidden/>
    <w:rsid w:val="00A62B75"/>
    <w:rPr>
      <w:rFonts w:asciiTheme="majorHAnsi" w:eastAsiaTheme="majorEastAsia" w:hAnsiTheme="majorHAnsi" w:cstheme="majorBidi"/>
      <w:i/>
      <w:iCs/>
      <w:color w:val="243F60" w:themeColor="accent1" w:themeShade="7F"/>
      <w:w w:val="105"/>
      <w:kern w:val="40"/>
      <w:sz w:val="22"/>
      <w:szCs w:val="22"/>
      <w:lang w:eastAsia="en-US"/>
    </w:rPr>
  </w:style>
  <w:style w:type="paragraph" w:styleId="Quote">
    <w:name w:val="Quote"/>
    <w:basedOn w:val="Normal"/>
    <w:next w:val="Normal"/>
    <w:link w:val="QuoteChar"/>
    <w:uiPriority w:val="29"/>
    <w:qFormat/>
    <w:rsid w:val="00361217"/>
    <w:pPr>
      <w:spacing w:before="200" w:after="160"/>
      <w:ind w:left="864" w:right="864"/>
      <w:jc w:val="center"/>
    </w:pPr>
    <w:rPr>
      <w:i/>
      <w:iCs/>
      <w:color w:val="404040" w:themeColor="text1" w:themeTint="BF"/>
    </w:rPr>
  </w:style>
  <w:style w:type="paragraph" w:styleId="TOC9">
    <w:name w:val="toc 9"/>
    <w:basedOn w:val="Normal"/>
    <w:next w:val="Normal"/>
    <w:autoRedefine/>
    <w:uiPriority w:val="39"/>
    <w:semiHidden/>
    <w:unhideWhenUsed/>
    <w:rsid w:val="00D12E18"/>
    <w:pPr>
      <w:spacing w:after="100"/>
      <w:ind w:left="1760"/>
    </w:pPr>
  </w:style>
  <w:style w:type="character" w:customStyle="1" w:styleId="QuoteChar">
    <w:name w:val="Quote Char"/>
    <w:basedOn w:val="DefaultParagraphFont"/>
    <w:link w:val="Quote"/>
    <w:uiPriority w:val="29"/>
    <w:rsid w:val="00361217"/>
    <w:rPr>
      <w:rFonts w:cs="Calibri"/>
      <w:i/>
      <w:iCs/>
      <w:color w:val="404040" w:themeColor="text1" w:themeTint="BF"/>
      <w:w w:val="105"/>
      <w:kern w:val="40"/>
      <w:sz w:val="22"/>
      <w:szCs w:val="22"/>
      <w:lang w:eastAsia="en-US"/>
    </w:rPr>
  </w:style>
  <w:style w:type="character" w:styleId="CommentReference">
    <w:name w:val="annotation reference"/>
    <w:basedOn w:val="DefaultParagraphFont"/>
    <w:uiPriority w:val="99"/>
    <w:semiHidden/>
    <w:unhideWhenUsed/>
    <w:rsid w:val="005A01AB"/>
    <w:rPr>
      <w:sz w:val="16"/>
      <w:szCs w:val="16"/>
    </w:rPr>
  </w:style>
  <w:style w:type="paragraph" w:styleId="CommentText">
    <w:name w:val="annotation text"/>
    <w:basedOn w:val="Normal"/>
    <w:link w:val="CommentTextChar"/>
    <w:uiPriority w:val="99"/>
    <w:unhideWhenUsed/>
    <w:rsid w:val="005A01AB"/>
    <w:pPr>
      <w:spacing w:line="240" w:lineRule="auto"/>
    </w:pPr>
    <w:rPr>
      <w:sz w:val="20"/>
      <w:szCs w:val="20"/>
    </w:rPr>
  </w:style>
  <w:style w:type="character" w:customStyle="1" w:styleId="CommentTextChar">
    <w:name w:val="Comment Text Char"/>
    <w:basedOn w:val="DefaultParagraphFont"/>
    <w:link w:val="CommentText"/>
    <w:uiPriority w:val="99"/>
    <w:rsid w:val="005A01AB"/>
    <w:rPr>
      <w:rFonts w:cs="Calibri"/>
      <w:w w:val="105"/>
      <w:kern w:val="40"/>
      <w:lang w:eastAsia="en-US"/>
    </w:rPr>
  </w:style>
  <w:style w:type="paragraph" w:styleId="CommentSubject">
    <w:name w:val="annotation subject"/>
    <w:basedOn w:val="CommentText"/>
    <w:next w:val="CommentText"/>
    <w:link w:val="CommentSubjectChar"/>
    <w:uiPriority w:val="99"/>
    <w:semiHidden/>
    <w:unhideWhenUsed/>
    <w:rsid w:val="005A01AB"/>
    <w:rPr>
      <w:b/>
      <w:bCs/>
    </w:rPr>
  </w:style>
  <w:style w:type="character" w:customStyle="1" w:styleId="CommentSubjectChar">
    <w:name w:val="Comment Subject Char"/>
    <w:basedOn w:val="CommentTextChar"/>
    <w:link w:val="CommentSubject"/>
    <w:uiPriority w:val="99"/>
    <w:semiHidden/>
    <w:rsid w:val="005A01AB"/>
    <w:rPr>
      <w:rFonts w:cs="Calibri"/>
      <w:b/>
      <w:bCs/>
      <w:w w:val="105"/>
      <w:kern w:val="40"/>
      <w:lang w:eastAsia="en-US"/>
    </w:rPr>
  </w:style>
  <w:style w:type="paragraph" w:customStyle="1" w:styleId="Celltext">
    <w:name w:val="Cell text"/>
    <w:basedOn w:val="Normal"/>
    <w:rsid w:val="00F47524"/>
    <w:pPr>
      <w:spacing w:before="120" w:after="0" w:line="240" w:lineRule="auto"/>
    </w:pPr>
    <w:rPr>
      <w:rFonts w:ascii="Times New Roman" w:eastAsia="Times New Roman" w:hAnsi="Times New Roman" w:cs="Times New Roman"/>
      <w:w w:val="100"/>
      <w:kern w:val="0"/>
      <w:sz w:val="24"/>
      <w:szCs w:val="20"/>
      <w:lang w:eastAsia="en-AU"/>
    </w:rPr>
  </w:style>
  <w:style w:type="table" w:customStyle="1" w:styleId="GridTable2-Accent31">
    <w:name w:val="Grid Table 2 - Accent 31"/>
    <w:basedOn w:val="TableNormal"/>
    <w:next w:val="GridTable2-Accent3"/>
    <w:uiPriority w:val="47"/>
    <w:rsid w:val="00AA549A"/>
    <w:rPr>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FootnoteText1">
    <w:name w:val="Footnote Text1"/>
    <w:basedOn w:val="Normal"/>
    <w:next w:val="FootnoteText"/>
    <w:uiPriority w:val="99"/>
    <w:semiHidden/>
    <w:unhideWhenUsed/>
    <w:rsid w:val="00AA549A"/>
    <w:pPr>
      <w:spacing w:after="0" w:line="240" w:lineRule="auto"/>
    </w:pPr>
    <w:rPr>
      <w:rFonts w:cs="Times New Roman"/>
      <w:w w:val="100"/>
      <w:kern w:val="0"/>
      <w:sz w:val="20"/>
      <w:szCs w:val="20"/>
      <w:lang w:eastAsia="en-AU"/>
    </w:rPr>
  </w:style>
  <w:style w:type="character" w:customStyle="1" w:styleId="FootnoteTextChar1">
    <w:name w:val="Footnote Text Char1"/>
    <w:basedOn w:val="DefaultParagraphFont"/>
    <w:uiPriority w:val="99"/>
    <w:semiHidden/>
    <w:rsid w:val="00AA549A"/>
    <w:rPr>
      <w:rFonts w:cs="Calibri"/>
      <w:w w:val="105"/>
      <w:kern w:val="40"/>
      <w:lang w:eastAsia="en-US"/>
    </w:rPr>
  </w:style>
  <w:style w:type="table" w:customStyle="1" w:styleId="GridTable2-Accent32">
    <w:name w:val="Grid Table 2 - Accent 32"/>
    <w:basedOn w:val="TableNormal"/>
    <w:next w:val="GridTable2-Accent3"/>
    <w:uiPriority w:val="47"/>
    <w:rsid w:val="00AA549A"/>
    <w:rPr>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EndnoteText">
    <w:name w:val="endnote text"/>
    <w:basedOn w:val="Normal"/>
    <w:link w:val="EndnoteTextChar"/>
    <w:uiPriority w:val="99"/>
    <w:semiHidden/>
    <w:unhideWhenUsed/>
    <w:rsid w:val="00A4523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234"/>
    <w:rPr>
      <w:rFonts w:cs="Calibri"/>
      <w:w w:val="105"/>
      <w:kern w:val="40"/>
      <w:lang w:eastAsia="en-US"/>
    </w:rPr>
  </w:style>
  <w:style w:type="character" w:styleId="EndnoteReference">
    <w:name w:val="endnote reference"/>
    <w:basedOn w:val="DefaultParagraphFont"/>
    <w:uiPriority w:val="99"/>
    <w:semiHidden/>
    <w:unhideWhenUsed/>
    <w:rsid w:val="00A45234"/>
    <w:rPr>
      <w:vertAlign w:val="superscript"/>
    </w:rPr>
  </w:style>
  <w:style w:type="paragraph" w:styleId="Revision">
    <w:name w:val="Revision"/>
    <w:hidden/>
    <w:uiPriority w:val="99"/>
    <w:semiHidden/>
    <w:rsid w:val="00791156"/>
    <w:rPr>
      <w:rFonts w:cs="Calibri"/>
      <w:w w:val="105"/>
      <w:kern w:val="40"/>
      <w:sz w:val="22"/>
      <w:szCs w:val="22"/>
      <w:lang w:eastAsia="en-US"/>
    </w:rPr>
  </w:style>
  <w:style w:type="character" w:styleId="UnresolvedMention">
    <w:name w:val="Unresolved Mention"/>
    <w:basedOn w:val="DefaultParagraphFont"/>
    <w:uiPriority w:val="99"/>
    <w:semiHidden/>
    <w:unhideWhenUsed/>
    <w:rsid w:val="00253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859652">
      <w:bodyDiv w:val="1"/>
      <w:marLeft w:val="0"/>
      <w:marRight w:val="0"/>
      <w:marTop w:val="0"/>
      <w:marBottom w:val="0"/>
      <w:divBdr>
        <w:top w:val="none" w:sz="0" w:space="0" w:color="auto"/>
        <w:left w:val="none" w:sz="0" w:space="0" w:color="auto"/>
        <w:bottom w:val="none" w:sz="0" w:space="0" w:color="auto"/>
        <w:right w:val="none" w:sz="0" w:space="0" w:color="auto"/>
      </w:divBdr>
    </w:div>
    <w:div w:id="1252280317">
      <w:bodyDiv w:val="1"/>
      <w:marLeft w:val="0"/>
      <w:marRight w:val="0"/>
      <w:marTop w:val="0"/>
      <w:marBottom w:val="0"/>
      <w:divBdr>
        <w:top w:val="none" w:sz="0" w:space="0" w:color="auto"/>
        <w:left w:val="none" w:sz="0" w:space="0" w:color="auto"/>
        <w:bottom w:val="none" w:sz="0" w:space="0" w:color="auto"/>
        <w:right w:val="none" w:sz="0" w:space="0" w:color="auto"/>
      </w:divBdr>
    </w:div>
    <w:div w:id="1385523497">
      <w:bodyDiv w:val="1"/>
      <w:marLeft w:val="0"/>
      <w:marRight w:val="0"/>
      <w:marTop w:val="0"/>
      <w:marBottom w:val="0"/>
      <w:divBdr>
        <w:top w:val="none" w:sz="0" w:space="0" w:color="auto"/>
        <w:left w:val="none" w:sz="0" w:space="0" w:color="auto"/>
        <w:bottom w:val="none" w:sz="0" w:space="0" w:color="auto"/>
        <w:right w:val="none" w:sz="0" w:space="0" w:color="auto"/>
      </w:divBdr>
    </w:div>
    <w:div w:id="164974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s.gov.au/ausstats/abs@.nsf/Lookup/by%20Subject/1270.0.55.001~July%202016~Main%20Features~Statistical%20Area%20Level%203%20(SA3)~100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support@communitygrants.gov.au" TargetMode="External"/><Relationship Id="rId4" Type="http://schemas.openxmlformats.org/officeDocument/2006/relationships/webSettings" Target="webSettings.xml"/><Relationship Id="rId9" Type="http://schemas.openxmlformats.org/officeDocument/2006/relationships/hyperlink" Target="mailto:FamilyLawServices@ag.gov.a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onsultations.ag.gov.au/families-and-marriage/childrens-contact-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of locations for new Children’s Contact Services – Final Methodology paper</dc:title>
  <dc:creator/>
  <cp:lastModifiedBy/>
  <cp:revision>1</cp:revision>
  <dcterms:created xsi:type="dcterms:W3CDTF">2022-04-03T22:52:00Z</dcterms:created>
  <dcterms:modified xsi:type="dcterms:W3CDTF">2022-04-03T22:52:00Z</dcterms:modified>
</cp:coreProperties>
</file>