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1E97" w14:textId="77777777" w:rsidR="00394664" w:rsidRDefault="00BF004D" w:rsidP="00C279C1">
      <w:pPr>
        <w:ind w:left="-851"/>
        <w:sectPr w:rsidR="00394664" w:rsidSect="00C279C1">
          <w:footerReference w:type="default" r:id="rId7"/>
          <w:pgSz w:w="12240" w:h="15840"/>
          <w:pgMar w:top="142" w:right="964" w:bottom="964" w:left="964" w:header="142" w:footer="311" w:gutter="0"/>
          <w:cols w:space="708"/>
          <w:docGrid w:linePitch="360"/>
        </w:sectPr>
      </w:pPr>
      <w:r>
        <w:rPr>
          <w:noProof/>
          <w:lang w:eastAsia="en-AU"/>
        </w:rPr>
        <w:drawing>
          <wp:inline distT="0" distB="0" distL="0" distR="0" wp14:anchorId="1E6E1EA1" wp14:editId="1E6E1EA2">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1E6E1E98" w14:textId="56366DEC" w:rsidR="00151A0A" w:rsidRPr="00852B60" w:rsidRDefault="00AB355B" w:rsidP="00151A0A">
      <w:pPr>
        <w:spacing w:before="240"/>
        <w:jc w:val="right"/>
      </w:pPr>
      <w:r>
        <w:t>October 2021</w:t>
      </w:r>
    </w:p>
    <w:p w14:paraId="1E6E1E99" w14:textId="0A0DB2F6" w:rsidR="00151A0A" w:rsidRPr="00852B60" w:rsidRDefault="00AB355B" w:rsidP="00AB355B">
      <w:pPr>
        <w:pStyle w:val="Title"/>
      </w:pPr>
      <w:r>
        <w:t xml:space="preserve">Selection of locations for new Children’s Contact Services </w:t>
      </w:r>
    </w:p>
    <w:p w14:paraId="1E6E1E9A" w14:textId="5EDDFE01" w:rsidR="00151A0A" w:rsidRPr="00852B60" w:rsidRDefault="00AB355B" w:rsidP="00151A0A">
      <w:pPr>
        <w:pStyle w:val="Heading2"/>
      </w:pPr>
      <w:r w:rsidRPr="00AB355B">
        <w:t>Children’s Contact Services</w:t>
      </w:r>
    </w:p>
    <w:p w14:paraId="6532BD79" w14:textId="7FE336F0" w:rsidR="00AB355B" w:rsidRDefault="00AB355B" w:rsidP="00AB355B">
      <w:pPr>
        <w:spacing w:before="240"/>
      </w:pPr>
      <w:r>
        <w:t>The Attorney-General’s Department’s currently funds 64 Children’s Contact Services (CCSs) across Australia for families who are unable to safely manage arrangements for the contact and changeover of their children.</w:t>
      </w:r>
    </w:p>
    <w:p w14:paraId="669BC58A" w14:textId="77777777" w:rsidR="00AB355B" w:rsidRDefault="00AB355B" w:rsidP="00AB355B">
      <w:pPr>
        <w:spacing w:before="240"/>
      </w:pPr>
      <w:r>
        <w:t>CCSs provide a safe, reliable and neutral place to assist parents with the changeover of children and supervised visits to assist separated parents to manage contact arrangements, especially where there are concerns about safety.</w:t>
      </w:r>
    </w:p>
    <w:p w14:paraId="00F61F45" w14:textId="77777777" w:rsidR="00AB355B" w:rsidRDefault="00AB355B" w:rsidP="00AB355B">
      <w:pPr>
        <w:spacing w:before="240"/>
      </w:pPr>
      <w:r>
        <w:t>In the May 2021 Budget, the Australian Government announced that it would be increasing funding for CCSs to $101.4 million over four years from 2021-22 to enhance existing and establish new services. This initiative includes ongoing funding of $27.5 million over three years from 2022-23 to establish 20 additional CCSs across Australia. The department is working to implement this measure.</w:t>
      </w:r>
    </w:p>
    <w:p w14:paraId="1E6E1E9D" w14:textId="7D1A4F43" w:rsidR="00151A0A" w:rsidRPr="00852B60" w:rsidRDefault="00AB355B" w:rsidP="00AB355B">
      <w:pPr>
        <w:spacing w:before="240"/>
      </w:pPr>
      <w:r>
        <w:t>The funding is intended to provide increased accessibility of CCSs for families who need the support of these services, and reduce waiting times.</w:t>
      </w:r>
    </w:p>
    <w:p w14:paraId="2927BEC1" w14:textId="44C890B2" w:rsidR="00AB355B" w:rsidRPr="00852B60" w:rsidRDefault="00AB355B" w:rsidP="00AB355B">
      <w:pPr>
        <w:pStyle w:val="Heading2"/>
      </w:pPr>
      <w:bookmarkStart w:id="0" w:name="_Hlk86069617"/>
      <w:r w:rsidRPr="00AB355B">
        <w:t>Methodology</w:t>
      </w:r>
    </w:p>
    <w:p w14:paraId="6950B29D" w14:textId="77777777" w:rsidR="003A4200" w:rsidRPr="003A4200" w:rsidRDefault="003A4200" w:rsidP="003A4200">
      <w:pPr>
        <w:spacing w:before="240" w:after="240" w:line="259" w:lineRule="auto"/>
        <w:rPr>
          <w:rFonts w:cs="Times New Roman"/>
          <w:w w:val="100"/>
          <w:kern w:val="0"/>
        </w:rPr>
      </w:pPr>
      <w:r w:rsidRPr="003A4200">
        <w:rPr>
          <w:rFonts w:cs="Times New Roman"/>
          <w:w w:val="100"/>
          <w:kern w:val="0"/>
        </w:rPr>
        <w:t>The department has developed a methodology which estimates demand for new Children’s Contact Services (CCSs) by Statistical Level Area Level 4 (SA4).</w:t>
      </w:r>
    </w:p>
    <w:p w14:paraId="57E119B5" w14:textId="77777777" w:rsidR="003A4200" w:rsidRPr="003A4200" w:rsidRDefault="003A4200" w:rsidP="003A4200">
      <w:pPr>
        <w:spacing w:before="240" w:after="240" w:line="259" w:lineRule="auto"/>
        <w:rPr>
          <w:rFonts w:cs="Times New Roman"/>
          <w:w w:val="100"/>
          <w:kern w:val="0"/>
        </w:rPr>
      </w:pPr>
      <w:r w:rsidRPr="003A4200">
        <w:rPr>
          <w:rFonts w:cs="Times New Roman"/>
          <w:w w:val="100"/>
          <w:kern w:val="0"/>
        </w:rPr>
        <w:t>The department is seeking feedback on the draft methodology through a targeted survey.</w:t>
      </w:r>
    </w:p>
    <w:p w14:paraId="71A42B70" w14:textId="77777777" w:rsidR="003A4200" w:rsidRPr="003A4200" w:rsidRDefault="003A4200" w:rsidP="003A4200">
      <w:pPr>
        <w:spacing w:before="240" w:after="240" w:line="259" w:lineRule="auto"/>
        <w:rPr>
          <w:rFonts w:cs="Times New Roman"/>
          <w:w w:val="100"/>
          <w:kern w:val="0"/>
        </w:rPr>
      </w:pPr>
      <w:r w:rsidRPr="003A4200">
        <w:rPr>
          <w:rFonts w:cs="Times New Roman"/>
          <w:w w:val="100"/>
          <w:kern w:val="0"/>
        </w:rPr>
        <w:t>The department will consider this feedback prior to settling the methodology.  Once the methodology is finalised, locations will be generated for inclusion in a Grant Opportunity process.  Applications to provide services at selected locations will be sought through a grant selection process in early 2022 through the Department of Social Services Community Grants Hub.</w:t>
      </w:r>
    </w:p>
    <w:p w14:paraId="42235D1A" w14:textId="77777777" w:rsidR="003A4200" w:rsidRPr="003A4200" w:rsidRDefault="003A4200" w:rsidP="003A4200">
      <w:pPr>
        <w:spacing w:before="240" w:after="240" w:line="259" w:lineRule="auto"/>
        <w:rPr>
          <w:rFonts w:cs="Times New Roman"/>
          <w:w w:val="100"/>
          <w:kern w:val="0"/>
        </w:rPr>
      </w:pPr>
      <w:r w:rsidRPr="003A4200">
        <w:rPr>
          <w:rFonts w:cs="Times New Roman"/>
          <w:w w:val="100"/>
          <w:kern w:val="0"/>
        </w:rPr>
        <w:t xml:space="preserve">A </w:t>
      </w:r>
      <w:r w:rsidRPr="003A4200">
        <w:rPr>
          <w:rFonts w:cs="Times New Roman"/>
          <w:w w:val="100"/>
          <w:kern w:val="0"/>
          <w:u w:val="single"/>
        </w:rPr>
        <w:t>draft list</w:t>
      </w:r>
      <w:r w:rsidRPr="003A4200">
        <w:rPr>
          <w:rFonts w:cs="Times New Roman"/>
          <w:w w:val="100"/>
          <w:kern w:val="0"/>
        </w:rPr>
        <w:t xml:space="preserve"> of the 30 highest ranking locations generated through the methodology has been included in this paper for </w:t>
      </w:r>
      <w:r w:rsidRPr="003A4200">
        <w:rPr>
          <w:rFonts w:cs="Times New Roman"/>
          <w:w w:val="100"/>
          <w:kern w:val="0"/>
          <w:u w:val="single"/>
        </w:rPr>
        <w:t xml:space="preserve">illustrative purposes only, </w:t>
      </w:r>
      <w:r w:rsidRPr="003A4200">
        <w:rPr>
          <w:rFonts w:cs="Times New Roman"/>
          <w:w w:val="100"/>
          <w:kern w:val="0"/>
        </w:rPr>
        <w:t xml:space="preserve">to assist stakeholders understand the practical application of the methodology and elicit informed feedback. It does not constitute the final list of locations (Appendix A). </w:t>
      </w:r>
    </w:p>
    <w:p w14:paraId="61B77A32" w14:textId="77777777" w:rsidR="003A4200" w:rsidRPr="003A4200" w:rsidRDefault="003A4200" w:rsidP="003A4200">
      <w:pPr>
        <w:spacing w:after="160" w:line="259" w:lineRule="auto"/>
        <w:rPr>
          <w:rFonts w:cs="Times New Roman"/>
          <w:w w:val="100"/>
          <w:kern w:val="0"/>
        </w:rPr>
      </w:pPr>
      <w:r w:rsidRPr="003A4200">
        <w:rPr>
          <w:rFonts w:cs="Times New Roman"/>
          <w:w w:val="100"/>
          <w:kern w:val="0"/>
        </w:rPr>
        <w:lastRenderedPageBreak/>
        <w:t>Under the methodology SA4s</w:t>
      </w:r>
      <w:r w:rsidRPr="003A4200">
        <w:rPr>
          <w:rFonts w:cs="Times New Roman"/>
          <w:w w:val="100"/>
          <w:kern w:val="0"/>
          <w:vertAlign w:val="superscript"/>
        </w:rPr>
        <w:footnoteReference w:id="1"/>
      </w:r>
      <w:r w:rsidRPr="003A4200">
        <w:rPr>
          <w:rFonts w:cs="Times New Roman"/>
          <w:w w:val="100"/>
          <w:kern w:val="0"/>
        </w:rPr>
        <w:t xml:space="preserve"> have been ranked based on their demand for new CCSs, considering the following 5 factors:</w:t>
      </w:r>
    </w:p>
    <w:p w14:paraId="56D7C281" w14:textId="77777777" w:rsidR="003A4200" w:rsidRPr="003A4200" w:rsidRDefault="003A4200" w:rsidP="003A4200">
      <w:pPr>
        <w:numPr>
          <w:ilvl w:val="0"/>
          <w:numId w:val="6"/>
        </w:numPr>
        <w:spacing w:after="160" w:line="259" w:lineRule="auto"/>
        <w:contextualSpacing/>
        <w:rPr>
          <w:rFonts w:cs="Times New Roman"/>
          <w:b/>
          <w:w w:val="100"/>
          <w:kern w:val="0"/>
        </w:rPr>
      </w:pPr>
      <w:r w:rsidRPr="003A4200">
        <w:rPr>
          <w:rFonts w:cs="Times New Roman"/>
          <w:b/>
          <w:w w:val="100"/>
          <w:kern w:val="0"/>
        </w:rPr>
        <w:t>Population per CCS</w:t>
      </w:r>
    </w:p>
    <w:p w14:paraId="2E4DAFBF" w14:textId="77777777" w:rsidR="003A4200" w:rsidRPr="003A4200" w:rsidRDefault="003A4200" w:rsidP="003A4200">
      <w:pPr>
        <w:numPr>
          <w:ilvl w:val="0"/>
          <w:numId w:val="6"/>
        </w:numPr>
        <w:spacing w:after="160" w:line="259" w:lineRule="auto"/>
        <w:contextualSpacing/>
        <w:rPr>
          <w:rFonts w:cs="Times New Roman"/>
          <w:b/>
          <w:w w:val="100"/>
          <w:kern w:val="0"/>
        </w:rPr>
      </w:pPr>
      <w:r w:rsidRPr="003A4200">
        <w:rPr>
          <w:rFonts w:cs="Times New Roman"/>
          <w:b/>
          <w:w w:val="100"/>
          <w:kern w:val="0"/>
        </w:rPr>
        <w:t>Proximity to nearest CCS</w:t>
      </w:r>
    </w:p>
    <w:p w14:paraId="755C06E7" w14:textId="77777777" w:rsidR="003A4200" w:rsidRPr="003A4200" w:rsidRDefault="003A4200" w:rsidP="003A4200">
      <w:pPr>
        <w:numPr>
          <w:ilvl w:val="0"/>
          <w:numId w:val="6"/>
        </w:numPr>
        <w:spacing w:after="160" w:line="259" w:lineRule="auto"/>
        <w:contextualSpacing/>
        <w:rPr>
          <w:rFonts w:cs="Times New Roman"/>
          <w:b/>
          <w:w w:val="100"/>
          <w:kern w:val="0"/>
        </w:rPr>
      </w:pPr>
      <w:r w:rsidRPr="003A4200">
        <w:rPr>
          <w:rFonts w:cs="Times New Roman"/>
          <w:b/>
          <w:w w:val="100"/>
          <w:kern w:val="0"/>
        </w:rPr>
        <w:t xml:space="preserve">Access to pathway services </w:t>
      </w:r>
      <w:r w:rsidRPr="003A4200">
        <w:rPr>
          <w:rFonts w:cs="Times New Roman"/>
          <w:w w:val="100"/>
          <w:kern w:val="0"/>
        </w:rPr>
        <w:t>(Family Relationship Centres, Regional Family Dispute Resolution services)</w:t>
      </w:r>
    </w:p>
    <w:p w14:paraId="6681C7EC" w14:textId="77777777" w:rsidR="003A4200" w:rsidRPr="003A4200" w:rsidRDefault="003A4200" w:rsidP="003A4200">
      <w:pPr>
        <w:numPr>
          <w:ilvl w:val="0"/>
          <w:numId w:val="6"/>
        </w:numPr>
        <w:spacing w:after="160" w:line="259" w:lineRule="auto"/>
        <w:contextualSpacing/>
        <w:rPr>
          <w:rFonts w:cs="Times New Roman"/>
          <w:b/>
          <w:w w:val="100"/>
          <w:kern w:val="0"/>
        </w:rPr>
      </w:pPr>
      <w:r w:rsidRPr="003A4200">
        <w:rPr>
          <w:rFonts w:cs="Times New Roman"/>
          <w:b/>
          <w:w w:val="100"/>
          <w:kern w:val="0"/>
        </w:rPr>
        <w:t>Median income</w:t>
      </w:r>
    </w:p>
    <w:p w14:paraId="7D1E2D30" w14:textId="7311F4E4" w:rsidR="003A4200" w:rsidRDefault="003A4200" w:rsidP="003A4200">
      <w:pPr>
        <w:numPr>
          <w:ilvl w:val="0"/>
          <w:numId w:val="6"/>
        </w:numPr>
        <w:spacing w:after="160" w:line="259" w:lineRule="auto"/>
        <w:contextualSpacing/>
        <w:rPr>
          <w:rFonts w:cs="Times New Roman"/>
          <w:b/>
          <w:w w:val="100"/>
          <w:kern w:val="0"/>
        </w:rPr>
      </w:pPr>
      <w:r w:rsidRPr="003A4200">
        <w:rPr>
          <w:rFonts w:cs="Times New Roman"/>
          <w:b/>
          <w:w w:val="100"/>
          <w:kern w:val="0"/>
        </w:rPr>
        <w:t>Government benefit reliance</w:t>
      </w:r>
    </w:p>
    <w:p w14:paraId="12ECC272" w14:textId="77777777" w:rsidR="003A4200" w:rsidRPr="003A4200" w:rsidRDefault="003A4200" w:rsidP="003A4200">
      <w:pPr>
        <w:spacing w:after="160" w:line="259" w:lineRule="auto"/>
        <w:ind w:left="720"/>
        <w:contextualSpacing/>
        <w:rPr>
          <w:rFonts w:cs="Times New Roman"/>
          <w:b/>
          <w:w w:val="100"/>
          <w:kern w:val="0"/>
        </w:rPr>
      </w:pPr>
    </w:p>
    <w:p w14:paraId="6C2D6A34" w14:textId="40E71BB1" w:rsidR="003A4200" w:rsidRPr="003A4200" w:rsidRDefault="003A4200" w:rsidP="003A4200">
      <w:pPr>
        <w:spacing w:after="160" w:line="259" w:lineRule="auto"/>
        <w:rPr>
          <w:rFonts w:cs="Times New Roman"/>
          <w:w w:val="100"/>
          <w:kern w:val="0"/>
        </w:rPr>
      </w:pPr>
      <w:r w:rsidRPr="003A4200">
        <w:rPr>
          <w:rFonts w:cs="Times New Roman"/>
          <w:w w:val="100"/>
          <w:kern w:val="0"/>
        </w:rPr>
        <w:t xml:space="preserve">While a range of additional factors were considered for inclusion in this methodology, these 5 factors were selected for relevance and due to the availability of a nationally consistent dataset.  </w:t>
      </w:r>
    </w:p>
    <w:p w14:paraId="25504EBE" w14:textId="77777777" w:rsidR="003A4200" w:rsidRPr="003A4200" w:rsidRDefault="003A4200" w:rsidP="003A4200">
      <w:pPr>
        <w:spacing w:after="160" w:line="259" w:lineRule="auto"/>
        <w:rPr>
          <w:rFonts w:cs="Times New Roman"/>
          <w:w w:val="100"/>
          <w:kern w:val="0"/>
        </w:rPr>
      </w:pPr>
      <w:r w:rsidRPr="003A4200">
        <w:rPr>
          <w:rFonts w:cs="Times New Roman"/>
          <w:w w:val="100"/>
          <w:kern w:val="0"/>
        </w:rPr>
        <w:t>Under the methodology, the</w:t>
      </w:r>
      <w:r w:rsidRPr="003A4200">
        <w:rPr>
          <w:rFonts w:cs="Times New Roman"/>
          <w:b/>
          <w:w w:val="100"/>
          <w:kern w:val="0"/>
        </w:rPr>
        <w:t xml:space="preserve"> first 3 factors consider the population of people that have at least one dependent child that has a parent living in a different household as the target cohort.</w:t>
      </w:r>
      <w:r w:rsidRPr="003A4200">
        <w:rPr>
          <w:rFonts w:cs="Times New Roman"/>
          <w:b/>
          <w:w w:val="100"/>
          <w:kern w:val="0"/>
          <w:vertAlign w:val="superscript"/>
        </w:rPr>
        <w:footnoteReference w:id="2"/>
      </w:r>
      <w:r w:rsidRPr="003A4200">
        <w:rPr>
          <w:rFonts w:cs="Times New Roman"/>
          <w:w w:val="100"/>
          <w:kern w:val="0"/>
        </w:rPr>
        <w:t xml:space="preserve"> This target cohort recognises the group of people that are most likely to use a CCS, given the purpose of CCS is to assist separating or separated families, in which a dependent child will be separated from at least one parent.</w:t>
      </w:r>
    </w:p>
    <w:p w14:paraId="14E9A0A0" w14:textId="77777777" w:rsidR="003A4200" w:rsidRPr="003A4200" w:rsidRDefault="003A4200" w:rsidP="003A4200">
      <w:pPr>
        <w:spacing w:after="160" w:line="259" w:lineRule="auto"/>
        <w:rPr>
          <w:rFonts w:cs="Times New Roman"/>
          <w:w w:val="100"/>
          <w:kern w:val="0"/>
        </w:rPr>
      </w:pPr>
      <w:r w:rsidRPr="003A4200">
        <w:rPr>
          <w:rFonts w:cs="Times New Roman"/>
          <w:w w:val="100"/>
          <w:kern w:val="0"/>
        </w:rPr>
        <w:t xml:space="preserve">The </w:t>
      </w:r>
      <w:r w:rsidRPr="003A4200">
        <w:rPr>
          <w:rFonts w:cs="Times New Roman"/>
          <w:b/>
          <w:w w:val="100"/>
          <w:kern w:val="0"/>
        </w:rPr>
        <w:t>final 2 factors (the socioeconomic factors), are both restricted to people in the 25-49 years of age cohort.</w:t>
      </w:r>
      <w:r w:rsidRPr="003A4200">
        <w:rPr>
          <w:rFonts w:cs="Times New Roman"/>
          <w:w w:val="100"/>
          <w:kern w:val="0"/>
        </w:rPr>
        <w:t xml:space="preserve"> This recognises that clients of the family law system are disproportionately from this age cohort.</w:t>
      </w:r>
      <w:r w:rsidRPr="003A4200">
        <w:rPr>
          <w:rFonts w:cs="Times New Roman"/>
          <w:b/>
          <w:w w:val="100"/>
          <w:kern w:val="0"/>
          <w:vertAlign w:val="superscript"/>
        </w:rPr>
        <w:t xml:space="preserve"> </w:t>
      </w:r>
      <w:r w:rsidRPr="003A4200">
        <w:rPr>
          <w:rFonts w:cs="Times New Roman"/>
          <w:b/>
          <w:w w:val="100"/>
          <w:kern w:val="0"/>
          <w:vertAlign w:val="superscript"/>
        </w:rPr>
        <w:footnoteReference w:id="3"/>
      </w:r>
      <w:r w:rsidRPr="003A4200">
        <w:rPr>
          <w:rFonts w:cs="Times New Roman"/>
          <w:w w:val="100"/>
          <w:kern w:val="0"/>
        </w:rPr>
        <w:t xml:space="preserve">  </w:t>
      </w:r>
    </w:p>
    <w:p w14:paraId="61C3C62E" w14:textId="77777777" w:rsidR="003A4200" w:rsidRPr="003A4200" w:rsidRDefault="003A4200" w:rsidP="003A4200">
      <w:pPr>
        <w:spacing w:after="160" w:line="259" w:lineRule="auto"/>
        <w:rPr>
          <w:rFonts w:cs="Times New Roman"/>
          <w:w w:val="100"/>
          <w:kern w:val="0"/>
        </w:rPr>
      </w:pPr>
      <w:r w:rsidRPr="003A4200">
        <w:rPr>
          <w:rFonts w:cs="Times New Roman"/>
          <w:w w:val="100"/>
          <w:kern w:val="0"/>
        </w:rPr>
        <w:t xml:space="preserve">The weights given to each of the factors included in the methodology are outlined in Table 1 below. </w:t>
      </w:r>
      <w:r w:rsidRPr="003A4200">
        <w:rPr>
          <w:rFonts w:cs="Times New Roman"/>
          <w:w w:val="100"/>
          <w:kern w:val="0"/>
        </w:rPr>
        <w:br/>
      </w:r>
      <w:r w:rsidRPr="003A4200">
        <w:rPr>
          <w:rFonts w:cs="Times New Roman"/>
          <w:w w:val="100"/>
          <w:kern w:val="0"/>
        </w:rPr>
        <w:br/>
      </w:r>
      <w:r w:rsidRPr="003A4200">
        <w:rPr>
          <w:rFonts w:cs="Times New Roman"/>
          <w:b/>
          <w:w w:val="100"/>
          <w:kern w:val="0"/>
        </w:rPr>
        <w:t xml:space="preserve">Table 1 </w:t>
      </w:r>
    </w:p>
    <w:tbl>
      <w:tblPr>
        <w:tblStyle w:val="GridTable2-Accent31"/>
        <w:tblW w:w="0" w:type="auto"/>
        <w:tblLook w:val="04E0" w:firstRow="1" w:lastRow="1" w:firstColumn="1" w:lastColumn="0" w:noHBand="0" w:noVBand="1"/>
      </w:tblPr>
      <w:tblGrid>
        <w:gridCol w:w="6521"/>
        <w:gridCol w:w="2495"/>
      </w:tblGrid>
      <w:tr w:rsidR="003A4200" w:rsidRPr="003A4200" w14:paraId="1F0B8B89" w14:textId="77777777" w:rsidTr="008E7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21" w:type="dxa"/>
          </w:tcPr>
          <w:p w14:paraId="2E96CB6C" w14:textId="77777777" w:rsidR="003A4200" w:rsidRPr="003A4200" w:rsidRDefault="003A4200" w:rsidP="003A4200">
            <w:pPr>
              <w:keepNext/>
              <w:keepLines/>
              <w:spacing w:after="160" w:line="259" w:lineRule="auto"/>
              <w:rPr>
                <w:rFonts w:cs="Times New Roman"/>
                <w:w w:val="100"/>
                <w:kern w:val="0"/>
              </w:rPr>
            </w:pPr>
            <w:r w:rsidRPr="003A4200">
              <w:rPr>
                <w:rFonts w:cs="Times New Roman"/>
                <w:w w:val="100"/>
                <w:kern w:val="0"/>
              </w:rPr>
              <w:t>Factor</w:t>
            </w:r>
          </w:p>
        </w:tc>
        <w:tc>
          <w:tcPr>
            <w:tcW w:w="2495" w:type="dxa"/>
          </w:tcPr>
          <w:p w14:paraId="6A06B99C" w14:textId="77777777" w:rsidR="003A4200" w:rsidRPr="003A4200" w:rsidRDefault="003A4200" w:rsidP="003A4200">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cs="Times New Roman"/>
                <w:w w:val="100"/>
                <w:kern w:val="0"/>
              </w:rPr>
            </w:pPr>
            <w:r w:rsidRPr="003A4200">
              <w:rPr>
                <w:rFonts w:cs="Times New Roman"/>
                <w:w w:val="100"/>
                <w:kern w:val="0"/>
              </w:rPr>
              <w:t>Weight</w:t>
            </w:r>
          </w:p>
        </w:tc>
      </w:tr>
      <w:tr w:rsidR="003A4200" w:rsidRPr="003A4200" w14:paraId="3EFAECFE" w14:textId="77777777" w:rsidTr="003A4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18F4D5E6" w14:textId="77777777" w:rsidR="003A4200" w:rsidRPr="003A4200" w:rsidRDefault="003A4200" w:rsidP="003A4200">
            <w:pPr>
              <w:keepNext/>
              <w:keepLines/>
              <w:spacing w:after="160" w:line="259" w:lineRule="auto"/>
              <w:rPr>
                <w:rFonts w:cs="Times New Roman"/>
                <w:w w:val="100"/>
                <w:kern w:val="0"/>
              </w:rPr>
            </w:pPr>
            <w:r w:rsidRPr="003A4200">
              <w:rPr>
                <w:rFonts w:cs="Times New Roman"/>
                <w:w w:val="100"/>
                <w:kern w:val="0"/>
              </w:rPr>
              <w:t>Population per CCS</w:t>
            </w:r>
          </w:p>
        </w:tc>
        <w:tc>
          <w:tcPr>
            <w:tcW w:w="2495" w:type="dxa"/>
          </w:tcPr>
          <w:p w14:paraId="03BE84D7" w14:textId="77777777" w:rsidR="003A4200" w:rsidRPr="003A4200" w:rsidRDefault="003A4200" w:rsidP="003A4200">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cs="Times New Roman"/>
                <w:w w:val="100"/>
                <w:kern w:val="0"/>
              </w:rPr>
            </w:pPr>
            <w:r w:rsidRPr="003A4200">
              <w:rPr>
                <w:rFonts w:cs="Times New Roman"/>
                <w:w w:val="100"/>
                <w:kern w:val="0"/>
              </w:rPr>
              <w:t>42%</w:t>
            </w:r>
          </w:p>
        </w:tc>
      </w:tr>
      <w:tr w:rsidR="003A4200" w:rsidRPr="003A4200" w14:paraId="21EB15CF" w14:textId="77777777" w:rsidTr="00362A09">
        <w:tc>
          <w:tcPr>
            <w:cnfStyle w:val="001000000000" w:firstRow="0" w:lastRow="0" w:firstColumn="1" w:lastColumn="0" w:oddVBand="0" w:evenVBand="0" w:oddHBand="0" w:evenHBand="0" w:firstRowFirstColumn="0" w:firstRowLastColumn="0" w:lastRowFirstColumn="0" w:lastRowLastColumn="0"/>
            <w:tcW w:w="6521" w:type="dxa"/>
          </w:tcPr>
          <w:p w14:paraId="3B62B1A7" w14:textId="77777777" w:rsidR="003A4200" w:rsidRPr="003A4200" w:rsidRDefault="003A4200" w:rsidP="003A4200">
            <w:pPr>
              <w:keepNext/>
              <w:keepLines/>
              <w:spacing w:after="160" w:line="259" w:lineRule="auto"/>
              <w:rPr>
                <w:rFonts w:cs="Times New Roman"/>
                <w:w w:val="100"/>
                <w:kern w:val="0"/>
              </w:rPr>
            </w:pPr>
            <w:r w:rsidRPr="003A4200">
              <w:rPr>
                <w:rFonts w:cs="Times New Roman"/>
                <w:w w:val="100"/>
                <w:kern w:val="0"/>
              </w:rPr>
              <w:t>Proximity to nearest CCS</w:t>
            </w:r>
          </w:p>
        </w:tc>
        <w:tc>
          <w:tcPr>
            <w:tcW w:w="2495" w:type="dxa"/>
          </w:tcPr>
          <w:p w14:paraId="5446244A" w14:textId="77777777" w:rsidR="003A4200" w:rsidRPr="003A4200" w:rsidRDefault="003A4200" w:rsidP="003A4200">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w w:val="100"/>
                <w:kern w:val="0"/>
              </w:rPr>
            </w:pPr>
            <w:r w:rsidRPr="003A4200">
              <w:rPr>
                <w:rFonts w:cs="Times New Roman"/>
                <w:w w:val="100"/>
                <w:kern w:val="0"/>
              </w:rPr>
              <w:t>18%</w:t>
            </w:r>
          </w:p>
        </w:tc>
      </w:tr>
      <w:tr w:rsidR="003A4200" w:rsidRPr="003A4200" w14:paraId="1BE74972" w14:textId="77777777" w:rsidTr="003A4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52B06164" w14:textId="77777777" w:rsidR="003A4200" w:rsidRPr="003A4200" w:rsidRDefault="003A4200" w:rsidP="003A4200">
            <w:pPr>
              <w:keepNext/>
              <w:keepLines/>
              <w:spacing w:after="160" w:line="259" w:lineRule="auto"/>
              <w:rPr>
                <w:rFonts w:cs="Times New Roman"/>
                <w:w w:val="100"/>
                <w:kern w:val="0"/>
              </w:rPr>
            </w:pPr>
            <w:r w:rsidRPr="003A4200">
              <w:rPr>
                <w:rFonts w:cs="Times New Roman"/>
                <w:w w:val="100"/>
                <w:kern w:val="0"/>
              </w:rPr>
              <w:t>Access to pathway services</w:t>
            </w:r>
          </w:p>
        </w:tc>
        <w:tc>
          <w:tcPr>
            <w:tcW w:w="2495" w:type="dxa"/>
          </w:tcPr>
          <w:p w14:paraId="53952633" w14:textId="77777777" w:rsidR="003A4200" w:rsidRPr="003A4200" w:rsidRDefault="003A4200" w:rsidP="003A4200">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cs="Times New Roman"/>
                <w:w w:val="100"/>
                <w:kern w:val="0"/>
              </w:rPr>
            </w:pPr>
            <w:r w:rsidRPr="003A4200">
              <w:rPr>
                <w:rFonts w:cs="Times New Roman"/>
                <w:w w:val="100"/>
                <w:kern w:val="0"/>
              </w:rPr>
              <w:t>16%</w:t>
            </w:r>
          </w:p>
        </w:tc>
      </w:tr>
      <w:tr w:rsidR="003A4200" w:rsidRPr="003A4200" w14:paraId="6E34F187" w14:textId="77777777" w:rsidTr="00362A09">
        <w:tc>
          <w:tcPr>
            <w:cnfStyle w:val="001000000000" w:firstRow="0" w:lastRow="0" w:firstColumn="1" w:lastColumn="0" w:oddVBand="0" w:evenVBand="0" w:oddHBand="0" w:evenHBand="0" w:firstRowFirstColumn="0" w:firstRowLastColumn="0" w:lastRowFirstColumn="0" w:lastRowLastColumn="0"/>
            <w:tcW w:w="6521" w:type="dxa"/>
          </w:tcPr>
          <w:p w14:paraId="12F968DE" w14:textId="77777777" w:rsidR="003A4200" w:rsidRPr="003A4200" w:rsidRDefault="003A4200" w:rsidP="003A4200">
            <w:pPr>
              <w:keepNext/>
              <w:keepLines/>
              <w:spacing w:after="160" w:line="259" w:lineRule="auto"/>
              <w:rPr>
                <w:rFonts w:cs="Times New Roman"/>
                <w:w w:val="100"/>
                <w:kern w:val="0"/>
              </w:rPr>
            </w:pPr>
            <w:r w:rsidRPr="003A4200">
              <w:rPr>
                <w:rFonts w:cs="Times New Roman"/>
                <w:w w:val="100"/>
                <w:kern w:val="0"/>
              </w:rPr>
              <w:t>Median income</w:t>
            </w:r>
          </w:p>
        </w:tc>
        <w:tc>
          <w:tcPr>
            <w:tcW w:w="2495" w:type="dxa"/>
          </w:tcPr>
          <w:p w14:paraId="0538C6F2" w14:textId="77777777" w:rsidR="003A4200" w:rsidRPr="003A4200" w:rsidRDefault="003A4200" w:rsidP="003A4200">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cs="Times New Roman"/>
                <w:w w:val="100"/>
                <w:kern w:val="0"/>
              </w:rPr>
            </w:pPr>
            <w:r w:rsidRPr="003A4200">
              <w:rPr>
                <w:rFonts w:cs="Times New Roman"/>
                <w:w w:val="100"/>
                <w:kern w:val="0"/>
              </w:rPr>
              <w:t>15%</w:t>
            </w:r>
          </w:p>
        </w:tc>
      </w:tr>
      <w:tr w:rsidR="003A4200" w:rsidRPr="003A4200" w14:paraId="28229768" w14:textId="77777777" w:rsidTr="003A4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0022AA0E" w14:textId="77777777" w:rsidR="003A4200" w:rsidRPr="003A4200" w:rsidRDefault="003A4200" w:rsidP="003A4200">
            <w:pPr>
              <w:keepNext/>
              <w:keepLines/>
              <w:spacing w:after="160" w:line="259" w:lineRule="auto"/>
              <w:rPr>
                <w:rFonts w:cs="Times New Roman"/>
                <w:w w:val="100"/>
                <w:kern w:val="0"/>
              </w:rPr>
            </w:pPr>
            <w:r w:rsidRPr="003A4200">
              <w:rPr>
                <w:rFonts w:cs="Times New Roman"/>
                <w:w w:val="100"/>
                <w:kern w:val="0"/>
              </w:rPr>
              <w:t>Government benefit reliance</w:t>
            </w:r>
          </w:p>
        </w:tc>
        <w:tc>
          <w:tcPr>
            <w:tcW w:w="2495" w:type="dxa"/>
          </w:tcPr>
          <w:p w14:paraId="4CE27EAD" w14:textId="77777777" w:rsidR="003A4200" w:rsidRPr="003A4200" w:rsidRDefault="003A4200" w:rsidP="003A4200">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cs="Times New Roman"/>
                <w:w w:val="100"/>
                <w:kern w:val="0"/>
              </w:rPr>
            </w:pPr>
            <w:r w:rsidRPr="003A4200">
              <w:rPr>
                <w:rFonts w:cs="Times New Roman"/>
                <w:w w:val="100"/>
                <w:kern w:val="0"/>
              </w:rPr>
              <w:t>9%</w:t>
            </w:r>
          </w:p>
        </w:tc>
      </w:tr>
      <w:tr w:rsidR="003A4200" w:rsidRPr="003A4200" w14:paraId="5E43B30A" w14:textId="77777777" w:rsidTr="003A42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52172980" w14:textId="77777777" w:rsidR="003A4200" w:rsidRPr="003A4200" w:rsidRDefault="003A4200" w:rsidP="003A4200">
            <w:pPr>
              <w:keepNext/>
              <w:keepLines/>
              <w:spacing w:after="160" w:line="259" w:lineRule="auto"/>
              <w:rPr>
                <w:rFonts w:cs="Times New Roman"/>
                <w:w w:val="100"/>
                <w:kern w:val="0"/>
              </w:rPr>
            </w:pPr>
            <w:r w:rsidRPr="003A4200">
              <w:rPr>
                <w:rFonts w:cs="Times New Roman"/>
                <w:w w:val="100"/>
                <w:kern w:val="0"/>
              </w:rPr>
              <w:t>TOTAL WEIGHT</w:t>
            </w:r>
          </w:p>
        </w:tc>
        <w:tc>
          <w:tcPr>
            <w:tcW w:w="2495" w:type="dxa"/>
          </w:tcPr>
          <w:p w14:paraId="5DA00098" w14:textId="77777777" w:rsidR="003A4200" w:rsidRPr="003A4200" w:rsidRDefault="003A4200" w:rsidP="003A4200">
            <w:pPr>
              <w:keepNext/>
              <w:keepLines/>
              <w:spacing w:after="160" w:line="259" w:lineRule="auto"/>
              <w:cnfStyle w:val="010000000000" w:firstRow="0" w:lastRow="1" w:firstColumn="0" w:lastColumn="0" w:oddVBand="0" w:evenVBand="0" w:oddHBand="0" w:evenHBand="0" w:firstRowFirstColumn="0" w:firstRowLastColumn="0" w:lastRowFirstColumn="0" w:lastRowLastColumn="0"/>
              <w:rPr>
                <w:rFonts w:cs="Times New Roman"/>
                <w:w w:val="100"/>
                <w:kern w:val="0"/>
              </w:rPr>
            </w:pPr>
            <w:r w:rsidRPr="003A4200">
              <w:rPr>
                <w:rFonts w:cs="Times New Roman"/>
                <w:w w:val="100"/>
                <w:kern w:val="0"/>
              </w:rPr>
              <w:t>100%</w:t>
            </w:r>
          </w:p>
        </w:tc>
      </w:tr>
    </w:tbl>
    <w:p w14:paraId="474425BC" w14:textId="51ED9BA1" w:rsidR="00AB355B" w:rsidRPr="00852B60" w:rsidRDefault="00AB355B" w:rsidP="00B40D96">
      <w:pPr>
        <w:spacing w:before="240"/>
      </w:pPr>
    </w:p>
    <w:bookmarkEnd w:id="0"/>
    <w:p w14:paraId="63BA77E4" w14:textId="3D7AA0F1" w:rsidR="00AB355B" w:rsidRPr="00852B60" w:rsidRDefault="00AB355B" w:rsidP="00AB355B">
      <w:pPr>
        <w:pStyle w:val="Heading2"/>
      </w:pPr>
      <w:r>
        <w:lastRenderedPageBreak/>
        <w:t xml:space="preserve">Factors Considered under the </w:t>
      </w:r>
      <w:r w:rsidRPr="00AB355B">
        <w:t>Methodology</w:t>
      </w:r>
    </w:p>
    <w:p w14:paraId="039658D9" w14:textId="0969507C" w:rsidR="00AB355B" w:rsidRPr="00B40D96" w:rsidRDefault="00B40D96" w:rsidP="00AB355B">
      <w:pPr>
        <w:pStyle w:val="Heading3"/>
        <w:spacing w:beforeLines="100" w:before="240"/>
        <w:rPr>
          <w:sz w:val="28"/>
          <w:szCs w:val="28"/>
        </w:rPr>
      </w:pPr>
      <w:r w:rsidRPr="00B40D96">
        <w:rPr>
          <w:sz w:val="28"/>
          <w:szCs w:val="28"/>
        </w:rPr>
        <w:t>Population per CCS</w:t>
      </w:r>
    </w:p>
    <w:p w14:paraId="27CDC466" w14:textId="4A1ED671" w:rsidR="00AB355B" w:rsidRPr="00852B60" w:rsidRDefault="00B40D96" w:rsidP="00AB355B">
      <w:pPr>
        <w:spacing w:before="240"/>
      </w:pPr>
      <w:r w:rsidRPr="00B40D96">
        <w:t xml:space="preserve">SA4s with a higher target cohort population per CCS are ranked higher as it suggests they have greater potential demand in the area for a new centre. Some SA4s already have one or multiple CCSs and others have none. To account for this, the target cohort population is adjusted for the presence of existing CCSs to account for SA4s that may be able to provide services to the target cohort without having to add a new centre. </w:t>
      </w:r>
    </w:p>
    <w:p w14:paraId="1913768E" w14:textId="495F053C" w:rsidR="00B40D96" w:rsidRPr="00B40D96" w:rsidRDefault="00B40D96" w:rsidP="00B40D96">
      <w:pPr>
        <w:pStyle w:val="Heading3"/>
        <w:spacing w:beforeLines="100" w:before="240"/>
        <w:rPr>
          <w:sz w:val="28"/>
          <w:szCs w:val="28"/>
        </w:rPr>
      </w:pPr>
      <w:r w:rsidRPr="00B40D96">
        <w:rPr>
          <w:sz w:val="28"/>
          <w:szCs w:val="28"/>
        </w:rPr>
        <w:t>P</w:t>
      </w:r>
      <w:r>
        <w:rPr>
          <w:sz w:val="28"/>
          <w:szCs w:val="28"/>
        </w:rPr>
        <w:t>roximity to nearest</w:t>
      </w:r>
      <w:r w:rsidRPr="00B40D96">
        <w:rPr>
          <w:sz w:val="28"/>
          <w:szCs w:val="28"/>
        </w:rPr>
        <w:t xml:space="preserve"> CCS</w:t>
      </w:r>
    </w:p>
    <w:p w14:paraId="1CDDAC28" w14:textId="61196917" w:rsidR="00B40D96" w:rsidRPr="00852B60" w:rsidRDefault="00525245" w:rsidP="00B40D96">
      <w:pPr>
        <w:spacing w:before="240"/>
      </w:pPr>
      <w:r w:rsidRPr="00525245">
        <w:t>SA4s with a longer total distance are ranked higher as it suggests they have greater difficulties accessing nearby CCSs. The total distance is the distance from the centre of the SA4 to the closest CCS multiplied by the target cohort population for each SA4. This is used to adjust the proximity rankings such that large SA4s with low population (e.g. Northern Territory – Outback) do not rank high just because they are significantly larger in area which wouldn’t necessarily indicate higher demand.</w:t>
      </w:r>
    </w:p>
    <w:p w14:paraId="4286EA73" w14:textId="1922D4CE" w:rsidR="00B40D96" w:rsidRPr="00B40D96" w:rsidRDefault="00B40D96" w:rsidP="00B40D96">
      <w:pPr>
        <w:pStyle w:val="Heading3"/>
        <w:spacing w:beforeLines="100" w:before="240"/>
        <w:rPr>
          <w:sz w:val="28"/>
          <w:szCs w:val="28"/>
        </w:rPr>
      </w:pPr>
      <w:r>
        <w:rPr>
          <w:sz w:val="28"/>
          <w:szCs w:val="28"/>
        </w:rPr>
        <w:t>Access to pathway services</w:t>
      </w:r>
    </w:p>
    <w:p w14:paraId="5702BB00" w14:textId="490A6F23" w:rsidR="00B40D96" w:rsidRPr="00852B60" w:rsidRDefault="00B40D96" w:rsidP="00B40D96">
      <w:pPr>
        <w:spacing w:before="240"/>
      </w:pPr>
      <w:r w:rsidRPr="00B40D96">
        <w:t>SA4s with a higher target cohort population and number of pathway services are ranked higher in recognition that pathway services refer clients to CCSs and CCS clients are likely to require other support services. Pathway services are Family Relationship Centres and Regional Family Dispute Resolution services.</w:t>
      </w:r>
    </w:p>
    <w:p w14:paraId="09283A4D" w14:textId="650842E2" w:rsidR="00B40D96" w:rsidRPr="00B40D96" w:rsidRDefault="00525245" w:rsidP="00B40D96">
      <w:pPr>
        <w:pStyle w:val="Heading3"/>
        <w:spacing w:beforeLines="100" w:before="240"/>
        <w:rPr>
          <w:sz w:val="28"/>
          <w:szCs w:val="28"/>
        </w:rPr>
      </w:pPr>
      <w:r>
        <w:rPr>
          <w:sz w:val="28"/>
          <w:szCs w:val="28"/>
        </w:rPr>
        <w:t xml:space="preserve">Median Income </w:t>
      </w:r>
    </w:p>
    <w:p w14:paraId="67516434" w14:textId="6D165799" w:rsidR="00B40D96" w:rsidRPr="00852B60" w:rsidRDefault="002E6157" w:rsidP="00B40D96">
      <w:pPr>
        <w:spacing w:before="240"/>
      </w:pPr>
      <w:r w:rsidRPr="002E6157">
        <w:t>SA4s with a lower median annual disposable income for people (aged 25-49 years) are ranked higher</w:t>
      </w:r>
      <w:r w:rsidRPr="002E6157">
        <w:rPr>
          <w:vertAlign w:val="superscript"/>
        </w:rPr>
        <w:footnoteReference w:id="4"/>
      </w:r>
      <w:r w:rsidRPr="002E6157">
        <w:t>. This is because clients of the family law system are disproportionately low income earners and in this age cohort.</w:t>
      </w:r>
      <w:r w:rsidRPr="002E6157">
        <w:rPr>
          <w:vertAlign w:val="superscript"/>
        </w:rPr>
        <w:t xml:space="preserve"> </w:t>
      </w:r>
      <w:r w:rsidRPr="002E6157">
        <w:rPr>
          <w:vertAlign w:val="superscript"/>
        </w:rPr>
        <w:footnoteReference w:id="5"/>
      </w:r>
    </w:p>
    <w:p w14:paraId="387DFCA0" w14:textId="2F2A510A" w:rsidR="00B40D96" w:rsidRPr="00B40D96" w:rsidRDefault="00525245" w:rsidP="00B40D96">
      <w:pPr>
        <w:pStyle w:val="Heading3"/>
        <w:spacing w:beforeLines="100" w:before="240"/>
        <w:rPr>
          <w:sz w:val="28"/>
          <w:szCs w:val="28"/>
        </w:rPr>
      </w:pPr>
      <w:r>
        <w:rPr>
          <w:sz w:val="28"/>
          <w:szCs w:val="28"/>
        </w:rPr>
        <w:t xml:space="preserve">Government benefit reliance </w:t>
      </w:r>
    </w:p>
    <w:p w14:paraId="545168E1" w14:textId="38D776B0" w:rsidR="00B40D96" w:rsidRPr="00852B60" w:rsidRDefault="00B54351" w:rsidP="00B40D96">
      <w:pPr>
        <w:spacing w:before="240"/>
      </w:pPr>
      <w:r w:rsidRPr="00B54351">
        <w:t>SA4s with a higher share of people (aged 25-49 years) that receive more than 30 per cent</w:t>
      </w:r>
      <w:r w:rsidRPr="00B54351">
        <w:rPr>
          <w:vertAlign w:val="superscript"/>
        </w:rPr>
        <w:footnoteReference w:id="6"/>
      </w:r>
      <w:r w:rsidRPr="00B54351">
        <w:t xml:space="preserve"> of their income from government benefits are ranked higher</w:t>
      </w:r>
      <w:r w:rsidRPr="00B54351">
        <w:rPr>
          <w:vertAlign w:val="superscript"/>
        </w:rPr>
        <w:t xml:space="preserve"> </w:t>
      </w:r>
      <w:r w:rsidRPr="00B54351">
        <w:rPr>
          <w:vertAlign w:val="superscript"/>
        </w:rPr>
        <w:footnoteReference w:id="7"/>
      </w:r>
      <w:r w:rsidRPr="00B54351">
        <w:t>. This is because clients of the family law system are disproportionately reliant on government benefits as their main income source.</w:t>
      </w:r>
      <w:r w:rsidRPr="00B54351">
        <w:rPr>
          <w:vertAlign w:val="superscript"/>
        </w:rPr>
        <w:t xml:space="preserve"> </w:t>
      </w:r>
      <w:r w:rsidR="00525245" w:rsidRPr="00525245">
        <w:t xml:space="preserve"> </w:t>
      </w:r>
    </w:p>
    <w:p w14:paraId="13EEA272" w14:textId="77777777" w:rsidR="0073361D" w:rsidRDefault="0073361D">
      <w:pPr>
        <w:spacing w:after="0" w:line="240" w:lineRule="auto"/>
        <w:rPr>
          <w:rFonts w:eastAsia="SimSun" w:cs="Angsana New"/>
          <w:b/>
          <w:bCs/>
          <w:iCs/>
          <w:color w:val="4D738A"/>
          <w:sz w:val="40"/>
          <w:szCs w:val="48"/>
        </w:rPr>
      </w:pPr>
      <w:r>
        <w:br w:type="page"/>
      </w:r>
    </w:p>
    <w:p w14:paraId="342EBC04" w14:textId="425D64BE" w:rsidR="0073361D" w:rsidRPr="00852B60" w:rsidRDefault="0073361D" w:rsidP="0073361D">
      <w:pPr>
        <w:pStyle w:val="Heading2"/>
      </w:pPr>
      <w:r>
        <w:lastRenderedPageBreak/>
        <w:t xml:space="preserve">Appendix A: </w:t>
      </w:r>
    </w:p>
    <w:p w14:paraId="5611E274" w14:textId="58080D87" w:rsidR="00E74B32" w:rsidRPr="0055721D" w:rsidRDefault="00E74B32" w:rsidP="00E74B32">
      <w:pPr>
        <w:rPr>
          <w:rFonts w:asciiTheme="majorHAnsi" w:eastAsiaTheme="majorEastAsia" w:hAnsiTheme="majorHAnsi" w:cstheme="majorBidi"/>
          <w:b/>
          <w:color w:val="365F91" w:themeColor="accent1" w:themeShade="BF"/>
          <w:sz w:val="32"/>
          <w:szCs w:val="32"/>
        </w:rPr>
      </w:pPr>
      <w:r w:rsidRPr="004A7548">
        <w:rPr>
          <w:u w:val="single"/>
        </w:rPr>
        <w:t xml:space="preserve">Note: The following list is provided for illustrative purposes only </w:t>
      </w:r>
      <w:r w:rsidRPr="004A7548">
        <w:t>(</w:t>
      </w:r>
      <w:r w:rsidRPr="004A7548">
        <w:rPr>
          <w:b/>
        </w:rPr>
        <w:t>and</w:t>
      </w:r>
      <w:r w:rsidRPr="004A7548">
        <w:t xml:space="preserve"> </w:t>
      </w:r>
      <w:r w:rsidRPr="004A7548">
        <w:rPr>
          <w:b/>
        </w:rPr>
        <w:t>may not reflect the lis</w:t>
      </w:r>
      <w:r w:rsidRPr="00582FFA">
        <w:rPr>
          <w:b/>
        </w:rPr>
        <w:t>t of locations utilised for the selection process</w:t>
      </w:r>
      <w:r w:rsidRPr="00582FFA">
        <w:t>)</w:t>
      </w:r>
    </w:p>
    <w:p w14:paraId="07295755" w14:textId="77777777" w:rsidR="00E74B32" w:rsidRDefault="00E74B32" w:rsidP="00E74B32">
      <w:r>
        <w:rPr>
          <w:b/>
        </w:rPr>
        <w:t xml:space="preserve">Table 2: </w:t>
      </w:r>
      <w:r>
        <w:t>Top 30 SA4s by greatest estimated demand for a new CCS</w:t>
      </w:r>
    </w:p>
    <w:tbl>
      <w:tblPr>
        <w:tblStyle w:val="GridTable2-Accent32"/>
        <w:tblW w:w="10124" w:type="dxa"/>
        <w:tblLook w:val="04A0" w:firstRow="1" w:lastRow="0" w:firstColumn="1" w:lastColumn="0" w:noHBand="0" w:noVBand="1"/>
      </w:tblPr>
      <w:tblGrid>
        <w:gridCol w:w="1009"/>
        <w:gridCol w:w="15"/>
        <w:gridCol w:w="4619"/>
        <w:gridCol w:w="73"/>
        <w:gridCol w:w="840"/>
        <w:gridCol w:w="96"/>
        <w:gridCol w:w="1448"/>
        <w:gridCol w:w="105"/>
        <w:gridCol w:w="1919"/>
      </w:tblGrid>
      <w:tr w:rsidR="00E74B32" w:rsidRPr="00E74B32" w14:paraId="30950F01" w14:textId="77777777" w:rsidTr="008E7DFE">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1024" w:type="dxa"/>
            <w:gridSpan w:val="2"/>
            <w:shd w:val="clear" w:color="auto" w:fill="DEEAF6"/>
            <w:noWrap/>
          </w:tcPr>
          <w:p w14:paraId="0641E9F3" w14:textId="77777777" w:rsidR="00E74B32" w:rsidRPr="00E74B32" w:rsidRDefault="00E74B32" w:rsidP="00E74B32">
            <w:pPr>
              <w:spacing w:after="0" w:line="240" w:lineRule="auto"/>
              <w:jc w:val="center"/>
              <w:rPr>
                <w:color w:val="000000"/>
                <w:w w:val="100"/>
                <w:kern w:val="0"/>
              </w:rPr>
            </w:pPr>
            <w:r w:rsidRPr="00E74B32">
              <w:rPr>
                <w:rFonts w:eastAsia="Times New Roman"/>
                <w:color w:val="000000"/>
                <w:w w:val="100"/>
                <w:kern w:val="0"/>
                <w:lang w:eastAsia="en-AU"/>
              </w:rPr>
              <w:t>Rank</w:t>
            </w:r>
          </w:p>
        </w:tc>
        <w:tc>
          <w:tcPr>
            <w:tcW w:w="4692" w:type="dxa"/>
            <w:gridSpan w:val="2"/>
            <w:shd w:val="clear" w:color="auto" w:fill="DEEAF6"/>
            <w:noWrap/>
          </w:tcPr>
          <w:p w14:paraId="29B8C680" w14:textId="77777777" w:rsidR="00E74B32" w:rsidRPr="00E74B32" w:rsidRDefault="00E74B32" w:rsidP="00E74B32">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w w:val="100"/>
                <w:kern w:val="0"/>
              </w:rPr>
            </w:pPr>
            <w:r w:rsidRPr="00E74B32">
              <w:rPr>
                <w:rFonts w:eastAsia="Times New Roman"/>
                <w:color w:val="000000"/>
                <w:w w:val="100"/>
                <w:kern w:val="0"/>
                <w:lang w:eastAsia="en-AU"/>
              </w:rPr>
              <w:t>SA4 Name</w:t>
            </w:r>
          </w:p>
        </w:tc>
        <w:tc>
          <w:tcPr>
            <w:tcW w:w="840" w:type="dxa"/>
            <w:shd w:val="clear" w:color="auto" w:fill="DEEAF6"/>
            <w:noWrap/>
          </w:tcPr>
          <w:p w14:paraId="30A3F152" w14:textId="77777777" w:rsidR="00E74B32" w:rsidRPr="00E74B32" w:rsidRDefault="00E74B32" w:rsidP="00E74B32">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w w:val="100"/>
                <w:kern w:val="0"/>
              </w:rPr>
            </w:pPr>
            <w:r w:rsidRPr="00E74B32">
              <w:rPr>
                <w:color w:val="000000"/>
                <w:w w:val="100"/>
                <w:kern w:val="0"/>
              </w:rPr>
              <w:t>State</w:t>
            </w:r>
          </w:p>
        </w:tc>
        <w:tc>
          <w:tcPr>
            <w:tcW w:w="1649" w:type="dxa"/>
            <w:gridSpan w:val="3"/>
            <w:shd w:val="clear" w:color="auto" w:fill="DEEAF6"/>
            <w:noWrap/>
          </w:tcPr>
          <w:p w14:paraId="1C6DA1F2" w14:textId="77777777" w:rsidR="00E74B32" w:rsidRPr="00E74B32" w:rsidRDefault="00E74B32" w:rsidP="00E74B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rFonts w:eastAsia="Times New Roman"/>
                <w:color w:val="000000"/>
                <w:w w:val="100"/>
                <w:kern w:val="0"/>
                <w:lang w:eastAsia="en-AU"/>
              </w:rPr>
              <w:t>Existing CCSs</w:t>
            </w:r>
          </w:p>
          <w:p w14:paraId="34EA7B82" w14:textId="77777777" w:rsidR="00E74B32" w:rsidRPr="00E74B32" w:rsidRDefault="00E74B32" w:rsidP="00E74B32">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w w:val="100"/>
                <w:kern w:val="0"/>
              </w:rPr>
            </w:pPr>
          </w:p>
        </w:tc>
        <w:tc>
          <w:tcPr>
            <w:tcW w:w="1917" w:type="dxa"/>
            <w:shd w:val="clear" w:color="auto" w:fill="DEEAF6"/>
            <w:noWrap/>
          </w:tcPr>
          <w:p w14:paraId="229105B7" w14:textId="77777777" w:rsidR="00E74B32" w:rsidRPr="00E74B32" w:rsidRDefault="00E74B32" w:rsidP="00E74B32">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0000"/>
                <w:w w:val="100"/>
                <w:kern w:val="0"/>
              </w:rPr>
            </w:pPr>
            <w:r w:rsidRPr="00E74B32">
              <w:rPr>
                <w:rFonts w:eastAsia="Times New Roman"/>
                <w:color w:val="000000"/>
                <w:w w:val="100"/>
                <w:kern w:val="0"/>
                <w:lang w:eastAsia="en-AU"/>
              </w:rPr>
              <w:t>Existing pathway services</w:t>
            </w:r>
          </w:p>
        </w:tc>
      </w:tr>
      <w:tr w:rsidR="00E74B32" w:rsidRPr="00E74B32" w14:paraId="24EF9E1C"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616D64D0"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w:t>
            </w:r>
          </w:p>
        </w:tc>
        <w:tc>
          <w:tcPr>
            <w:tcW w:w="4692" w:type="dxa"/>
            <w:gridSpan w:val="2"/>
            <w:noWrap/>
            <w:hideMark/>
          </w:tcPr>
          <w:p w14:paraId="3CC17C65"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Wide Bay</w:t>
            </w:r>
          </w:p>
        </w:tc>
        <w:tc>
          <w:tcPr>
            <w:tcW w:w="840" w:type="dxa"/>
            <w:noWrap/>
            <w:hideMark/>
          </w:tcPr>
          <w:p w14:paraId="65CDF9B1"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QLD</w:t>
            </w:r>
          </w:p>
        </w:tc>
        <w:tc>
          <w:tcPr>
            <w:tcW w:w="1649" w:type="dxa"/>
            <w:gridSpan w:val="3"/>
            <w:noWrap/>
            <w:hideMark/>
          </w:tcPr>
          <w:p w14:paraId="29F0F4B0"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1BE7C14E"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6</w:t>
            </w:r>
          </w:p>
        </w:tc>
        <w:bookmarkStart w:id="1" w:name="_GoBack"/>
        <w:bookmarkEnd w:id="1"/>
      </w:tr>
      <w:tr w:rsidR="00E74B32" w:rsidRPr="00E74B32" w14:paraId="08A118F4"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17916AAC"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2</w:t>
            </w:r>
          </w:p>
        </w:tc>
        <w:tc>
          <w:tcPr>
            <w:tcW w:w="4692" w:type="dxa"/>
            <w:gridSpan w:val="2"/>
            <w:noWrap/>
            <w:hideMark/>
          </w:tcPr>
          <w:p w14:paraId="40B5FB70"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Barossa - Yorke - Mid North</w:t>
            </w:r>
          </w:p>
        </w:tc>
        <w:tc>
          <w:tcPr>
            <w:tcW w:w="840" w:type="dxa"/>
            <w:noWrap/>
            <w:hideMark/>
          </w:tcPr>
          <w:p w14:paraId="207BBEF2"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SA</w:t>
            </w:r>
          </w:p>
        </w:tc>
        <w:tc>
          <w:tcPr>
            <w:tcW w:w="1649" w:type="dxa"/>
            <w:gridSpan w:val="3"/>
            <w:noWrap/>
            <w:hideMark/>
          </w:tcPr>
          <w:p w14:paraId="465919CA"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1917" w:type="dxa"/>
            <w:noWrap/>
            <w:hideMark/>
          </w:tcPr>
          <w:p w14:paraId="633F25FC"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r>
      <w:tr w:rsidR="00E74B32" w:rsidRPr="00E74B32" w14:paraId="75611F94"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27470B67"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3</w:t>
            </w:r>
          </w:p>
        </w:tc>
        <w:tc>
          <w:tcPr>
            <w:tcW w:w="4692" w:type="dxa"/>
            <w:gridSpan w:val="2"/>
            <w:noWrap/>
            <w:hideMark/>
          </w:tcPr>
          <w:p w14:paraId="6B8D422F"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New England and North West</w:t>
            </w:r>
          </w:p>
        </w:tc>
        <w:tc>
          <w:tcPr>
            <w:tcW w:w="840" w:type="dxa"/>
            <w:noWrap/>
            <w:hideMark/>
          </w:tcPr>
          <w:p w14:paraId="25310820"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NSW</w:t>
            </w:r>
          </w:p>
        </w:tc>
        <w:tc>
          <w:tcPr>
            <w:tcW w:w="1649" w:type="dxa"/>
            <w:gridSpan w:val="3"/>
            <w:noWrap/>
            <w:hideMark/>
          </w:tcPr>
          <w:p w14:paraId="651181A0"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1917" w:type="dxa"/>
            <w:noWrap/>
            <w:hideMark/>
          </w:tcPr>
          <w:p w14:paraId="6BA6B455"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12</w:t>
            </w:r>
          </w:p>
        </w:tc>
      </w:tr>
      <w:tr w:rsidR="00E74B32" w:rsidRPr="00E74B32" w14:paraId="2A844A5B"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2A0576F7"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4</w:t>
            </w:r>
          </w:p>
        </w:tc>
        <w:tc>
          <w:tcPr>
            <w:tcW w:w="4692" w:type="dxa"/>
            <w:gridSpan w:val="2"/>
            <w:noWrap/>
            <w:hideMark/>
          </w:tcPr>
          <w:p w14:paraId="2EB1A17F"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Sunshine Coast</w:t>
            </w:r>
          </w:p>
        </w:tc>
        <w:tc>
          <w:tcPr>
            <w:tcW w:w="840" w:type="dxa"/>
            <w:noWrap/>
            <w:hideMark/>
          </w:tcPr>
          <w:p w14:paraId="6F8D4EB7"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QLD</w:t>
            </w:r>
          </w:p>
        </w:tc>
        <w:tc>
          <w:tcPr>
            <w:tcW w:w="1649" w:type="dxa"/>
            <w:gridSpan w:val="3"/>
            <w:noWrap/>
            <w:hideMark/>
          </w:tcPr>
          <w:p w14:paraId="1B11AA8F"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0FC8EEF8"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76877E81"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3025499F"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5</w:t>
            </w:r>
          </w:p>
        </w:tc>
        <w:tc>
          <w:tcPr>
            <w:tcW w:w="4692" w:type="dxa"/>
            <w:gridSpan w:val="2"/>
            <w:noWrap/>
            <w:hideMark/>
          </w:tcPr>
          <w:p w14:paraId="218613F5"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 xml:space="preserve">Hunter Valley </w:t>
            </w:r>
            <w:proofErr w:type="spellStart"/>
            <w:r w:rsidRPr="00E74B32">
              <w:rPr>
                <w:color w:val="000000"/>
                <w:w w:val="100"/>
                <w:kern w:val="0"/>
              </w:rPr>
              <w:t>exc</w:t>
            </w:r>
            <w:proofErr w:type="spellEnd"/>
            <w:r w:rsidRPr="00E74B32">
              <w:rPr>
                <w:color w:val="000000"/>
                <w:w w:val="100"/>
                <w:kern w:val="0"/>
              </w:rPr>
              <w:t xml:space="preserve"> Newcastle</w:t>
            </w:r>
          </w:p>
        </w:tc>
        <w:tc>
          <w:tcPr>
            <w:tcW w:w="840" w:type="dxa"/>
            <w:noWrap/>
            <w:hideMark/>
          </w:tcPr>
          <w:p w14:paraId="2FB86483"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NSW</w:t>
            </w:r>
          </w:p>
        </w:tc>
        <w:tc>
          <w:tcPr>
            <w:tcW w:w="1649" w:type="dxa"/>
            <w:gridSpan w:val="3"/>
            <w:noWrap/>
            <w:hideMark/>
          </w:tcPr>
          <w:p w14:paraId="4FF4CC82"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1917" w:type="dxa"/>
            <w:noWrap/>
            <w:hideMark/>
          </w:tcPr>
          <w:p w14:paraId="7D5665AC"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4</w:t>
            </w:r>
          </w:p>
        </w:tc>
      </w:tr>
      <w:tr w:rsidR="00E74B32" w:rsidRPr="00E74B32" w14:paraId="168D438B"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470D00FE"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6</w:t>
            </w:r>
          </w:p>
        </w:tc>
        <w:tc>
          <w:tcPr>
            <w:tcW w:w="4692" w:type="dxa"/>
            <w:gridSpan w:val="2"/>
            <w:noWrap/>
            <w:hideMark/>
          </w:tcPr>
          <w:p w14:paraId="58EBD9ED"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Melbourne - North West</w:t>
            </w:r>
          </w:p>
        </w:tc>
        <w:tc>
          <w:tcPr>
            <w:tcW w:w="840" w:type="dxa"/>
            <w:noWrap/>
            <w:hideMark/>
          </w:tcPr>
          <w:p w14:paraId="6B144824"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VIC</w:t>
            </w:r>
          </w:p>
        </w:tc>
        <w:tc>
          <w:tcPr>
            <w:tcW w:w="1649" w:type="dxa"/>
            <w:gridSpan w:val="3"/>
            <w:noWrap/>
            <w:hideMark/>
          </w:tcPr>
          <w:p w14:paraId="04206E44"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1917" w:type="dxa"/>
            <w:noWrap/>
            <w:hideMark/>
          </w:tcPr>
          <w:p w14:paraId="6B32CA71"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26DAD538"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4464F3F4"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7</w:t>
            </w:r>
          </w:p>
        </w:tc>
        <w:tc>
          <w:tcPr>
            <w:tcW w:w="4692" w:type="dxa"/>
            <w:gridSpan w:val="2"/>
            <w:noWrap/>
            <w:hideMark/>
          </w:tcPr>
          <w:p w14:paraId="6FEFA3EA"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Bunbury</w:t>
            </w:r>
          </w:p>
        </w:tc>
        <w:tc>
          <w:tcPr>
            <w:tcW w:w="840" w:type="dxa"/>
            <w:noWrap/>
            <w:hideMark/>
          </w:tcPr>
          <w:p w14:paraId="577044C3"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WA</w:t>
            </w:r>
          </w:p>
        </w:tc>
        <w:tc>
          <w:tcPr>
            <w:tcW w:w="1649" w:type="dxa"/>
            <w:gridSpan w:val="3"/>
            <w:noWrap/>
            <w:hideMark/>
          </w:tcPr>
          <w:p w14:paraId="090AD751"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7FF2F62B"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42E811F4"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34329A17"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8</w:t>
            </w:r>
          </w:p>
        </w:tc>
        <w:tc>
          <w:tcPr>
            <w:tcW w:w="4692" w:type="dxa"/>
            <w:gridSpan w:val="2"/>
            <w:noWrap/>
            <w:hideMark/>
          </w:tcPr>
          <w:p w14:paraId="144E288B"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Gold Coast</w:t>
            </w:r>
          </w:p>
        </w:tc>
        <w:tc>
          <w:tcPr>
            <w:tcW w:w="840" w:type="dxa"/>
            <w:noWrap/>
            <w:hideMark/>
          </w:tcPr>
          <w:p w14:paraId="15761B37"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QLD</w:t>
            </w:r>
          </w:p>
        </w:tc>
        <w:tc>
          <w:tcPr>
            <w:tcW w:w="1649" w:type="dxa"/>
            <w:gridSpan w:val="3"/>
            <w:noWrap/>
            <w:hideMark/>
          </w:tcPr>
          <w:p w14:paraId="6EFEC1BA"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3E5AF7FA"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5B9188DF"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5C059934"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9</w:t>
            </w:r>
          </w:p>
        </w:tc>
        <w:tc>
          <w:tcPr>
            <w:tcW w:w="4692" w:type="dxa"/>
            <w:gridSpan w:val="2"/>
            <w:noWrap/>
            <w:hideMark/>
          </w:tcPr>
          <w:p w14:paraId="5DD33861"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Melbourne - Outer East</w:t>
            </w:r>
          </w:p>
        </w:tc>
        <w:tc>
          <w:tcPr>
            <w:tcW w:w="840" w:type="dxa"/>
            <w:noWrap/>
            <w:hideMark/>
          </w:tcPr>
          <w:p w14:paraId="0B26CEF0"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VIC</w:t>
            </w:r>
          </w:p>
        </w:tc>
        <w:tc>
          <w:tcPr>
            <w:tcW w:w="1649" w:type="dxa"/>
            <w:gridSpan w:val="3"/>
            <w:noWrap/>
            <w:hideMark/>
          </w:tcPr>
          <w:p w14:paraId="6ADD7DAA"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1917" w:type="dxa"/>
            <w:noWrap/>
            <w:hideMark/>
          </w:tcPr>
          <w:p w14:paraId="4E2AD09A"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3</w:t>
            </w:r>
          </w:p>
        </w:tc>
      </w:tr>
      <w:tr w:rsidR="00E74B32" w:rsidRPr="00E74B32" w14:paraId="03F407F1"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793CC68C"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10</w:t>
            </w:r>
          </w:p>
        </w:tc>
        <w:tc>
          <w:tcPr>
            <w:tcW w:w="4692" w:type="dxa"/>
            <w:gridSpan w:val="2"/>
            <w:noWrap/>
            <w:hideMark/>
          </w:tcPr>
          <w:p w14:paraId="2B99EC83"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North West</w:t>
            </w:r>
          </w:p>
        </w:tc>
        <w:tc>
          <w:tcPr>
            <w:tcW w:w="840" w:type="dxa"/>
            <w:noWrap/>
            <w:hideMark/>
          </w:tcPr>
          <w:p w14:paraId="4B13169C"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VIC</w:t>
            </w:r>
          </w:p>
        </w:tc>
        <w:tc>
          <w:tcPr>
            <w:tcW w:w="1649" w:type="dxa"/>
            <w:gridSpan w:val="3"/>
            <w:noWrap/>
            <w:hideMark/>
          </w:tcPr>
          <w:p w14:paraId="36574147"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4C701C21"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r>
      <w:tr w:rsidR="00E74B32" w:rsidRPr="00E74B32" w14:paraId="57999CE6"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43E155E2"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11</w:t>
            </w:r>
          </w:p>
        </w:tc>
        <w:tc>
          <w:tcPr>
            <w:tcW w:w="4692" w:type="dxa"/>
            <w:gridSpan w:val="2"/>
            <w:noWrap/>
            <w:hideMark/>
          </w:tcPr>
          <w:p w14:paraId="36A894D2"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Mornington Peninsula</w:t>
            </w:r>
          </w:p>
        </w:tc>
        <w:tc>
          <w:tcPr>
            <w:tcW w:w="840" w:type="dxa"/>
            <w:noWrap/>
            <w:hideMark/>
          </w:tcPr>
          <w:p w14:paraId="7C620E55"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VIC</w:t>
            </w:r>
          </w:p>
        </w:tc>
        <w:tc>
          <w:tcPr>
            <w:tcW w:w="1649" w:type="dxa"/>
            <w:gridSpan w:val="3"/>
            <w:noWrap/>
            <w:hideMark/>
          </w:tcPr>
          <w:p w14:paraId="58CCCF1C"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4432454E"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r>
      <w:tr w:rsidR="00E74B32" w:rsidRPr="00E74B32" w14:paraId="11260332"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3B24FC0C"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12</w:t>
            </w:r>
          </w:p>
        </w:tc>
        <w:tc>
          <w:tcPr>
            <w:tcW w:w="4692" w:type="dxa"/>
            <w:gridSpan w:val="2"/>
            <w:noWrap/>
            <w:hideMark/>
          </w:tcPr>
          <w:p w14:paraId="14E61FB2"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Moreton Bay - North</w:t>
            </w:r>
          </w:p>
        </w:tc>
        <w:tc>
          <w:tcPr>
            <w:tcW w:w="840" w:type="dxa"/>
            <w:noWrap/>
            <w:hideMark/>
          </w:tcPr>
          <w:p w14:paraId="5B5AA024"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QLD</w:t>
            </w:r>
          </w:p>
        </w:tc>
        <w:tc>
          <w:tcPr>
            <w:tcW w:w="1649" w:type="dxa"/>
            <w:gridSpan w:val="3"/>
            <w:noWrap/>
            <w:hideMark/>
          </w:tcPr>
          <w:p w14:paraId="3EBE72EC"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c>
          <w:tcPr>
            <w:tcW w:w="1917" w:type="dxa"/>
            <w:noWrap/>
            <w:hideMark/>
          </w:tcPr>
          <w:p w14:paraId="2B4BAC84"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680FCA75"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7A555453"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13</w:t>
            </w:r>
          </w:p>
        </w:tc>
        <w:tc>
          <w:tcPr>
            <w:tcW w:w="4692" w:type="dxa"/>
            <w:gridSpan w:val="2"/>
            <w:noWrap/>
            <w:hideMark/>
          </w:tcPr>
          <w:p w14:paraId="3690F913"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Melbourne - South East</w:t>
            </w:r>
          </w:p>
        </w:tc>
        <w:tc>
          <w:tcPr>
            <w:tcW w:w="840" w:type="dxa"/>
            <w:noWrap/>
            <w:hideMark/>
          </w:tcPr>
          <w:p w14:paraId="72B030BB"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VIC</w:t>
            </w:r>
          </w:p>
        </w:tc>
        <w:tc>
          <w:tcPr>
            <w:tcW w:w="1649" w:type="dxa"/>
            <w:gridSpan w:val="3"/>
            <w:noWrap/>
            <w:hideMark/>
          </w:tcPr>
          <w:p w14:paraId="6C4A662C"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1917" w:type="dxa"/>
            <w:noWrap/>
            <w:hideMark/>
          </w:tcPr>
          <w:p w14:paraId="7D3EAA14"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4006C268"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40D6DAD2"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14</w:t>
            </w:r>
          </w:p>
        </w:tc>
        <w:tc>
          <w:tcPr>
            <w:tcW w:w="4692" w:type="dxa"/>
            <w:gridSpan w:val="2"/>
            <w:noWrap/>
            <w:hideMark/>
          </w:tcPr>
          <w:p w14:paraId="0D958ED9"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Perth - South West</w:t>
            </w:r>
          </w:p>
        </w:tc>
        <w:tc>
          <w:tcPr>
            <w:tcW w:w="840" w:type="dxa"/>
            <w:noWrap/>
            <w:hideMark/>
          </w:tcPr>
          <w:p w14:paraId="3D95C52B"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WA</w:t>
            </w:r>
          </w:p>
        </w:tc>
        <w:tc>
          <w:tcPr>
            <w:tcW w:w="1649" w:type="dxa"/>
            <w:gridSpan w:val="3"/>
            <w:noWrap/>
            <w:hideMark/>
          </w:tcPr>
          <w:p w14:paraId="35B9CE26"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3426653E"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r>
      <w:tr w:rsidR="00E74B32" w:rsidRPr="00E74B32" w14:paraId="4BA88740"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5E5CE32D"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15</w:t>
            </w:r>
          </w:p>
        </w:tc>
        <w:tc>
          <w:tcPr>
            <w:tcW w:w="4692" w:type="dxa"/>
            <w:gridSpan w:val="2"/>
            <w:noWrap/>
            <w:hideMark/>
          </w:tcPr>
          <w:p w14:paraId="2C84158F"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Launceston and North East</w:t>
            </w:r>
          </w:p>
        </w:tc>
        <w:tc>
          <w:tcPr>
            <w:tcW w:w="840" w:type="dxa"/>
            <w:noWrap/>
            <w:hideMark/>
          </w:tcPr>
          <w:p w14:paraId="623BCB1D"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TAS</w:t>
            </w:r>
          </w:p>
        </w:tc>
        <w:tc>
          <w:tcPr>
            <w:tcW w:w="1649" w:type="dxa"/>
            <w:gridSpan w:val="3"/>
            <w:noWrap/>
            <w:hideMark/>
          </w:tcPr>
          <w:p w14:paraId="2AEC1245"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3D85A8C6"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r>
      <w:tr w:rsidR="00E74B32" w:rsidRPr="00E74B32" w14:paraId="51C4A30C"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1B597B7E"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16</w:t>
            </w:r>
          </w:p>
        </w:tc>
        <w:tc>
          <w:tcPr>
            <w:tcW w:w="4692" w:type="dxa"/>
            <w:gridSpan w:val="2"/>
            <w:noWrap/>
            <w:hideMark/>
          </w:tcPr>
          <w:p w14:paraId="52E35110"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Melbourne - West</w:t>
            </w:r>
          </w:p>
        </w:tc>
        <w:tc>
          <w:tcPr>
            <w:tcW w:w="840" w:type="dxa"/>
            <w:noWrap/>
            <w:hideMark/>
          </w:tcPr>
          <w:p w14:paraId="75A9A6CE"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VIC</w:t>
            </w:r>
          </w:p>
        </w:tc>
        <w:tc>
          <w:tcPr>
            <w:tcW w:w="1649" w:type="dxa"/>
            <w:gridSpan w:val="3"/>
            <w:noWrap/>
            <w:hideMark/>
          </w:tcPr>
          <w:p w14:paraId="08711E6E"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c>
          <w:tcPr>
            <w:tcW w:w="1917" w:type="dxa"/>
            <w:noWrap/>
            <w:hideMark/>
          </w:tcPr>
          <w:p w14:paraId="76A92385"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r>
      <w:tr w:rsidR="00E74B32" w:rsidRPr="00E74B32" w14:paraId="2254A35B"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7FAFD567"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17</w:t>
            </w:r>
          </w:p>
        </w:tc>
        <w:tc>
          <w:tcPr>
            <w:tcW w:w="4692" w:type="dxa"/>
            <w:gridSpan w:val="2"/>
            <w:noWrap/>
            <w:hideMark/>
          </w:tcPr>
          <w:p w14:paraId="179ACCA7"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West and North West</w:t>
            </w:r>
          </w:p>
        </w:tc>
        <w:tc>
          <w:tcPr>
            <w:tcW w:w="840" w:type="dxa"/>
            <w:noWrap/>
            <w:hideMark/>
          </w:tcPr>
          <w:p w14:paraId="28A9DC70"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TAS</w:t>
            </w:r>
          </w:p>
        </w:tc>
        <w:tc>
          <w:tcPr>
            <w:tcW w:w="1649" w:type="dxa"/>
            <w:gridSpan w:val="3"/>
            <w:noWrap/>
            <w:hideMark/>
          </w:tcPr>
          <w:p w14:paraId="177A9041"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53FCBFBD"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1EEE5E92"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240BB0E7"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18</w:t>
            </w:r>
          </w:p>
        </w:tc>
        <w:tc>
          <w:tcPr>
            <w:tcW w:w="4692" w:type="dxa"/>
            <w:gridSpan w:val="2"/>
            <w:noWrap/>
            <w:hideMark/>
          </w:tcPr>
          <w:p w14:paraId="6F8E5566"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Central West</w:t>
            </w:r>
          </w:p>
        </w:tc>
        <w:tc>
          <w:tcPr>
            <w:tcW w:w="840" w:type="dxa"/>
            <w:noWrap/>
            <w:hideMark/>
          </w:tcPr>
          <w:p w14:paraId="426F0ED5"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NSW</w:t>
            </w:r>
          </w:p>
        </w:tc>
        <w:tc>
          <w:tcPr>
            <w:tcW w:w="1649" w:type="dxa"/>
            <w:gridSpan w:val="3"/>
            <w:noWrap/>
            <w:hideMark/>
          </w:tcPr>
          <w:p w14:paraId="3998E70F"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39E4F095"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7</w:t>
            </w:r>
          </w:p>
        </w:tc>
      </w:tr>
      <w:tr w:rsidR="00E74B32" w:rsidRPr="00E74B32" w14:paraId="29A982FD" w14:textId="77777777" w:rsidTr="00E74B3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39AEC3BB"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19</w:t>
            </w:r>
          </w:p>
        </w:tc>
        <w:tc>
          <w:tcPr>
            <w:tcW w:w="4692" w:type="dxa"/>
            <w:gridSpan w:val="2"/>
            <w:noWrap/>
            <w:hideMark/>
          </w:tcPr>
          <w:p w14:paraId="0097BBB9"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Melbourne - North East</w:t>
            </w:r>
          </w:p>
        </w:tc>
        <w:tc>
          <w:tcPr>
            <w:tcW w:w="840" w:type="dxa"/>
            <w:noWrap/>
            <w:hideMark/>
          </w:tcPr>
          <w:p w14:paraId="58095311"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VIC</w:t>
            </w:r>
          </w:p>
        </w:tc>
        <w:tc>
          <w:tcPr>
            <w:tcW w:w="1649" w:type="dxa"/>
            <w:gridSpan w:val="3"/>
            <w:noWrap/>
            <w:hideMark/>
          </w:tcPr>
          <w:p w14:paraId="78C4891E"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1917" w:type="dxa"/>
            <w:noWrap/>
            <w:hideMark/>
          </w:tcPr>
          <w:p w14:paraId="26CD3651" w14:textId="77777777" w:rsidR="00E74B32" w:rsidRPr="00E74B32" w:rsidRDefault="00E74B32" w:rsidP="00E74B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r>
      <w:tr w:rsidR="00E74B32" w:rsidRPr="00E74B32" w14:paraId="1F9B3FD8" w14:textId="77777777" w:rsidTr="00E74B32">
        <w:trPr>
          <w:trHeight w:val="308"/>
        </w:trPr>
        <w:tc>
          <w:tcPr>
            <w:cnfStyle w:val="001000000000" w:firstRow="0" w:lastRow="0" w:firstColumn="1" w:lastColumn="0" w:oddVBand="0" w:evenVBand="0" w:oddHBand="0" w:evenHBand="0" w:firstRowFirstColumn="0" w:firstRowLastColumn="0" w:lastRowFirstColumn="0" w:lastRowLastColumn="0"/>
            <w:tcW w:w="1024" w:type="dxa"/>
            <w:gridSpan w:val="2"/>
            <w:noWrap/>
            <w:hideMark/>
          </w:tcPr>
          <w:p w14:paraId="6712FB46" w14:textId="77777777" w:rsidR="00E74B32" w:rsidRPr="00E74B32" w:rsidRDefault="00E74B32" w:rsidP="00E74B32">
            <w:pPr>
              <w:spacing w:after="0" w:line="240" w:lineRule="auto"/>
              <w:jc w:val="center"/>
              <w:rPr>
                <w:rFonts w:eastAsia="Times New Roman"/>
                <w:color w:val="000000"/>
                <w:w w:val="100"/>
                <w:kern w:val="0"/>
                <w:lang w:eastAsia="en-AU"/>
              </w:rPr>
            </w:pPr>
            <w:r w:rsidRPr="00E74B32">
              <w:rPr>
                <w:color w:val="000000"/>
                <w:w w:val="100"/>
                <w:kern w:val="0"/>
              </w:rPr>
              <w:t>20</w:t>
            </w:r>
          </w:p>
        </w:tc>
        <w:tc>
          <w:tcPr>
            <w:tcW w:w="4692" w:type="dxa"/>
            <w:gridSpan w:val="2"/>
            <w:noWrap/>
            <w:hideMark/>
          </w:tcPr>
          <w:p w14:paraId="5E3EA4B0"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Cairns</w:t>
            </w:r>
          </w:p>
        </w:tc>
        <w:tc>
          <w:tcPr>
            <w:tcW w:w="840" w:type="dxa"/>
            <w:noWrap/>
            <w:hideMark/>
          </w:tcPr>
          <w:p w14:paraId="2440E23C"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QLD</w:t>
            </w:r>
          </w:p>
        </w:tc>
        <w:tc>
          <w:tcPr>
            <w:tcW w:w="1649" w:type="dxa"/>
            <w:gridSpan w:val="3"/>
            <w:noWrap/>
            <w:hideMark/>
          </w:tcPr>
          <w:p w14:paraId="6833D9A8"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1917" w:type="dxa"/>
            <w:noWrap/>
            <w:hideMark/>
          </w:tcPr>
          <w:p w14:paraId="2831F546" w14:textId="77777777" w:rsidR="00E74B32" w:rsidRPr="00E74B32" w:rsidRDefault="00E74B32" w:rsidP="00E74B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r>
      <w:tr w:rsidR="00E74B32" w:rsidRPr="00E74B32" w14:paraId="152304A2" w14:textId="77777777" w:rsidTr="00E74B3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21ED0AE7"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21</w:t>
            </w:r>
          </w:p>
        </w:tc>
        <w:tc>
          <w:tcPr>
            <w:tcW w:w="4634" w:type="dxa"/>
            <w:gridSpan w:val="2"/>
            <w:noWrap/>
            <w:hideMark/>
          </w:tcPr>
          <w:p w14:paraId="1DC7F3B2"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Perth - North East</w:t>
            </w:r>
          </w:p>
        </w:tc>
        <w:tc>
          <w:tcPr>
            <w:tcW w:w="1009" w:type="dxa"/>
            <w:gridSpan w:val="3"/>
            <w:noWrap/>
            <w:hideMark/>
          </w:tcPr>
          <w:p w14:paraId="1ADCBAD9"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WA</w:t>
            </w:r>
          </w:p>
        </w:tc>
        <w:tc>
          <w:tcPr>
            <w:tcW w:w="1448" w:type="dxa"/>
            <w:noWrap/>
            <w:hideMark/>
          </w:tcPr>
          <w:p w14:paraId="20F8DFBD"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2024" w:type="dxa"/>
            <w:gridSpan w:val="2"/>
            <w:noWrap/>
            <w:hideMark/>
          </w:tcPr>
          <w:p w14:paraId="06AC2563"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36C0B27E" w14:textId="77777777" w:rsidTr="00E74B32">
        <w:trPr>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7B758122"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22</w:t>
            </w:r>
          </w:p>
        </w:tc>
        <w:tc>
          <w:tcPr>
            <w:tcW w:w="4634" w:type="dxa"/>
            <w:gridSpan w:val="2"/>
            <w:noWrap/>
            <w:hideMark/>
          </w:tcPr>
          <w:p w14:paraId="65E7DDBA"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Richmond - Tweed</w:t>
            </w:r>
          </w:p>
        </w:tc>
        <w:tc>
          <w:tcPr>
            <w:tcW w:w="1009" w:type="dxa"/>
            <w:gridSpan w:val="3"/>
            <w:noWrap/>
            <w:hideMark/>
          </w:tcPr>
          <w:p w14:paraId="0B320376"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NSW</w:t>
            </w:r>
          </w:p>
        </w:tc>
        <w:tc>
          <w:tcPr>
            <w:tcW w:w="1448" w:type="dxa"/>
            <w:noWrap/>
            <w:hideMark/>
          </w:tcPr>
          <w:p w14:paraId="18BB8602"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2024" w:type="dxa"/>
            <w:gridSpan w:val="2"/>
            <w:noWrap/>
            <w:hideMark/>
          </w:tcPr>
          <w:p w14:paraId="6D10C0C8"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4</w:t>
            </w:r>
          </w:p>
        </w:tc>
      </w:tr>
      <w:tr w:rsidR="00E74B32" w:rsidRPr="00E74B32" w14:paraId="280C8E6A" w14:textId="77777777" w:rsidTr="00E74B3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198C4CBD"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23</w:t>
            </w:r>
          </w:p>
        </w:tc>
        <w:tc>
          <w:tcPr>
            <w:tcW w:w="4634" w:type="dxa"/>
            <w:gridSpan w:val="2"/>
            <w:noWrap/>
            <w:hideMark/>
          </w:tcPr>
          <w:p w14:paraId="3668B4A5"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Logan - Beaudesert</w:t>
            </w:r>
          </w:p>
        </w:tc>
        <w:tc>
          <w:tcPr>
            <w:tcW w:w="1009" w:type="dxa"/>
            <w:gridSpan w:val="3"/>
            <w:noWrap/>
            <w:hideMark/>
          </w:tcPr>
          <w:p w14:paraId="69E6EA71"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QLD</w:t>
            </w:r>
          </w:p>
        </w:tc>
        <w:tc>
          <w:tcPr>
            <w:tcW w:w="1448" w:type="dxa"/>
            <w:noWrap/>
            <w:hideMark/>
          </w:tcPr>
          <w:p w14:paraId="5ABCDC59"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2024" w:type="dxa"/>
            <w:gridSpan w:val="2"/>
            <w:noWrap/>
            <w:hideMark/>
          </w:tcPr>
          <w:p w14:paraId="1A5E205F"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r>
      <w:tr w:rsidR="00E74B32" w:rsidRPr="00E74B32" w14:paraId="1BC7E4B6" w14:textId="77777777" w:rsidTr="00E74B32">
        <w:trPr>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04C0514D"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24</w:t>
            </w:r>
          </w:p>
        </w:tc>
        <w:tc>
          <w:tcPr>
            <w:tcW w:w="4634" w:type="dxa"/>
            <w:gridSpan w:val="2"/>
            <w:noWrap/>
            <w:hideMark/>
          </w:tcPr>
          <w:p w14:paraId="60FBB3D0"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Latrobe - Gippsland</w:t>
            </w:r>
          </w:p>
        </w:tc>
        <w:tc>
          <w:tcPr>
            <w:tcW w:w="1009" w:type="dxa"/>
            <w:gridSpan w:val="3"/>
            <w:noWrap/>
            <w:hideMark/>
          </w:tcPr>
          <w:p w14:paraId="332E1F49"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VIC</w:t>
            </w:r>
          </w:p>
        </w:tc>
        <w:tc>
          <w:tcPr>
            <w:tcW w:w="1448" w:type="dxa"/>
            <w:noWrap/>
            <w:hideMark/>
          </w:tcPr>
          <w:p w14:paraId="0B72FC81"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c>
          <w:tcPr>
            <w:tcW w:w="2024" w:type="dxa"/>
            <w:gridSpan w:val="2"/>
            <w:noWrap/>
            <w:hideMark/>
          </w:tcPr>
          <w:p w14:paraId="554D9131"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5</w:t>
            </w:r>
          </w:p>
        </w:tc>
      </w:tr>
      <w:tr w:rsidR="00E74B32" w:rsidRPr="00E74B32" w14:paraId="1401D2C6" w14:textId="77777777" w:rsidTr="00E74B3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5E9DE0C6"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25</w:t>
            </w:r>
          </w:p>
        </w:tc>
        <w:tc>
          <w:tcPr>
            <w:tcW w:w="4634" w:type="dxa"/>
            <w:gridSpan w:val="2"/>
            <w:noWrap/>
            <w:hideMark/>
          </w:tcPr>
          <w:p w14:paraId="69C4F0C8"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Townsville</w:t>
            </w:r>
          </w:p>
        </w:tc>
        <w:tc>
          <w:tcPr>
            <w:tcW w:w="1009" w:type="dxa"/>
            <w:gridSpan w:val="3"/>
            <w:noWrap/>
            <w:hideMark/>
          </w:tcPr>
          <w:p w14:paraId="4356153A"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QLD</w:t>
            </w:r>
          </w:p>
        </w:tc>
        <w:tc>
          <w:tcPr>
            <w:tcW w:w="1448" w:type="dxa"/>
            <w:noWrap/>
            <w:hideMark/>
          </w:tcPr>
          <w:p w14:paraId="5879337A"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2024" w:type="dxa"/>
            <w:gridSpan w:val="2"/>
            <w:noWrap/>
            <w:hideMark/>
          </w:tcPr>
          <w:p w14:paraId="3CB8AE41"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r>
      <w:tr w:rsidR="00E74B32" w:rsidRPr="00E74B32" w14:paraId="6A661BD6" w14:textId="77777777" w:rsidTr="00E74B32">
        <w:trPr>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24FFC3A2"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26</w:t>
            </w:r>
          </w:p>
        </w:tc>
        <w:tc>
          <w:tcPr>
            <w:tcW w:w="4634" w:type="dxa"/>
            <w:gridSpan w:val="2"/>
            <w:noWrap/>
            <w:hideMark/>
          </w:tcPr>
          <w:p w14:paraId="0300DF31"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Ipswich</w:t>
            </w:r>
          </w:p>
        </w:tc>
        <w:tc>
          <w:tcPr>
            <w:tcW w:w="1009" w:type="dxa"/>
            <w:gridSpan w:val="3"/>
            <w:noWrap/>
            <w:hideMark/>
          </w:tcPr>
          <w:p w14:paraId="537F1D43"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QLD</w:t>
            </w:r>
          </w:p>
        </w:tc>
        <w:tc>
          <w:tcPr>
            <w:tcW w:w="1448" w:type="dxa"/>
            <w:noWrap/>
            <w:hideMark/>
          </w:tcPr>
          <w:p w14:paraId="4E92719A"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2024" w:type="dxa"/>
            <w:gridSpan w:val="2"/>
            <w:noWrap/>
            <w:hideMark/>
          </w:tcPr>
          <w:p w14:paraId="631CFEC1"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0C7393D2" w14:textId="77777777" w:rsidTr="00E74B3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6A46C5E5"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27</w:t>
            </w:r>
          </w:p>
        </w:tc>
        <w:tc>
          <w:tcPr>
            <w:tcW w:w="4634" w:type="dxa"/>
            <w:gridSpan w:val="2"/>
            <w:noWrap/>
            <w:hideMark/>
          </w:tcPr>
          <w:p w14:paraId="3822C446"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Sydney - Outer West and Blue Mountains</w:t>
            </w:r>
          </w:p>
        </w:tc>
        <w:tc>
          <w:tcPr>
            <w:tcW w:w="1009" w:type="dxa"/>
            <w:gridSpan w:val="3"/>
            <w:noWrap/>
            <w:hideMark/>
          </w:tcPr>
          <w:p w14:paraId="28D0825B"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NSW</w:t>
            </w:r>
          </w:p>
        </w:tc>
        <w:tc>
          <w:tcPr>
            <w:tcW w:w="1448" w:type="dxa"/>
            <w:noWrap/>
            <w:hideMark/>
          </w:tcPr>
          <w:p w14:paraId="62259720"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c>
          <w:tcPr>
            <w:tcW w:w="2024" w:type="dxa"/>
            <w:gridSpan w:val="2"/>
            <w:noWrap/>
            <w:hideMark/>
          </w:tcPr>
          <w:p w14:paraId="57239E0F"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1</w:t>
            </w:r>
          </w:p>
        </w:tc>
      </w:tr>
      <w:tr w:rsidR="00E74B32" w:rsidRPr="00E74B32" w14:paraId="102E40CC" w14:textId="77777777" w:rsidTr="00E74B32">
        <w:trPr>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48FAA81F"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28</w:t>
            </w:r>
          </w:p>
        </w:tc>
        <w:tc>
          <w:tcPr>
            <w:tcW w:w="4634" w:type="dxa"/>
            <w:gridSpan w:val="2"/>
            <w:noWrap/>
            <w:hideMark/>
          </w:tcPr>
          <w:p w14:paraId="53107604"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Brisbane - East</w:t>
            </w:r>
          </w:p>
        </w:tc>
        <w:tc>
          <w:tcPr>
            <w:tcW w:w="1009" w:type="dxa"/>
            <w:gridSpan w:val="3"/>
            <w:noWrap/>
            <w:hideMark/>
          </w:tcPr>
          <w:p w14:paraId="398C5F9B"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QLD</w:t>
            </w:r>
          </w:p>
        </w:tc>
        <w:tc>
          <w:tcPr>
            <w:tcW w:w="1448" w:type="dxa"/>
            <w:noWrap/>
            <w:hideMark/>
          </w:tcPr>
          <w:p w14:paraId="593C8337"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2024" w:type="dxa"/>
            <w:gridSpan w:val="2"/>
            <w:noWrap/>
            <w:hideMark/>
          </w:tcPr>
          <w:p w14:paraId="0182C0E2"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r>
      <w:tr w:rsidR="00E74B32" w:rsidRPr="00E74B32" w14:paraId="3F9C4F83" w14:textId="77777777" w:rsidTr="00E74B3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59788968"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29</w:t>
            </w:r>
          </w:p>
        </w:tc>
        <w:tc>
          <w:tcPr>
            <w:tcW w:w="4634" w:type="dxa"/>
            <w:gridSpan w:val="2"/>
            <w:noWrap/>
            <w:hideMark/>
          </w:tcPr>
          <w:p w14:paraId="003C4213"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Riverina</w:t>
            </w:r>
          </w:p>
        </w:tc>
        <w:tc>
          <w:tcPr>
            <w:tcW w:w="1009" w:type="dxa"/>
            <w:gridSpan w:val="3"/>
            <w:noWrap/>
            <w:hideMark/>
          </w:tcPr>
          <w:p w14:paraId="22BF8242"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NSW</w:t>
            </w:r>
          </w:p>
        </w:tc>
        <w:tc>
          <w:tcPr>
            <w:tcW w:w="1448" w:type="dxa"/>
            <w:noWrap/>
            <w:hideMark/>
          </w:tcPr>
          <w:p w14:paraId="27F4F007"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0</w:t>
            </w:r>
          </w:p>
        </w:tc>
        <w:tc>
          <w:tcPr>
            <w:tcW w:w="2024" w:type="dxa"/>
            <w:gridSpan w:val="2"/>
            <w:noWrap/>
            <w:hideMark/>
          </w:tcPr>
          <w:p w14:paraId="7AA8FA6E" w14:textId="77777777" w:rsidR="00E74B32" w:rsidRPr="00E74B32" w:rsidRDefault="00E74B32" w:rsidP="00E74B32">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w w:val="100"/>
                <w:kern w:val="0"/>
                <w:lang w:eastAsia="en-AU"/>
              </w:rPr>
            </w:pPr>
            <w:r w:rsidRPr="00E74B32">
              <w:rPr>
                <w:color w:val="000000"/>
                <w:w w:val="100"/>
                <w:kern w:val="0"/>
              </w:rPr>
              <w:t>5</w:t>
            </w:r>
          </w:p>
        </w:tc>
      </w:tr>
      <w:tr w:rsidR="00E74B32" w:rsidRPr="00E74B32" w14:paraId="65469008" w14:textId="77777777" w:rsidTr="00E74B32">
        <w:trPr>
          <w:trHeight w:val="302"/>
        </w:trPr>
        <w:tc>
          <w:tcPr>
            <w:cnfStyle w:val="001000000000" w:firstRow="0" w:lastRow="0" w:firstColumn="1" w:lastColumn="0" w:oddVBand="0" w:evenVBand="0" w:oddHBand="0" w:evenHBand="0" w:firstRowFirstColumn="0" w:firstRowLastColumn="0" w:lastRowFirstColumn="0" w:lastRowLastColumn="0"/>
            <w:tcW w:w="1009" w:type="dxa"/>
            <w:noWrap/>
            <w:hideMark/>
          </w:tcPr>
          <w:p w14:paraId="6AA330AD" w14:textId="77777777" w:rsidR="00E74B32" w:rsidRPr="00E74B32" w:rsidRDefault="00E74B32" w:rsidP="00E74B32">
            <w:pPr>
              <w:keepNext/>
              <w:keepLines/>
              <w:spacing w:after="0" w:line="240" w:lineRule="auto"/>
              <w:jc w:val="center"/>
              <w:rPr>
                <w:rFonts w:eastAsia="Times New Roman"/>
                <w:color w:val="000000"/>
                <w:w w:val="100"/>
                <w:kern w:val="0"/>
                <w:lang w:eastAsia="en-AU"/>
              </w:rPr>
            </w:pPr>
            <w:r w:rsidRPr="00E74B32">
              <w:rPr>
                <w:rFonts w:eastAsia="Times New Roman"/>
                <w:color w:val="000000"/>
                <w:w w:val="100"/>
                <w:kern w:val="0"/>
                <w:lang w:eastAsia="en-AU"/>
              </w:rPr>
              <w:t>30</w:t>
            </w:r>
          </w:p>
        </w:tc>
        <w:tc>
          <w:tcPr>
            <w:tcW w:w="4634" w:type="dxa"/>
            <w:gridSpan w:val="2"/>
            <w:noWrap/>
            <w:hideMark/>
          </w:tcPr>
          <w:p w14:paraId="118F3FC2"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Western Australia - Outback</w:t>
            </w:r>
          </w:p>
        </w:tc>
        <w:tc>
          <w:tcPr>
            <w:tcW w:w="1009" w:type="dxa"/>
            <w:gridSpan w:val="3"/>
            <w:noWrap/>
            <w:hideMark/>
          </w:tcPr>
          <w:p w14:paraId="3F8D9FF6"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WA</w:t>
            </w:r>
          </w:p>
        </w:tc>
        <w:tc>
          <w:tcPr>
            <w:tcW w:w="1448" w:type="dxa"/>
            <w:noWrap/>
            <w:hideMark/>
          </w:tcPr>
          <w:p w14:paraId="373E79D5"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2</w:t>
            </w:r>
          </w:p>
        </w:tc>
        <w:tc>
          <w:tcPr>
            <w:tcW w:w="2024" w:type="dxa"/>
            <w:gridSpan w:val="2"/>
            <w:noWrap/>
            <w:hideMark/>
          </w:tcPr>
          <w:p w14:paraId="72D4B592" w14:textId="77777777" w:rsidR="00E74B32" w:rsidRPr="00E74B32" w:rsidRDefault="00E74B32" w:rsidP="00E74B32">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w w:val="100"/>
                <w:kern w:val="0"/>
                <w:lang w:eastAsia="en-AU"/>
              </w:rPr>
            </w:pPr>
            <w:r w:rsidRPr="00E74B32">
              <w:rPr>
                <w:color w:val="000000"/>
                <w:w w:val="100"/>
                <w:kern w:val="0"/>
              </w:rPr>
              <w:t>5</w:t>
            </w:r>
          </w:p>
        </w:tc>
      </w:tr>
    </w:tbl>
    <w:p w14:paraId="1E6E1EA0" w14:textId="77777777" w:rsidR="00BF004D" w:rsidRPr="00192F33" w:rsidRDefault="00BF004D" w:rsidP="00151A0A">
      <w:pPr>
        <w:ind w:hanging="284"/>
        <w:rPr>
          <w:b/>
        </w:rPr>
      </w:pPr>
    </w:p>
    <w:sectPr w:rsidR="00BF004D" w:rsidRPr="00192F33" w:rsidSect="00151A0A">
      <w:footerReference w:type="default" r:id="rId9"/>
      <w:type w:val="continuous"/>
      <w:pgSz w:w="12240" w:h="15840"/>
      <w:pgMar w:top="532" w:right="964" w:bottom="964" w:left="96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5E05" w14:textId="77777777" w:rsidR="00A035E0" w:rsidRDefault="00A035E0" w:rsidP="006150CB">
      <w:r>
        <w:separator/>
      </w:r>
    </w:p>
  </w:endnote>
  <w:endnote w:type="continuationSeparator" w:id="0">
    <w:p w14:paraId="2C09BDD7" w14:textId="77777777" w:rsidR="00A035E0" w:rsidRDefault="00A035E0"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1EA7" w14:textId="77777777" w:rsidR="006150CB" w:rsidRPr="00453257" w:rsidRDefault="00394664" w:rsidP="00394664">
    <w:pPr>
      <w:pStyle w:val="Footer"/>
      <w:ind w:left="-284"/>
    </w:pPr>
    <w:r>
      <w:rPr>
        <w:noProof/>
        <w:lang w:eastAsia="en-AU"/>
      </w:rPr>
      <w:drawing>
        <wp:inline distT="0" distB="0" distL="0" distR="0" wp14:anchorId="1E6E1EA9" wp14:editId="1E6E1EAA">
          <wp:extent cx="7086534" cy="75485"/>
          <wp:effectExtent l="0" t="0" r="0" b="127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86534" cy="754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1EA8" w14:textId="77777777" w:rsidR="006150CB" w:rsidRDefault="006150CB" w:rsidP="0061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6104C" w14:textId="77777777" w:rsidR="00A035E0" w:rsidRDefault="00A035E0" w:rsidP="006150CB">
      <w:r>
        <w:separator/>
      </w:r>
    </w:p>
  </w:footnote>
  <w:footnote w:type="continuationSeparator" w:id="0">
    <w:p w14:paraId="5C9EA94F" w14:textId="77777777" w:rsidR="00A035E0" w:rsidRDefault="00A035E0" w:rsidP="006150CB">
      <w:r>
        <w:continuationSeparator/>
      </w:r>
    </w:p>
  </w:footnote>
  <w:footnote w:id="1">
    <w:p w14:paraId="66386F15" w14:textId="77777777" w:rsidR="003A4200" w:rsidRDefault="003A4200" w:rsidP="003A4200">
      <w:pPr>
        <w:pStyle w:val="FootnoteText1"/>
      </w:pPr>
      <w:r>
        <w:rPr>
          <w:rStyle w:val="FootnoteReference"/>
        </w:rPr>
        <w:footnoteRef/>
      </w:r>
      <w:r>
        <w:t xml:space="preserve"> The ABS </w:t>
      </w:r>
      <w:r w:rsidRPr="008D7712">
        <w:t>Australian Statistical Geography Standard (ASGS)</w:t>
      </w:r>
      <w:r>
        <w:t xml:space="preserve"> framework for 2011, has been used in the application of this methodology.  SA4s are the largest sub-State geographical areas as defined by the </w:t>
      </w:r>
      <w:r w:rsidRPr="00E15E92">
        <w:t>ABS. While in regional areas, SA4s tend to have populations somewhere between (100,000 - 300,000), metropolitan areas tend to have larger populations (300,000 - 500,000).</w:t>
      </w:r>
    </w:p>
  </w:footnote>
  <w:footnote w:id="2">
    <w:p w14:paraId="1E0A5A6A" w14:textId="77777777" w:rsidR="003A4200" w:rsidRDefault="003A4200" w:rsidP="003A4200">
      <w:pPr>
        <w:pStyle w:val="FootnoteText1"/>
      </w:pPr>
      <w:r>
        <w:rPr>
          <w:rStyle w:val="FootnoteReference"/>
        </w:rPr>
        <w:footnoteRef/>
      </w:r>
      <w:r>
        <w:t xml:space="preserve"> Data used to estimate population per CCS, came from the Household, Income and Labour Dynamics in Australia (HILDA) Survey 2019.</w:t>
      </w:r>
    </w:p>
  </w:footnote>
  <w:footnote w:id="3">
    <w:p w14:paraId="0E3B498F" w14:textId="77777777" w:rsidR="003A4200" w:rsidRDefault="003A4200" w:rsidP="003A4200">
      <w:pPr>
        <w:pStyle w:val="FootnoteText1"/>
      </w:pPr>
      <w:r>
        <w:rPr>
          <w:rStyle w:val="FootnoteReference"/>
        </w:rPr>
        <w:footnoteRef/>
      </w:r>
      <w:r>
        <w:t xml:space="preserve"> P</w:t>
      </w:r>
      <w:r w:rsidRPr="0055208A">
        <w:t>eople aged 25-49 years ma</w:t>
      </w:r>
      <w:r>
        <w:t>d</w:t>
      </w:r>
      <w:r w:rsidRPr="0055208A">
        <w:t>e up around 34.9% of the general populati</w:t>
      </w:r>
      <w:r>
        <w:t>on in Australia at 30 June 2019</w:t>
      </w:r>
      <w:r w:rsidRPr="0055208A">
        <w:t>, but made up around 75.</w:t>
      </w:r>
      <w:r>
        <w:t>6</w:t>
      </w:r>
      <w:r w:rsidRPr="0055208A">
        <w:t>% of family law service</w:t>
      </w:r>
      <w:r>
        <w:t xml:space="preserve"> clients.</w:t>
      </w:r>
    </w:p>
  </w:footnote>
  <w:footnote w:id="4">
    <w:p w14:paraId="5F45102A" w14:textId="77777777" w:rsidR="002E6157" w:rsidRDefault="002E6157" w:rsidP="002E6157">
      <w:pPr>
        <w:pStyle w:val="FootnoteText"/>
      </w:pPr>
      <w:r>
        <w:rPr>
          <w:rStyle w:val="FootnoteReference"/>
        </w:rPr>
        <w:footnoteRef/>
      </w:r>
      <w:r>
        <w:t xml:space="preserve"> Data used to estimate median income by SA4 came from the HILDA Survey 2019. </w:t>
      </w:r>
    </w:p>
  </w:footnote>
  <w:footnote w:id="5">
    <w:p w14:paraId="7789F7A4" w14:textId="77777777" w:rsidR="002E6157" w:rsidRDefault="002E6157" w:rsidP="002E6157">
      <w:pPr>
        <w:pStyle w:val="FootnoteText"/>
      </w:pPr>
      <w:r>
        <w:rPr>
          <w:rStyle w:val="FootnoteReference"/>
        </w:rPr>
        <w:footnoteRef/>
      </w:r>
      <w:r>
        <w:t xml:space="preserve"> Data from the Department of Social Services Data Exchange (</w:t>
      </w:r>
      <w:r w:rsidRPr="001E1B65">
        <w:t>DEX</w:t>
      </w:r>
      <w:r>
        <w:t>)</w:t>
      </w:r>
      <w:r w:rsidRPr="001E1B65">
        <w:t xml:space="preserve"> </w:t>
      </w:r>
      <w:r>
        <w:t xml:space="preserve">shows that 44.7% of family law services clients are in the bottom 25% of income earners across Australia. </w:t>
      </w:r>
    </w:p>
  </w:footnote>
  <w:footnote w:id="6">
    <w:p w14:paraId="76EF44C4" w14:textId="77777777" w:rsidR="00B54351" w:rsidRDefault="00B54351" w:rsidP="00B54351">
      <w:pPr>
        <w:pStyle w:val="FootnoteText"/>
      </w:pPr>
      <w:r>
        <w:rPr>
          <w:rStyle w:val="FootnoteReference"/>
        </w:rPr>
        <w:footnoteRef/>
      </w:r>
      <w:r>
        <w:t xml:space="preserve"> A threshold of 30% or more was chosen as 30% represents twice the </w:t>
      </w:r>
      <w:r w:rsidRPr="001E1B65">
        <w:t>average for this age cohort (</w:t>
      </w:r>
      <w:r>
        <w:t xml:space="preserve">i.e. </w:t>
      </w:r>
      <w:r w:rsidRPr="00407AEC">
        <w:t>reliance of government benefits as a share of income is 14.7</w:t>
      </w:r>
      <w:r>
        <w:t xml:space="preserve">% </w:t>
      </w:r>
      <w:r w:rsidRPr="00407AEC">
        <w:t>for 25 to 49 year olds</w:t>
      </w:r>
      <w:r w:rsidRPr="001E1B65">
        <w:t>)</w:t>
      </w:r>
      <w:r>
        <w:t>.</w:t>
      </w:r>
    </w:p>
  </w:footnote>
  <w:footnote w:id="7">
    <w:p w14:paraId="542E0E4E" w14:textId="77777777" w:rsidR="00B54351" w:rsidRDefault="00B54351" w:rsidP="00B54351">
      <w:pPr>
        <w:pStyle w:val="FootnoteText"/>
      </w:pPr>
      <w:r>
        <w:rPr>
          <w:rStyle w:val="FootnoteReference"/>
        </w:rPr>
        <w:footnoteRef/>
      </w:r>
      <w:r>
        <w:t xml:space="preserve"> Data used to estimate reliance on government benefits by SA4 came from the HILDA Survey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2721E"/>
    <w:multiLevelType w:val="multilevel"/>
    <w:tmpl w:val="EFDC8A06"/>
    <w:numStyleLink w:val="Bullet2"/>
  </w:abstractNum>
  <w:abstractNum w:abstractNumId="3"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482283"/>
    <w:multiLevelType w:val="hybridMultilevel"/>
    <w:tmpl w:val="29027F2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B8"/>
    <w:rsid w:val="000779BE"/>
    <w:rsid w:val="00096B7A"/>
    <w:rsid w:val="000F3D72"/>
    <w:rsid w:val="0011430B"/>
    <w:rsid w:val="00151A0A"/>
    <w:rsid w:val="00192F33"/>
    <w:rsid w:val="001C34B9"/>
    <w:rsid w:val="00230B26"/>
    <w:rsid w:val="00253442"/>
    <w:rsid w:val="002A0994"/>
    <w:rsid w:val="002C36D2"/>
    <w:rsid w:val="002E6157"/>
    <w:rsid w:val="00372C25"/>
    <w:rsid w:val="00394664"/>
    <w:rsid w:val="00395615"/>
    <w:rsid w:val="003A4200"/>
    <w:rsid w:val="003B28B8"/>
    <w:rsid w:val="003E611C"/>
    <w:rsid w:val="004450A3"/>
    <w:rsid w:val="00453257"/>
    <w:rsid w:val="0049662C"/>
    <w:rsid w:val="00525245"/>
    <w:rsid w:val="005C1BB3"/>
    <w:rsid w:val="005C2EE6"/>
    <w:rsid w:val="005D3FEF"/>
    <w:rsid w:val="006150CB"/>
    <w:rsid w:val="0073361D"/>
    <w:rsid w:val="00734745"/>
    <w:rsid w:val="007B0031"/>
    <w:rsid w:val="008934DA"/>
    <w:rsid w:val="008D2EF7"/>
    <w:rsid w:val="008E7DFE"/>
    <w:rsid w:val="009503EA"/>
    <w:rsid w:val="0098671E"/>
    <w:rsid w:val="00A035E0"/>
    <w:rsid w:val="00AB355B"/>
    <w:rsid w:val="00B40D96"/>
    <w:rsid w:val="00B54351"/>
    <w:rsid w:val="00B548E2"/>
    <w:rsid w:val="00B74535"/>
    <w:rsid w:val="00B97BAE"/>
    <w:rsid w:val="00BF004D"/>
    <w:rsid w:val="00C2476E"/>
    <w:rsid w:val="00C279C1"/>
    <w:rsid w:val="00D22BD6"/>
    <w:rsid w:val="00E34811"/>
    <w:rsid w:val="00E44210"/>
    <w:rsid w:val="00E701B5"/>
    <w:rsid w:val="00E74B32"/>
    <w:rsid w:val="00E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151A0A"/>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table" w:customStyle="1" w:styleId="GridTable2-Accent31">
    <w:name w:val="Grid Table 2 - Accent 31"/>
    <w:basedOn w:val="TableNormal"/>
    <w:next w:val="GridTable2-Accent3"/>
    <w:uiPriority w:val="47"/>
    <w:rsid w:val="003A4200"/>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ootnoteText1">
    <w:name w:val="Footnote Text1"/>
    <w:basedOn w:val="Normal"/>
    <w:next w:val="FootnoteText"/>
    <w:link w:val="FootnoteTextChar"/>
    <w:uiPriority w:val="99"/>
    <w:semiHidden/>
    <w:unhideWhenUsed/>
    <w:rsid w:val="003A4200"/>
    <w:pPr>
      <w:spacing w:after="0" w:line="240" w:lineRule="auto"/>
    </w:pPr>
    <w:rPr>
      <w:rFonts w:cs="Times New Roman"/>
      <w:w w:val="100"/>
      <w:kern w:val="0"/>
      <w:sz w:val="20"/>
      <w:szCs w:val="20"/>
      <w:lang w:eastAsia="en-AU"/>
    </w:rPr>
  </w:style>
  <w:style w:type="character" w:customStyle="1" w:styleId="FootnoteTextChar">
    <w:name w:val="Footnote Text Char"/>
    <w:basedOn w:val="DefaultParagraphFont"/>
    <w:link w:val="FootnoteText1"/>
    <w:uiPriority w:val="99"/>
    <w:semiHidden/>
    <w:rsid w:val="003A4200"/>
    <w:rPr>
      <w:sz w:val="20"/>
      <w:szCs w:val="20"/>
    </w:rPr>
  </w:style>
  <w:style w:type="character" w:styleId="FootnoteReference">
    <w:name w:val="footnote reference"/>
    <w:basedOn w:val="DefaultParagraphFont"/>
    <w:uiPriority w:val="99"/>
    <w:semiHidden/>
    <w:unhideWhenUsed/>
    <w:rsid w:val="003A4200"/>
    <w:rPr>
      <w:vertAlign w:val="superscript"/>
    </w:rPr>
  </w:style>
  <w:style w:type="table" w:styleId="GridTable2-Accent3">
    <w:name w:val="Grid Table 2 Accent 3"/>
    <w:basedOn w:val="TableNormal"/>
    <w:uiPriority w:val="47"/>
    <w:rsid w:val="003A420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1"/>
    <w:uiPriority w:val="99"/>
    <w:semiHidden/>
    <w:unhideWhenUsed/>
    <w:rsid w:val="003A420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A4200"/>
    <w:rPr>
      <w:rFonts w:cs="Calibri"/>
      <w:w w:val="105"/>
      <w:kern w:val="40"/>
      <w:lang w:eastAsia="en-US"/>
    </w:rPr>
  </w:style>
  <w:style w:type="table" w:customStyle="1" w:styleId="GridTable2-Accent32">
    <w:name w:val="Grid Table 2 - Accent 32"/>
    <w:basedOn w:val="TableNormal"/>
    <w:next w:val="GridTable2-Accent3"/>
    <w:uiPriority w:val="47"/>
    <w:rsid w:val="00E74B32"/>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Selection of locations for new Children’s Contact Services</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locations for new Children’s Contact Services</dc:title>
  <dc:creator/>
  <cp:lastModifiedBy/>
  <cp:revision>1</cp:revision>
  <dcterms:created xsi:type="dcterms:W3CDTF">2021-10-25T05:25:00Z</dcterms:created>
  <dcterms:modified xsi:type="dcterms:W3CDTF">2021-10-25T05:27:00Z</dcterms:modified>
</cp:coreProperties>
</file>