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17983" w14:textId="77777777" w:rsidR="00394664" w:rsidRPr="00A7667B" w:rsidRDefault="00BF004D" w:rsidP="00C279C1">
      <w:pPr>
        <w:ind w:left="-851"/>
        <w:sectPr w:rsidR="00394664" w:rsidRPr="00A7667B" w:rsidSect="00C279C1">
          <w:footerReference w:type="default" r:id="rId7"/>
          <w:pgSz w:w="12240" w:h="15840"/>
          <w:pgMar w:top="142" w:right="964" w:bottom="964" w:left="964" w:header="142" w:footer="311" w:gutter="0"/>
          <w:cols w:space="708"/>
          <w:docGrid w:linePitch="360"/>
        </w:sectPr>
      </w:pPr>
      <w:bookmarkStart w:id="0" w:name="_GoBack"/>
      <w:bookmarkEnd w:id="0"/>
      <w:r w:rsidRPr="00A7667B">
        <w:rPr>
          <w:noProof/>
          <w:lang w:eastAsia="en-AU"/>
        </w:rPr>
        <w:drawing>
          <wp:inline distT="0" distB="0" distL="0" distR="0" wp14:anchorId="04379F5A" wp14:editId="64E8E4B5">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522F9152" w14:textId="19205789" w:rsidR="00151A0A" w:rsidRPr="00A7667B" w:rsidRDefault="00C53FEB" w:rsidP="00151A0A">
      <w:pPr>
        <w:spacing w:before="240"/>
        <w:jc w:val="right"/>
      </w:pPr>
      <w:r w:rsidRPr="00A7667B">
        <w:t>March</w:t>
      </w:r>
      <w:r w:rsidR="009665DF" w:rsidRPr="00A7667B">
        <w:t xml:space="preserve"> 2024</w:t>
      </w:r>
    </w:p>
    <w:p w14:paraId="7918049C" w14:textId="2975BEB2" w:rsidR="009665DF" w:rsidRPr="00AF1D44" w:rsidRDefault="009665DF" w:rsidP="00AF1D44">
      <w:pPr>
        <w:spacing w:after="0" w:line="240" w:lineRule="auto"/>
        <w:jc w:val="right"/>
        <w:rPr>
          <w:b/>
          <w:color w:val="404040"/>
          <w:sz w:val="52"/>
          <w:szCs w:val="52"/>
        </w:rPr>
      </w:pPr>
      <w:bookmarkStart w:id="1" w:name="_Toc151563204"/>
      <w:bookmarkStart w:id="2" w:name="_Toc151567954"/>
      <w:r w:rsidRPr="00AF1D44">
        <w:rPr>
          <w:b/>
          <w:color w:val="404040"/>
          <w:sz w:val="52"/>
          <w:szCs w:val="52"/>
        </w:rPr>
        <w:t>Family Law (Superannuation) Regulations 2024: Consultation Paper</w:t>
      </w:r>
      <w:bookmarkEnd w:id="1"/>
      <w:bookmarkEnd w:id="2"/>
    </w:p>
    <w:p w14:paraId="75ED26E4" w14:textId="77777777" w:rsidR="009665DF" w:rsidRDefault="009665DF" w:rsidP="00586C16"/>
    <w:p w14:paraId="133A80FC" w14:textId="77777777" w:rsidR="009665DF" w:rsidRDefault="009665DF">
      <w:pPr>
        <w:spacing w:after="0" w:line="240" w:lineRule="auto"/>
        <w:rPr>
          <w:rFonts w:eastAsia="SimSun" w:cs="Angsana New"/>
          <w:b/>
          <w:bCs/>
          <w:i/>
          <w:color w:val="404040"/>
          <w:kern w:val="32"/>
          <w:sz w:val="52"/>
          <w:szCs w:val="52"/>
        </w:rPr>
      </w:pPr>
      <w:r>
        <w:rPr>
          <w:i/>
        </w:rPr>
        <w:br w:type="page"/>
      </w:r>
    </w:p>
    <w:p w14:paraId="68A8B8BF" w14:textId="77777777" w:rsidR="00176E75" w:rsidRPr="00AF1D44" w:rsidRDefault="00176E75" w:rsidP="00AF1D44">
      <w:pPr>
        <w:spacing w:after="0" w:line="240" w:lineRule="auto"/>
        <w:rPr>
          <w:b/>
          <w:color w:val="404040"/>
          <w:sz w:val="52"/>
          <w:szCs w:val="52"/>
        </w:rPr>
      </w:pPr>
      <w:r w:rsidRPr="00AF1D44">
        <w:rPr>
          <w:b/>
          <w:color w:val="404040"/>
          <w:sz w:val="52"/>
          <w:szCs w:val="52"/>
        </w:rPr>
        <w:lastRenderedPageBreak/>
        <w:t>Family Law (Superannuation) Regulations 2024: Consultation Paper</w:t>
      </w:r>
    </w:p>
    <w:p w14:paraId="4AA05E25" w14:textId="77777777" w:rsidR="00AC5700" w:rsidRDefault="00AC5700" w:rsidP="00AC5700">
      <w:pPr>
        <w:pStyle w:val="Heading2"/>
      </w:pPr>
      <w:bookmarkStart w:id="3" w:name="_Toc151732266"/>
      <w:bookmarkStart w:id="4" w:name="_Toc152061067"/>
      <w:bookmarkStart w:id="5" w:name="_Toc158043516"/>
      <w:r>
        <w:t>About this consultation paper</w:t>
      </w:r>
      <w:bookmarkEnd w:id="3"/>
      <w:bookmarkEnd w:id="4"/>
      <w:bookmarkEnd w:id="5"/>
    </w:p>
    <w:p w14:paraId="054891CE" w14:textId="708389C9" w:rsidR="00AC5700" w:rsidRDefault="00AC5700" w:rsidP="00AC5700">
      <w:r>
        <w:t xml:space="preserve">The </w:t>
      </w:r>
      <w:r>
        <w:rPr>
          <w:i/>
        </w:rPr>
        <w:t>Family Law (Superannuation) Regulations 2001</w:t>
      </w:r>
      <w:r>
        <w:t xml:space="preserve"> (the existing Regulations) are due to sunset on </w:t>
      </w:r>
      <w:r w:rsidR="00A61FD0">
        <w:t>1 </w:t>
      </w:r>
      <w:r>
        <w:t>April</w:t>
      </w:r>
      <w:r w:rsidR="00A61FD0">
        <w:t> </w:t>
      </w:r>
      <w:r>
        <w:t xml:space="preserve">2025. The Australian Government Attorney-General’s Department (the department) has been reviewing the existing Regulations with a view to remaking them prior to their sunset. The department has released an exposure draft </w:t>
      </w:r>
      <w:r w:rsidR="00834646">
        <w:t>of</w:t>
      </w:r>
      <w:r>
        <w:t xml:space="preserve"> the </w:t>
      </w:r>
      <w:r>
        <w:rPr>
          <w:i/>
        </w:rPr>
        <w:t>Family Law (Superannuation) Regulations 2024</w:t>
      </w:r>
      <w:r>
        <w:t xml:space="preserve"> (the new Regulations)</w:t>
      </w:r>
      <w:r w:rsidR="00834646">
        <w:t xml:space="preserve"> for the purpose of public consultation</w:t>
      </w:r>
      <w:r>
        <w:t>.</w:t>
      </w:r>
    </w:p>
    <w:p w14:paraId="4C0E2F94" w14:textId="2757B9D4" w:rsidR="00AC5700" w:rsidRDefault="00AC5700" w:rsidP="00AC5700">
      <w:r>
        <w:t>The superannuation splitting framework under the new Regulations remain</w:t>
      </w:r>
      <w:r w:rsidR="00D00910">
        <w:t>s</w:t>
      </w:r>
      <w:r>
        <w:t xml:space="preserve"> substantially the same as the current framework. However, as the existing Regulations were made in 2001, drafting changes are necessary to modernise the</w:t>
      </w:r>
      <w:r w:rsidR="00834646">
        <w:t xml:space="preserve"> language</w:t>
      </w:r>
      <w:r>
        <w:t xml:space="preserve"> and ensure the</w:t>
      </w:r>
      <w:r w:rsidR="00021AA0">
        <w:t xml:space="preserve"> provisions</w:t>
      </w:r>
      <w:r w:rsidR="00965641">
        <w:t xml:space="preserve"> continue to </w:t>
      </w:r>
      <w:r w:rsidR="00021AA0">
        <w:t>operate effectively</w:t>
      </w:r>
      <w:r>
        <w:t xml:space="preserve">. The new Regulations also contain a number of changes that are intended to clarify provisions </w:t>
      </w:r>
      <w:bookmarkStart w:id="6" w:name="_Hlk155616907"/>
      <w:r>
        <w:t>and ensure that superannuation splitting arrangements keep pace with developments in superannuation products and with broader superannuation policy.</w:t>
      </w:r>
      <w:bookmarkEnd w:id="6"/>
    </w:p>
    <w:p w14:paraId="17E5CA17" w14:textId="77777777" w:rsidR="00AC5700" w:rsidRDefault="00AC5700" w:rsidP="00AC5700">
      <w:pPr>
        <w:pStyle w:val="Heading2"/>
      </w:pPr>
      <w:bookmarkStart w:id="7" w:name="_Toc151732267"/>
      <w:bookmarkStart w:id="8" w:name="_Toc152061068"/>
      <w:bookmarkStart w:id="9" w:name="_Toc158043517"/>
      <w:r>
        <w:t>Request for submissions</w:t>
      </w:r>
      <w:bookmarkEnd w:id="7"/>
      <w:bookmarkEnd w:id="8"/>
      <w:bookmarkEnd w:id="9"/>
    </w:p>
    <w:p w14:paraId="65868CD9" w14:textId="77777777" w:rsidR="00AC5700" w:rsidRDefault="00AC5700" w:rsidP="00AC5700">
      <w:r>
        <w:t xml:space="preserve">The department seeks written feedback on the changes in the exposure draft of the new Regulations, and on certain aspects of the operation of the superannuation splitting framework under the existing Regulations. Written feedback can be submitted via the department’s consultation webpage at: </w:t>
      </w:r>
      <w:hyperlink r:id="rId9" w:history="1">
        <w:r w:rsidRPr="00FC7BCC">
          <w:rPr>
            <w:rStyle w:val="Hyperlink"/>
          </w:rPr>
          <w:t>www.consultations.ag.gov.au</w:t>
        </w:r>
      </w:hyperlink>
      <w:r>
        <w:t xml:space="preserve">. You can provide responses to as many or as few questions as you like. If you do not wish to respond to particular questions, please leave the response field blank (do not write “not applicable”, “N/A” or “Nil”). </w:t>
      </w:r>
    </w:p>
    <w:p w14:paraId="75D65F62" w14:textId="67836707" w:rsidR="00AC5700" w:rsidRDefault="00AC5700" w:rsidP="00AC5700">
      <w:r>
        <w:t xml:space="preserve">The deadline for submissions </w:t>
      </w:r>
      <w:r w:rsidRPr="00650B33">
        <w:t>is</w:t>
      </w:r>
      <w:r w:rsidR="006A5728" w:rsidRPr="00650B33">
        <w:t xml:space="preserve"> </w:t>
      </w:r>
      <w:r w:rsidR="004D2494">
        <w:rPr>
          <w:b/>
        </w:rPr>
        <w:t>26 April</w:t>
      </w:r>
      <w:r w:rsidRPr="00471A6B">
        <w:rPr>
          <w:b/>
        </w:rPr>
        <w:t xml:space="preserve"> 2024.</w:t>
      </w:r>
    </w:p>
    <w:p w14:paraId="3C162AC9" w14:textId="5960856A" w:rsidR="00AC5700" w:rsidRDefault="00AC5700" w:rsidP="00AC5700">
      <w:r>
        <w:t xml:space="preserve">The department will only publish your submission if you advise us to do so. When making a submission through the Consultation Hub, you can indicate if you would like your submission published, or if you would like to make an anonymous submission. Submissions must not directly or indirectly identify persons, associates of persons, or witnesses involved in family law proceedings. This means that submissions should not include details like a person’s name (or the name of their children), address, workplace, or school. Section 121 of the </w:t>
      </w:r>
      <w:r w:rsidRPr="00160997">
        <w:rPr>
          <w:i/>
        </w:rPr>
        <w:t>Family Law Act</w:t>
      </w:r>
      <w:r w:rsidR="00160997" w:rsidRPr="00160997">
        <w:rPr>
          <w:i/>
        </w:rPr>
        <w:t xml:space="preserve"> 1975</w:t>
      </w:r>
      <w:r w:rsidR="00160997">
        <w:t xml:space="preserve"> (Cth) (Family Law Act)</w:t>
      </w:r>
      <w:r>
        <w:t xml:space="preserve"> makes it an offence, except in very limited circumstances, to publish this information. </w:t>
      </w:r>
    </w:p>
    <w:p w14:paraId="39744859" w14:textId="77777777" w:rsidR="00AC5700" w:rsidRDefault="00AC5700" w:rsidP="00AC5700">
      <w:r w:rsidRPr="00471A6B">
        <w:t>Please do not include any photographs as part of your submission.</w:t>
      </w:r>
      <w:r>
        <w:t xml:space="preserve"> Photographs provided as part of the submission process will not be published. Further, the department will not review or publish submissions that are larger than 25MB, or are in a file type format other than PDF or Microsoft Word file (for example, Apple Pages, or locked in a password protected PDF file).</w:t>
      </w:r>
    </w:p>
    <w:p w14:paraId="3D084451" w14:textId="77777777" w:rsidR="00AC5700" w:rsidRDefault="00AC5700" w:rsidP="00AC5700">
      <w:r>
        <w:lastRenderedPageBreak/>
        <w:t>If you advise us to publish your submission, you will be required to acknowledge and agree that you have made all reasonable efforts to:</w:t>
      </w:r>
    </w:p>
    <w:p w14:paraId="0131A3EF" w14:textId="77777777" w:rsidR="00AC5700" w:rsidRDefault="00AC5700" w:rsidP="00ED6477">
      <w:pPr>
        <w:pStyle w:val="Bullet1"/>
      </w:pPr>
      <w:r>
        <w:t>clearly label material in your submission where the copyright is owned by a third party, and</w:t>
      </w:r>
    </w:p>
    <w:p w14:paraId="686AA665" w14:textId="77777777" w:rsidR="00AC5700" w:rsidRDefault="00AC5700" w:rsidP="00ED6477">
      <w:pPr>
        <w:pStyle w:val="Bullet1"/>
      </w:pPr>
      <w:r>
        <w:t xml:space="preserve">ensure that the third party has consented to this material being published. </w:t>
      </w:r>
    </w:p>
    <w:p w14:paraId="5E7E4EBA" w14:textId="77777777" w:rsidR="00AC5700" w:rsidRDefault="00AC5700" w:rsidP="00AC5700">
      <w:r>
        <w:t>Even if you advise the department to publish your submission, the department reserves the right to leave unpublished any submission or part thereof, in particular if the department considers that:</w:t>
      </w:r>
    </w:p>
    <w:p w14:paraId="2E9F194D" w14:textId="77777777" w:rsidR="00AC5700" w:rsidRDefault="00AC5700" w:rsidP="00ED6477">
      <w:pPr>
        <w:pStyle w:val="Bullet1"/>
        <w:numPr>
          <w:ilvl w:val="0"/>
          <w:numId w:val="16"/>
        </w:numPr>
      </w:pPr>
      <w:r>
        <w:t>Publishing a submission or part of a submission would be in breach of subsection 121(1) of the Family Law Act</w:t>
      </w:r>
    </w:p>
    <w:p w14:paraId="289A6FBF" w14:textId="77777777" w:rsidR="00AC5700" w:rsidRDefault="00AC5700" w:rsidP="00ED6477">
      <w:pPr>
        <w:pStyle w:val="Bullet1"/>
        <w:numPr>
          <w:ilvl w:val="0"/>
          <w:numId w:val="16"/>
        </w:numPr>
      </w:pPr>
      <w:r>
        <w:t xml:space="preserve">A submission or part of a submission contains copyright material, publication of which may be in breach of the </w:t>
      </w:r>
      <w:r w:rsidRPr="00BA4750">
        <w:t>Copyright Act 1968</w:t>
      </w:r>
      <w:r>
        <w:t xml:space="preserve"> (Cth), or</w:t>
      </w:r>
    </w:p>
    <w:p w14:paraId="47BDC4E2" w14:textId="77777777" w:rsidR="00AC5700" w:rsidRDefault="00AC5700" w:rsidP="00ED6477">
      <w:pPr>
        <w:pStyle w:val="Bullet1"/>
        <w:numPr>
          <w:ilvl w:val="0"/>
          <w:numId w:val="16"/>
        </w:numPr>
      </w:pPr>
      <w:r>
        <w:t>A submission breaches the department’s submission requirements set out, in particular, if it contains photographs, has a file size larger than 25MB, or does not comply with file type requirements.</w:t>
      </w:r>
    </w:p>
    <w:p w14:paraId="5636EB6A" w14:textId="77777777" w:rsidR="00AC5700" w:rsidRDefault="00AC5700" w:rsidP="00AC5700">
      <w:r>
        <w:t xml:space="preserve">Submissions may be subject to freedom of information requests, or requests from Parliament, which the department will consider and respond to in line with regulatory requirements. </w:t>
      </w:r>
    </w:p>
    <w:p w14:paraId="13F22F22" w14:textId="77777777" w:rsidR="00AC5700" w:rsidRDefault="00AC5700" w:rsidP="00913AAC">
      <w:pPr>
        <w:pStyle w:val="Heading3"/>
      </w:pPr>
      <w:r>
        <w:t>Contact us</w:t>
      </w:r>
    </w:p>
    <w:p w14:paraId="4D06D4DD" w14:textId="77777777" w:rsidR="00AC5700" w:rsidRDefault="00AC5700" w:rsidP="00AC5700">
      <w:pPr>
        <w:spacing w:after="0"/>
      </w:pPr>
      <w:r>
        <w:t>Attorney-General’s Department</w:t>
      </w:r>
    </w:p>
    <w:p w14:paraId="1A20EDE4" w14:textId="77777777" w:rsidR="00AC5700" w:rsidRDefault="00AC5700" w:rsidP="00AC5700">
      <w:pPr>
        <w:spacing w:after="0"/>
      </w:pPr>
      <w:r>
        <w:t>3-5 National Circuit</w:t>
      </w:r>
    </w:p>
    <w:p w14:paraId="7C5301DE" w14:textId="77777777" w:rsidR="00AC5700" w:rsidRDefault="00AC5700" w:rsidP="00AC5700">
      <w:pPr>
        <w:spacing w:after="0"/>
      </w:pPr>
      <w:r>
        <w:t>BARTON ACT 2600</w:t>
      </w:r>
    </w:p>
    <w:p w14:paraId="177B8AC7" w14:textId="146018EE" w:rsidR="00AC5700" w:rsidRPr="00625BBB" w:rsidRDefault="00AC5700" w:rsidP="00AC5700">
      <w:r w:rsidRPr="00625BBB">
        <w:t xml:space="preserve">Email: </w:t>
      </w:r>
      <w:hyperlink r:id="rId10" w:history="1">
        <w:r w:rsidR="00D00AF3" w:rsidRPr="00625BBB">
          <w:rPr>
            <w:rStyle w:val="Hyperlink"/>
          </w:rPr>
          <w:t>FLSRegulations@ag.gov.au</w:t>
        </w:r>
      </w:hyperlink>
    </w:p>
    <w:p w14:paraId="5C2755B1" w14:textId="626B5CD3" w:rsidR="00AC5700" w:rsidRDefault="00AC5700" w:rsidP="00AC5700"/>
    <w:p w14:paraId="463F4E8B" w14:textId="0E6C77E9" w:rsidR="00AC5700" w:rsidRDefault="00AC5700">
      <w:pPr>
        <w:spacing w:after="0" w:line="240" w:lineRule="auto"/>
      </w:pPr>
      <w:r>
        <w:br w:type="page"/>
      </w:r>
    </w:p>
    <w:bookmarkStart w:id="10" w:name="_Toc152061069" w:displacedByCustomXml="next"/>
    <w:bookmarkStart w:id="11" w:name="_Toc151732268" w:displacedByCustomXml="next"/>
    <w:bookmarkStart w:id="12" w:name="_Toc151627144" w:displacedByCustomXml="next"/>
    <w:bookmarkStart w:id="13" w:name="_Toc151567956" w:displacedByCustomXml="next"/>
    <w:bookmarkStart w:id="14" w:name="_Toc158043518" w:displacedByCustomXml="next"/>
    <w:sdt>
      <w:sdtPr>
        <w:rPr>
          <w:rFonts w:eastAsia="Calibri" w:cs="Calibri"/>
          <w:b w:val="0"/>
          <w:bCs w:val="0"/>
          <w:iCs w:val="0"/>
          <w:color w:val="auto"/>
          <w:sz w:val="22"/>
          <w:szCs w:val="22"/>
        </w:rPr>
        <w:id w:val="1599374019"/>
        <w:docPartObj>
          <w:docPartGallery w:val="Table of Contents"/>
          <w:docPartUnique/>
        </w:docPartObj>
      </w:sdtPr>
      <w:sdtEndPr>
        <w:rPr>
          <w:noProof/>
        </w:rPr>
      </w:sdtEndPr>
      <w:sdtContent>
        <w:bookmarkEnd w:id="13" w:displacedByCustomXml="prev"/>
        <w:bookmarkEnd w:id="12" w:displacedByCustomXml="prev"/>
        <w:bookmarkEnd w:id="11" w:displacedByCustomXml="prev"/>
        <w:bookmarkEnd w:id="10" w:displacedByCustomXml="prev"/>
        <w:p w14:paraId="5BD167BE" w14:textId="06A7CB37" w:rsidR="00D00910" w:rsidRDefault="00D00910" w:rsidP="00D00910">
          <w:pPr>
            <w:pStyle w:val="Heading2"/>
          </w:pPr>
          <w:r>
            <w:t>Table of contents</w:t>
          </w:r>
          <w:bookmarkEnd w:id="14"/>
        </w:p>
        <w:p w14:paraId="1DBCE94A" w14:textId="1CB06ADA" w:rsidR="00A926CC" w:rsidRDefault="00D00910">
          <w:pPr>
            <w:pStyle w:val="TOC1"/>
            <w:tabs>
              <w:tab w:val="right" w:leader="dot" w:pos="10302"/>
            </w:tabs>
            <w:rPr>
              <w:rFonts w:asciiTheme="minorHAnsi" w:eastAsiaTheme="minorEastAsia" w:hAnsiTheme="minorHAnsi" w:cstheme="minorBidi"/>
              <w:noProof/>
              <w:w w:val="100"/>
              <w:kern w:val="0"/>
              <w:lang w:eastAsia="en-AU"/>
            </w:rPr>
          </w:pPr>
          <w:r>
            <w:rPr>
              <w:rStyle w:val="Heading2Char"/>
              <w:b w:val="0"/>
              <w:bCs w:val="0"/>
              <w:iCs w:val="0"/>
            </w:rPr>
            <w:fldChar w:fldCharType="begin"/>
          </w:r>
          <w:r>
            <w:rPr>
              <w:rStyle w:val="Heading2Char"/>
              <w:b w:val="0"/>
              <w:bCs w:val="0"/>
              <w:iCs w:val="0"/>
            </w:rPr>
            <w:instrText xml:space="preserve"> TOC \h \z \t "Heading 2,1,Heading 3,2" </w:instrText>
          </w:r>
          <w:r>
            <w:rPr>
              <w:rStyle w:val="Heading2Char"/>
              <w:b w:val="0"/>
              <w:bCs w:val="0"/>
              <w:iCs w:val="0"/>
            </w:rPr>
            <w:fldChar w:fldCharType="separate"/>
          </w:r>
          <w:hyperlink w:anchor="_Toc158043516" w:history="1">
            <w:r w:rsidR="00A926CC" w:rsidRPr="000916C7">
              <w:rPr>
                <w:rStyle w:val="Hyperlink"/>
                <w:noProof/>
              </w:rPr>
              <w:t>About this consultation paper</w:t>
            </w:r>
            <w:r w:rsidR="00A926CC">
              <w:rPr>
                <w:noProof/>
                <w:webHidden/>
              </w:rPr>
              <w:tab/>
            </w:r>
            <w:r w:rsidR="00A926CC">
              <w:rPr>
                <w:noProof/>
                <w:webHidden/>
              </w:rPr>
              <w:fldChar w:fldCharType="begin"/>
            </w:r>
            <w:r w:rsidR="00A926CC">
              <w:rPr>
                <w:noProof/>
                <w:webHidden/>
              </w:rPr>
              <w:instrText xml:space="preserve"> PAGEREF _Toc158043516 \h </w:instrText>
            </w:r>
            <w:r w:rsidR="00A926CC">
              <w:rPr>
                <w:noProof/>
                <w:webHidden/>
              </w:rPr>
            </w:r>
            <w:r w:rsidR="00A926CC">
              <w:rPr>
                <w:noProof/>
                <w:webHidden/>
              </w:rPr>
              <w:fldChar w:fldCharType="separate"/>
            </w:r>
            <w:r w:rsidR="00AE2034">
              <w:rPr>
                <w:noProof/>
                <w:webHidden/>
              </w:rPr>
              <w:t>2</w:t>
            </w:r>
            <w:r w:rsidR="00A926CC">
              <w:rPr>
                <w:noProof/>
                <w:webHidden/>
              </w:rPr>
              <w:fldChar w:fldCharType="end"/>
            </w:r>
          </w:hyperlink>
        </w:p>
        <w:p w14:paraId="734E6C0F" w14:textId="136060E1" w:rsidR="00A926CC" w:rsidRDefault="00EC3459">
          <w:pPr>
            <w:pStyle w:val="TOC1"/>
            <w:tabs>
              <w:tab w:val="right" w:leader="dot" w:pos="10302"/>
            </w:tabs>
            <w:rPr>
              <w:rFonts w:asciiTheme="minorHAnsi" w:eastAsiaTheme="minorEastAsia" w:hAnsiTheme="minorHAnsi" w:cstheme="minorBidi"/>
              <w:noProof/>
              <w:w w:val="100"/>
              <w:kern w:val="0"/>
              <w:lang w:eastAsia="en-AU"/>
            </w:rPr>
          </w:pPr>
          <w:hyperlink w:anchor="_Toc158043517" w:history="1">
            <w:r w:rsidR="00A926CC" w:rsidRPr="000916C7">
              <w:rPr>
                <w:rStyle w:val="Hyperlink"/>
                <w:noProof/>
              </w:rPr>
              <w:t>Request for submissions</w:t>
            </w:r>
            <w:r w:rsidR="00A926CC">
              <w:rPr>
                <w:noProof/>
                <w:webHidden/>
              </w:rPr>
              <w:tab/>
            </w:r>
            <w:r w:rsidR="00A926CC">
              <w:rPr>
                <w:noProof/>
                <w:webHidden/>
              </w:rPr>
              <w:fldChar w:fldCharType="begin"/>
            </w:r>
            <w:r w:rsidR="00A926CC">
              <w:rPr>
                <w:noProof/>
                <w:webHidden/>
              </w:rPr>
              <w:instrText xml:space="preserve"> PAGEREF _Toc158043517 \h </w:instrText>
            </w:r>
            <w:r w:rsidR="00A926CC">
              <w:rPr>
                <w:noProof/>
                <w:webHidden/>
              </w:rPr>
            </w:r>
            <w:r w:rsidR="00A926CC">
              <w:rPr>
                <w:noProof/>
                <w:webHidden/>
              </w:rPr>
              <w:fldChar w:fldCharType="separate"/>
            </w:r>
            <w:r w:rsidR="00AE2034">
              <w:rPr>
                <w:noProof/>
                <w:webHidden/>
              </w:rPr>
              <w:t>2</w:t>
            </w:r>
            <w:r w:rsidR="00A926CC">
              <w:rPr>
                <w:noProof/>
                <w:webHidden/>
              </w:rPr>
              <w:fldChar w:fldCharType="end"/>
            </w:r>
          </w:hyperlink>
        </w:p>
        <w:p w14:paraId="229473C9" w14:textId="601F6375" w:rsidR="00A926CC" w:rsidRDefault="00EC3459">
          <w:pPr>
            <w:pStyle w:val="TOC1"/>
            <w:tabs>
              <w:tab w:val="right" w:leader="dot" w:pos="10302"/>
            </w:tabs>
            <w:rPr>
              <w:rFonts w:asciiTheme="minorHAnsi" w:eastAsiaTheme="minorEastAsia" w:hAnsiTheme="minorHAnsi" w:cstheme="minorBidi"/>
              <w:noProof/>
              <w:w w:val="100"/>
              <w:kern w:val="0"/>
              <w:lang w:eastAsia="en-AU"/>
            </w:rPr>
          </w:pPr>
          <w:hyperlink w:anchor="_Toc158043518" w:history="1">
            <w:r w:rsidR="00A926CC" w:rsidRPr="000916C7">
              <w:rPr>
                <w:rStyle w:val="Hyperlink"/>
                <w:noProof/>
              </w:rPr>
              <w:t>Table of contents</w:t>
            </w:r>
            <w:r w:rsidR="00A926CC">
              <w:rPr>
                <w:noProof/>
                <w:webHidden/>
              </w:rPr>
              <w:tab/>
            </w:r>
            <w:r w:rsidR="00A926CC">
              <w:rPr>
                <w:noProof/>
                <w:webHidden/>
              </w:rPr>
              <w:fldChar w:fldCharType="begin"/>
            </w:r>
            <w:r w:rsidR="00A926CC">
              <w:rPr>
                <w:noProof/>
                <w:webHidden/>
              </w:rPr>
              <w:instrText xml:space="preserve"> PAGEREF _Toc158043518 \h </w:instrText>
            </w:r>
            <w:r w:rsidR="00A926CC">
              <w:rPr>
                <w:noProof/>
                <w:webHidden/>
              </w:rPr>
            </w:r>
            <w:r w:rsidR="00A926CC">
              <w:rPr>
                <w:noProof/>
                <w:webHidden/>
              </w:rPr>
              <w:fldChar w:fldCharType="separate"/>
            </w:r>
            <w:r w:rsidR="00AE2034">
              <w:rPr>
                <w:noProof/>
                <w:webHidden/>
              </w:rPr>
              <w:t>4</w:t>
            </w:r>
            <w:r w:rsidR="00A926CC">
              <w:rPr>
                <w:noProof/>
                <w:webHidden/>
              </w:rPr>
              <w:fldChar w:fldCharType="end"/>
            </w:r>
          </w:hyperlink>
        </w:p>
        <w:p w14:paraId="342AB512" w14:textId="7A0C4F65" w:rsidR="00A926CC" w:rsidRDefault="00EC3459">
          <w:pPr>
            <w:pStyle w:val="TOC1"/>
            <w:tabs>
              <w:tab w:val="right" w:leader="dot" w:pos="10302"/>
            </w:tabs>
            <w:rPr>
              <w:rFonts w:asciiTheme="minorHAnsi" w:eastAsiaTheme="minorEastAsia" w:hAnsiTheme="minorHAnsi" w:cstheme="minorBidi"/>
              <w:noProof/>
              <w:w w:val="100"/>
              <w:kern w:val="0"/>
              <w:lang w:eastAsia="en-AU"/>
            </w:rPr>
          </w:pPr>
          <w:hyperlink w:anchor="_Toc158043519" w:history="1">
            <w:r w:rsidR="00A926CC" w:rsidRPr="000916C7">
              <w:rPr>
                <w:rStyle w:val="Hyperlink"/>
                <w:noProof/>
              </w:rPr>
              <w:t>Background</w:t>
            </w:r>
            <w:r w:rsidR="00A926CC">
              <w:rPr>
                <w:noProof/>
                <w:webHidden/>
              </w:rPr>
              <w:tab/>
            </w:r>
            <w:r w:rsidR="00A926CC">
              <w:rPr>
                <w:noProof/>
                <w:webHidden/>
              </w:rPr>
              <w:fldChar w:fldCharType="begin"/>
            </w:r>
            <w:r w:rsidR="00A926CC">
              <w:rPr>
                <w:noProof/>
                <w:webHidden/>
              </w:rPr>
              <w:instrText xml:space="preserve"> PAGEREF _Toc158043519 \h </w:instrText>
            </w:r>
            <w:r w:rsidR="00A926CC">
              <w:rPr>
                <w:noProof/>
                <w:webHidden/>
              </w:rPr>
            </w:r>
            <w:r w:rsidR="00A926CC">
              <w:rPr>
                <w:noProof/>
                <w:webHidden/>
              </w:rPr>
              <w:fldChar w:fldCharType="separate"/>
            </w:r>
            <w:r w:rsidR="00AE2034">
              <w:rPr>
                <w:noProof/>
                <w:webHidden/>
              </w:rPr>
              <w:t>6</w:t>
            </w:r>
            <w:r w:rsidR="00A926CC">
              <w:rPr>
                <w:noProof/>
                <w:webHidden/>
              </w:rPr>
              <w:fldChar w:fldCharType="end"/>
            </w:r>
          </w:hyperlink>
        </w:p>
        <w:p w14:paraId="65713F37" w14:textId="7C4845BF" w:rsidR="00A926CC" w:rsidRDefault="00EC3459">
          <w:pPr>
            <w:pStyle w:val="TOC1"/>
            <w:tabs>
              <w:tab w:val="right" w:leader="dot" w:pos="10302"/>
            </w:tabs>
            <w:rPr>
              <w:rFonts w:asciiTheme="minorHAnsi" w:eastAsiaTheme="minorEastAsia" w:hAnsiTheme="minorHAnsi" w:cstheme="minorBidi"/>
              <w:noProof/>
              <w:w w:val="100"/>
              <w:kern w:val="0"/>
              <w:lang w:eastAsia="en-AU"/>
            </w:rPr>
          </w:pPr>
          <w:hyperlink w:anchor="_Toc158043520" w:history="1">
            <w:r w:rsidR="00A926CC" w:rsidRPr="000916C7">
              <w:rPr>
                <w:rStyle w:val="Hyperlink"/>
                <w:noProof/>
              </w:rPr>
              <w:t>Minor and technical amendments</w:t>
            </w:r>
            <w:r w:rsidR="00A926CC">
              <w:rPr>
                <w:noProof/>
                <w:webHidden/>
              </w:rPr>
              <w:tab/>
            </w:r>
            <w:r w:rsidR="00A926CC">
              <w:rPr>
                <w:noProof/>
                <w:webHidden/>
              </w:rPr>
              <w:fldChar w:fldCharType="begin"/>
            </w:r>
            <w:r w:rsidR="00A926CC">
              <w:rPr>
                <w:noProof/>
                <w:webHidden/>
              </w:rPr>
              <w:instrText xml:space="preserve"> PAGEREF _Toc158043520 \h </w:instrText>
            </w:r>
            <w:r w:rsidR="00A926CC">
              <w:rPr>
                <w:noProof/>
                <w:webHidden/>
              </w:rPr>
            </w:r>
            <w:r w:rsidR="00A926CC">
              <w:rPr>
                <w:noProof/>
                <w:webHidden/>
              </w:rPr>
              <w:fldChar w:fldCharType="separate"/>
            </w:r>
            <w:r w:rsidR="00AE2034">
              <w:rPr>
                <w:noProof/>
                <w:webHidden/>
              </w:rPr>
              <w:t>6</w:t>
            </w:r>
            <w:r w:rsidR="00A926CC">
              <w:rPr>
                <w:noProof/>
                <w:webHidden/>
              </w:rPr>
              <w:fldChar w:fldCharType="end"/>
            </w:r>
          </w:hyperlink>
        </w:p>
        <w:p w14:paraId="44930C5A" w14:textId="0FAB5821" w:rsidR="00A926CC" w:rsidRDefault="00EC3459">
          <w:pPr>
            <w:pStyle w:val="TOC1"/>
            <w:tabs>
              <w:tab w:val="right" w:leader="dot" w:pos="10302"/>
            </w:tabs>
            <w:rPr>
              <w:rFonts w:asciiTheme="minorHAnsi" w:eastAsiaTheme="minorEastAsia" w:hAnsiTheme="minorHAnsi" w:cstheme="minorBidi"/>
              <w:noProof/>
              <w:w w:val="100"/>
              <w:kern w:val="0"/>
              <w:lang w:eastAsia="en-AU"/>
            </w:rPr>
          </w:pPr>
          <w:hyperlink w:anchor="_Toc158043521" w:history="1">
            <w:r w:rsidR="00A926CC" w:rsidRPr="000916C7">
              <w:rPr>
                <w:rStyle w:val="Hyperlink"/>
                <w:noProof/>
              </w:rPr>
              <w:t>Innovative retirement income stream products (IRISPs)</w:t>
            </w:r>
            <w:r w:rsidR="00A926CC">
              <w:rPr>
                <w:noProof/>
                <w:webHidden/>
              </w:rPr>
              <w:tab/>
            </w:r>
            <w:r w:rsidR="00A926CC">
              <w:rPr>
                <w:noProof/>
                <w:webHidden/>
              </w:rPr>
              <w:fldChar w:fldCharType="begin"/>
            </w:r>
            <w:r w:rsidR="00A926CC">
              <w:rPr>
                <w:noProof/>
                <w:webHidden/>
              </w:rPr>
              <w:instrText xml:space="preserve"> PAGEREF _Toc158043521 \h </w:instrText>
            </w:r>
            <w:r w:rsidR="00A926CC">
              <w:rPr>
                <w:noProof/>
                <w:webHidden/>
              </w:rPr>
            </w:r>
            <w:r w:rsidR="00A926CC">
              <w:rPr>
                <w:noProof/>
                <w:webHidden/>
              </w:rPr>
              <w:fldChar w:fldCharType="separate"/>
            </w:r>
            <w:r w:rsidR="00AE2034">
              <w:rPr>
                <w:noProof/>
                <w:webHidden/>
              </w:rPr>
              <w:t>7</w:t>
            </w:r>
            <w:r w:rsidR="00A926CC">
              <w:rPr>
                <w:noProof/>
                <w:webHidden/>
              </w:rPr>
              <w:fldChar w:fldCharType="end"/>
            </w:r>
          </w:hyperlink>
        </w:p>
        <w:p w14:paraId="584DBDB3" w14:textId="041E3490"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22" w:history="1">
            <w:r w:rsidR="00A926CC" w:rsidRPr="000916C7">
              <w:rPr>
                <w:rStyle w:val="Hyperlink"/>
                <w:noProof/>
              </w:rPr>
              <w:t>Types of splitting arrangements for innovative superannuation interests</w:t>
            </w:r>
            <w:r w:rsidR="00A926CC">
              <w:rPr>
                <w:noProof/>
                <w:webHidden/>
              </w:rPr>
              <w:tab/>
            </w:r>
            <w:r w:rsidR="00A926CC">
              <w:rPr>
                <w:noProof/>
                <w:webHidden/>
              </w:rPr>
              <w:fldChar w:fldCharType="begin"/>
            </w:r>
            <w:r w:rsidR="00A926CC">
              <w:rPr>
                <w:noProof/>
                <w:webHidden/>
              </w:rPr>
              <w:instrText xml:space="preserve"> PAGEREF _Toc158043522 \h </w:instrText>
            </w:r>
            <w:r w:rsidR="00A926CC">
              <w:rPr>
                <w:noProof/>
                <w:webHidden/>
              </w:rPr>
            </w:r>
            <w:r w:rsidR="00A926CC">
              <w:rPr>
                <w:noProof/>
                <w:webHidden/>
              </w:rPr>
              <w:fldChar w:fldCharType="separate"/>
            </w:r>
            <w:r w:rsidR="00AE2034">
              <w:rPr>
                <w:noProof/>
                <w:webHidden/>
              </w:rPr>
              <w:t>8</w:t>
            </w:r>
            <w:r w:rsidR="00A926CC">
              <w:rPr>
                <w:noProof/>
                <w:webHidden/>
              </w:rPr>
              <w:fldChar w:fldCharType="end"/>
            </w:r>
          </w:hyperlink>
        </w:p>
        <w:p w14:paraId="3973502C" w14:textId="606EFFA0"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23" w:history="1">
            <w:r w:rsidR="00A926CC" w:rsidRPr="000916C7">
              <w:rPr>
                <w:rStyle w:val="Hyperlink"/>
                <w:noProof/>
              </w:rPr>
              <w:t>Provision of information for innovative superannuation interests</w:t>
            </w:r>
            <w:r w:rsidR="00A926CC">
              <w:rPr>
                <w:noProof/>
                <w:webHidden/>
              </w:rPr>
              <w:tab/>
            </w:r>
            <w:r w:rsidR="00A926CC">
              <w:rPr>
                <w:noProof/>
                <w:webHidden/>
              </w:rPr>
              <w:fldChar w:fldCharType="begin"/>
            </w:r>
            <w:r w:rsidR="00A926CC">
              <w:rPr>
                <w:noProof/>
                <w:webHidden/>
              </w:rPr>
              <w:instrText xml:space="preserve"> PAGEREF _Toc158043523 \h </w:instrText>
            </w:r>
            <w:r w:rsidR="00A926CC">
              <w:rPr>
                <w:noProof/>
                <w:webHidden/>
              </w:rPr>
            </w:r>
            <w:r w:rsidR="00A926CC">
              <w:rPr>
                <w:noProof/>
                <w:webHidden/>
              </w:rPr>
              <w:fldChar w:fldCharType="separate"/>
            </w:r>
            <w:r w:rsidR="00AE2034">
              <w:rPr>
                <w:noProof/>
                <w:webHidden/>
              </w:rPr>
              <w:t>10</w:t>
            </w:r>
            <w:r w:rsidR="00A926CC">
              <w:rPr>
                <w:noProof/>
                <w:webHidden/>
              </w:rPr>
              <w:fldChar w:fldCharType="end"/>
            </w:r>
          </w:hyperlink>
        </w:p>
        <w:p w14:paraId="17D78127" w14:textId="58F1B78A" w:rsidR="00A926CC" w:rsidRDefault="00EC3459">
          <w:pPr>
            <w:pStyle w:val="TOC1"/>
            <w:tabs>
              <w:tab w:val="right" w:leader="dot" w:pos="10302"/>
            </w:tabs>
            <w:rPr>
              <w:rFonts w:asciiTheme="minorHAnsi" w:eastAsiaTheme="minorEastAsia" w:hAnsiTheme="minorHAnsi" w:cstheme="minorBidi"/>
              <w:noProof/>
              <w:w w:val="100"/>
              <w:kern w:val="0"/>
              <w:lang w:eastAsia="en-AU"/>
            </w:rPr>
          </w:pPr>
          <w:hyperlink w:anchor="_Toc158043524" w:history="1">
            <w:r w:rsidR="00A926CC" w:rsidRPr="000916C7">
              <w:rPr>
                <w:rStyle w:val="Hyperlink"/>
                <w:noProof/>
              </w:rPr>
              <w:t>Amendments to methods and factors to reflect current actuarial assumptions</w:t>
            </w:r>
            <w:r w:rsidR="00A926CC">
              <w:rPr>
                <w:noProof/>
                <w:webHidden/>
              </w:rPr>
              <w:tab/>
            </w:r>
            <w:r w:rsidR="00A926CC">
              <w:rPr>
                <w:noProof/>
                <w:webHidden/>
              </w:rPr>
              <w:fldChar w:fldCharType="begin"/>
            </w:r>
            <w:r w:rsidR="00A926CC">
              <w:rPr>
                <w:noProof/>
                <w:webHidden/>
              </w:rPr>
              <w:instrText xml:space="preserve"> PAGEREF _Toc158043524 \h </w:instrText>
            </w:r>
            <w:r w:rsidR="00A926CC">
              <w:rPr>
                <w:noProof/>
                <w:webHidden/>
              </w:rPr>
            </w:r>
            <w:r w:rsidR="00A926CC">
              <w:rPr>
                <w:noProof/>
                <w:webHidden/>
              </w:rPr>
              <w:fldChar w:fldCharType="separate"/>
            </w:r>
            <w:r w:rsidR="00AE2034">
              <w:rPr>
                <w:noProof/>
                <w:webHidden/>
              </w:rPr>
              <w:t>11</w:t>
            </w:r>
            <w:r w:rsidR="00A926CC">
              <w:rPr>
                <w:noProof/>
                <w:webHidden/>
              </w:rPr>
              <w:fldChar w:fldCharType="end"/>
            </w:r>
          </w:hyperlink>
        </w:p>
        <w:p w14:paraId="41826E7D" w14:textId="45C07FF0"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25" w:history="1">
            <w:r w:rsidR="00A926CC" w:rsidRPr="000916C7">
              <w:rPr>
                <w:rStyle w:val="Hyperlink"/>
                <w:noProof/>
              </w:rPr>
              <w:t>Updated ‘default’ valuation factors</w:t>
            </w:r>
            <w:r w:rsidR="00A926CC">
              <w:rPr>
                <w:noProof/>
                <w:webHidden/>
              </w:rPr>
              <w:tab/>
            </w:r>
            <w:r w:rsidR="00A926CC">
              <w:rPr>
                <w:noProof/>
                <w:webHidden/>
              </w:rPr>
              <w:fldChar w:fldCharType="begin"/>
            </w:r>
            <w:r w:rsidR="00A926CC">
              <w:rPr>
                <w:noProof/>
                <w:webHidden/>
              </w:rPr>
              <w:instrText xml:space="preserve"> PAGEREF _Toc158043525 \h </w:instrText>
            </w:r>
            <w:r w:rsidR="00A926CC">
              <w:rPr>
                <w:noProof/>
                <w:webHidden/>
              </w:rPr>
            </w:r>
            <w:r w:rsidR="00A926CC">
              <w:rPr>
                <w:noProof/>
                <w:webHidden/>
              </w:rPr>
              <w:fldChar w:fldCharType="separate"/>
            </w:r>
            <w:r w:rsidR="00AE2034">
              <w:rPr>
                <w:noProof/>
                <w:webHidden/>
              </w:rPr>
              <w:t>11</w:t>
            </w:r>
            <w:r w:rsidR="00A926CC">
              <w:rPr>
                <w:noProof/>
                <w:webHidden/>
              </w:rPr>
              <w:fldChar w:fldCharType="end"/>
            </w:r>
          </w:hyperlink>
        </w:p>
        <w:p w14:paraId="43D58987" w14:textId="5B3E1EAA"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26" w:history="1">
            <w:r w:rsidR="00A926CC" w:rsidRPr="000916C7">
              <w:rPr>
                <w:rStyle w:val="Hyperlink"/>
                <w:noProof/>
              </w:rPr>
              <w:t>Use of extended age-based factors for valuation of pensions in the growth phase with a guarantee period</w:t>
            </w:r>
            <w:r w:rsidR="00A926CC">
              <w:rPr>
                <w:noProof/>
                <w:webHidden/>
              </w:rPr>
              <w:tab/>
            </w:r>
            <w:r w:rsidR="00A926CC">
              <w:rPr>
                <w:noProof/>
                <w:webHidden/>
              </w:rPr>
              <w:fldChar w:fldCharType="begin"/>
            </w:r>
            <w:r w:rsidR="00A926CC">
              <w:rPr>
                <w:noProof/>
                <w:webHidden/>
              </w:rPr>
              <w:instrText xml:space="preserve"> PAGEREF _Toc158043526 \h </w:instrText>
            </w:r>
            <w:r w:rsidR="00A926CC">
              <w:rPr>
                <w:noProof/>
                <w:webHidden/>
              </w:rPr>
            </w:r>
            <w:r w:rsidR="00A926CC">
              <w:rPr>
                <w:noProof/>
                <w:webHidden/>
              </w:rPr>
              <w:fldChar w:fldCharType="separate"/>
            </w:r>
            <w:r w:rsidR="00AE2034">
              <w:rPr>
                <w:noProof/>
                <w:webHidden/>
              </w:rPr>
              <w:t>12</w:t>
            </w:r>
            <w:r w:rsidR="00A926CC">
              <w:rPr>
                <w:noProof/>
                <w:webHidden/>
              </w:rPr>
              <w:fldChar w:fldCharType="end"/>
            </w:r>
          </w:hyperlink>
        </w:p>
        <w:p w14:paraId="7209CAE5" w14:textId="0DDF8B22"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27" w:history="1">
            <w:r w:rsidR="00A926CC" w:rsidRPr="000916C7">
              <w:rPr>
                <w:rStyle w:val="Hyperlink"/>
                <w:noProof/>
              </w:rPr>
              <w:t>Addition of methods and factors to Schedule 4 for valuation of pensions in the payment phase with a guarantee period remaining</w:t>
            </w:r>
            <w:r w:rsidR="00A926CC">
              <w:rPr>
                <w:noProof/>
                <w:webHidden/>
              </w:rPr>
              <w:tab/>
            </w:r>
            <w:r w:rsidR="00A926CC">
              <w:rPr>
                <w:noProof/>
                <w:webHidden/>
              </w:rPr>
              <w:fldChar w:fldCharType="begin"/>
            </w:r>
            <w:r w:rsidR="00A926CC">
              <w:rPr>
                <w:noProof/>
                <w:webHidden/>
              </w:rPr>
              <w:instrText xml:space="preserve"> PAGEREF _Toc158043527 \h </w:instrText>
            </w:r>
            <w:r w:rsidR="00A926CC">
              <w:rPr>
                <w:noProof/>
                <w:webHidden/>
              </w:rPr>
            </w:r>
            <w:r w:rsidR="00A926CC">
              <w:rPr>
                <w:noProof/>
                <w:webHidden/>
              </w:rPr>
              <w:fldChar w:fldCharType="separate"/>
            </w:r>
            <w:r w:rsidR="00AE2034">
              <w:rPr>
                <w:noProof/>
                <w:webHidden/>
              </w:rPr>
              <w:t>12</w:t>
            </w:r>
            <w:r w:rsidR="00A926CC">
              <w:rPr>
                <w:noProof/>
                <w:webHidden/>
              </w:rPr>
              <w:fldChar w:fldCharType="end"/>
            </w:r>
          </w:hyperlink>
        </w:p>
        <w:p w14:paraId="7CB99EA3" w14:textId="36EB8412"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28" w:history="1">
            <w:r w:rsidR="00A926CC" w:rsidRPr="000916C7">
              <w:rPr>
                <w:rStyle w:val="Hyperlink"/>
                <w:noProof/>
              </w:rPr>
              <w:t>Updated family law interest rate methodology</w:t>
            </w:r>
            <w:r w:rsidR="00A926CC">
              <w:rPr>
                <w:noProof/>
                <w:webHidden/>
              </w:rPr>
              <w:tab/>
            </w:r>
            <w:r w:rsidR="00A926CC">
              <w:rPr>
                <w:noProof/>
                <w:webHidden/>
              </w:rPr>
              <w:fldChar w:fldCharType="begin"/>
            </w:r>
            <w:r w:rsidR="00A926CC">
              <w:rPr>
                <w:noProof/>
                <w:webHidden/>
              </w:rPr>
              <w:instrText xml:space="preserve"> PAGEREF _Toc158043528 \h </w:instrText>
            </w:r>
            <w:r w:rsidR="00A926CC">
              <w:rPr>
                <w:noProof/>
                <w:webHidden/>
              </w:rPr>
            </w:r>
            <w:r w:rsidR="00A926CC">
              <w:rPr>
                <w:noProof/>
                <w:webHidden/>
              </w:rPr>
              <w:fldChar w:fldCharType="separate"/>
            </w:r>
            <w:r w:rsidR="00AE2034">
              <w:rPr>
                <w:noProof/>
                <w:webHidden/>
              </w:rPr>
              <w:t>13</w:t>
            </w:r>
            <w:r w:rsidR="00A926CC">
              <w:rPr>
                <w:noProof/>
                <w:webHidden/>
              </w:rPr>
              <w:fldChar w:fldCharType="end"/>
            </w:r>
          </w:hyperlink>
        </w:p>
        <w:p w14:paraId="7807BF55" w14:textId="36B1BFE6"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29" w:history="1">
            <w:r w:rsidR="00A926CC" w:rsidRPr="000916C7">
              <w:rPr>
                <w:rStyle w:val="Hyperlink"/>
                <w:noProof/>
              </w:rPr>
              <w:t>Additional valuation tables to account for different retirement ages</w:t>
            </w:r>
            <w:r w:rsidR="00A926CC">
              <w:rPr>
                <w:noProof/>
                <w:webHidden/>
              </w:rPr>
              <w:tab/>
            </w:r>
            <w:r w:rsidR="00A926CC">
              <w:rPr>
                <w:noProof/>
                <w:webHidden/>
              </w:rPr>
              <w:fldChar w:fldCharType="begin"/>
            </w:r>
            <w:r w:rsidR="00A926CC">
              <w:rPr>
                <w:noProof/>
                <w:webHidden/>
              </w:rPr>
              <w:instrText xml:space="preserve"> PAGEREF _Toc158043529 \h </w:instrText>
            </w:r>
            <w:r w:rsidR="00A926CC">
              <w:rPr>
                <w:noProof/>
                <w:webHidden/>
              </w:rPr>
            </w:r>
            <w:r w:rsidR="00A926CC">
              <w:rPr>
                <w:noProof/>
                <w:webHidden/>
              </w:rPr>
              <w:fldChar w:fldCharType="separate"/>
            </w:r>
            <w:r w:rsidR="00AE2034">
              <w:rPr>
                <w:noProof/>
                <w:webHidden/>
              </w:rPr>
              <w:t>13</w:t>
            </w:r>
            <w:r w:rsidR="00A926CC">
              <w:rPr>
                <w:noProof/>
                <w:webHidden/>
              </w:rPr>
              <w:fldChar w:fldCharType="end"/>
            </w:r>
          </w:hyperlink>
        </w:p>
        <w:p w14:paraId="5C442447" w14:textId="2C3AEB81"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30" w:history="1">
            <w:r w:rsidR="00A926CC" w:rsidRPr="000916C7">
              <w:rPr>
                <w:rStyle w:val="Hyperlink"/>
                <w:noProof/>
              </w:rPr>
              <w:t>Updated assumptions regarding the proportion of a benefit likely to be taken as a pension versus as a lump sum</w:t>
            </w:r>
            <w:r w:rsidR="00A926CC">
              <w:rPr>
                <w:noProof/>
                <w:webHidden/>
              </w:rPr>
              <w:tab/>
            </w:r>
            <w:r w:rsidR="00A926CC">
              <w:rPr>
                <w:noProof/>
                <w:webHidden/>
              </w:rPr>
              <w:fldChar w:fldCharType="begin"/>
            </w:r>
            <w:r w:rsidR="00A926CC">
              <w:rPr>
                <w:noProof/>
                <w:webHidden/>
              </w:rPr>
              <w:instrText xml:space="preserve"> PAGEREF _Toc158043530 \h </w:instrText>
            </w:r>
            <w:r w:rsidR="00A926CC">
              <w:rPr>
                <w:noProof/>
                <w:webHidden/>
              </w:rPr>
            </w:r>
            <w:r w:rsidR="00A926CC">
              <w:rPr>
                <w:noProof/>
                <w:webHidden/>
              </w:rPr>
              <w:fldChar w:fldCharType="separate"/>
            </w:r>
            <w:r w:rsidR="00AE2034">
              <w:rPr>
                <w:noProof/>
                <w:webHidden/>
              </w:rPr>
              <w:t>13</w:t>
            </w:r>
            <w:r w:rsidR="00A926CC">
              <w:rPr>
                <w:noProof/>
                <w:webHidden/>
              </w:rPr>
              <w:fldChar w:fldCharType="end"/>
            </w:r>
          </w:hyperlink>
        </w:p>
        <w:p w14:paraId="3D309022" w14:textId="4AC74B90"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31" w:history="1">
            <w:r w:rsidR="00A926CC" w:rsidRPr="000916C7">
              <w:rPr>
                <w:rStyle w:val="Hyperlink"/>
                <w:noProof/>
              </w:rPr>
              <w:t>Valuation factors for invalidity pensions</w:t>
            </w:r>
            <w:r w:rsidR="00A926CC">
              <w:rPr>
                <w:noProof/>
                <w:webHidden/>
              </w:rPr>
              <w:tab/>
            </w:r>
            <w:r w:rsidR="00A926CC">
              <w:rPr>
                <w:noProof/>
                <w:webHidden/>
              </w:rPr>
              <w:fldChar w:fldCharType="begin"/>
            </w:r>
            <w:r w:rsidR="00A926CC">
              <w:rPr>
                <w:noProof/>
                <w:webHidden/>
              </w:rPr>
              <w:instrText xml:space="preserve"> PAGEREF _Toc158043531 \h </w:instrText>
            </w:r>
            <w:r w:rsidR="00A926CC">
              <w:rPr>
                <w:noProof/>
                <w:webHidden/>
              </w:rPr>
            </w:r>
            <w:r w:rsidR="00A926CC">
              <w:rPr>
                <w:noProof/>
                <w:webHidden/>
              </w:rPr>
              <w:fldChar w:fldCharType="separate"/>
            </w:r>
            <w:r w:rsidR="00AE2034">
              <w:rPr>
                <w:noProof/>
                <w:webHidden/>
              </w:rPr>
              <w:t>13</w:t>
            </w:r>
            <w:r w:rsidR="00A926CC">
              <w:rPr>
                <w:noProof/>
                <w:webHidden/>
              </w:rPr>
              <w:fldChar w:fldCharType="end"/>
            </w:r>
          </w:hyperlink>
        </w:p>
        <w:p w14:paraId="0B16481D" w14:textId="6203745B"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32" w:history="1">
            <w:r w:rsidR="00A926CC" w:rsidRPr="000916C7">
              <w:rPr>
                <w:rStyle w:val="Hyperlink"/>
                <w:noProof/>
              </w:rPr>
              <w:t>No ‘default’ valuation methods or factors for fixed term and lifetime annuities</w:t>
            </w:r>
            <w:r w:rsidR="00A926CC">
              <w:rPr>
                <w:noProof/>
                <w:webHidden/>
              </w:rPr>
              <w:tab/>
            </w:r>
            <w:r w:rsidR="00A926CC">
              <w:rPr>
                <w:noProof/>
                <w:webHidden/>
              </w:rPr>
              <w:fldChar w:fldCharType="begin"/>
            </w:r>
            <w:r w:rsidR="00A926CC">
              <w:rPr>
                <w:noProof/>
                <w:webHidden/>
              </w:rPr>
              <w:instrText xml:space="preserve"> PAGEREF _Toc158043532 \h </w:instrText>
            </w:r>
            <w:r w:rsidR="00A926CC">
              <w:rPr>
                <w:noProof/>
                <w:webHidden/>
              </w:rPr>
            </w:r>
            <w:r w:rsidR="00A926CC">
              <w:rPr>
                <w:noProof/>
                <w:webHidden/>
              </w:rPr>
              <w:fldChar w:fldCharType="separate"/>
            </w:r>
            <w:r w:rsidR="00AE2034">
              <w:rPr>
                <w:noProof/>
                <w:webHidden/>
              </w:rPr>
              <w:t>14</w:t>
            </w:r>
            <w:r w:rsidR="00A926CC">
              <w:rPr>
                <w:noProof/>
                <w:webHidden/>
              </w:rPr>
              <w:fldChar w:fldCharType="end"/>
            </w:r>
          </w:hyperlink>
        </w:p>
        <w:p w14:paraId="70D93941" w14:textId="6F512C12"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33" w:history="1">
            <w:r w:rsidR="00A926CC" w:rsidRPr="000916C7">
              <w:rPr>
                <w:rStyle w:val="Hyperlink"/>
                <w:noProof/>
              </w:rPr>
              <w:t>Commencement of the new Regulations</w:t>
            </w:r>
            <w:r w:rsidR="00A926CC">
              <w:rPr>
                <w:noProof/>
                <w:webHidden/>
              </w:rPr>
              <w:tab/>
            </w:r>
            <w:r w:rsidR="00A926CC">
              <w:rPr>
                <w:noProof/>
                <w:webHidden/>
              </w:rPr>
              <w:fldChar w:fldCharType="begin"/>
            </w:r>
            <w:r w:rsidR="00A926CC">
              <w:rPr>
                <w:noProof/>
                <w:webHidden/>
              </w:rPr>
              <w:instrText xml:space="preserve"> PAGEREF _Toc158043533 \h </w:instrText>
            </w:r>
            <w:r w:rsidR="00A926CC">
              <w:rPr>
                <w:noProof/>
                <w:webHidden/>
              </w:rPr>
            </w:r>
            <w:r w:rsidR="00A926CC">
              <w:rPr>
                <w:noProof/>
                <w:webHidden/>
              </w:rPr>
              <w:fldChar w:fldCharType="separate"/>
            </w:r>
            <w:r w:rsidR="00AE2034">
              <w:rPr>
                <w:noProof/>
                <w:webHidden/>
              </w:rPr>
              <w:t>14</w:t>
            </w:r>
            <w:r w:rsidR="00A926CC">
              <w:rPr>
                <w:noProof/>
                <w:webHidden/>
              </w:rPr>
              <w:fldChar w:fldCharType="end"/>
            </w:r>
          </w:hyperlink>
        </w:p>
        <w:p w14:paraId="58765FB5" w14:textId="68C62BB4"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34" w:history="1">
            <w:r w:rsidR="00A926CC" w:rsidRPr="000916C7">
              <w:rPr>
                <w:rStyle w:val="Hyperlink"/>
                <w:noProof/>
              </w:rPr>
              <w:t>Application of the new and updated methods and factors</w:t>
            </w:r>
            <w:r w:rsidR="00A926CC">
              <w:rPr>
                <w:noProof/>
                <w:webHidden/>
              </w:rPr>
              <w:tab/>
            </w:r>
            <w:r w:rsidR="00A926CC">
              <w:rPr>
                <w:noProof/>
                <w:webHidden/>
              </w:rPr>
              <w:fldChar w:fldCharType="begin"/>
            </w:r>
            <w:r w:rsidR="00A926CC">
              <w:rPr>
                <w:noProof/>
                <w:webHidden/>
              </w:rPr>
              <w:instrText xml:space="preserve"> PAGEREF _Toc158043534 \h </w:instrText>
            </w:r>
            <w:r w:rsidR="00A926CC">
              <w:rPr>
                <w:noProof/>
                <w:webHidden/>
              </w:rPr>
            </w:r>
            <w:r w:rsidR="00A926CC">
              <w:rPr>
                <w:noProof/>
                <w:webHidden/>
              </w:rPr>
              <w:fldChar w:fldCharType="separate"/>
            </w:r>
            <w:r w:rsidR="00AE2034">
              <w:rPr>
                <w:noProof/>
                <w:webHidden/>
              </w:rPr>
              <w:t>15</w:t>
            </w:r>
            <w:r w:rsidR="00A926CC">
              <w:rPr>
                <w:noProof/>
                <w:webHidden/>
              </w:rPr>
              <w:fldChar w:fldCharType="end"/>
            </w:r>
          </w:hyperlink>
        </w:p>
        <w:p w14:paraId="50428E93" w14:textId="0D017BE3" w:rsidR="00A926CC" w:rsidRDefault="00EC3459">
          <w:pPr>
            <w:pStyle w:val="TOC1"/>
            <w:tabs>
              <w:tab w:val="right" w:leader="dot" w:pos="10302"/>
            </w:tabs>
            <w:rPr>
              <w:rFonts w:asciiTheme="minorHAnsi" w:eastAsiaTheme="minorEastAsia" w:hAnsiTheme="minorHAnsi" w:cstheme="minorBidi"/>
              <w:noProof/>
              <w:w w:val="100"/>
              <w:kern w:val="0"/>
              <w:lang w:eastAsia="en-AU"/>
            </w:rPr>
          </w:pPr>
          <w:hyperlink w:anchor="_Toc158043535" w:history="1">
            <w:r w:rsidR="00A926CC" w:rsidRPr="000916C7">
              <w:rPr>
                <w:rStyle w:val="Hyperlink"/>
                <w:noProof/>
              </w:rPr>
              <w:t>Clarifying and other amendments</w:t>
            </w:r>
            <w:r w:rsidR="00A926CC">
              <w:rPr>
                <w:noProof/>
                <w:webHidden/>
              </w:rPr>
              <w:tab/>
            </w:r>
            <w:r w:rsidR="00A926CC">
              <w:rPr>
                <w:noProof/>
                <w:webHidden/>
              </w:rPr>
              <w:fldChar w:fldCharType="begin"/>
            </w:r>
            <w:r w:rsidR="00A926CC">
              <w:rPr>
                <w:noProof/>
                <w:webHidden/>
              </w:rPr>
              <w:instrText xml:space="preserve"> PAGEREF _Toc158043535 \h </w:instrText>
            </w:r>
            <w:r w:rsidR="00A926CC">
              <w:rPr>
                <w:noProof/>
                <w:webHidden/>
              </w:rPr>
            </w:r>
            <w:r w:rsidR="00A926CC">
              <w:rPr>
                <w:noProof/>
                <w:webHidden/>
              </w:rPr>
              <w:fldChar w:fldCharType="separate"/>
            </w:r>
            <w:r w:rsidR="00AE2034">
              <w:rPr>
                <w:noProof/>
                <w:webHidden/>
              </w:rPr>
              <w:t>16</w:t>
            </w:r>
            <w:r w:rsidR="00A926CC">
              <w:rPr>
                <w:noProof/>
                <w:webHidden/>
              </w:rPr>
              <w:fldChar w:fldCharType="end"/>
            </w:r>
          </w:hyperlink>
        </w:p>
        <w:p w14:paraId="246485DB" w14:textId="7DFB5555"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36" w:history="1">
            <w:r w:rsidR="00A926CC" w:rsidRPr="000916C7">
              <w:rPr>
                <w:rStyle w:val="Hyperlink"/>
                <w:rFonts w:eastAsia="Times New Roman"/>
                <w:noProof/>
              </w:rPr>
              <w:t>Definition of ‘base amount’</w:t>
            </w:r>
            <w:r w:rsidR="00A926CC">
              <w:rPr>
                <w:noProof/>
                <w:webHidden/>
              </w:rPr>
              <w:tab/>
            </w:r>
            <w:r w:rsidR="00A926CC">
              <w:rPr>
                <w:noProof/>
                <w:webHidden/>
              </w:rPr>
              <w:fldChar w:fldCharType="begin"/>
            </w:r>
            <w:r w:rsidR="00A926CC">
              <w:rPr>
                <w:noProof/>
                <w:webHidden/>
              </w:rPr>
              <w:instrText xml:space="preserve"> PAGEREF _Toc158043536 \h </w:instrText>
            </w:r>
            <w:r w:rsidR="00A926CC">
              <w:rPr>
                <w:noProof/>
                <w:webHidden/>
              </w:rPr>
            </w:r>
            <w:r w:rsidR="00A926CC">
              <w:rPr>
                <w:noProof/>
                <w:webHidden/>
              </w:rPr>
              <w:fldChar w:fldCharType="separate"/>
            </w:r>
            <w:r w:rsidR="00AE2034">
              <w:rPr>
                <w:noProof/>
                <w:webHidden/>
              </w:rPr>
              <w:t>16</w:t>
            </w:r>
            <w:r w:rsidR="00A926CC">
              <w:rPr>
                <w:noProof/>
                <w:webHidden/>
              </w:rPr>
              <w:fldChar w:fldCharType="end"/>
            </w:r>
          </w:hyperlink>
        </w:p>
        <w:p w14:paraId="3F6FDDFA" w14:textId="254FA2D4"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37" w:history="1">
            <w:r w:rsidR="00A926CC" w:rsidRPr="000916C7">
              <w:rPr>
                <w:rStyle w:val="Hyperlink"/>
                <w:noProof/>
              </w:rPr>
              <w:t>Definition of ‘component of a superannuation interest’</w:t>
            </w:r>
            <w:r w:rsidR="00A926CC">
              <w:rPr>
                <w:noProof/>
                <w:webHidden/>
              </w:rPr>
              <w:tab/>
            </w:r>
            <w:r w:rsidR="00A926CC">
              <w:rPr>
                <w:noProof/>
                <w:webHidden/>
              </w:rPr>
              <w:fldChar w:fldCharType="begin"/>
            </w:r>
            <w:r w:rsidR="00A926CC">
              <w:rPr>
                <w:noProof/>
                <w:webHidden/>
              </w:rPr>
              <w:instrText xml:space="preserve"> PAGEREF _Toc158043537 \h </w:instrText>
            </w:r>
            <w:r w:rsidR="00A926CC">
              <w:rPr>
                <w:noProof/>
                <w:webHidden/>
              </w:rPr>
            </w:r>
            <w:r w:rsidR="00A926CC">
              <w:rPr>
                <w:noProof/>
                <w:webHidden/>
              </w:rPr>
              <w:fldChar w:fldCharType="separate"/>
            </w:r>
            <w:r w:rsidR="00AE2034">
              <w:rPr>
                <w:noProof/>
                <w:webHidden/>
              </w:rPr>
              <w:t>16</w:t>
            </w:r>
            <w:r w:rsidR="00A926CC">
              <w:rPr>
                <w:noProof/>
                <w:webHidden/>
              </w:rPr>
              <w:fldChar w:fldCharType="end"/>
            </w:r>
          </w:hyperlink>
        </w:p>
        <w:p w14:paraId="41A39B3C" w14:textId="0A7F0332"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38" w:history="1">
            <w:r w:rsidR="00A926CC" w:rsidRPr="000916C7">
              <w:rPr>
                <w:rStyle w:val="Hyperlink"/>
                <w:noProof/>
              </w:rPr>
              <w:t>Conditions of release and releasing events</w:t>
            </w:r>
            <w:r w:rsidR="00A926CC">
              <w:rPr>
                <w:noProof/>
                <w:webHidden/>
              </w:rPr>
              <w:tab/>
            </w:r>
            <w:r w:rsidR="00A926CC">
              <w:rPr>
                <w:noProof/>
                <w:webHidden/>
              </w:rPr>
              <w:fldChar w:fldCharType="begin"/>
            </w:r>
            <w:r w:rsidR="00A926CC">
              <w:rPr>
                <w:noProof/>
                <w:webHidden/>
              </w:rPr>
              <w:instrText xml:space="preserve"> PAGEREF _Toc158043538 \h </w:instrText>
            </w:r>
            <w:r w:rsidR="00A926CC">
              <w:rPr>
                <w:noProof/>
                <w:webHidden/>
              </w:rPr>
            </w:r>
            <w:r w:rsidR="00A926CC">
              <w:rPr>
                <w:noProof/>
                <w:webHidden/>
              </w:rPr>
              <w:fldChar w:fldCharType="separate"/>
            </w:r>
            <w:r w:rsidR="00AE2034">
              <w:rPr>
                <w:noProof/>
                <w:webHidden/>
              </w:rPr>
              <w:t>17</w:t>
            </w:r>
            <w:r w:rsidR="00A926CC">
              <w:rPr>
                <w:noProof/>
                <w:webHidden/>
              </w:rPr>
              <w:fldChar w:fldCharType="end"/>
            </w:r>
          </w:hyperlink>
        </w:p>
        <w:p w14:paraId="3C87175A" w14:textId="31BFC118"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39" w:history="1">
            <w:r w:rsidR="00A926CC" w:rsidRPr="000916C7">
              <w:rPr>
                <w:rStyle w:val="Hyperlink"/>
                <w:noProof/>
              </w:rPr>
              <w:t xml:space="preserve">Clarifying that a document containing information about a superannuation interest is </w:t>
            </w:r>
            <w:r w:rsidR="00A926CC" w:rsidRPr="000916C7">
              <w:rPr>
                <w:rStyle w:val="Hyperlink"/>
                <w:i/>
                <w:noProof/>
              </w:rPr>
              <w:t>prima facie</w:t>
            </w:r>
            <w:r w:rsidR="00A926CC" w:rsidRPr="000916C7">
              <w:rPr>
                <w:rStyle w:val="Hyperlink"/>
                <w:noProof/>
              </w:rPr>
              <w:t xml:space="preserve"> evidence</w:t>
            </w:r>
            <w:r w:rsidR="00A926CC">
              <w:rPr>
                <w:noProof/>
                <w:webHidden/>
              </w:rPr>
              <w:tab/>
            </w:r>
            <w:r w:rsidR="00A926CC">
              <w:rPr>
                <w:noProof/>
                <w:webHidden/>
              </w:rPr>
              <w:fldChar w:fldCharType="begin"/>
            </w:r>
            <w:r w:rsidR="00A926CC">
              <w:rPr>
                <w:noProof/>
                <w:webHidden/>
              </w:rPr>
              <w:instrText xml:space="preserve"> PAGEREF _Toc158043539 \h </w:instrText>
            </w:r>
            <w:r w:rsidR="00A926CC">
              <w:rPr>
                <w:noProof/>
                <w:webHidden/>
              </w:rPr>
            </w:r>
            <w:r w:rsidR="00A926CC">
              <w:rPr>
                <w:noProof/>
                <w:webHidden/>
              </w:rPr>
              <w:fldChar w:fldCharType="separate"/>
            </w:r>
            <w:r w:rsidR="00AE2034">
              <w:rPr>
                <w:noProof/>
                <w:webHidden/>
              </w:rPr>
              <w:t>18</w:t>
            </w:r>
            <w:r w:rsidR="00A926CC">
              <w:rPr>
                <w:noProof/>
                <w:webHidden/>
              </w:rPr>
              <w:fldChar w:fldCharType="end"/>
            </w:r>
          </w:hyperlink>
        </w:p>
        <w:p w14:paraId="2597A745" w14:textId="007239DE"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40" w:history="1">
            <w:r w:rsidR="00A926CC" w:rsidRPr="000916C7">
              <w:rPr>
                <w:rStyle w:val="Hyperlink"/>
                <w:noProof/>
              </w:rPr>
              <w:t>Enabling alternative methods of communication, including via email and via an intermediary, between a trustee and a non-member spouse</w:t>
            </w:r>
            <w:r w:rsidR="00A926CC">
              <w:rPr>
                <w:noProof/>
                <w:webHidden/>
              </w:rPr>
              <w:tab/>
            </w:r>
            <w:r w:rsidR="00A926CC">
              <w:rPr>
                <w:noProof/>
                <w:webHidden/>
              </w:rPr>
              <w:fldChar w:fldCharType="begin"/>
            </w:r>
            <w:r w:rsidR="00A926CC">
              <w:rPr>
                <w:noProof/>
                <w:webHidden/>
              </w:rPr>
              <w:instrText xml:space="preserve"> PAGEREF _Toc158043540 \h </w:instrText>
            </w:r>
            <w:r w:rsidR="00A926CC">
              <w:rPr>
                <w:noProof/>
                <w:webHidden/>
              </w:rPr>
            </w:r>
            <w:r w:rsidR="00A926CC">
              <w:rPr>
                <w:noProof/>
                <w:webHidden/>
              </w:rPr>
              <w:fldChar w:fldCharType="separate"/>
            </w:r>
            <w:r w:rsidR="00AE2034">
              <w:rPr>
                <w:noProof/>
                <w:webHidden/>
              </w:rPr>
              <w:t>18</w:t>
            </w:r>
            <w:r w:rsidR="00A926CC">
              <w:rPr>
                <w:noProof/>
                <w:webHidden/>
              </w:rPr>
              <w:fldChar w:fldCharType="end"/>
            </w:r>
          </w:hyperlink>
        </w:p>
        <w:p w14:paraId="45F8D829" w14:textId="025E360B" w:rsidR="00A926CC" w:rsidRDefault="00EC3459">
          <w:pPr>
            <w:pStyle w:val="TOC1"/>
            <w:tabs>
              <w:tab w:val="right" w:leader="dot" w:pos="10302"/>
            </w:tabs>
            <w:rPr>
              <w:rFonts w:asciiTheme="minorHAnsi" w:eastAsiaTheme="minorEastAsia" w:hAnsiTheme="minorHAnsi" w:cstheme="minorBidi"/>
              <w:noProof/>
              <w:w w:val="100"/>
              <w:kern w:val="0"/>
              <w:lang w:eastAsia="en-AU"/>
            </w:rPr>
          </w:pPr>
          <w:hyperlink w:anchor="_Toc158043541" w:history="1">
            <w:r w:rsidR="00A926CC" w:rsidRPr="000916C7">
              <w:rPr>
                <w:rStyle w:val="Hyperlink"/>
                <w:noProof/>
              </w:rPr>
              <w:t>Other matters for consultation</w:t>
            </w:r>
            <w:r w:rsidR="00A926CC">
              <w:rPr>
                <w:noProof/>
                <w:webHidden/>
              </w:rPr>
              <w:tab/>
            </w:r>
            <w:r w:rsidR="00A926CC">
              <w:rPr>
                <w:noProof/>
                <w:webHidden/>
              </w:rPr>
              <w:fldChar w:fldCharType="begin"/>
            </w:r>
            <w:r w:rsidR="00A926CC">
              <w:rPr>
                <w:noProof/>
                <w:webHidden/>
              </w:rPr>
              <w:instrText xml:space="preserve"> PAGEREF _Toc158043541 \h </w:instrText>
            </w:r>
            <w:r w:rsidR="00A926CC">
              <w:rPr>
                <w:noProof/>
                <w:webHidden/>
              </w:rPr>
            </w:r>
            <w:r w:rsidR="00A926CC">
              <w:rPr>
                <w:noProof/>
                <w:webHidden/>
              </w:rPr>
              <w:fldChar w:fldCharType="separate"/>
            </w:r>
            <w:r w:rsidR="00AE2034">
              <w:rPr>
                <w:noProof/>
                <w:webHidden/>
              </w:rPr>
              <w:t>19</w:t>
            </w:r>
            <w:r w:rsidR="00A926CC">
              <w:rPr>
                <w:noProof/>
                <w:webHidden/>
              </w:rPr>
              <w:fldChar w:fldCharType="end"/>
            </w:r>
          </w:hyperlink>
        </w:p>
        <w:p w14:paraId="76896B6B" w14:textId="44CC09D9"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42" w:history="1">
            <w:r w:rsidR="00A926CC" w:rsidRPr="000916C7">
              <w:rPr>
                <w:rStyle w:val="Hyperlink"/>
                <w:noProof/>
              </w:rPr>
              <w:t>Superannuation annuities - valuation and payment splitting</w:t>
            </w:r>
            <w:r w:rsidR="00A926CC">
              <w:rPr>
                <w:noProof/>
                <w:webHidden/>
              </w:rPr>
              <w:tab/>
            </w:r>
            <w:r w:rsidR="00A926CC">
              <w:rPr>
                <w:noProof/>
                <w:webHidden/>
              </w:rPr>
              <w:fldChar w:fldCharType="begin"/>
            </w:r>
            <w:r w:rsidR="00A926CC">
              <w:rPr>
                <w:noProof/>
                <w:webHidden/>
              </w:rPr>
              <w:instrText xml:space="preserve"> PAGEREF _Toc158043542 \h </w:instrText>
            </w:r>
            <w:r w:rsidR="00A926CC">
              <w:rPr>
                <w:noProof/>
                <w:webHidden/>
              </w:rPr>
            </w:r>
            <w:r w:rsidR="00A926CC">
              <w:rPr>
                <w:noProof/>
                <w:webHidden/>
              </w:rPr>
              <w:fldChar w:fldCharType="separate"/>
            </w:r>
            <w:r w:rsidR="00AE2034">
              <w:rPr>
                <w:noProof/>
                <w:webHidden/>
              </w:rPr>
              <w:t>19</w:t>
            </w:r>
            <w:r w:rsidR="00A926CC">
              <w:rPr>
                <w:noProof/>
                <w:webHidden/>
              </w:rPr>
              <w:fldChar w:fldCharType="end"/>
            </w:r>
          </w:hyperlink>
        </w:p>
        <w:p w14:paraId="10EACF80" w14:textId="1234A8C4"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43" w:history="1">
            <w:r w:rsidR="00A926CC" w:rsidRPr="000916C7">
              <w:rPr>
                <w:rStyle w:val="Hyperlink"/>
                <w:noProof/>
              </w:rPr>
              <w:t>Unsplittable interests</w:t>
            </w:r>
            <w:r w:rsidR="00A926CC">
              <w:rPr>
                <w:noProof/>
                <w:webHidden/>
              </w:rPr>
              <w:tab/>
            </w:r>
            <w:r w:rsidR="00A926CC">
              <w:rPr>
                <w:noProof/>
                <w:webHidden/>
              </w:rPr>
              <w:fldChar w:fldCharType="begin"/>
            </w:r>
            <w:r w:rsidR="00A926CC">
              <w:rPr>
                <w:noProof/>
                <w:webHidden/>
              </w:rPr>
              <w:instrText xml:space="preserve"> PAGEREF _Toc158043543 \h </w:instrText>
            </w:r>
            <w:r w:rsidR="00A926CC">
              <w:rPr>
                <w:noProof/>
                <w:webHidden/>
              </w:rPr>
            </w:r>
            <w:r w:rsidR="00A926CC">
              <w:rPr>
                <w:noProof/>
                <w:webHidden/>
              </w:rPr>
              <w:fldChar w:fldCharType="separate"/>
            </w:r>
            <w:r w:rsidR="00AE2034">
              <w:rPr>
                <w:noProof/>
                <w:webHidden/>
              </w:rPr>
              <w:t>20</w:t>
            </w:r>
            <w:r w:rsidR="00A926CC">
              <w:rPr>
                <w:noProof/>
                <w:webHidden/>
              </w:rPr>
              <w:fldChar w:fldCharType="end"/>
            </w:r>
          </w:hyperlink>
        </w:p>
        <w:p w14:paraId="1B271D12" w14:textId="3CF6C5D0"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44" w:history="1">
            <w:r w:rsidR="00A926CC" w:rsidRPr="000916C7">
              <w:rPr>
                <w:rStyle w:val="Hyperlink"/>
                <w:noProof/>
              </w:rPr>
              <w:t>Payments of a particular character that are not splittable payments</w:t>
            </w:r>
            <w:r w:rsidR="00A926CC">
              <w:rPr>
                <w:noProof/>
                <w:webHidden/>
              </w:rPr>
              <w:tab/>
            </w:r>
            <w:r w:rsidR="00A926CC">
              <w:rPr>
                <w:noProof/>
                <w:webHidden/>
              </w:rPr>
              <w:fldChar w:fldCharType="begin"/>
            </w:r>
            <w:r w:rsidR="00A926CC">
              <w:rPr>
                <w:noProof/>
                <w:webHidden/>
              </w:rPr>
              <w:instrText xml:space="preserve"> PAGEREF _Toc158043544 \h </w:instrText>
            </w:r>
            <w:r w:rsidR="00A926CC">
              <w:rPr>
                <w:noProof/>
                <w:webHidden/>
              </w:rPr>
            </w:r>
            <w:r w:rsidR="00A926CC">
              <w:rPr>
                <w:noProof/>
                <w:webHidden/>
              </w:rPr>
              <w:fldChar w:fldCharType="separate"/>
            </w:r>
            <w:r w:rsidR="00AE2034">
              <w:rPr>
                <w:noProof/>
                <w:webHidden/>
              </w:rPr>
              <w:t>21</w:t>
            </w:r>
            <w:r w:rsidR="00A926CC">
              <w:rPr>
                <w:noProof/>
                <w:webHidden/>
              </w:rPr>
              <w:fldChar w:fldCharType="end"/>
            </w:r>
          </w:hyperlink>
        </w:p>
        <w:p w14:paraId="4692FE86" w14:textId="09F00BC4"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45" w:history="1">
            <w:r w:rsidR="00A926CC" w:rsidRPr="000916C7">
              <w:rPr>
                <w:rStyle w:val="Hyperlink"/>
                <w:noProof/>
              </w:rPr>
              <w:t>Ensuring approved methods and factors are based on current actuarial assumptions</w:t>
            </w:r>
            <w:r w:rsidR="00A926CC">
              <w:rPr>
                <w:noProof/>
                <w:webHidden/>
              </w:rPr>
              <w:tab/>
            </w:r>
            <w:r w:rsidR="00A926CC">
              <w:rPr>
                <w:noProof/>
                <w:webHidden/>
              </w:rPr>
              <w:fldChar w:fldCharType="begin"/>
            </w:r>
            <w:r w:rsidR="00A926CC">
              <w:rPr>
                <w:noProof/>
                <w:webHidden/>
              </w:rPr>
              <w:instrText xml:space="preserve"> PAGEREF _Toc158043545 \h </w:instrText>
            </w:r>
            <w:r w:rsidR="00A926CC">
              <w:rPr>
                <w:noProof/>
                <w:webHidden/>
              </w:rPr>
            </w:r>
            <w:r w:rsidR="00A926CC">
              <w:rPr>
                <w:noProof/>
                <w:webHidden/>
              </w:rPr>
              <w:fldChar w:fldCharType="separate"/>
            </w:r>
            <w:r w:rsidR="00AE2034">
              <w:rPr>
                <w:noProof/>
                <w:webHidden/>
              </w:rPr>
              <w:t>22</w:t>
            </w:r>
            <w:r w:rsidR="00A926CC">
              <w:rPr>
                <w:noProof/>
                <w:webHidden/>
              </w:rPr>
              <w:fldChar w:fldCharType="end"/>
            </w:r>
          </w:hyperlink>
        </w:p>
        <w:p w14:paraId="103B435C" w14:textId="75A9EFBD"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46" w:history="1">
            <w:r w:rsidR="00A926CC" w:rsidRPr="000916C7">
              <w:rPr>
                <w:rStyle w:val="Hyperlink"/>
                <w:noProof/>
              </w:rPr>
              <w:t>Treatment of allocated pensions and market linked pensions</w:t>
            </w:r>
            <w:r w:rsidR="00A926CC">
              <w:rPr>
                <w:noProof/>
                <w:webHidden/>
              </w:rPr>
              <w:tab/>
            </w:r>
            <w:r w:rsidR="00A926CC">
              <w:rPr>
                <w:noProof/>
                <w:webHidden/>
              </w:rPr>
              <w:fldChar w:fldCharType="begin"/>
            </w:r>
            <w:r w:rsidR="00A926CC">
              <w:rPr>
                <w:noProof/>
                <w:webHidden/>
              </w:rPr>
              <w:instrText xml:space="preserve"> PAGEREF _Toc158043546 \h </w:instrText>
            </w:r>
            <w:r w:rsidR="00A926CC">
              <w:rPr>
                <w:noProof/>
                <w:webHidden/>
              </w:rPr>
            </w:r>
            <w:r w:rsidR="00A926CC">
              <w:rPr>
                <w:noProof/>
                <w:webHidden/>
              </w:rPr>
              <w:fldChar w:fldCharType="separate"/>
            </w:r>
            <w:r w:rsidR="00AE2034">
              <w:rPr>
                <w:noProof/>
                <w:webHidden/>
              </w:rPr>
              <w:t>23</w:t>
            </w:r>
            <w:r w:rsidR="00A926CC">
              <w:rPr>
                <w:noProof/>
                <w:webHidden/>
              </w:rPr>
              <w:fldChar w:fldCharType="end"/>
            </w:r>
          </w:hyperlink>
        </w:p>
        <w:p w14:paraId="4C93CA62" w14:textId="421A399B"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47" w:history="1">
            <w:r w:rsidR="00A926CC" w:rsidRPr="000916C7">
              <w:rPr>
                <w:rStyle w:val="Hyperlink"/>
                <w:noProof/>
              </w:rPr>
              <w:t>Calculating the non-member spouse’s entitlement for certain superannuation interests</w:t>
            </w:r>
            <w:r w:rsidR="00A926CC">
              <w:rPr>
                <w:noProof/>
                <w:webHidden/>
              </w:rPr>
              <w:tab/>
            </w:r>
            <w:r w:rsidR="00A926CC">
              <w:rPr>
                <w:noProof/>
                <w:webHidden/>
              </w:rPr>
              <w:fldChar w:fldCharType="begin"/>
            </w:r>
            <w:r w:rsidR="00A926CC">
              <w:rPr>
                <w:noProof/>
                <w:webHidden/>
              </w:rPr>
              <w:instrText xml:space="preserve"> PAGEREF _Toc158043547 \h </w:instrText>
            </w:r>
            <w:r w:rsidR="00A926CC">
              <w:rPr>
                <w:noProof/>
                <w:webHidden/>
              </w:rPr>
            </w:r>
            <w:r w:rsidR="00A926CC">
              <w:rPr>
                <w:noProof/>
                <w:webHidden/>
              </w:rPr>
              <w:fldChar w:fldCharType="separate"/>
            </w:r>
            <w:r w:rsidR="00AE2034">
              <w:rPr>
                <w:noProof/>
                <w:webHidden/>
              </w:rPr>
              <w:t>24</w:t>
            </w:r>
            <w:r w:rsidR="00A926CC">
              <w:rPr>
                <w:noProof/>
                <w:webHidden/>
              </w:rPr>
              <w:fldChar w:fldCharType="end"/>
            </w:r>
          </w:hyperlink>
        </w:p>
        <w:p w14:paraId="5CC7E0A6" w14:textId="19678449"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48" w:history="1">
            <w:r w:rsidR="00A926CC" w:rsidRPr="000916C7">
              <w:rPr>
                <w:rStyle w:val="Hyperlink"/>
                <w:noProof/>
              </w:rPr>
              <w:t>Reviewing the current information requirements under the Regulations</w:t>
            </w:r>
            <w:r w:rsidR="00A926CC">
              <w:rPr>
                <w:noProof/>
                <w:webHidden/>
              </w:rPr>
              <w:tab/>
            </w:r>
            <w:r w:rsidR="00A926CC">
              <w:rPr>
                <w:noProof/>
                <w:webHidden/>
              </w:rPr>
              <w:fldChar w:fldCharType="begin"/>
            </w:r>
            <w:r w:rsidR="00A926CC">
              <w:rPr>
                <w:noProof/>
                <w:webHidden/>
              </w:rPr>
              <w:instrText xml:space="preserve"> PAGEREF _Toc158043548 \h </w:instrText>
            </w:r>
            <w:r w:rsidR="00A926CC">
              <w:rPr>
                <w:noProof/>
                <w:webHidden/>
              </w:rPr>
            </w:r>
            <w:r w:rsidR="00A926CC">
              <w:rPr>
                <w:noProof/>
                <w:webHidden/>
              </w:rPr>
              <w:fldChar w:fldCharType="separate"/>
            </w:r>
            <w:r w:rsidR="00AE2034">
              <w:rPr>
                <w:noProof/>
                <w:webHidden/>
              </w:rPr>
              <w:t>24</w:t>
            </w:r>
            <w:r w:rsidR="00A926CC">
              <w:rPr>
                <w:noProof/>
                <w:webHidden/>
              </w:rPr>
              <w:fldChar w:fldCharType="end"/>
            </w:r>
          </w:hyperlink>
        </w:p>
        <w:p w14:paraId="7B023258" w14:textId="503194C0"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49" w:history="1">
            <w:r w:rsidR="00A926CC" w:rsidRPr="000916C7">
              <w:rPr>
                <w:rStyle w:val="Hyperlink"/>
                <w:noProof/>
              </w:rPr>
              <w:t>Reviewing the current penalty framework in the Regulations</w:t>
            </w:r>
            <w:r w:rsidR="00A926CC">
              <w:rPr>
                <w:noProof/>
                <w:webHidden/>
              </w:rPr>
              <w:tab/>
            </w:r>
            <w:r w:rsidR="00A926CC">
              <w:rPr>
                <w:noProof/>
                <w:webHidden/>
              </w:rPr>
              <w:fldChar w:fldCharType="begin"/>
            </w:r>
            <w:r w:rsidR="00A926CC">
              <w:rPr>
                <w:noProof/>
                <w:webHidden/>
              </w:rPr>
              <w:instrText xml:space="preserve"> PAGEREF _Toc158043549 \h </w:instrText>
            </w:r>
            <w:r w:rsidR="00A926CC">
              <w:rPr>
                <w:noProof/>
                <w:webHidden/>
              </w:rPr>
            </w:r>
            <w:r w:rsidR="00A926CC">
              <w:rPr>
                <w:noProof/>
                <w:webHidden/>
              </w:rPr>
              <w:fldChar w:fldCharType="separate"/>
            </w:r>
            <w:r w:rsidR="00AE2034">
              <w:rPr>
                <w:noProof/>
                <w:webHidden/>
              </w:rPr>
              <w:t>25</w:t>
            </w:r>
            <w:r w:rsidR="00A926CC">
              <w:rPr>
                <w:noProof/>
                <w:webHidden/>
              </w:rPr>
              <w:fldChar w:fldCharType="end"/>
            </w:r>
          </w:hyperlink>
        </w:p>
        <w:p w14:paraId="1E524558" w14:textId="24D0E0BC" w:rsidR="00A926CC" w:rsidRDefault="00EC3459">
          <w:pPr>
            <w:pStyle w:val="TOC2"/>
            <w:tabs>
              <w:tab w:val="right" w:leader="dot" w:pos="10302"/>
            </w:tabs>
            <w:rPr>
              <w:rFonts w:asciiTheme="minorHAnsi" w:eastAsiaTheme="minorEastAsia" w:hAnsiTheme="minorHAnsi" w:cstheme="minorBidi"/>
              <w:noProof/>
              <w:w w:val="100"/>
              <w:kern w:val="0"/>
              <w:lang w:eastAsia="en-AU"/>
            </w:rPr>
          </w:pPr>
          <w:hyperlink w:anchor="_Toc158043550" w:history="1">
            <w:r w:rsidR="00A926CC" w:rsidRPr="000916C7">
              <w:rPr>
                <w:rStyle w:val="Hyperlink"/>
                <w:noProof/>
              </w:rPr>
              <w:t>Members who have variations of sex characteristics or who are intersex, whose sex has changed from their sex recorded at birth, whose gender has changed from the gender they were assigned at birth, and/or who do not identify as either male or female</w:t>
            </w:r>
            <w:r w:rsidR="00A926CC">
              <w:rPr>
                <w:noProof/>
                <w:webHidden/>
              </w:rPr>
              <w:tab/>
            </w:r>
            <w:r w:rsidR="00A926CC">
              <w:rPr>
                <w:noProof/>
                <w:webHidden/>
              </w:rPr>
              <w:fldChar w:fldCharType="begin"/>
            </w:r>
            <w:r w:rsidR="00A926CC">
              <w:rPr>
                <w:noProof/>
                <w:webHidden/>
              </w:rPr>
              <w:instrText xml:space="preserve"> PAGEREF _Toc158043550 \h </w:instrText>
            </w:r>
            <w:r w:rsidR="00A926CC">
              <w:rPr>
                <w:noProof/>
                <w:webHidden/>
              </w:rPr>
            </w:r>
            <w:r w:rsidR="00A926CC">
              <w:rPr>
                <w:noProof/>
                <w:webHidden/>
              </w:rPr>
              <w:fldChar w:fldCharType="separate"/>
            </w:r>
            <w:r w:rsidR="00AE2034">
              <w:rPr>
                <w:noProof/>
                <w:webHidden/>
              </w:rPr>
              <w:t>26</w:t>
            </w:r>
            <w:r w:rsidR="00A926CC">
              <w:rPr>
                <w:noProof/>
                <w:webHidden/>
              </w:rPr>
              <w:fldChar w:fldCharType="end"/>
            </w:r>
          </w:hyperlink>
        </w:p>
        <w:p w14:paraId="553AFFAF" w14:textId="4B6B7356" w:rsidR="00A926CC" w:rsidRDefault="00EC3459">
          <w:pPr>
            <w:pStyle w:val="TOC1"/>
            <w:tabs>
              <w:tab w:val="right" w:leader="dot" w:pos="10302"/>
            </w:tabs>
            <w:rPr>
              <w:rFonts w:asciiTheme="minorHAnsi" w:eastAsiaTheme="minorEastAsia" w:hAnsiTheme="minorHAnsi" w:cstheme="minorBidi"/>
              <w:noProof/>
              <w:w w:val="100"/>
              <w:kern w:val="0"/>
              <w:lang w:eastAsia="en-AU"/>
            </w:rPr>
          </w:pPr>
          <w:hyperlink w:anchor="_Toc158043551" w:history="1">
            <w:r w:rsidR="00A926CC" w:rsidRPr="000916C7">
              <w:rPr>
                <w:rStyle w:val="Hyperlink"/>
                <w:noProof/>
              </w:rPr>
              <w:t>Other issues not covered in this consultation paper</w:t>
            </w:r>
            <w:r w:rsidR="00A926CC">
              <w:rPr>
                <w:noProof/>
                <w:webHidden/>
              </w:rPr>
              <w:tab/>
            </w:r>
            <w:r w:rsidR="00A926CC">
              <w:rPr>
                <w:noProof/>
                <w:webHidden/>
              </w:rPr>
              <w:fldChar w:fldCharType="begin"/>
            </w:r>
            <w:r w:rsidR="00A926CC">
              <w:rPr>
                <w:noProof/>
                <w:webHidden/>
              </w:rPr>
              <w:instrText xml:space="preserve"> PAGEREF _Toc158043551 \h </w:instrText>
            </w:r>
            <w:r w:rsidR="00A926CC">
              <w:rPr>
                <w:noProof/>
                <w:webHidden/>
              </w:rPr>
            </w:r>
            <w:r w:rsidR="00A926CC">
              <w:rPr>
                <w:noProof/>
                <w:webHidden/>
              </w:rPr>
              <w:fldChar w:fldCharType="separate"/>
            </w:r>
            <w:r w:rsidR="00AE2034">
              <w:rPr>
                <w:noProof/>
                <w:webHidden/>
              </w:rPr>
              <w:t>27</w:t>
            </w:r>
            <w:r w:rsidR="00A926CC">
              <w:rPr>
                <w:noProof/>
                <w:webHidden/>
              </w:rPr>
              <w:fldChar w:fldCharType="end"/>
            </w:r>
          </w:hyperlink>
        </w:p>
        <w:p w14:paraId="70E09D64" w14:textId="06AC5EC9" w:rsidR="00AC5700" w:rsidRPr="00AC5700" w:rsidRDefault="00D00910" w:rsidP="00D00910">
          <w:pPr>
            <w:pStyle w:val="TOC1"/>
            <w:tabs>
              <w:tab w:val="right" w:leader="dot" w:pos="10302"/>
            </w:tabs>
            <w:rPr>
              <w:b/>
            </w:rPr>
          </w:pPr>
          <w:r>
            <w:rPr>
              <w:rStyle w:val="Heading2Char"/>
              <w:b w:val="0"/>
              <w:bCs w:val="0"/>
              <w:iCs w:val="0"/>
            </w:rPr>
            <w:fldChar w:fldCharType="end"/>
          </w:r>
        </w:p>
      </w:sdtContent>
    </w:sdt>
    <w:p w14:paraId="1AD3F588" w14:textId="77777777" w:rsidR="00517BDF" w:rsidRDefault="00517BDF">
      <w:pPr>
        <w:spacing w:after="0" w:line="240" w:lineRule="auto"/>
        <w:rPr>
          <w:rFonts w:eastAsia="SimSun" w:cs="Angsana New"/>
          <w:b/>
          <w:bCs/>
          <w:iCs/>
          <w:color w:val="4D738A"/>
          <w:sz w:val="40"/>
          <w:szCs w:val="48"/>
        </w:rPr>
      </w:pPr>
      <w:bookmarkStart w:id="15" w:name="_Toc152061070"/>
      <w:r>
        <w:br w:type="page"/>
      </w:r>
    </w:p>
    <w:p w14:paraId="60D5E914" w14:textId="7705211B" w:rsidR="00471A6B" w:rsidRDefault="00471A6B" w:rsidP="00D00910">
      <w:pPr>
        <w:pStyle w:val="Heading2"/>
      </w:pPr>
      <w:bookmarkStart w:id="16" w:name="_Toc158043519"/>
      <w:r w:rsidRPr="00D00910">
        <w:lastRenderedPageBreak/>
        <w:t>Background</w:t>
      </w:r>
      <w:bookmarkEnd w:id="15"/>
      <w:bookmarkEnd w:id="16"/>
    </w:p>
    <w:p w14:paraId="2BF2CC98" w14:textId="48A5B6DB" w:rsidR="00471A6B" w:rsidRPr="003E7356" w:rsidRDefault="00471A6B" w:rsidP="00471A6B">
      <w:r w:rsidRPr="003E7356">
        <w:t xml:space="preserve">The </w:t>
      </w:r>
      <w:r w:rsidRPr="003E7356">
        <w:rPr>
          <w:i/>
        </w:rPr>
        <w:t>Family Law Act 1975</w:t>
      </w:r>
      <w:r w:rsidRPr="003E7356">
        <w:t xml:space="preserve"> (Family Law Act) </w:t>
      </w:r>
      <w:r w:rsidR="0072294E" w:rsidRPr="003E7356">
        <w:t>provides for the alteration of property interests between separating couples. Parts VIIIB and VIIIC of the Family Law Act give family law courts the power to deal with</w:t>
      </w:r>
      <w:r w:rsidR="00BF02FF">
        <w:t xml:space="preserve"> the</w:t>
      </w:r>
      <w:r w:rsidR="0072294E" w:rsidRPr="003E7356">
        <w:t xml:space="preserve"> superannuation interests of </w:t>
      </w:r>
      <w:r w:rsidR="0054550D">
        <w:t>these parties</w:t>
      </w:r>
      <w:r w:rsidR="0072294E" w:rsidRPr="003E7356">
        <w:t>. Parts VIIIB and VIIIC also operate to</w:t>
      </w:r>
      <w:r w:rsidR="00D24A25">
        <w:t xml:space="preserve"> provide the framework for:</w:t>
      </w:r>
    </w:p>
    <w:p w14:paraId="24917F8E" w14:textId="0C488BBE" w:rsidR="0072294E" w:rsidRPr="003E7356" w:rsidRDefault="00AF20FD" w:rsidP="00ED6477">
      <w:pPr>
        <w:pStyle w:val="Bullet1"/>
      </w:pPr>
      <w:r>
        <w:t>s</w:t>
      </w:r>
      <w:r w:rsidR="00D24A25">
        <w:t>uperannuation splitting orders, which are orders made by the court t</w:t>
      </w:r>
      <w:r w:rsidR="0072294E" w:rsidRPr="003E7356">
        <w:t>o di</w:t>
      </w:r>
      <w:r w:rsidR="00BF02FF">
        <w:t>vide</w:t>
      </w:r>
      <w:r w:rsidR="0072294E" w:rsidRPr="003E7356">
        <w:t xml:space="preserve">, or ‘split’, </w:t>
      </w:r>
      <w:r w:rsidR="00D24A25">
        <w:t xml:space="preserve">the </w:t>
      </w:r>
      <w:r w:rsidR="00BF02FF">
        <w:t xml:space="preserve">payments arising from </w:t>
      </w:r>
      <w:r w:rsidR="0072294E" w:rsidRPr="003E7356">
        <w:t xml:space="preserve">superannuation interests of </w:t>
      </w:r>
      <w:r w:rsidR="0054550D">
        <w:t>a person</w:t>
      </w:r>
      <w:r w:rsidR="00BF02FF">
        <w:t>,</w:t>
      </w:r>
      <w:r w:rsidR="0062483E" w:rsidRPr="003E7356">
        <w:t xml:space="preserve"> and</w:t>
      </w:r>
    </w:p>
    <w:p w14:paraId="64EAAE84" w14:textId="1BA64343" w:rsidR="0062483E" w:rsidRDefault="00AF20FD" w:rsidP="00ED6477">
      <w:pPr>
        <w:pStyle w:val="Bullet1"/>
      </w:pPr>
      <w:r>
        <w:t>s</w:t>
      </w:r>
      <w:r w:rsidR="0062483E" w:rsidRPr="003E7356">
        <w:t>uperannuation agreement</w:t>
      </w:r>
      <w:r w:rsidR="00D24A25">
        <w:t xml:space="preserve">s, which </w:t>
      </w:r>
      <w:r>
        <w:t>are a type of</w:t>
      </w:r>
      <w:r w:rsidR="00D24A25">
        <w:t xml:space="preserve"> financial agreement in which </w:t>
      </w:r>
      <w:r w:rsidR="0054550D">
        <w:t xml:space="preserve">parties </w:t>
      </w:r>
      <w:r w:rsidR="00D24A25">
        <w:t xml:space="preserve">can agree about how superannuation is to be </w:t>
      </w:r>
      <w:r w:rsidR="00BF02FF">
        <w:t>split</w:t>
      </w:r>
      <w:r w:rsidR="00D24A25">
        <w:t xml:space="preserve"> on relationship breakdown.</w:t>
      </w:r>
    </w:p>
    <w:p w14:paraId="60139E4D" w14:textId="010C3539" w:rsidR="00BF02FF" w:rsidRDefault="00D24A25" w:rsidP="00D24A25">
      <w:pPr>
        <w:rPr>
          <w:color w:val="000000"/>
          <w:shd w:val="clear" w:color="auto" w:fill="FFFFFF"/>
        </w:rPr>
      </w:pPr>
      <w:r>
        <w:rPr>
          <w:color w:val="000000"/>
          <w:shd w:val="clear" w:color="auto" w:fill="FFFFFF"/>
        </w:rPr>
        <w:t>Subsection 125(1) of the Family Law Act provides, in part, that the Governor-General may make regulations, not inconsistent with the Family Law Act, prescribing all matters required or permitted by the Family Law Act to be prescribed, or necessary or convenient to be prescribed for carrying out or giving effect to the Family Law Act.</w:t>
      </w:r>
    </w:p>
    <w:p w14:paraId="7A82F551" w14:textId="22AF8DB7" w:rsidR="00BF02FF" w:rsidRDefault="00BF02FF" w:rsidP="00D24A25">
      <w:r w:rsidRPr="00BF02FF">
        <w:t xml:space="preserve">The </w:t>
      </w:r>
      <w:r w:rsidRPr="00BF02FF">
        <w:rPr>
          <w:i/>
        </w:rPr>
        <w:t>Family Law (Superannuation) Regulations 2001</w:t>
      </w:r>
      <w:r w:rsidRPr="00BF02FF">
        <w:t xml:space="preserve"> (the</w:t>
      </w:r>
      <w:r w:rsidR="00750A25">
        <w:t xml:space="preserve"> existing</w:t>
      </w:r>
      <w:r w:rsidRPr="00BF02FF">
        <w:t xml:space="preserve"> Regulations) have been prescribed to give effect to the distribution of superannuation interests under Parts VIIIB and VIIIC of the Family Law Act. Specifically, the </w:t>
      </w:r>
      <w:r w:rsidR="00750A25">
        <w:t xml:space="preserve">existing </w:t>
      </w:r>
      <w:r w:rsidRPr="00BF02FF">
        <w:t>Regulations support the operation of Parts VIIIB and VIIIC by prescribing</w:t>
      </w:r>
      <w:r>
        <w:t>:</w:t>
      </w:r>
    </w:p>
    <w:p w14:paraId="72308822" w14:textId="23301459" w:rsidR="00BF02FF" w:rsidRPr="00BA4750" w:rsidRDefault="00BF02FF" w:rsidP="00ED6477">
      <w:pPr>
        <w:pStyle w:val="Bullet1"/>
      </w:pPr>
      <w:r w:rsidRPr="00BA4750">
        <w:t>the methods</w:t>
      </w:r>
      <w:r w:rsidR="00952D55">
        <w:t xml:space="preserve"> </w:t>
      </w:r>
      <w:r w:rsidR="00952D55" w:rsidRPr="00253CC6">
        <w:t xml:space="preserve">(actuarial formulas) and factors (tables of numbers based on different mortality rates, </w:t>
      </w:r>
      <w:r w:rsidR="00F721ED">
        <w:t>benefit entitlements</w:t>
      </w:r>
      <w:r w:rsidR="00952D55" w:rsidRPr="00253CC6">
        <w:t>, ages of retirement)</w:t>
      </w:r>
      <w:r w:rsidRPr="00BA4750">
        <w:t xml:space="preserve"> </w:t>
      </w:r>
      <w:r w:rsidR="00952D55">
        <w:t>f</w:t>
      </w:r>
      <w:r w:rsidRPr="00BA4750">
        <w:t>or valuing superannuation interests</w:t>
      </w:r>
    </w:p>
    <w:p w14:paraId="1077CAFF" w14:textId="59625278" w:rsidR="00BF02FF" w:rsidRPr="00BA4750" w:rsidRDefault="00BF02FF" w:rsidP="00ED6477">
      <w:pPr>
        <w:pStyle w:val="Bullet1"/>
      </w:pPr>
      <w:r w:rsidRPr="00BA4750">
        <w:t xml:space="preserve">the way in which superannuation payment splits are to be put into effect, and </w:t>
      </w:r>
    </w:p>
    <w:p w14:paraId="4BB8B4D7" w14:textId="4C0CBB0E" w:rsidR="00D24A25" w:rsidRPr="00BA4750" w:rsidRDefault="00BF02FF" w:rsidP="00ED6477">
      <w:pPr>
        <w:pStyle w:val="Bullet1"/>
      </w:pPr>
      <w:r w:rsidRPr="00BA4750">
        <w:t>the information that trustees must provide to parties to family law property proceedings, and to couples seeking to negotiate a superannuation agreement.</w:t>
      </w:r>
    </w:p>
    <w:p w14:paraId="0032C996" w14:textId="6C17D64E" w:rsidR="00BF02FF" w:rsidRPr="00F76026" w:rsidRDefault="004C392E" w:rsidP="00BF02FF">
      <w:r>
        <w:t>The superannuation splitting framework, and superannuation generally, involves a high degree of technical complexity. This paper assumes a general working knowledge of family law superannuation splitting under the Family Law Act and the existing Regulations.</w:t>
      </w:r>
    </w:p>
    <w:p w14:paraId="6A68B4C5" w14:textId="3E5E96C2" w:rsidR="00B539A1" w:rsidRDefault="00AF092A" w:rsidP="00D00910">
      <w:pPr>
        <w:pStyle w:val="Heading2"/>
      </w:pPr>
      <w:bookmarkStart w:id="17" w:name="_Toc152061071"/>
      <w:bookmarkStart w:id="18" w:name="_Toc158043520"/>
      <w:r>
        <w:t xml:space="preserve">Minor and technical </w:t>
      </w:r>
      <w:r w:rsidRPr="00D00910">
        <w:t>amendments</w:t>
      </w:r>
      <w:bookmarkEnd w:id="17"/>
      <w:bookmarkEnd w:id="18"/>
    </w:p>
    <w:p w14:paraId="096DE397" w14:textId="500F2207" w:rsidR="00997AB8" w:rsidRDefault="00B539A1" w:rsidP="00B539A1">
      <w:r>
        <w:t xml:space="preserve">The </w:t>
      </w:r>
      <w:r w:rsidR="004C197F">
        <w:t xml:space="preserve">amendments to the existing Regulations are largely minor and technical in nature, and </w:t>
      </w:r>
      <w:r w:rsidR="0072294E">
        <w:t>are intended to modernise references, ensure alignment with the Family Law Act, and provide clarity. Minor amendments</w:t>
      </w:r>
      <w:r w:rsidR="00A01B81">
        <w:t xml:space="preserve"> throughout the new Regulations</w:t>
      </w:r>
      <w:r w:rsidR="0072294E">
        <w:t xml:space="preserve"> include:</w:t>
      </w:r>
    </w:p>
    <w:p w14:paraId="5B58B911" w14:textId="3067E56F" w:rsidR="004C197F" w:rsidRPr="00BA4750" w:rsidRDefault="004C197F" w:rsidP="00ED6477">
      <w:pPr>
        <w:pStyle w:val="Bullet1"/>
      </w:pPr>
      <w:r>
        <w:t>ensur</w:t>
      </w:r>
      <w:r w:rsidR="00A523F6">
        <w:t>ing</w:t>
      </w:r>
      <w:r>
        <w:t xml:space="preserve"> there is a clearly stated link between a provision (or group of provisions) with a head of power in the Family Law Act</w:t>
      </w:r>
    </w:p>
    <w:p w14:paraId="7838C36F" w14:textId="1CD9B1BD" w:rsidR="004C197F" w:rsidRDefault="009A2156" w:rsidP="00ED6477">
      <w:pPr>
        <w:pStyle w:val="Bullet1"/>
      </w:pPr>
      <w:r>
        <w:t>reorganising</w:t>
      </w:r>
      <w:r w:rsidR="004C197F">
        <w:t xml:space="preserve"> groups of provisions to make clearer how they fit together</w:t>
      </w:r>
      <w:r w:rsidR="00A66D19">
        <w:t>, based on their subject matter</w:t>
      </w:r>
    </w:p>
    <w:p w14:paraId="293226BF" w14:textId="66844E0A" w:rsidR="00A523F6" w:rsidRDefault="00A523F6" w:rsidP="00ED6477">
      <w:pPr>
        <w:pStyle w:val="Bullet1"/>
      </w:pPr>
      <w:r>
        <w:t>removing outdated references to legislation and legislative instruments that have been repealed</w:t>
      </w:r>
      <w:r w:rsidR="00C14FF0">
        <w:t>,</w:t>
      </w:r>
      <w:r>
        <w:t xml:space="preserve"> and</w:t>
      </w:r>
    </w:p>
    <w:p w14:paraId="69773AC9" w14:textId="324BFA1D" w:rsidR="009665DF" w:rsidRDefault="00A523F6" w:rsidP="00ED6477">
      <w:pPr>
        <w:pStyle w:val="Bullet1"/>
      </w:pPr>
      <w:r>
        <w:lastRenderedPageBreak/>
        <w:t>aligning the new Regulations with</w:t>
      </w:r>
      <w:r w:rsidR="004C197F">
        <w:t xml:space="preserve"> current</w:t>
      </w:r>
      <w:r>
        <w:t xml:space="preserve"> Office of Parliamentary Counsel</w:t>
      </w:r>
      <w:r w:rsidR="004C197F">
        <w:t xml:space="preserve"> drafting practice (</w:t>
      </w:r>
      <w:r w:rsidR="00A66D19">
        <w:t>for example,</w:t>
      </w:r>
      <w:r w:rsidR="004C197F">
        <w:t xml:space="preserve"> </w:t>
      </w:r>
      <w:r w:rsidR="00C14FF0">
        <w:t xml:space="preserve">the use of </w:t>
      </w:r>
      <w:r w:rsidR="004C197F">
        <w:t>shorter provisions</w:t>
      </w:r>
      <w:r w:rsidR="00A66D19">
        <w:t xml:space="preserve"> and </w:t>
      </w:r>
      <w:r w:rsidR="004C197F">
        <w:t xml:space="preserve">better use of reader aids </w:t>
      </w:r>
      <w:r w:rsidR="00A66D19">
        <w:t>like</w:t>
      </w:r>
      <w:r w:rsidR="004C197F">
        <w:t xml:space="preserve"> subsection headings</w:t>
      </w:r>
      <w:r w:rsidR="00A66D19">
        <w:t>,</w:t>
      </w:r>
      <w:r w:rsidR="004C197F">
        <w:t xml:space="preserve"> simplified outlines</w:t>
      </w:r>
      <w:r w:rsidR="00A66D19">
        <w:t xml:space="preserve"> and explanatory notes</w:t>
      </w:r>
      <w:r w:rsidR="004C197F">
        <w:t>)</w:t>
      </w:r>
      <w:r w:rsidR="00A66D19">
        <w:t>.</w:t>
      </w:r>
    </w:p>
    <w:p w14:paraId="27C6E8E1" w14:textId="08CC3DEC" w:rsidR="00424CBF" w:rsidRDefault="00424CBF" w:rsidP="00424CBF">
      <w:pPr>
        <w:pStyle w:val="Bullet1"/>
        <w:numPr>
          <w:ilvl w:val="0"/>
          <w:numId w:val="0"/>
        </w:numPr>
      </w:pPr>
      <w:r w:rsidRPr="00424CBF">
        <w:t xml:space="preserve">The exposure draft Regulations have been completely renumbered, which means provision numbers in the existing Regulations do not align with those in the exposure draft Regulations. For ease of reference, </w:t>
      </w:r>
      <w:r w:rsidR="009619DE">
        <w:t xml:space="preserve">a comparison table of </w:t>
      </w:r>
      <w:r w:rsidRPr="00424CBF">
        <w:t xml:space="preserve">provision numbers </w:t>
      </w:r>
      <w:r w:rsidR="00881A59">
        <w:t xml:space="preserve">in </w:t>
      </w:r>
      <w:r w:rsidRPr="00424CBF">
        <w:t>the existing Regulations and the exposure draft Regulations</w:t>
      </w:r>
      <w:r w:rsidR="009619DE">
        <w:t xml:space="preserve"> is available for download</w:t>
      </w:r>
      <w:r w:rsidRPr="00424CBF">
        <w:t>.</w:t>
      </w:r>
    </w:p>
    <w:p w14:paraId="0FB8B48F" w14:textId="6FEF642C" w:rsidR="003122EE" w:rsidRPr="006C4FCA" w:rsidRDefault="003122EE" w:rsidP="00D00910">
      <w:pPr>
        <w:pStyle w:val="Heading2"/>
      </w:pPr>
      <w:bookmarkStart w:id="19" w:name="_Toc152061072"/>
      <w:bookmarkStart w:id="20" w:name="_Toc158043521"/>
      <w:r w:rsidRPr="006C4FCA">
        <w:t xml:space="preserve">Innovative </w:t>
      </w:r>
      <w:r w:rsidRPr="00D00910">
        <w:t>retirement</w:t>
      </w:r>
      <w:r w:rsidRPr="006C4FCA">
        <w:t xml:space="preserve"> income stream products (IRISPs)</w:t>
      </w:r>
      <w:bookmarkEnd w:id="19"/>
      <w:bookmarkEnd w:id="20"/>
      <w:r w:rsidR="00082C10">
        <w:t xml:space="preserve"> </w:t>
      </w:r>
    </w:p>
    <w:p w14:paraId="45965A15" w14:textId="5F7E2A6A" w:rsidR="00A46B60" w:rsidRDefault="003122EE" w:rsidP="003122EE">
      <w:r w:rsidRPr="006C4FCA">
        <w:t>Innovative retirement income stream products (IRISPs) are a category of lifetime superannuation products established under regulation 1.06A of the Superannuation Industry (Supervision) Regulations 1994 (SIS</w:t>
      </w:r>
      <w:r w:rsidR="00DC52EE">
        <w:t> </w:t>
      </w:r>
      <w:r w:rsidRPr="006C4FCA">
        <w:t xml:space="preserve">Regulations). The term IRISP covers a range of lifetime products that did not meet the annuity and pension standards prior to 1 July 2017. By permitting and regulating IRISPs, the intention is to provide superannuation funds greater flexibility in the design of income stream products that are designed to ensure income is provided throughout retirement. </w:t>
      </w:r>
    </w:p>
    <w:p w14:paraId="5B7D9BE2" w14:textId="0671C1FB" w:rsidR="00ED6477" w:rsidRDefault="00ED6477" w:rsidP="003122EE">
      <w:r>
        <w:t>Benefits with respect to an</w:t>
      </w:r>
      <w:r w:rsidRPr="006C4FCA">
        <w:t xml:space="preserve"> IRISP may take the form of either pension or annuity</w:t>
      </w:r>
      <w:r>
        <w:t xml:space="preserve"> payments</w:t>
      </w:r>
      <w:r w:rsidRPr="006C4FCA">
        <w:t>.</w:t>
      </w:r>
      <w:r>
        <w:t xml:space="preserve"> </w:t>
      </w:r>
      <w:r w:rsidRPr="00495CE8">
        <w:t>The SIS Regulations limit the amount that can be commuted, to ensure tax concessions continue to operate as designed with respect to IRISPs</w:t>
      </w:r>
      <w:r>
        <w:t>. The product provider may also contractually restrict the ability of a member to commute an IRISP further than the regulations.</w:t>
      </w:r>
    </w:p>
    <w:p w14:paraId="5028EBF5" w14:textId="1294DD8E" w:rsidR="00ED6477" w:rsidRDefault="00ED6477" w:rsidP="00ED6477">
      <w:bookmarkStart w:id="21" w:name="_Hlk155616634"/>
      <w:r w:rsidRPr="00ED6477">
        <w:t xml:space="preserve">The new Regulations contain amendments that form a proposed regulatory framework intended to ensure IRISPs are treated consistently with other superannuation interests for family law purposes. </w:t>
      </w:r>
      <w:bookmarkEnd w:id="21"/>
      <w:r w:rsidRPr="00ED6477">
        <w:t xml:space="preserve">The new Regulations refer to a superannuation interest, or a component of a superannuation interest, that is an IRISP as an ‘innovative superannuation interest’. Section </w:t>
      </w:r>
      <w:r w:rsidR="00045018">
        <w:t>4</w:t>
      </w:r>
      <w:r w:rsidRPr="00ED6477">
        <w:t xml:space="preserve"> of the new Regulations defines an ‘innovative superannuation interest’ as a superannuation interest, or component of a superannuation interest, if all benefits </w:t>
      </w:r>
      <w:r w:rsidR="009A1E53">
        <w:t>with</w:t>
      </w:r>
      <w:r w:rsidR="009A1E53" w:rsidRPr="00ED6477">
        <w:t xml:space="preserve"> </w:t>
      </w:r>
      <w:r w:rsidRPr="00ED6477">
        <w:t xml:space="preserve">respect </w:t>
      </w:r>
      <w:r w:rsidR="009A1E53">
        <w:t xml:space="preserve">to </w:t>
      </w:r>
      <w:r w:rsidRPr="00ED6477">
        <w:t>the interest or the component of the interest are provided under:</w:t>
      </w:r>
    </w:p>
    <w:p w14:paraId="06BB328E" w14:textId="1B99B17C" w:rsidR="005B3456" w:rsidRDefault="005B3456" w:rsidP="00ED6477">
      <w:pPr>
        <w:pStyle w:val="Bullet1"/>
        <w:numPr>
          <w:ilvl w:val="0"/>
          <w:numId w:val="42"/>
        </w:numPr>
      </w:pPr>
      <w:r>
        <w:t>the governing rules of an eligible superannuation plan where those rules meet the standards of subregulation 1.06</w:t>
      </w:r>
      <w:proofErr w:type="gramStart"/>
      <w:r>
        <w:t>A(</w:t>
      </w:r>
      <w:proofErr w:type="gramEnd"/>
      <w:r>
        <w:t>2) of the SIS Regulations; or</w:t>
      </w:r>
    </w:p>
    <w:p w14:paraId="74B20395" w14:textId="5C5A2045" w:rsidR="005F72DD" w:rsidRDefault="005B3456" w:rsidP="00ED6477">
      <w:pPr>
        <w:pStyle w:val="Bullet1"/>
        <w:numPr>
          <w:ilvl w:val="0"/>
          <w:numId w:val="42"/>
        </w:numPr>
      </w:pPr>
      <w:r>
        <w:t>a contract that meets the standards of subregulation 1.06</w:t>
      </w:r>
      <w:proofErr w:type="gramStart"/>
      <w:r>
        <w:t>A(</w:t>
      </w:r>
      <w:proofErr w:type="gramEnd"/>
      <w:r>
        <w:t>2) of the SIS Regulations.</w:t>
      </w:r>
    </w:p>
    <w:p w14:paraId="58022977" w14:textId="0A40714E" w:rsidR="002826AB" w:rsidRPr="006C4FCA" w:rsidRDefault="008C098E" w:rsidP="005B3456">
      <w:r>
        <w:t>F</w:t>
      </w:r>
      <w:r w:rsidR="002826AB" w:rsidRPr="00082C10">
        <w:t>or an</w:t>
      </w:r>
      <w:r w:rsidR="005B3456">
        <w:t xml:space="preserve"> innovative superannuation</w:t>
      </w:r>
      <w:r w:rsidR="002826AB" w:rsidRPr="00082C10">
        <w:t xml:space="preserve"> interest that is not prescribed as a percentage-only</w:t>
      </w:r>
      <w:r w:rsidR="002826AB">
        <w:t xml:space="preserve"> interest</w:t>
      </w:r>
      <w:r>
        <w:t>, the new Regulations provide</w:t>
      </w:r>
      <w:r w:rsidR="002826AB" w:rsidRPr="006C4FCA">
        <w:t>:</w:t>
      </w:r>
    </w:p>
    <w:p w14:paraId="249BC432" w14:textId="3B981FCD" w:rsidR="005B3456" w:rsidRPr="006C4FCA" w:rsidRDefault="002826AB" w:rsidP="00ED6477">
      <w:pPr>
        <w:pStyle w:val="Bullet1"/>
        <w:numPr>
          <w:ilvl w:val="0"/>
          <w:numId w:val="44"/>
        </w:numPr>
      </w:pPr>
      <w:r w:rsidRPr="006C4FCA">
        <w:t>the approach the court must take when determining the value of an innovative superannuation interest</w:t>
      </w:r>
      <w:r w:rsidR="005B3456">
        <w:t>,</w:t>
      </w:r>
      <w:r w:rsidRPr="006C4FCA">
        <w:t xml:space="preserve"> and </w:t>
      </w:r>
    </w:p>
    <w:p w14:paraId="08C4617C" w14:textId="0BD0C527" w:rsidR="005F72DD" w:rsidRDefault="002826AB" w:rsidP="00ED6477">
      <w:pPr>
        <w:pStyle w:val="Bullet1"/>
        <w:numPr>
          <w:ilvl w:val="0"/>
          <w:numId w:val="44"/>
        </w:numPr>
      </w:pPr>
      <w:r w:rsidRPr="006C4FCA">
        <w:t xml:space="preserve">the information that trustees must provide to parties in response to a request for information under the new Regulations in relation to an innovative superannuation interest. </w:t>
      </w:r>
    </w:p>
    <w:p w14:paraId="68DBB133" w14:textId="363ACC82" w:rsidR="003122EE" w:rsidRDefault="00C2321A" w:rsidP="00A46B60">
      <w:r>
        <w:lastRenderedPageBreak/>
        <w:t xml:space="preserve">The </w:t>
      </w:r>
      <w:r w:rsidR="005B3456">
        <w:t>regulatory approach</w:t>
      </w:r>
      <w:r w:rsidR="00D00910">
        <w:t xml:space="preserve"> in the new Regulations</w:t>
      </w:r>
      <w:r w:rsidRPr="00C2321A">
        <w:t xml:space="preserve"> </w:t>
      </w:r>
      <w:r>
        <w:t>towards innovative superannuation interests that are prescribed as percentage-only interests remains the same</w:t>
      </w:r>
      <w:r w:rsidR="005B3456">
        <w:t xml:space="preserve"> </w:t>
      </w:r>
      <w:r>
        <w:t>as</w:t>
      </w:r>
      <w:r w:rsidR="005B3456">
        <w:t xml:space="preserve"> the existing approach to other percentage-only interests.</w:t>
      </w:r>
    </w:p>
    <w:p w14:paraId="4F29EE82" w14:textId="73E89F5D" w:rsidR="003122EE" w:rsidRPr="006C4FCA" w:rsidRDefault="003122EE" w:rsidP="003122EE">
      <w:pPr>
        <w:pStyle w:val="Heading3"/>
      </w:pPr>
      <w:bookmarkStart w:id="22" w:name="_Toc152061073"/>
      <w:bookmarkStart w:id="23" w:name="_Toc158043522"/>
      <w:r w:rsidRPr="006C4FCA">
        <w:t>Types of splitting arrangements for innovative superannuation interests</w:t>
      </w:r>
      <w:bookmarkEnd w:id="22"/>
      <w:bookmarkEnd w:id="23"/>
    </w:p>
    <w:p w14:paraId="16AFCA2B" w14:textId="77777777" w:rsidR="003122EE" w:rsidRPr="006C4FCA" w:rsidRDefault="003122EE" w:rsidP="003122EE">
      <w:pPr>
        <w:pStyle w:val="Heading4"/>
      </w:pPr>
      <w:r w:rsidRPr="006C4FCA">
        <w:t>Innovative superannuation interests with benefits payable as a pension</w:t>
      </w:r>
    </w:p>
    <w:p w14:paraId="70EB9E66" w14:textId="65FB7549" w:rsidR="003122EE" w:rsidRPr="006C4FCA" w:rsidRDefault="00C7325D" w:rsidP="003122EE">
      <w:r>
        <w:t xml:space="preserve">Where benefits </w:t>
      </w:r>
      <w:r w:rsidR="009A1E53">
        <w:t>with</w:t>
      </w:r>
      <w:r>
        <w:t xml:space="preserve"> respect </w:t>
      </w:r>
      <w:r w:rsidR="009A1E53">
        <w:t xml:space="preserve">to </w:t>
      </w:r>
      <w:r>
        <w:t xml:space="preserve">an </w:t>
      </w:r>
      <w:r w:rsidR="005159E1">
        <w:t xml:space="preserve">IRISP are </w:t>
      </w:r>
      <w:r w:rsidR="00BF4B59">
        <w:t>payable</w:t>
      </w:r>
      <w:r w:rsidR="005B3456">
        <w:t>,</w:t>
      </w:r>
      <w:r w:rsidR="00BF4B59">
        <w:t xml:space="preserve"> or </w:t>
      </w:r>
      <w:r>
        <w:t xml:space="preserve">are </w:t>
      </w:r>
      <w:r w:rsidR="003122EE" w:rsidRPr="006C4FCA">
        <w:t>being paid</w:t>
      </w:r>
      <w:r w:rsidR="005B3456">
        <w:t>,</w:t>
      </w:r>
      <w:r w:rsidR="003122EE" w:rsidRPr="006C4FCA">
        <w:t xml:space="preserve"> as a pension (with ‘pension’ defined by reference to the SIS Regulations)</w:t>
      </w:r>
      <w:r>
        <w:t>, these</w:t>
      </w:r>
      <w:r w:rsidR="003122EE" w:rsidRPr="006C4FCA">
        <w:t xml:space="preserve"> can be subject to a ‘base amount’ split or a ‘percentage’ split under the Family Law Act:</w:t>
      </w:r>
    </w:p>
    <w:p w14:paraId="1A289389" w14:textId="12D141DC" w:rsidR="003122EE" w:rsidRPr="006C4FCA" w:rsidRDefault="003122EE" w:rsidP="00ED6477">
      <w:pPr>
        <w:pStyle w:val="Bullet1"/>
      </w:pPr>
      <w:r w:rsidRPr="006C4FCA">
        <w:t xml:space="preserve">A ‘base amount’ split allocates an amount to the non-member spouse, and that </w:t>
      </w:r>
      <w:r w:rsidR="00BF4B59">
        <w:t xml:space="preserve">base </w:t>
      </w:r>
      <w:r w:rsidRPr="006C4FCA">
        <w:t xml:space="preserve">amount </w:t>
      </w:r>
      <w:r w:rsidR="00BF4B59">
        <w:t>is then used to calculate the</w:t>
      </w:r>
      <w:r w:rsidRPr="006C4FCA">
        <w:t xml:space="preserve"> non-member spouse</w:t>
      </w:r>
      <w:r w:rsidR="00746535">
        <w:t>’</w:t>
      </w:r>
      <w:r w:rsidR="003E09D3">
        <w:t>s</w:t>
      </w:r>
      <w:r w:rsidR="00746535">
        <w:t xml:space="preserve"> entitlement</w:t>
      </w:r>
      <w:r w:rsidRPr="006C4FCA">
        <w:t xml:space="preserve"> in accordance with the Regulations, with a corresponding reduction in the member spouse’s entitlement. Base amount splits for a superannuation interest with benefits payable as a pension may be made by agreement (sections 90XJ(1)(c)(i) or (ii) and 90YN(1)(c)(i) or (ii)</w:t>
      </w:r>
      <w:r w:rsidR="006900D5">
        <w:t xml:space="preserve"> of the</w:t>
      </w:r>
      <w:r w:rsidRPr="006C4FCA">
        <w:t xml:space="preserve"> Family Law Act) or by court order (sections 90XT(1)(a) and 90YY(1)(a)</w:t>
      </w:r>
      <w:r w:rsidR="006900D5">
        <w:t xml:space="preserve"> of the</w:t>
      </w:r>
      <w:r w:rsidRPr="006C4FCA">
        <w:t xml:space="preserve"> Family Law Act).</w:t>
      </w:r>
    </w:p>
    <w:p w14:paraId="21B0B893" w14:textId="5612E745" w:rsidR="003122EE" w:rsidRPr="006C4FCA" w:rsidRDefault="00ED6477" w:rsidP="00ED6477">
      <w:pPr>
        <w:pStyle w:val="Bullet1"/>
      </w:pPr>
      <w:r w:rsidRPr="006C4FCA">
        <w:t xml:space="preserve">A ‘percentage’ split entitles the non-member spouse </w:t>
      </w:r>
      <w:r w:rsidR="003122EE" w:rsidRPr="006C4FCA">
        <w:t>to be paid a specified percentage of each splittable payment from the superannuation interest, with a corresponding reduction in the member spouse’s entitlement. Percentage splits for superannuation interests with benefits payable as a pension may be made by agreement (sections 90XJ(1)(c)(iii) and 90YN(1)(c)(iii)</w:t>
      </w:r>
      <w:r w:rsidR="006900D5">
        <w:t xml:space="preserve"> of the</w:t>
      </w:r>
      <w:r w:rsidR="003122EE" w:rsidRPr="006C4FCA">
        <w:t xml:space="preserve"> Family Law Act) or by court order (sections 90XT(1)(</w:t>
      </w:r>
      <w:r w:rsidR="00D1613A">
        <w:t>b</w:t>
      </w:r>
      <w:r w:rsidR="003122EE" w:rsidRPr="006C4FCA">
        <w:t>) and 90YY(1)(</w:t>
      </w:r>
      <w:r w:rsidR="00D1613A">
        <w:t>b</w:t>
      </w:r>
      <w:r w:rsidR="003122EE" w:rsidRPr="006C4FCA">
        <w:t>)</w:t>
      </w:r>
      <w:r w:rsidR="006900D5">
        <w:t xml:space="preserve"> of the</w:t>
      </w:r>
      <w:r w:rsidR="003122EE" w:rsidRPr="006C4FCA">
        <w:t xml:space="preserve"> Family Law Act).</w:t>
      </w:r>
    </w:p>
    <w:p w14:paraId="13A5B606" w14:textId="77777777" w:rsidR="003122EE" w:rsidRPr="006C4FCA" w:rsidRDefault="003122EE" w:rsidP="003122EE">
      <w:pPr>
        <w:pStyle w:val="Heading4"/>
      </w:pPr>
      <w:r w:rsidRPr="006C4FCA">
        <w:t>Innovative superannuation interests that are superannuation annuities</w:t>
      </w:r>
    </w:p>
    <w:p w14:paraId="5744B6C1" w14:textId="6643227C" w:rsidR="003122EE" w:rsidRDefault="003122EE" w:rsidP="003122EE">
      <w:r w:rsidRPr="006C4FCA">
        <w:t xml:space="preserve">Some IRISPs are defined as annuities under the SIS Regulations. Superannuation annuities are prescribed as ‘percentage-only interests’ by section </w:t>
      </w:r>
      <w:r w:rsidR="00CA7A26">
        <w:t>10(1)(g)</w:t>
      </w:r>
      <w:r w:rsidRPr="006C4FCA">
        <w:t xml:space="preserve"> of the new Regulations (and by regulation 9A(1)(f) of the existing Regulations). </w:t>
      </w:r>
      <w:r w:rsidR="00AD0F18">
        <w:t>A</w:t>
      </w:r>
      <w:r w:rsidRPr="006C4FCA">
        <w:t xml:space="preserve"> superannuation interest that is a superannuation annuity cannot be subject to a base amount split, and can only be subject to a percentage split, either by agreement (section 90XJ(1)(b) or 90YN(1)(b)</w:t>
      </w:r>
      <w:r w:rsidR="00E563BF">
        <w:t xml:space="preserve"> of the</w:t>
      </w:r>
      <w:r w:rsidRPr="006C4FCA">
        <w:t xml:space="preserve"> Family Law Act) or court order (section 90XT(1)(c) or 90YY(1)(c)</w:t>
      </w:r>
      <w:r w:rsidR="00E563BF">
        <w:t xml:space="preserve"> of the</w:t>
      </w:r>
      <w:r w:rsidRPr="006C4FCA">
        <w:t xml:space="preserve"> Family Law Act).</w:t>
      </w:r>
    </w:p>
    <w:p w14:paraId="39B0B0F5" w14:textId="7CDAA59A" w:rsidR="003122EE" w:rsidRPr="006C4FCA" w:rsidRDefault="003122EE" w:rsidP="003122EE">
      <w:pPr>
        <w:pStyle w:val="Heading4"/>
      </w:pPr>
      <w:bookmarkStart w:id="24" w:name="_Hlk152067626"/>
      <w:r w:rsidRPr="006C4FCA">
        <w:t>Determining the value of an innovative superannuation interest</w:t>
      </w:r>
    </w:p>
    <w:p w14:paraId="5E6F19E5" w14:textId="4834F921" w:rsidR="003C15F5" w:rsidRDefault="003C15F5" w:rsidP="003122EE">
      <w:r w:rsidRPr="006C4FCA">
        <w:t xml:space="preserve">The new </w:t>
      </w:r>
      <w:r>
        <w:t>R</w:t>
      </w:r>
      <w:r w:rsidRPr="006C4FCA">
        <w:t xml:space="preserve">egulations </w:t>
      </w:r>
      <w:r>
        <w:t>do</w:t>
      </w:r>
      <w:r w:rsidRPr="006C4FCA">
        <w:t xml:space="preserve"> not contain ‘default’ methods and factors for innovative superannuation interests.</w:t>
      </w:r>
      <w:r w:rsidRPr="00D37A91">
        <w:t xml:space="preserve"> </w:t>
      </w:r>
      <w:r w:rsidR="00E563BF">
        <w:t>This is because</w:t>
      </w:r>
      <w:r>
        <w:t xml:space="preserve"> it would not be possible to prescribe ‘default’ methods and </w:t>
      </w:r>
      <w:r w:rsidRPr="00A302ED">
        <w:t>factors</w:t>
      </w:r>
      <w:r>
        <w:t xml:space="preserve"> that</w:t>
      </w:r>
      <w:r w:rsidR="009D66CA">
        <w:t xml:space="preserve"> could be relied upon to provide a reasonable and accurate value of a wide range of innovative superannuation interests, given the great degree of variation </w:t>
      </w:r>
      <w:r w:rsidR="00C955EC">
        <w:t xml:space="preserve">in the design of </w:t>
      </w:r>
      <w:r w:rsidR="00A746E6">
        <w:t>innovative superannuation interests</w:t>
      </w:r>
      <w:r w:rsidR="009D66CA">
        <w:t>.</w:t>
      </w:r>
      <w:r>
        <w:t xml:space="preserve"> </w:t>
      </w:r>
    </w:p>
    <w:p w14:paraId="55F01B3E" w14:textId="7546176B" w:rsidR="003C15F5" w:rsidRDefault="007D7245" w:rsidP="003122EE">
      <w:r>
        <w:t>In lieu of ‘default’ methods and factors, t</w:t>
      </w:r>
      <w:r w:rsidR="003122EE" w:rsidRPr="006C4FCA">
        <w:t xml:space="preserve">he proposed regulatory </w:t>
      </w:r>
      <w:r w:rsidR="003C15F5">
        <w:t xml:space="preserve">response </w:t>
      </w:r>
      <w:r w:rsidR="00012E30">
        <w:t>in the new Regulations</w:t>
      </w:r>
      <w:r w:rsidR="003122EE" w:rsidRPr="006C4FCA">
        <w:t xml:space="preserve"> sets out how the court is to determine the value of an innovative superannuation interest where splitting orders are sought </w:t>
      </w:r>
      <w:r w:rsidR="009A1E53">
        <w:t>with</w:t>
      </w:r>
      <w:r w:rsidR="003122EE" w:rsidRPr="006C4FCA">
        <w:t xml:space="preserve"> respect </w:t>
      </w:r>
      <w:r w:rsidR="009A1E53">
        <w:t xml:space="preserve">to </w:t>
      </w:r>
      <w:r w:rsidR="003122EE" w:rsidRPr="006C4FCA">
        <w:t>the interest</w:t>
      </w:r>
      <w:r w:rsidR="0007150C">
        <w:t xml:space="preserve">. </w:t>
      </w:r>
    </w:p>
    <w:p w14:paraId="4A81723B" w14:textId="6FD29826" w:rsidR="003122EE" w:rsidRPr="006C4FCA" w:rsidRDefault="0007150C" w:rsidP="003122EE">
      <w:r>
        <w:t xml:space="preserve">The new </w:t>
      </w:r>
      <w:r w:rsidR="005A4B2F">
        <w:t>Regulations</w:t>
      </w:r>
      <w:r>
        <w:t>:</w:t>
      </w:r>
    </w:p>
    <w:p w14:paraId="6308295B" w14:textId="5E21400F" w:rsidR="003122EE" w:rsidRPr="006C4FCA" w:rsidRDefault="003122EE" w:rsidP="00ED6477">
      <w:pPr>
        <w:pStyle w:val="Bullet1"/>
        <w:numPr>
          <w:ilvl w:val="0"/>
          <w:numId w:val="29"/>
        </w:numPr>
      </w:pPr>
      <w:r w:rsidRPr="006C4FCA">
        <w:t xml:space="preserve">permit trustees of innovative superannuation interests that are </w:t>
      </w:r>
      <w:r w:rsidRPr="009D66CA">
        <w:rPr>
          <w:b/>
        </w:rPr>
        <w:t>not percentage-only interests</w:t>
      </w:r>
      <w:r w:rsidRPr="006C4FCA">
        <w:t xml:space="preserve"> to prepare a method or factors for the</w:t>
      </w:r>
      <w:r w:rsidR="000D0FF3">
        <w:t xml:space="preserve"> Minister</w:t>
      </w:r>
      <w:r w:rsidRPr="006C4FCA">
        <w:t xml:space="preserve">’s approval under paragraphs </w:t>
      </w:r>
      <w:r w:rsidR="00CA7A26">
        <w:t>62</w:t>
      </w:r>
      <w:r w:rsidRPr="006C4FCA">
        <w:t>(1)(c)</w:t>
      </w:r>
      <w:r w:rsidR="00CA7A26">
        <w:t xml:space="preserve"> and</w:t>
      </w:r>
      <w:r w:rsidRPr="006C4FCA">
        <w:t xml:space="preserve"> </w:t>
      </w:r>
      <w:r w:rsidR="00CA7A26">
        <w:t>68</w:t>
      </w:r>
      <w:r w:rsidRPr="006C4FCA">
        <w:t xml:space="preserve">(b) of the </w:t>
      </w:r>
      <w:r w:rsidRPr="006C4FCA">
        <w:lastRenderedPageBreak/>
        <w:t xml:space="preserve">new Regulations. These would be prescribed in the </w:t>
      </w:r>
      <w:r w:rsidRPr="006C4FCA">
        <w:rPr>
          <w:i/>
        </w:rPr>
        <w:t>Family Law (Superannuation) (Methods and Factors for Valuing Particular Superannuation Interests) Approval 2003</w:t>
      </w:r>
      <w:r w:rsidRPr="006C4FCA">
        <w:t xml:space="preserve"> (Approval Instrument)</w:t>
      </w:r>
      <w:r w:rsidR="0007150C">
        <w:t>, and</w:t>
      </w:r>
    </w:p>
    <w:p w14:paraId="245A9318" w14:textId="7EE2CC6E" w:rsidR="00151188" w:rsidRDefault="003122EE" w:rsidP="00ED6477">
      <w:pPr>
        <w:pStyle w:val="Bullet1"/>
        <w:numPr>
          <w:ilvl w:val="0"/>
          <w:numId w:val="29"/>
        </w:numPr>
      </w:pPr>
      <w:r w:rsidRPr="006C4FCA">
        <w:t xml:space="preserve">permit the </w:t>
      </w:r>
      <w:r w:rsidR="000D0FF3">
        <w:t>Minister</w:t>
      </w:r>
      <w:r w:rsidRPr="006C4FCA">
        <w:t xml:space="preserve">, under subsections </w:t>
      </w:r>
      <w:r w:rsidR="00CA7A26">
        <w:t>113</w:t>
      </w:r>
      <w:r w:rsidRPr="006C4FCA">
        <w:t xml:space="preserve">(2) and (3) of the new Regulations, to determine that departure from the default information requirements is necessary for an innovative superannuation interest that is </w:t>
      </w:r>
      <w:r w:rsidRPr="009D66CA">
        <w:rPr>
          <w:b/>
        </w:rPr>
        <w:t xml:space="preserve">not a </w:t>
      </w:r>
      <w:bookmarkStart w:id="25" w:name="_Hlk151720433"/>
      <w:r w:rsidRPr="009D66CA">
        <w:rPr>
          <w:b/>
        </w:rPr>
        <w:t>percentage-only interest</w:t>
      </w:r>
      <w:r w:rsidRPr="006C4FCA">
        <w:t xml:space="preserve">, where a method or factors for the interest have been approved under paragraphs </w:t>
      </w:r>
      <w:r w:rsidR="00CA7A26">
        <w:t>62</w:t>
      </w:r>
      <w:r w:rsidR="00CA7A26" w:rsidRPr="006C4FCA">
        <w:t>(1)(c)</w:t>
      </w:r>
      <w:r w:rsidR="00CA7A26">
        <w:t xml:space="preserve"> or</w:t>
      </w:r>
      <w:r w:rsidR="00CA7A26" w:rsidRPr="006C4FCA">
        <w:t xml:space="preserve"> </w:t>
      </w:r>
      <w:r w:rsidR="00CA7A26">
        <w:t>68</w:t>
      </w:r>
      <w:r w:rsidR="00CA7A26" w:rsidRPr="006C4FCA">
        <w:t>(b)</w:t>
      </w:r>
      <w:r w:rsidR="0007150C">
        <w:t>.</w:t>
      </w:r>
    </w:p>
    <w:p w14:paraId="301C8F76" w14:textId="4CECE545" w:rsidR="00F66BA9" w:rsidRDefault="00151188" w:rsidP="009D66CA">
      <w:r>
        <w:t xml:space="preserve">The new Regulations </w:t>
      </w:r>
      <w:r w:rsidR="00517BDF" w:rsidRPr="00536347">
        <w:t xml:space="preserve">do </w:t>
      </w:r>
      <w:r w:rsidRPr="00536347">
        <w:t xml:space="preserve">not </w:t>
      </w:r>
      <w:r w:rsidRPr="00395521">
        <w:rPr>
          <w:i/>
        </w:rPr>
        <w:t>require</w:t>
      </w:r>
      <w:r>
        <w:t xml:space="preserve"> a trustee of an innovative superannuation interest to prepare and provide a method or factors for the Minister’s approval</w:t>
      </w:r>
      <w:r w:rsidR="003104FB">
        <w:t xml:space="preserve">. While sections 90XT and 90YY of the Family Law Act permit the regulations to provide </w:t>
      </w:r>
      <w:r w:rsidR="003104FB" w:rsidRPr="00395521">
        <w:t>for the determination of an amount in relation to the </w:t>
      </w:r>
      <w:hyperlink r:id="rId11" w:anchor="interest" w:history="1">
        <w:r w:rsidR="003104FB" w:rsidRPr="00395521">
          <w:t>interest</w:t>
        </w:r>
      </w:hyperlink>
      <w:r w:rsidR="003104FB" w:rsidRPr="00395521">
        <w:t>,</w:t>
      </w:r>
      <w:r w:rsidR="003104FB">
        <w:t xml:space="preserve"> this does not extend to requiring trustees to provide methods or factors to the Minister for approval</w:t>
      </w:r>
    </w:p>
    <w:p w14:paraId="49615A16" w14:textId="4D256B30" w:rsidR="003122EE" w:rsidRPr="006C4FCA" w:rsidRDefault="00151188" w:rsidP="00B20416">
      <w:r>
        <w:t>Th</w:t>
      </w:r>
      <w:r w:rsidR="00B20416">
        <w:t xml:space="preserve">is means </w:t>
      </w:r>
      <w:r>
        <w:t>that a court w</w:t>
      </w:r>
      <w:r w:rsidR="00E83C96">
        <w:t>ill</w:t>
      </w:r>
      <w:r>
        <w:t xml:space="preserve"> have to </w:t>
      </w:r>
      <w:r w:rsidR="003122EE" w:rsidRPr="006C4FCA">
        <w:t xml:space="preserve">determine the value of the interest by such method as it considers appropriate where no method or factors have been approved for an innovative superannuation interest, or where the innovative superannuation interest is a </w:t>
      </w:r>
      <w:r w:rsidR="003122EE" w:rsidRPr="0037720A">
        <w:rPr>
          <w:b/>
        </w:rPr>
        <w:t>percentage-only interest</w:t>
      </w:r>
      <w:r w:rsidR="003122EE" w:rsidRPr="006C4FCA">
        <w:t>. In practice, this means that if there is no approved method or factor</w:t>
      </w:r>
      <w:r w:rsidR="008924C7">
        <w:t>s</w:t>
      </w:r>
      <w:r w:rsidR="003122EE" w:rsidRPr="006C4FCA">
        <w:t xml:space="preserve"> for an innovative superannuation interest, then parties, at their own cost, will need to seek valuation of the interest by an expert, with the evidence of that valuation then put before the court as expert opinion evidence.</w:t>
      </w:r>
    </w:p>
    <w:p w14:paraId="28FAFD45" w14:textId="1C8227EA" w:rsidR="00A61FD0" w:rsidRDefault="003122EE" w:rsidP="00483F19">
      <w:r w:rsidRPr="006C4FCA">
        <w:t xml:space="preserve">The existing </w:t>
      </w:r>
      <w:r>
        <w:t>R</w:t>
      </w:r>
      <w:r w:rsidRPr="006C4FCA">
        <w:t xml:space="preserve">egulations do not </w:t>
      </w:r>
      <w:r w:rsidR="001B2188">
        <w:t>explicitly</w:t>
      </w:r>
      <w:r w:rsidRPr="006C4FCA">
        <w:t xml:space="preserve"> </w:t>
      </w:r>
      <w:r w:rsidR="00483F19">
        <w:t xml:space="preserve">prescribe ‘default’ valuation methods or factors or </w:t>
      </w:r>
      <w:r w:rsidRPr="00483F19">
        <w:t>permit</w:t>
      </w:r>
      <w:r>
        <w:t xml:space="preserve"> the Minister to approve methods or factors</w:t>
      </w:r>
      <w:r w:rsidRPr="006C4FCA">
        <w:t xml:space="preserve"> </w:t>
      </w:r>
      <w:r>
        <w:t xml:space="preserve">for </w:t>
      </w:r>
      <w:r w:rsidRPr="006C4FCA">
        <w:t>innovative superannuation interests.</w:t>
      </w:r>
      <w:r w:rsidR="000B720E">
        <w:t xml:space="preserve"> The existing Regulations are</w:t>
      </w:r>
      <w:r w:rsidR="003C15F5">
        <w:t xml:space="preserve"> also</w:t>
      </w:r>
      <w:r w:rsidR="000B720E">
        <w:t xml:space="preserve"> silent on whether the ‘default’ valuation methods and factors are appropriate for use in valuing innovative superannuation interests that are payable as a pension. </w:t>
      </w:r>
      <w:r w:rsidR="003C15F5">
        <w:t xml:space="preserve">The new Regulations make it clear that the ‘default’ methods and factors are not to be used to determine the value of innovative superannuation interests, which means that if a </w:t>
      </w:r>
      <w:r w:rsidR="001805FD" w:rsidRPr="006C4FCA">
        <w:t xml:space="preserve">method or factors </w:t>
      </w:r>
      <w:r w:rsidR="003C15F5">
        <w:t>have not been</w:t>
      </w:r>
      <w:r w:rsidR="001805FD" w:rsidRPr="006C4FCA">
        <w:t xml:space="preserve"> approved for the interest under section </w:t>
      </w:r>
      <w:r w:rsidR="00953132">
        <w:t>62</w:t>
      </w:r>
      <w:r w:rsidR="001805FD" w:rsidRPr="006C4FCA">
        <w:t xml:space="preserve"> or section </w:t>
      </w:r>
      <w:r w:rsidR="00953132">
        <w:t>68</w:t>
      </w:r>
      <w:r w:rsidR="001805FD" w:rsidRPr="006C4FCA">
        <w:t xml:space="preserve"> of the new Regulations</w:t>
      </w:r>
      <w:r w:rsidR="003C15F5">
        <w:t xml:space="preserve">, the </w:t>
      </w:r>
      <w:r w:rsidR="001805FD" w:rsidRPr="006C4FCA">
        <w:t xml:space="preserve">court </w:t>
      </w:r>
      <w:r w:rsidR="00517BDF">
        <w:t>must</w:t>
      </w:r>
      <w:r w:rsidR="00A61FD0">
        <w:t xml:space="preserve"> </w:t>
      </w:r>
      <w:r w:rsidR="001805FD" w:rsidRPr="006C4FCA">
        <w:t>determine the value of the interest by such method as it considers appropriate</w:t>
      </w:r>
      <w:r w:rsidR="001805FD">
        <w:t xml:space="preserve">. </w:t>
      </w:r>
    </w:p>
    <w:p w14:paraId="728801C3" w14:textId="70320D21" w:rsidR="003122EE" w:rsidRDefault="00A61FD0" w:rsidP="003122EE">
      <w:r>
        <w:t>As currently drafted, t</w:t>
      </w:r>
      <w:r w:rsidR="00483F19" w:rsidRPr="00A302ED">
        <w:t xml:space="preserve">he new Regulations </w:t>
      </w:r>
      <w:r w:rsidR="00517BDF">
        <w:t>do</w:t>
      </w:r>
      <w:r w:rsidR="00517BDF" w:rsidRPr="00A302ED">
        <w:t xml:space="preserve"> </w:t>
      </w:r>
      <w:r w:rsidR="00483F19" w:rsidRPr="00A302ED">
        <w:t xml:space="preserve">not </w:t>
      </w:r>
      <w:r w:rsidR="003122EE" w:rsidRPr="00A302ED">
        <w:t>permit the Minister to approve valuation methods or factors for percentage-</w:t>
      </w:r>
      <w:r w:rsidR="003122EE">
        <w:t>only interests. This includes</w:t>
      </w:r>
      <w:r w:rsidR="003122EE" w:rsidRPr="006C4FCA">
        <w:t xml:space="preserve"> percentage-only interests that are innovative superannuation interests</w:t>
      </w:r>
      <w:r w:rsidR="00483F19">
        <w:t>.</w:t>
      </w:r>
      <w:r>
        <w:t xml:space="preserve"> </w:t>
      </w:r>
      <w:r w:rsidRPr="00C34813">
        <w:t xml:space="preserve">See </w:t>
      </w:r>
      <w:r w:rsidR="00320228" w:rsidRPr="00C34813">
        <w:rPr>
          <w:b/>
        </w:rPr>
        <w:t xml:space="preserve">page </w:t>
      </w:r>
      <w:r w:rsidR="0025197B" w:rsidRPr="00C34813">
        <w:rPr>
          <w:b/>
        </w:rPr>
        <w:t>14</w:t>
      </w:r>
      <w:r w:rsidR="0025197B" w:rsidRPr="00C34813">
        <w:t xml:space="preserve"> </w:t>
      </w:r>
      <w:r w:rsidR="00320228" w:rsidRPr="00C34813">
        <w:t>for</w:t>
      </w:r>
      <w:r w:rsidR="00320228">
        <w:t xml:space="preserve"> further discussion </w:t>
      </w:r>
      <w:r>
        <w:t xml:space="preserve">about </w:t>
      </w:r>
      <w:r w:rsidR="00D0056F">
        <w:t>superannuation annuities</w:t>
      </w:r>
      <w:r w:rsidR="00320228">
        <w:t>.</w:t>
      </w:r>
      <w:bookmarkEnd w:id="24"/>
      <w:bookmarkEnd w:id="25"/>
    </w:p>
    <w:tbl>
      <w:tblPr>
        <w:tblStyle w:val="TableGrid"/>
        <w:tblW w:w="0" w:type="auto"/>
        <w:tblLook w:val="04A0" w:firstRow="1" w:lastRow="0" w:firstColumn="1" w:lastColumn="0" w:noHBand="0" w:noVBand="1"/>
      </w:tblPr>
      <w:tblGrid>
        <w:gridCol w:w="10302"/>
      </w:tblGrid>
      <w:tr w:rsidR="003122EE" w:rsidRPr="006C4FCA" w14:paraId="02C1FFF3" w14:textId="77777777" w:rsidTr="0007150C">
        <w:tc>
          <w:tcPr>
            <w:tcW w:w="10302" w:type="dxa"/>
            <w:shd w:val="clear" w:color="auto" w:fill="E2E9EE"/>
          </w:tcPr>
          <w:p w14:paraId="66B89D4F" w14:textId="77777777" w:rsidR="003122EE" w:rsidRPr="006C4FCA" w:rsidRDefault="003122EE" w:rsidP="0007150C">
            <w:pPr>
              <w:pStyle w:val="Heading4"/>
            </w:pPr>
            <w:r w:rsidRPr="006C4FCA">
              <w:lastRenderedPageBreak/>
              <w:t>Question 1</w:t>
            </w:r>
          </w:p>
          <w:p w14:paraId="356B99E8" w14:textId="3BA36E31" w:rsidR="003122EE" w:rsidRPr="006C4FCA" w:rsidRDefault="003122EE">
            <w:pPr>
              <w:spacing w:after="240" w:line="240" w:lineRule="auto"/>
            </w:pPr>
            <w:r w:rsidRPr="006C4FCA">
              <w:t>Do you have concerns about the proposed approach to valu</w:t>
            </w:r>
            <w:r w:rsidR="00871429">
              <w:t>ing innovative superannuation interests that are not percentage-only interests</w:t>
            </w:r>
            <w:r w:rsidRPr="006C4FCA">
              <w:t>?</w:t>
            </w:r>
            <w:r w:rsidR="00D06E99">
              <w:t xml:space="preserve"> </w:t>
            </w:r>
            <w:r w:rsidRPr="006C4FCA">
              <w:t>If so, please expand on your concerns. What would you propose instead?</w:t>
            </w:r>
          </w:p>
          <w:p w14:paraId="39A84B1D" w14:textId="07C7112B" w:rsidR="003122EE" w:rsidRPr="006C4FCA" w:rsidRDefault="003122EE" w:rsidP="0007150C">
            <w:pPr>
              <w:pStyle w:val="Heading4"/>
            </w:pPr>
            <w:r w:rsidRPr="006C4FCA">
              <w:t xml:space="preserve">Question </w:t>
            </w:r>
            <w:r w:rsidR="00C13108">
              <w:t>2</w:t>
            </w:r>
          </w:p>
          <w:p w14:paraId="08566E4E" w14:textId="657056FA" w:rsidR="003122EE" w:rsidRPr="006C4FCA" w:rsidRDefault="003122EE" w:rsidP="0007150C">
            <w:pPr>
              <w:spacing w:after="240" w:line="240" w:lineRule="auto"/>
            </w:pPr>
            <w:r w:rsidRPr="006C4FCA">
              <w:t>What barriers could prevent trustees and providers of IRISPs</w:t>
            </w:r>
            <w:r w:rsidR="000D0FF3">
              <w:t xml:space="preserve"> from</w:t>
            </w:r>
            <w:r w:rsidRPr="006C4FCA">
              <w:t xml:space="preserve"> preparing methods </w:t>
            </w:r>
            <w:r w:rsidR="00C95EA6">
              <w:t>or</w:t>
            </w:r>
            <w:r w:rsidRPr="006C4FCA">
              <w:t xml:space="preserve"> factors for the </w:t>
            </w:r>
            <w:r w:rsidR="00D45F89">
              <w:t>M</w:t>
            </w:r>
            <w:r w:rsidR="000D0FF3">
              <w:t>inister</w:t>
            </w:r>
            <w:r w:rsidRPr="006C4FCA">
              <w:t>’s approval for use in family law superannuation splitting?</w:t>
            </w:r>
          </w:p>
          <w:p w14:paraId="76D266D9" w14:textId="71667323" w:rsidR="003122EE" w:rsidRPr="006C4FCA" w:rsidRDefault="003122EE" w:rsidP="0007150C">
            <w:pPr>
              <w:pStyle w:val="Heading4"/>
            </w:pPr>
            <w:r w:rsidRPr="006C4FCA">
              <w:t xml:space="preserve">Question </w:t>
            </w:r>
            <w:r w:rsidR="00861B1D">
              <w:t>3</w:t>
            </w:r>
          </w:p>
          <w:p w14:paraId="6C83D286" w14:textId="5EE70FD0" w:rsidR="002429A0" w:rsidRDefault="00D978A2" w:rsidP="005F72DD">
            <w:pPr>
              <w:spacing w:after="240" w:line="240" w:lineRule="auto"/>
            </w:pPr>
            <w:r w:rsidRPr="005F72DD">
              <w:t xml:space="preserve">Would </w:t>
            </w:r>
            <w:r w:rsidR="00181595" w:rsidRPr="005F72DD">
              <w:t>you have</w:t>
            </w:r>
            <w:r w:rsidRPr="005F72DD">
              <w:t xml:space="preserve"> any concerns</w:t>
            </w:r>
            <w:r w:rsidR="00A13EC5" w:rsidRPr="005F72DD">
              <w:t xml:space="preserve"> about</w:t>
            </w:r>
            <w:r w:rsidR="00D06E99" w:rsidRPr="005F72DD">
              <w:t xml:space="preserve"> </w:t>
            </w:r>
            <w:r w:rsidR="00181595" w:rsidRPr="005F72DD">
              <w:t xml:space="preserve">a requirement for </w:t>
            </w:r>
            <w:r w:rsidR="003122EE" w:rsidRPr="005F72DD">
              <w:t xml:space="preserve">trustees and providers of IRISPs to prepare methods </w:t>
            </w:r>
            <w:r w:rsidR="00C95EA6">
              <w:t>or</w:t>
            </w:r>
            <w:r w:rsidR="003122EE" w:rsidRPr="005F72DD">
              <w:t xml:space="preserve"> factors for the </w:t>
            </w:r>
            <w:r w:rsidR="00D45F89">
              <w:t>M</w:t>
            </w:r>
            <w:r w:rsidR="000D0FF3" w:rsidRPr="005F72DD">
              <w:t>inister</w:t>
            </w:r>
            <w:r w:rsidR="003122EE" w:rsidRPr="005F72DD">
              <w:t xml:space="preserve">’s approval? (Note: the amendments in the new </w:t>
            </w:r>
            <w:r w:rsidRPr="005F72DD">
              <w:t>R</w:t>
            </w:r>
            <w:r w:rsidR="003122EE" w:rsidRPr="005F72DD">
              <w:t>egulations do not currently</w:t>
            </w:r>
            <w:r w:rsidR="00181595" w:rsidRPr="005F72DD">
              <w:t xml:space="preserve"> include such a</w:t>
            </w:r>
            <w:r w:rsidR="003122EE" w:rsidRPr="005F72DD">
              <w:t xml:space="preserve"> require</w:t>
            </w:r>
            <w:r w:rsidR="00181595" w:rsidRPr="005F72DD">
              <w:t>ment</w:t>
            </w:r>
            <w:r w:rsidR="003122EE" w:rsidRPr="005F72DD">
              <w:t>.)</w:t>
            </w:r>
            <w:r w:rsidR="00861B1D" w:rsidRPr="005F72DD">
              <w:t xml:space="preserve"> </w:t>
            </w:r>
          </w:p>
          <w:p w14:paraId="5A7238A8" w14:textId="1830470F" w:rsidR="00861B1D" w:rsidRPr="00D978A2" w:rsidRDefault="00861B1D" w:rsidP="005F72DD">
            <w:pPr>
              <w:spacing w:after="240" w:line="240" w:lineRule="auto"/>
            </w:pPr>
            <w:r w:rsidRPr="006C4FCA">
              <w:t>If so, please expand on your concerns.</w:t>
            </w:r>
          </w:p>
          <w:p w14:paraId="71F978E3" w14:textId="3B281EAC" w:rsidR="00830FD6" w:rsidRPr="00830FD6" w:rsidRDefault="00830FD6" w:rsidP="00C03842">
            <w:pPr>
              <w:pStyle w:val="Heading4"/>
            </w:pPr>
            <w:r w:rsidRPr="00830FD6">
              <w:t xml:space="preserve">Question </w:t>
            </w:r>
            <w:r w:rsidR="00861B1D">
              <w:t>4</w:t>
            </w:r>
          </w:p>
          <w:p w14:paraId="73579A29" w14:textId="46D9932F" w:rsidR="00830FD6" w:rsidRPr="00C03842" w:rsidRDefault="001842FB" w:rsidP="0007150C">
            <w:pPr>
              <w:spacing w:after="240" w:line="240" w:lineRule="auto"/>
            </w:pPr>
            <w:r>
              <w:t>D</w:t>
            </w:r>
            <w:r w:rsidR="00181595">
              <w:t>o you have</w:t>
            </w:r>
            <w:r>
              <w:t xml:space="preserve"> any other concerns</w:t>
            </w:r>
            <w:r w:rsidR="0057530B">
              <w:t xml:space="preserve"> </w:t>
            </w:r>
            <w:r w:rsidR="00830FD6">
              <w:t xml:space="preserve">about the proposed regulatory approach to IRISPs or the provisions relating to IRISPs in the new </w:t>
            </w:r>
            <w:r w:rsidR="00165846">
              <w:t>R</w:t>
            </w:r>
            <w:r w:rsidR="00830FD6">
              <w:t>egulations?</w:t>
            </w:r>
            <w:r w:rsidR="000D49CE">
              <w:t xml:space="preserve"> </w:t>
            </w:r>
            <w:r>
              <w:t>If so, p</w:t>
            </w:r>
            <w:r w:rsidR="001A7734">
              <w:t xml:space="preserve">lease </w:t>
            </w:r>
            <w:r>
              <w:t>expand on your concerns. What would you propose instead?</w:t>
            </w:r>
          </w:p>
        </w:tc>
      </w:tr>
    </w:tbl>
    <w:p w14:paraId="6784BF41" w14:textId="77777777" w:rsidR="003122EE" w:rsidRPr="006C4FCA" w:rsidRDefault="003122EE" w:rsidP="0040192E">
      <w:pPr>
        <w:pStyle w:val="NoSpacing"/>
      </w:pPr>
    </w:p>
    <w:p w14:paraId="6AAA005F" w14:textId="04A4E814" w:rsidR="003122EE" w:rsidRDefault="003122EE" w:rsidP="003122EE">
      <w:pPr>
        <w:pStyle w:val="Heading3"/>
      </w:pPr>
      <w:bookmarkStart w:id="26" w:name="_Toc152061074"/>
      <w:bookmarkStart w:id="27" w:name="_Toc158043523"/>
      <w:r w:rsidRPr="006C4FCA">
        <w:t>Provision of information for innovative superannuation interests</w:t>
      </w:r>
      <w:bookmarkEnd w:id="26"/>
      <w:bookmarkEnd w:id="27"/>
    </w:p>
    <w:p w14:paraId="456803A8" w14:textId="7CCCED15" w:rsidR="00082C10" w:rsidRPr="00082C10" w:rsidRDefault="00006A78" w:rsidP="00082C10">
      <w:pPr>
        <w:pStyle w:val="Heading4"/>
      </w:pPr>
      <w:r w:rsidRPr="00006A78">
        <w:t>S</w:t>
      </w:r>
      <w:r>
        <w:t>ubdivisions C and D, Division 3 of Part 9</w:t>
      </w:r>
    </w:p>
    <w:p w14:paraId="7EF7727F" w14:textId="5CB03AA2" w:rsidR="00830FD6" w:rsidRDefault="003122EE" w:rsidP="00830FD6">
      <w:pPr>
        <w:spacing w:after="240" w:line="240" w:lineRule="auto"/>
      </w:pPr>
      <w:r w:rsidRPr="006C4FCA">
        <w:t xml:space="preserve">Part </w:t>
      </w:r>
      <w:r w:rsidR="00953132">
        <w:t>9</w:t>
      </w:r>
      <w:r w:rsidRPr="006C4FCA">
        <w:t xml:space="preserve"> of the new Regulations (Division 7.2 of the existing Regulations) sets out the information that a trustee must provide in response to an application by an eligible person made under section 90XZB or 90ZYR</w:t>
      </w:r>
      <w:r w:rsidR="009903F9">
        <w:t xml:space="preserve"> of the Family Law Act</w:t>
      </w:r>
      <w:r w:rsidRPr="006C4FCA">
        <w:t xml:space="preserve">. </w:t>
      </w:r>
    </w:p>
    <w:p w14:paraId="16DD329A" w14:textId="6FC64A5E" w:rsidR="003122EE" w:rsidRPr="006C4FCA" w:rsidRDefault="00830FD6" w:rsidP="00830FD6">
      <w:pPr>
        <w:spacing w:after="240" w:line="240" w:lineRule="auto"/>
      </w:pPr>
      <w:r w:rsidRPr="006C4FCA">
        <w:t>Subdivision C</w:t>
      </w:r>
      <w:r>
        <w:t>, Division 3</w:t>
      </w:r>
      <w:r w:rsidRPr="006C4FCA">
        <w:t xml:space="preserve"> of Part </w:t>
      </w:r>
      <w:r w:rsidR="00953132">
        <w:t>9</w:t>
      </w:r>
      <w:r w:rsidRPr="006C4FCA">
        <w:t xml:space="preserve"> of the new Regulations (and regulation 66 of the existing Regulations)</w:t>
      </w:r>
      <w:r>
        <w:t xml:space="preserve"> sets out t</w:t>
      </w:r>
      <w:r w:rsidR="003122EE" w:rsidRPr="006C4FCA">
        <w:t>he information that a trustee must provide about</w:t>
      </w:r>
      <w:r w:rsidR="009903F9">
        <w:t xml:space="preserve"> certain</w:t>
      </w:r>
      <w:r w:rsidR="003122EE" w:rsidRPr="006C4FCA">
        <w:t xml:space="preserve"> percentage</w:t>
      </w:r>
      <w:r>
        <w:t>-</w:t>
      </w:r>
      <w:r w:rsidR="003122EE" w:rsidRPr="006C4FCA">
        <w:t>only interest</w:t>
      </w:r>
      <w:r w:rsidR="009903F9">
        <w:t>s</w:t>
      </w:r>
      <w:r>
        <w:t>.</w:t>
      </w:r>
      <w:r w:rsidR="009903F9">
        <w:t xml:space="preserve"> This includes innovative superannuation interests</w:t>
      </w:r>
      <w:r w:rsidR="00181595">
        <w:t xml:space="preserve"> that are </w:t>
      </w:r>
      <w:r w:rsidR="00181595" w:rsidRPr="00C950D3">
        <w:rPr>
          <w:b/>
        </w:rPr>
        <w:t>percentage-only interests</w:t>
      </w:r>
      <w:r w:rsidR="009903F9">
        <w:t>.</w:t>
      </w:r>
    </w:p>
    <w:p w14:paraId="3EEAFB9D" w14:textId="51D8BC72" w:rsidR="003122EE" w:rsidRDefault="003122EE" w:rsidP="00830FD6">
      <w:pPr>
        <w:spacing w:after="240" w:line="240" w:lineRule="auto"/>
      </w:pPr>
      <w:r w:rsidRPr="006C4FCA">
        <w:t xml:space="preserve">Subdivision </w:t>
      </w:r>
      <w:r w:rsidR="00953132">
        <w:t>D</w:t>
      </w:r>
      <w:r w:rsidRPr="006C4FCA">
        <w:t xml:space="preserve">, Division 3 of Part </w:t>
      </w:r>
      <w:r w:rsidR="00953132">
        <w:t>9</w:t>
      </w:r>
      <w:r w:rsidRPr="006C4FCA">
        <w:t xml:space="preserve"> of the new Regulations is a new subdivision, and sets out the information that a trustee must provide about an innovative superannuation interest that is </w:t>
      </w:r>
      <w:r w:rsidRPr="00C950D3">
        <w:rPr>
          <w:b/>
        </w:rPr>
        <w:t>not a percentage</w:t>
      </w:r>
      <w:r w:rsidR="00830FD6" w:rsidRPr="00C950D3">
        <w:rPr>
          <w:b/>
        </w:rPr>
        <w:t>-</w:t>
      </w:r>
      <w:r w:rsidRPr="00C950D3">
        <w:rPr>
          <w:b/>
        </w:rPr>
        <w:t>only interest</w:t>
      </w:r>
      <w:r w:rsidRPr="006C4FCA">
        <w:t>. This subdivision is modelled on subregulation 64(1), paragraphs 64(</w:t>
      </w:r>
      <w:proofErr w:type="gramStart"/>
      <w:r w:rsidRPr="006C4FCA">
        <w:t>2)(</w:t>
      </w:r>
      <w:proofErr w:type="gramEnd"/>
      <w:r w:rsidRPr="006C4FCA">
        <w:t>aa)-(d), (e), (ea) and (f), and regulation 66 of the existing Regulations.</w:t>
      </w:r>
    </w:p>
    <w:p w14:paraId="3EC25C05" w14:textId="7826CD48" w:rsidR="00D978A2" w:rsidRDefault="00D978A2" w:rsidP="00830FD6">
      <w:pPr>
        <w:spacing w:after="240" w:line="240" w:lineRule="auto"/>
      </w:pPr>
      <w:r>
        <w:t>The information requirements set out in the above subdivisions</w:t>
      </w:r>
      <w:r w:rsidR="00C15D98">
        <w:t xml:space="preserve"> are intended to enable an eligible person to obtain information about a superannuation interest for any of the following purposes:</w:t>
      </w:r>
    </w:p>
    <w:p w14:paraId="33E2D891" w14:textId="46ECDEB1" w:rsidR="00C15D98" w:rsidRDefault="00C15D98" w:rsidP="00C15D98">
      <w:pPr>
        <w:pStyle w:val="ListParagraph"/>
        <w:numPr>
          <w:ilvl w:val="0"/>
          <w:numId w:val="29"/>
        </w:numPr>
        <w:spacing w:before="240"/>
      </w:pPr>
      <w:r>
        <w:t>To obtain a reasonable and accurate valuation of a superannuation interest</w:t>
      </w:r>
    </w:p>
    <w:p w14:paraId="209AF956" w14:textId="4BC217DE" w:rsidR="00C15D98" w:rsidRPr="00747393" w:rsidRDefault="00C15D98" w:rsidP="00C15D98">
      <w:pPr>
        <w:pStyle w:val="ListParagraph"/>
        <w:numPr>
          <w:ilvl w:val="0"/>
          <w:numId w:val="29"/>
        </w:numPr>
        <w:spacing w:before="240"/>
      </w:pPr>
      <w:r>
        <w:t>To assist the applicant t</w:t>
      </w:r>
      <w:r w:rsidRPr="00747393">
        <w:t>o properly negotiate a superannuation agreement</w:t>
      </w:r>
      <w:r>
        <w:t>, or</w:t>
      </w:r>
    </w:p>
    <w:p w14:paraId="515083C7" w14:textId="0E921A07" w:rsidR="00C15D98" w:rsidRPr="006C4FCA" w:rsidRDefault="00C15D98" w:rsidP="000D49CE">
      <w:pPr>
        <w:pStyle w:val="ListParagraph"/>
        <w:numPr>
          <w:ilvl w:val="0"/>
          <w:numId w:val="29"/>
        </w:numPr>
        <w:spacing w:before="240"/>
      </w:pPr>
      <w:r>
        <w:t>To assist the applicant i</w:t>
      </w:r>
      <w:r w:rsidRPr="00747393">
        <w:t>n connection with the operation of Part VIIIB or VIIIC of the</w:t>
      </w:r>
      <w:r w:rsidRPr="00A810CE">
        <w:t xml:space="preserve"> </w:t>
      </w:r>
      <w:r w:rsidRPr="00181595">
        <w:t>Family Law Act</w:t>
      </w:r>
      <w:r w:rsidRPr="00A810CE">
        <w:t xml:space="preserve"> </w:t>
      </w:r>
      <w:r w:rsidRPr="00747393">
        <w:t>in relation to the applicant</w:t>
      </w:r>
      <w:r w:rsidR="000D49CE">
        <w:t>.</w:t>
      </w:r>
    </w:p>
    <w:tbl>
      <w:tblPr>
        <w:tblStyle w:val="TableGrid"/>
        <w:tblW w:w="0" w:type="auto"/>
        <w:tblLook w:val="04A0" w:firstRow="1" w:lastRow="0" w:firstColumn="1" w:lastColumn="0" w:noHBand="0" w:noVBand="1"/>
      </w:tblPr>
      <w:tblGrid>
        <w:gridCol w:w="10302"/>
      </w:tblGrid>
      <w:tr w:rsidR="003122EE" w:rsidRPr="006C4FCA" w14:paraId="52AF19A7" w14:textId="77777777" w:rsidTr="0007150C">
        <w:tc>
          <w:tcPr>
            <w:tcW w:w="10302" w:type="dxa"/>
            <w:shd w:val="clear" w:color="auto" w:fill="E2E9EE"/>
          </w:tcPr>
          <w:p w14:paraId="57C37C51" w14:textId="43E447F1" w:rsidR="003122EE" w:rsidRPr="006C4FCA" w:rsidRDefault="003122EE" w:rsidP="003122EE">
            <w:pPr>
              <w:pStyle w:val="Heading4"/>
            </w:pPr>
            <w:r w:rsidRPr="006C4FCA">
              <w:lastRenderedPageBreak/>
              <w:t xml:space="preserve">Question </w:t>
            </w:r>
            <w:r w:rsidR="00082B62">
              <w:t>5</w:t>
            </w:r>
          </w:p>
          <w:p w14:paraId="05AE104F" w14:textId="02C240E0" w:rsidR="000779A8" w:rsidRPr="00747393" w:rsidRDefault="00C15D98" w:rsidP="002429A0">
            <w:bookmarkStart w:id="28" w:name="_Hlk151638372"/>
            <w:r>
              <w:t xml:space="preserve">For an interest that is a </w:t>
            </w:r>
            <w:r>
              <w:rPr>
                <w:b/>
              </w:rPr>
              <w:t xml:space="preserve">percentage-only </w:t>
            </w:r>
            <w:r w:rsidRPr="000D49CE">
              <w:t>interest</w:t>
            </w:r>
            <w:r>
              <w:t>, w</w:t>
            </w:r>
            <w:r w:rsidRPr="00C15D98">
              <w:t>hat</w:t>
            </w:r>
            <w:r>
              <w:t xml:space="preserve"> other information not listed in Subdivision C, Division 3 of Part </w:t>
            </w:r>
            <w:r w:rsidR="00953132">
              <w:t>9</w:t>
            </w:r>
            <w:r>
              <w:t xml:space="preserve"> of the new Regulations would an eligible person require from a trustee?</w:t>
            </w:r>
            <w:r w:rsidDel="00C15D98">
              <w:t xml:space="preserve"> </w:t>
            </w:r>
          </w:p>
          <w:bookmarkEnd w:id="28"/>
          <w:p w14:paraId="0E38460F" w14:textId="0F3C3341" w:rsidR="003122EE" w:rsidRPr="006C4FCA" w:rsidRDefault="003122EE" w:rsidP="003122EE">
            <w:pPr>
              <w:pStyle w:val="Heading4"/>
            </w:pPr>
            <w:r w:rsidRPr="006C4FCA">
              <w:t xml:space="preserve">Question </w:t>
            </w:r>
            <w:r w:rsidR="00082B62">
              <w:t>6</w:t>
            </w:r>
          </w:p>
          <w:p w14:paraId="65B7AE85" w14:textId="5C9F2B5F" w:rsidR="003122EE" w:rsidRPr="006C4FCA" w:rsidRDefault="00C15D98" w:rsidP="002429A0">
            <w:r>
              <w:t xml:space="preserve">For an interest that is </w:t>
            </w:r>
            <w:r>
              <w:rPr>
                <w:b/>
              </w:rPr>
              <w:t>not a</w:t>
            </w:r>
            <w:r>
              <w:t xml:space="preserve"> </w:t>
            </w:r>
            <w:r>
              <w:rPr>
                <w:b/>
              </w:rPr>
              <w:t xml:space="preserve">percentage-only </w:t>
            </w:r>
            <w:r w:rsidRPr="00333C2F">
              <w:t>interest</w:t>
            </w:r>
            <w:r>
              <w:t>, w</w:t>
            </w:r>
            <w:r w:rsidRPr="00C15D98">
              <w:t>hat</w:t>
            </w:r>
            <w:r>
              <w:t xml:space="preserve"> other information not listed in Subdivision </w:t>
            </w:r>
            <w:r w:rsidR="00953132">
              <w:t>D</w:t>
            </w:r>
            <w:r>
              <w:t xml:space="preserve">, Division 3 of Part </w:t>
            </w:r>
            <w:r w:rsidR="00953132">
              <w:t>9</w:t>
            </w:r>
            <w:r>
              <w:t xml:space="preserve"> of the new Regulations would an eligible person require from a trustee?</w:t>
            </w:r>
            <w:r w:rsidDel="00C15D98">
              <w:t xml:space="preserve"> </w:t>
            </w:r>
          </w:p>
        </w:tc>
      </w:tr>
    </w:tbl>
    <w:p w14:paraId="0987AA1F" w14:textId="5280AA0D" w:rsidR="009665DF" w:rsidRDefault="009665DF" w:rsidP="009665DF">
      <w:pPr>
        <w:pStyle w:val="Heading2"/>
      </w:pPr>
      <w:bookmarkStart w:id="29" w:name="_Toc152061075"/>
      <w:bookmarkStart w:id="30" w:name="_Toc158043524"/>
      <w:r>
        <w:t>Amendments to methods and factors to reflect current actuarial assumptions</w:t>
      </w:r>
      <w:bookmarkEnd w:id="29"/>
      <w:bookmarkEnd w:id="30"/>
    </w:p>
    <w:p w14:paraId="091EC172" w14:textId="62061220" w:rsidR="00A24F4F" w:rsidRPr="00F460F2" w:rsidRDefault="001A0756" w:rsidP="009665DF">
      <w:bookmarkStart w:id="31" w:name="_Hlk155616697"/>
      <w:r>
        <w:t>The</w:t>
      </w:r>
      <w:r w:rsidRPr="001A0756">
        <w:t xml:space="preserve"> </w:t>
      </w:r>
      <w:r w:rsidRPr="00551B1C">
        <w:t>Australian Government Actuary (AGA)</w:t>
      </w:r>
      <w:r>
        <w:t xml:space="preserve"> has undertaken</w:t>
      </w:r>
      <w:r w:rsidRPr="00551B1C">
        <w:t xml:space="preserve"> a comprehensive review of the methods and factors</w:t>
      </w:r>
      <w:r>
        <w:t xml:space="preserve"> in the existing Regulations</w:t>
      </w:r>
      <w:r w:rsidRPr="00551B1C">
        <w:t xml:space="preserve"> and </w:t>
      </w:r>
      <w:r>
        <w:t xml:space="preserve">has </w:t>
      </w:r>
      <w:r w:rsidRPr="00551B1C">
        <w:t>provided expert advice on</w:t>
      </w:r>
      <w:r>
        <w:t xml:space="preserve"> whether the existing methods and factors are fit for purpose</w:t>
      </w:r>
      <w:r w:rsidRPr="00551B1C">
        <w:t>.</w:t>
      </w:r>
      <w:r>
        <w:t xml:space="preserve"> </w:t>
      </w:r>
      <w:bookmarkStart w:id="32" w:name="_Hlk155616734"/>
      <w:bookmarkEnd w:id="31"/>
      <w:r>
        <w:t>On the basis of this advice, t</w:t>
      </w:r>
      <w:r w:rsidR="00A24F4F">
        <w:t xml:space="preserve">he new Regulations </w:t>
      </w:r>
      <w:r w:rsidR="00CE0142">
        <w:t xml:space="preserve">contain </w:t>
      </w:r>
      <w:r w:rsidR="00CE0142" w:rsidRPr="00F460F2">
        <w:t xml:space="preserve">several new </w:t>
      </w:r>
      <w:r w:rsidR="00765643">
        <w:t>‘</w:t>
      </w:r>
      <w:r w:rsidR="00CE0142" w:rsidRPr="00F460F2">
        <w:t>default</w:t>
      </w:r>
      <w:r w:rsidR="0084306E">
        <w:t xml:space="preserve">’ </w:t>
      </w:r>
      <w:r w:rsidR="00CE0142" w:rsidRPr="00F460F2">
        <w:t>valuation methods and factors to enable the accurate valuation of a wider range of superannuation interests</w:t>
      </w:r>
      <w:r>
        <w:t xml:space="preserve"> and benefits</w:t>
      </w:r>
      <w:bookmarkEnd w:id="32"/>
      <w:r w:rsidR="00CE0142" w:rsidRPr="00F460F2">
        <w:t xml:space="preserve">, and better reflect when people are choosing to retire and how people are choosing to access their benefits. </w:t>
      </w:r>
    </w:p>
    <w:p w14:paraId="4F3ADFDC" w14:textId="781861E9" w:rsidR="00CE0142" w:rsidRDefault="00765643" w:rsidP="009665DF">
      <w:r>
        <w:t>On</w:t>
      </w:r>
      <w:r w:rsidR="00CE0142">
        <w:t xml:space="preserve"> advice from the AGA</w:t>
      </w:r>
      <w:r>
        <w:t>,</w:t>
      </w:r>
      <w:r w:rsidR="00CE0142">
        <w:t xml:space="preserve"> </w:t>
      </w:r>
      <w:bookmarkStart w:id="33" w:name="_Hlk155616750"/>
      <w:r w:rsidR="00CE0142">
        <w:t>the existing ‘default’ valuation factors have</w:t>
      </w:r>
      <w:r>
        <w:t xml:space="preserve"> also been</w:t>
      </w:r>
      <w:r w:rsidR="00CE0142">
        <w:t xml:space="preserve"> updated to reflect </w:t>
      </w:r>
      <w:bookmarkStart w:id="34" w:name="_Hlk152322441"/>
      <w:r w:rsidR="00CE0142">
        <w:t>current</w:t>
      </w:r>
      <w:r w:rsidR="00D00AF3">
        <w:t xml:space="preserve"> demographic and economic</w:t>
      </w:r>
      <w:r w:rsidR="00CE0142">
        <w:t xml:space="preserve"> actuarial assumptions</w:t>
      </w:r>
      <w:r w:rsidR="0004250A">
        <w:t>.</w:t>
      </w:r>
      <w:r w:rsidR="00CE0142">
        <w:t xml:space="preserve"> </w:t>
      </w:r>
      <w:bookmarkEnd w:id="34"/>
      <w:r w:rsidR="00570382">
        <w:t>The default valuation factors have not been updated since 2001.</w:t>
      </w:r>
      <w:r w:rsidR="00CE0142">
        <w:t xml:space="preserve"> </w:t>
      </w:r>
      <w:bookmarkEnd w:id="33"/>
    </w:p>
    <w:p w14:paraId="1DD71DAE" w14:textId="1DB49806" w:rsidR="00CE0142" w:rsidRDefault="00CE0142" w:rsidP="009665DF">
      <w:r>
        <w:t xml:space="preserve">Neither the updated ‘default’ valuation factors nor the new </w:t>
      </w:r>
      <w:r w:rsidR="0084306E">
        <w:t xml:space="preserve">‘default’ </w:t>
      </w:r>
      <w:r>
        <w:t xml:space="preserve">valuation factors have been included in the </w:t>
      </w:r>
      <w:r w:rsidR="0084306E">
        <w:t xml:space="preserve">exposure draft </w:t>
      </w:r>
      <w:r w:rsidR="00DF1B86">
        <w:t xml:space="preserve">of the new </w:t>
      </w:r>
      <w:r w:rsidR="0084306E">
        <w:t>R</w:t>
      </w:r>
      <w:r w:rsidR="00DF1B86">
        <w:t>egulations</w:t>
      </w:r>
      <w:r>
        <w:t xml:space="preserve"> for </w:t>
      </w:r>
      <w:r w:rsidR="00DF1B86">
        <w:t>th</w:t>
      </w:r>
      <w:r w:rsidR="00A810CE">
        <w:t>e</w:t>
      </w:r>
      <w:r w:rsidR="00DF1B86">
        <w:t xml:space="preserve"> </w:t>
      </w:r>
      <w:r w:rsidR="00A810CE">
        <w:t xml:space="preserve">purposes of this </w:t>
      </w:r>
      <w:r>
        <w:t>consultation</w:t>
      </w:r>
      <w:r w:rsidR="001A0756">
        <w:t xml:space="preserve">. </w:t>
      </w:r>
      <w:r w:rsidR="00F3239E">
        <w:t>Similarly,</w:t>
      </w:r>
      <w:r w:rsidR="0004250A">
        <w:t xml:space="preserve"> certain</w:t>
      </w:r>
      <w:r w:rsidR="00570382">
        <w:t xml:space="preserve"> </w:t>
      </w:r>
      <w:r w:rsidR="00F3239E">
        <w:t xml:space="preserve">methods which would indicate the updated demographic and economic assumptions have not been published at this time. </w:t>
      </w:r>
      <w:r w:rsidR="00CA6E81">
        <w:t>I</w:t>
      </w:r>
      <w:r w:rsidR="00A810CE">
        <w:t xml:space="preserve">t would not be appropriate to publish these </w:t>
      </w:r>
      <w:r w:rsidR="00426D97">
        <w:t xml:space="preserve">methods or the </w:t>
      </w:r>
      <w:r w:rsidR="00A810CE">
        <w:t>factors</w:t>
      </w:r>
      <w:r w:rsidR="00B53171">
        <w:t xml:space="preserve"> so far in advance of</w:t>
      </w:r>
      <w:r w:rsidR="00CA6E81">
        <w:t xml:space="preserve"> their commencement</w:t>
      </w:r>
      <w:r w:rsidR="00181595">
        <w:t xml:space="preserve"> as this</w:t>
      </w:r>
      <w:r w:rsidR="00A810CE">
        <w:t xml:space="preserve"> </w:t>
      </w:r>
      <w:r>
        <w:t xml:space="preserve">may </w:t>
      </w:r>
      <w:r w:rsidR="0074252E">
        <w:t xml:space="preserve">influence </w:t>
      </w:r>
      <w:r>
        <w:t>parties</w:t>
      </w:r>
      <w:r w:rsidR="0074252E">
        <w:t>’</w:t>
      </w:r>
      <w:r>
        <w:t xml:space="preserve"> behaviour</w:t>
      </w:r>
      <w:r w:rsidR="003064ED">
        <w:t xml:space="preserve"> in</w:t>
      </w:r>
      <w:r w:rsidR="00CA6E81">
        <w:t xml:space="preserve"> resolving disputes about</w:t>
      </w:r>
      <w:r w:rsidR="003064ED">
        <w:t xml:space="preserve"> family law property division</w:t>
      </w:r>
      <w:r w:rsidR="00181595">
        <w:t>.</w:t>
      </w:r>
      <w:r w:rsidR="00DF1B86">
        <w:t xml:space="preserve"> </w:t>
      </w:r>
      <w:bookmarkStart w:id="35" w:name="_Hlk157068747"/>
      <w:r w:rsidR="00181595">
        <w:t xml:space="preserve">Parties may seek to </w:t>
      </w:r>
      <w:r w:rsidR="00DF1B86">
        <w:t>either delay</w:t>
      </w:r>
      <w:r w:rsidR="0084306E">
        <w:t xml:space="preserve"> or </w:t>
      </w:r>
      <w:r w:rsidR="0074252E">
        <w:t>expedite</w:t>
      </w:r>
      <w:r w:rsidR="0084306E">
        <w:t xml:space="preserve"> </w:t>
      </w:r>
      <w:r w:rsidR="00DF1B86">
        <w:t>the process</w:t>
      </w:r>
      <w:r w:rsidR="00181595">
        <w:t>,</w:t>
      </w:r>
      <w:r w:rsidR="00DF1B86">
        <w:t xml:space="preserve"> depending on whether they will benefit from </w:t>
      </w:r>
      <w:r w:rsidR="00745DAE">
        <w:t>these</w:t>
      </w:r>
      <w:r w:rsidR="009464E6">
        <w:t xml:space="preserve"> methods</w:t>
      </w:r>
      <w:r w:rsidR="00F3239E">
        <w:t xml:space="preserve"> </w:t>
      </w:r>
      <w:r w:rsidR="00745DAE">
        <w:t>or the</w:t>
      </w:r>
      <w:r w:rsidR="00DF1B86">
        <w:t xml:space="preserve"> factors</w:t>
      </w:r>
      <w:r w:rsidR="00CA6E81">
        <w:t xml:space="preserve"> </w:t>
      </w:r>
      <w:r w:rsidR="008B5095">
        <w:t xml:space="preserve">in the remade Regulations </w:t>
      </w:r>
      <w:r w:rsidR="00CA6E81">
        <w:t>which will be used to determine the family law value of relevant superannuation interests</w:t>
      </w:r>
      <w:r w:rsidR="00DF1B86">
        <w:t>.</w:t>
      </w:r>
      <w:r w:rsidR="00F721ED" w:rsidRPr="00601C63">
        <w:t xml:space="preserve"> </w:t>
      </w:r>
      <w:bookmarkEnd w:id="35"/>
    </w:p>
    <w:p w14:paraId="00935790" w14:textId="12A537EF" w:rsidR="009D15C1" w:rsidRPr="005A2A96" w:rsidRDefault="009D15C1" w:rsidP="009D15C1">
      <w:pPr>
        <w:pStyle w:val="Heading3"/>
      </w:pPr>
      <w:bookmarkStart w:id="36" w:name="_Toc152061076"/>
      <w:bookmarkStart w:id="37" w:name="_Toc158043525"/>
      <w:r>
        <w:t xml:space="preserve">Updated ‘default’ </w:t>
      </w:r>
      <w:r w:rsidR="00A92BCB">
        <w:t xml:space="preserve">valuation </w:t>
      </w:r>
      <w:r>
        <w:t>factors</w:t>
      </w:r>
      <w:bookmarkEnd w:id="36"/>
      <w:bookmarkEnd w:id="37"/>
    </w:p>
    <w:p w14:paraId="0178564C" w14:textId="4048B3BB" w:rsidR="009D15C1" w:rsidRPr="00C34813" w:rsidRDefault="009D15C1" w:rsidP="009665DF">
      <w:r>
        <w:t xml:space="preserve">The existing Regulations contain ‘default’ valuation factors in Schedules 1A, 2, 4, 5, and 6, which were produced in 2001 (with the exception of Schedule 1A, which was produced in 2002). The ‘default’ valuation factors </w:t>
      </w:r>
      <w:r w:rsidR="005B05BA">
        <w:t>have</w:t>
      </w:r>
      <w:r>
        <w:t xml:space="preserve"> be</w:t>
      </w:r>
      <w:r w:rsidR="005B05BA">
        <w:t>en</w:t>
      </w:r>
      <w:r>
        <w:t xml:space="preserve"> updated to reflect current actuarial assumptions</w:t>
      </w:r>
      <w:r w:rsidR="009E70E1">
        <w:t xml:space="preserve">, </w:t>
      </w:r>
      <w:r w:rsidR="00EB3102">
        <w:t>and</w:t>
      </w:r>
      <w:r w:rsidR="009E70E1">
        <w:t xml:space="preserve"> </w:t>
      </w:r>
      <w:r w:rsidR="00EB3102">
        <w:t xml:space="preserve">will be set out in </w:t>
      </w:r>
      <w:r w:rsidR="009E70E1">
        <w:t xml:space="preserve">Schedules </w:t>
      </w:r>
      <w:r w:rsidR="00EB3102">
        <w:t>2, 3, 5, 6, 7, 8 and 9 when the new Regulations are remade</w:t>
      </w:r>
      <w:r>
        <w:t xml:space="preserve">. This will ensure the </w:t>
      </w:r>
      <w:r w:rsidR="00CA6E81">
        <w:t xml:space="preserve">new </w:t>
      </w:r>
      <w:r>
        <w:t>Regulations continue to provide an accurate and reasonable estimate of the value of a superannuation interest</w:t>
      </w:r>
      <w:r w:rsidR="00CA6E81">
        <w:t xml:space="preserve"> for family law purposes</w:t>
      </w:r>
      <w:r>
        <w:t xml:space="preserve">. The updated factors </w:t>
      </w:r>
      <w:r w:rsidR="008125DD">
        <w:t xml:space="preserve">and associated </w:t>
      </w:r>
      <w:r w:rsidR="00D00AF3">
        <w:t xml:space="preserve">methods which indicate the updated </w:t>
      </w:r>
      <w:r w:rsidR="008125DD">
        <w:t xml:space="preserve">assumptions </w:t>
      </w:r>
      <w:r>
        <w:t xml:space="preserve">will be included in the new Regulations when they are </w:t>
      </w:r>
      <w:r w:rsidRPr="00C34813">
        <w:t>made.</w:t>
      </w:r>
    </w:p>
    <w:p w14:paraId="7C53446D" w14:textId="48120F0E" w:rsidR="009665DF" w:rsidRPr="00C34813" w:rsidRDefault="009665DF" w:rsidP="009665DF">
      <w:pPr>
        <w:pStyle w:val="Heading3"/>
      </w:pPr>
      <w:bookmarkStart w:id="38" w:name="_Toc152061077"/>
      <w:bookmarkStart w:id="39" w:name="_Toc158043526"/>
      <w:r w:rsidRPr="00C34813">
        <w:lastRenderedPageBreak/>
        <w:t>Use of extended age-based factors for valuation of pensions in the growth phase with a guarantee period</w:t>
      </w:r>
      <w:bookmarkEnd w:id="38"/>
      <w:bookmarkEnd w:id="39"/>
    </w:p>
    <w:p w14:paraId="2174FE30" w14:textId="4023E580" w:rsidR="009665DF" w:rsidRPr="00C34813" w:rsidRDefault="004A465E" w:rsidP="009665DF">
      <w:pPr>
        <w:pStyle w:val="Heading4"/>
      </w:pPr>
      <w:r w:rsidRPr="00C34813">
        <w:t xml:space="preserve">Section 53 and </w:t>
      </w:r>
      <w:r w:rsidR="00CD245E" w:rsidRPr="00C34813">
        <w:t>Schedule 3, Part 4</w:t>
      </w:r>
    </w:p>
    <w:p w14:paraId="20484331" w14:textId="5BF73C00" w:rsidR="009665DF" w:rsidRPr="00C34813" w:rsidRDefault="009665DF" w:rsidP="009665DF">
      <w:r w:rsidRPr="00C34813">
        <w:t xml:space="preserve">The existing Regulations do not provide a method for valuation of growth phase defined benefit interests payable as </w:t>
      </w:r>
      <w:r w:rsidR="00856826" w:rsidRPr="00C34813">
        <w:t xml:space="preserve">a </w:t>
      </w:r>
      <w:r w:rsidRPr="00C34813">
        <w:t xml:space="preserve">pension where the member spouse is aged 66 years or older and still working. In recognition of the fact that many people aged 66 years and older choose to continue working, the new Regulations provide two methods for valuation of these interests. The two methods distinguish between defined benefit interests payable as a pension </w:t>
      </w:r>
      <w:r w:rsidRPr="00C34813">
        <w:rPr>
          <w:i/>
        </w:rPr>
        <w:t>without</w:t>
      </w:r>
      <w:r w:rsidRPr="00C34813">
        <w:t xml:space="preserve"> a guarantee period, and those payable as a pension </w:t>
      </w:r>
      <w:r w:rsidRPr="00C34813">
        <w:rPr>
          <w:i/>
        </w:rPr>
        <w:t>with</w:t>
      </w:r>
      <w:r w:rsidRPr="00C34813">
        <w:t xml:space="preserve"> a guarantee period.</w:t>
      </w:r>
    </w:p>
    <w:p w14:paraId="217140C7" w14:textId="3C282DCD" w:rsidR="00DD25E9" w:rsidRPr="00C34813" w:rsidRDefault="00DD25E9" w:rsidP="009665DF">
      <w:bookmarkStart w:id="40" w:name="_Toc152061078"/>
      <w:r w:rsidRPr="00C34813">
        <w:t xml:space="preserve">Where a growth phase defined benefit interest is payable as a pension </w:t>
      </w:r>
      <w:r w:rsidRPr="00C34813">
        <w:rPr>
          <w:i/>
        </w:rPr>
        <w:t>without a guarantee period</w:t>
      </w:r>
      <w:r w:rsidRPr="00C34813">
        <w:t xml:space="preserve">, and where the member spouse is aged 66 years or older, the method and factors in </w:t>
      </w:r>
      <w:r w:rsidR="00CD245E" w:rsidRPr="00C34813">
        <w:t xml:space="preserve">Part 2 of </w:t>
      </w:r>
      <w:r w:rsidRPr="00C34813">
        <w:t xml:space="preserve">Schedule </w:t>
      </w:r>
      <w:r w:rsidR="00CD245E" w:rsidRPr="00C34813">
        <w:t>5</w:t>
      </w:r>
      <w:r w:rsidRPr="00C34813">
        <w:t xml:space="preserve"> of the new Regulations, that apply to payment phase superannuation interests being paid as a pension, are to be used, as if the member spouse had already retired. </w:t>
      </w:r>
    </w:p>
    <w:p w14:paraId="686BDDE4" w14:textId="6C71E431" w:rsidR="00DD25E9" w:rsidRDefault="00DD25E9">
      <w:r w:rsidRPr="00C34813">
        <w:t xml:space="preserve">Where a growth phase defined benefit interest is payable as a pension </w:t>
      </w:r>
      <w:r w:rsidRPr="00C34813">
        <w:rPr>
          <w:i/>
        </w:rPr>
        <w:t>with a guarantee period</w:t>
      </w:r>
      <w:r w:rsidRPr="00C34813">
        <w:t xml:space="preserve">, and where the member spouse is aged 66 years or older, the new method and factors in </w:t>
      </w:r>
      <w:r w:rsidR="00CD245E" w:rsidRPr="00C34813">
        <w:t xml:space="preserve">Part 3 of </w:t>
      </w:r>
      <w:r w:rsidRPr="00C34813">
        <w:t xml:space="preserve">Schedule </w:t>
      </w:r>
      <w:r w:rsidR="00CD245E" w:rsidRPr="00C34813">
        <w:t>5</w:t>
      </w:r>
      <w:r w:rsidRPr="00C34813">
        <w:t xml:space="preserve"> of the new Regulations, that apply to payment phase superannuation interests being paid as a pension with a guarantee period remaining, are to be used as if the member spouse had already retired</w:t>
      </w:r>
      <w:r w:rsidR="00363CFF" w:rsidRPr="00C34813">
        <w:t xml:space="preserve"> and the prescribed guarantee period had yet to commence</w:t>
      </w:r>
      <w:r w:rsidRPr="00C34813">
        <w:t>. This new method and factors are covered below.</w:t>
      </w:r>
    </w:p>
    <w:p w14:paraId="5C9063DE" w14:textId="35F8B62A" w:rsidR="009665DF" w:rsidRDefault="009665DF" w:rsidP="009665DF">
      <w:pPr>
        <w:pStyle w:val="Heading3"/>
      </w:pPr>
      <w:bookmarkStart w:id="41" w:name="_Toc158043527"/>
      <w:r>
        <w:t>Addition of methods and factors to Schedule 4 for valuation of pensions in the payment phase with a guarantee period remaining</w:t>
      </w:r>
      <w:bookmarkEnd w:id="40"/>
      <w:bookmarkEnd w:id="41"/>
    </w:p>
    <w:p w14:paraId="2A54114B" w14:textId="116587B0" w:rsidR="009665DF" w:rsidRPr="00A926CC" w:rsidRDefault="004A465E" w:rsidP="009665DF">
      <w:pPr>
        <w:pStyle w:val="Heading4"/>
      </w:pPr>
      <w:r w:rsidRPr="00A926CC">
        <w:t>Section 66 and</w:t>
      </w:r>
      <w:r w:rsidR="00C34813" w:rsidRPr="00A926CC">
        <w:t xml:space="preserve"> Part 3 of</w:t>
      </w:r>
      <w:r w:rsidRPr="00A926CC">
        <w:t xml:space="preserve"> Schedule 5</w:t>
      </w:r>
    </w:p>
    <w:p w14:paraId="76283552" w14:textId="2B0A6492" w:rsidR="009665DF" w:rsidRDefault="009665DF" w:rsidP="009665DF">
      <w:r>
        <w:t xml:space="preserve">The existing Regulations </w:t>
      </w:r>
      <w:r w:rsidRPr="00CF0D02">
        <w:t>do not provide for valuation of</w:t>
      </w:r>
      <w:r>
        <w:t xml:space="preserve"> payment phase interests being paid as a</w:t>
      </w:r>
      <w:r w:rsidRPr="00CF0D02">
        <w:t xml:space="preserve"> pension with a guarantee period, where </w:t>
      </w:r>
      <w:r>
        <w:t>the full</w:t>
      </w:r>
      <w:r w:rsidRPr="00CF0D02">
        <w:t xml:space="preserve"> guarantee period has not yet elapsed.</w:t>
      </w:r>
      <w:r>
        <w:t xml:space="preserve"> The new Regulations provide a ‘default’ method for valuing these interests. This method calculates the sum of:</w:t>
      </w:r>
    </w:p>
    <w:p w14:paraId="7F928B23" w14:textId="40257CAD" w:rsidR="009665DF" w:rsidRDefault="006F03AD" w:rsidP="00ED6477">
      <w:pPr>
        <w:pStyle w:val="Bullet1"/>
      </w:pPr>
      <w:r>
        <w:t>t</w:t>
      </w:r>
      <w:r w:rsidR="009665DF">
        <w:t>he present value of the pension payable for the remaining guarantee period (calculated by treating the pension payable within the remaining guarantee period as if it were a fixed term pension)</w:t>
      </w:r>
      <w:r w:rsidR="008E787A">
        <w:t>,</w:t>
      </w:r>
      <w:r w:rsidR="009665DF">
        <w:t xml:space="preserve"> and</w:t>
      </w:r>
    </w:p>
    <w:p w14:paraId="33F0C3C3" w14:textId="792CC39F" w:rsidR="009665DF" w:rsidRDefault="008E787A" w:rsidP="00ED6477">
      <w:pPr>
        <w:pStyle w:val="Bullet1"/>
      </w:pPr>
      <w:r>
        <w:t>t</w:t>
      </w:r>
      <w:r w:rsidR="009665DF">
        <w:t>he present value of the pension payable once the guarantee period has elapsed (calculated by treating the pension payable after the guarantee period as if it were a deferred pension commencing at the expiry of the guarantee period</w:t>
      </w:r>
      <w:r>
        <w:t>)</w:t>
      </w:r>
      <w:r w:rsidR="009665DF">
        <w:t>.</w:t>
      </w:r>
    </w:p>
    <w:p w14:paraId="3A9C80D9" w14:textId="1449A8B8" w:rsidR="000E7989" w:rsidRDefault="009665DF" w:rsidP="009665DF">
      <w:r>
        <w:t>The present value of the pension payable for the remaining guarantee period, calculated as if it were a fixed term pension, uses the valuation factors for fixed term pensions. The</w:t>
      </w:r>
      <w:r w:rsidR="00F6478E">
        <w:t>se</w:t>
      </w:r>
      <w:r>
        <w:t xml:space="preserve"> fixed term pension valuation factors </w:t>
      </w:r>
      <w:r w:rsidR="00F6478E">
        <w:t>a</w:t>
      </w:r>
      <w:r w:rsidR="005239CF">
        <w:t xml:space="preserve">re </w:t>
      </w:r>
      <w:r w:rsidR="00F6478E">
        <w:t>in</w:t>
      </w:r>
      <w:r w:rsidR="004A465E">
        <w:t xml:space="preserve"> Schedule 5 of</w:t>
      </w:r>
      <w:r w:rsidR="00F6478E">
        <w:t xml:space="preserve"> the existing Regulations, however they</w:t>
      </w:r>
      <w:r w:rsidR="00E83502">
        <w:t xml:space="preserve"> will be</w:t>
      </w:r>
      <w:r w:rsidR="001413A0">
        <w:t xml:space="preserve"> </w:t>
      </w:r>
      <w:r w:rsidR="00F6478E">
        <w:t xml:space="preserve">updated </w:t>
      </w:r>
      <w:r w:rsidR="008E787A">
        <w:t>in the new Regulations</w:t>
      </w:r>
      <w:r w:rsidR="004A465E">
        <w:t xml:space="preserve"> and set out at Schedule 7</w:t>
      </w:r>
      <w:r w:rsidR="008E787A">
        <w:t xml:space="preserve"> </w:t>
      </w:r>
      <w:r w:rsidR="00F6478E">
        <w:t>to reflect current actuarial assumptions</w:t>
      </w:r>
      <w:r>
        <w:t xml:space="preserve">. The present value of the pension payable after the guarantee period, calculated as if it were a deferred pension, uses new discount and survival factors, which </w:t>
      </w:r>
      <w:r w:rsidR="001413A0">
        <w:t xml:space="preserve">will be </w:t>
      </w:r>
      <w:r>
        <w:t xml:space="preserve">set out </w:t>
      </w:r>
      <w:r w:rsidR="004A465E">
        <w:t>in Division 3 of Part 3 of Schedule 5</w:t>
      </w:r>
      <w:r>
        <w:t xml:space="preserve"> of the new Regulations, together with the growth phase pension and reversion valuation factors at Schedule </w:t>
      </w:r>
      <w:r w:rsidR="004A465E">
        <w:t>3</w:t>
      </w:r>
      <w:r>
        <w:t xml:space="preserve"> of the new Regulations. The</w:t>
      </w:r>
      <w:r w:rsidR="00F6478E">
        <w:t>se</w:t>
      </w:r>
      <w:r>
        <w:t xml:space="preserve"> growth phase pension </w:t>
      </w:r>
      <w:r>
        <w:lastRenderedPageBreak/>
        <w:t>and reversion valuation factors</w:t>
      </w:r>
      <w:r w:rsidR="00F6478E">
        <w:t xml:space="preserve"> </w:t>
      </w:r>
      <w:r w:rsidR="005B05BA">
        <w:t xml:space="preserve">are </w:t>
      </w:r>
      <w:r w:rsidR="00F6478E">
        <w:t>in the</w:t>
      </w:r>
      <w:r>
        <w:t xml:space="preserve"> existing </w:t>
      </w:r>
      <w:proofErr w:type="gramStart"/>
      <w:r w:rsidR="005A4B2F">
        <w:t>R</w:t>
      </w:r>
      <w:r>
        <w:t>egulations</w:t>
      </w:r>
      <w:r w:rsidR="00F6478E">
        <w:t>,</w:t>
      </w:r>
      <w:proofErr w:type="gramEnd"/>
      <w:r w:rsidR="00F6478E">
        <w:t xml:space="preserve"> however they</w:t>
      </w:r>
      <w:r w:rsidR="00E83502">
        <w:t xml:space="preserve"> will also be</w:t>
      </w:r>
      <w:r w:rsidR="00F6478E">
        <w:t xml:space="preserve"> updated to reflect current actuarial assumptions</w:t>
      </w:r>
      <w:r>
        <w:t xml:space="preserve">. </w:t>
      </w:r>
    </w:p>
    <w:p w14:paraId="3692E808" w14:textId="049B6F92" w:rsidR="009665DF" w:rsidRDefault="009665DF" w:rsidP="009665DF">
      <w:r>
        <w:t xml:space="preserve">The addition of this method </w:t>
      </w:r>
      <w:r w:rsidR="00E83502">
        <w:t xml:space="preserve">will </w:t>
      </w:r>
      <w:r>
        <w:t>enable a wider range of superannuation interests to be valued using the ‘default’ methods and factors in the new Regulations.</w:t>
      </w:r>
    </w:p>
    <w:p w14:paraId="3CDC4CBA" w14:textId="3EC054E8" w:rsidR="009665DF" w:rsidRDefault="009665DF" w:rsidP="009665DF">
      <w:pPr>
        <w:pStyle w:val="Heading3"/>
      </w:pPr>
      <w:bookmarkStart w:id="42" w:name="_Toc152061079"/>
      <w:bookmarkStart w:id="43" w:name="_Toc158043528"/>
      <w:r w:rsidRPr="008A7BA5">
        <w:t>Updated family law interest rate methodology</w:t>
      </w:r>
      <w:bookmarkEnd w:id="42"/>
      <w:bookmarkEnd w:id="43"/>
    </w:p>
    <w:p w14:paraId="6A7862E5" w14:textId="1C73D503" w:rsidR="009665DF" w:rsidRDefault="009665DF" w:rsidP="009665DF">
      <w:pPr>
        <w:pStyle w:val="Heading4"/>
      </w:pPr>
      <w:r>
        <w:t>S</w:t>
      </w:r>
      <w:r w:rsidR="00CC0DFA">
        <w:t>ubs</w:t>
      </w:r>
      <w:r>
        <w:t>ection</w:t>
      </w:r>
      <w:r w:rsidRPr="008A7BA5">
        <w:t xml:space="preserve"> </w:t>
      </w:r>
      <w:r w:rsidR="004A465E">
        <w:t>74</w:t>
      </w:r>
      <w:r w:rsidR="00CC0DFA">
        <w:t>(4)</w:t>
      </w:r>
    </w:p>
    <w:p w14:paraId="2776D78A" w14:textId="4F993C6A" w:rsidR="009665DF" w:rsidRPr="00394DB4" w:rsidRDefault="009665DF" w:rsidP="009665DF">
      <w:r>
        <w:t>The new Regulations contain amendments to the methods that are prescribed for calculating the rate of interest to be applied in adjusting a base amount that has been allocated to the non-member spouse. These amendments bring the method</w:t>
      </w:r>
      <w:r w:rsidR="005504B5">
        <w:t>s</w:t>
      </w:r>
      <w:r>
        <w:t xml:space="preserve"> in line with </w:t>
      </w:r>
      <w:r w:rsidRPr="00597FC5">
        <w:t>current actuarial assumptions</w:t>
      </w:r>
      <w:r w:rsidR="005504B5">
        <w:t>. The specific provisions that contain the new methods have not been published in the exposure draft Regulations, for the reasons explained above</w:t>
      </w:r>
      <w:r>
        <w:t>.</w:t>
      </w:r>
      <w:r w:rsidRPr="00597FC5">
        <w:t xml:space="preserve"> </w:t>
      </w:r>
    </w:p>
    <w:p w14:paraId="153795A3" w14:textId="754370EF" w:rsidR="009665DF" w:rsidRDefault="009665DF" w:rsidP="009665DF">
      <w:pPr>
        <w:pStyle w:val="Heading3"/>
      </w:pPr>
      <w:bookmarkStart w:id="44" w:name="_Toc152061080"/>
      <w:bookmarkStart w:id="45" w:name="_Toc158043529"/>
      <w:r>
        <w:t>Additional valuation tables to account for different retirement ages</w:t>
      </w:r>
      <w:bookmarkEnd w:id="44"/>
      <w:bookmarkEnd w:id="45"/>
    </w:p>
    <w:p w14:paraId="10745327" w14:textId="739B0AFF" w:rsidR="009665DF" w:rsidRPr="00E472A7" w:rsidRDefault="009665DF" w:rsidP="009665DF">
      <w:pPr>
        <w:pStyle w:val="Heading4"/>
      </w:pPr>
      <w:r>
        <w:t>Part 2</w:t>
      </w:r>
      <w:r w:rsidR="00C34813">
        <w:t xml:space="preserve"> of Schedule 3</w:t>
      </w:r>
    </w:p>
    <w:p w14:paraId="59A6B6D7" w14:textId="5A6515EB" w:rsidR="009665DF" w:rsidRPr="00EA2052" w:rsidRDefault="009665DF" w:rsidP="009665DF">
      <w:r>
        <w:t>Part 2</w:t>
      </w:r>
      <w:r w:rsidR="00C34813">
        <w:t xml:space="preserve"> of Schedule 3</w:t>
      </w:r>
      <w:r>
        <w:t xml:space="preserve"> of the new Regulations provide</w:t>
      </w:r>
      <w:r w:rsidR="000E7989">
        <w:t>s</w:t>
      </w:r>
      <w:r>
        <w:t xml:space="preserve"> ‘default’ valuation factors for interests relating to current employment, where the benefit is payable only as a lump sum. The existing Regulations only provide valuation factors for superannuation plans with a normal retirement age of 60. The new Regulations provide valuation factors for superannuation plans with normal retirement ages of 60 and 65, in recognition of the different lump sum withdrawal rates associated with different normal retirement ages. </w:t>
      </w:r>
    </w:p>
    <w:p w14:paraId="6BC12E5E" w14:textId="7DF69B64" w:rsidR="009665DF" w:rsidRDefault="009665DF" w:rsidP="009665DF">
      <w:pPr>
        <w:pStyle w:val="Heading3"/>
      </w:pPr>
      <w:bookmarkStart w:id="46" w:name="_Toc152061081"/>
      <w:bookmarkStart w:id="47" w:name="_Toc158043530"/>
      <w:r>
        <w:t>Updated assumptions regarding the proportion of a benefit likely to be taken as a pension versus as a lump sum</w:t>
      </w:r>
      <w:bookmarkEnd w:id="46"/>
      <w:bookmarkEnd w:id="47"/>
      <w:r>
        <w:t xml:space="preserve"> </w:t>
      </w:r>
    </w:p>
    <w:p w14:paraId="6D1CCB4D" w14:textId="2CEEF650" w:rsidR="009665DF" w:rsidRPr="00E472A7" w:rsidRDefault="009665DF" w:rsidP="009665DF">
      <w:pPr>
        <w:pStyle w:val="Heading4"/>
      </w:pPr>
      <w:r>
        <w:t xml:space="preserve">Parts </w:t>
      </w:r>
      <w:r w:rsidR="00CC0DFA">
        <w:t>5</w:t>
      </w:r>
      <w:r>
        <w:t xml:space="preserve"> and </w:t>
      </w:r>
      <w:r w:rsidR="00CC0DFA">
        <w:t>8</w:t>
      </w:r>
      <w:r w:rsidR="00C34813">
        <w:t xml:space="preserve"> of Schedule 3</w:t>
      </w:r>
    </w:p>
    <w:p w14:paraId="04B02C42" w14:textId="3DE81194" w:rsidR="009665DF" w:rsidRPr="00240660" w:rsidRDefault="009665DF" w:rsidP="009665DF">
      <w:r>
        <w:t xml:space="preserve">Parts </w:t>
      </w:r>
      <w:r w:rsidR="00CC0DFA">
        <w:t>5</w:t>
      </w:r>
      <w:r>
        <w:t xml:space="preserve"> and </w:t>
      </w:r>
      <w:r w:rsidR="00CC0DFA">
        <w:t>8</w:t>
      </w:r>
      <w:r>
        <w:t xml:space="preserve"> of Schedule </w:t>
      </w:r>
      <w:r w:rsidR="00CC0DFA">
        <w:t>3</w:t>
      </w:r>
      <w:r>
        <w:t xml:space="preserve"> of the new Regulations provide the ‘default’ methods for valuation of a defined benefit interest in the growth phase where the benefit is payable as a combination of a lump sum and a pension. Part </w:t>
      </w:r>
      <w:r w:rsidR="00CC0DFA">
        <w:t>5</w:t>
      </w:r>
      <w:r>
        <w:t xml:space="preserve"> is for an interest that relates to current employment, and Part </w:t>
      </w:r>
      <w:r w:rsidR="00CC0DFA">
        <w:t>8</w:t>
      </w:r>
      <w:r>
        <w:t xml:space="preserve"> is for an interest that relates to former employment. The assumption on which the methods are based has changed, </w:t>
      </w:r>
      <w:r w:rsidR="005504B5">
        <w:t>in line with current actuarial assumptions. The specific provisions that contain the new method</w:t>
      </w:r>
      <w:r w:rsidR="00F3239E">
        <w:t>s</w:t>
      </w:r>
      <w:r w:rsidR="005504B5">
        <w:t xml:space="preserve"> have not been published in the exposure draft Regulations, for the reasons explained above.</w:t>
      </w:r>
    </w:p>
    <w:p w14:paraId="759E8703" w14:textId="77582280" w:rsidR="009665DF" w:rsidRDefault="009665DF" w:rsidP="009665DF">
      <w:pPr>
        <w:pStyle w:val="Heading3"/>
      </w:pPr>
      <w:bookmarkStart w:id="48" w:name="_Toc152061082"/>
      <w:bookmarkStart w:id="49" w:name="_Toc158043531"/>
      <w:r>
        <w:t>Valuation factors for invalidity pensions</w:t>
      </w:r>
      <w:bookmarkEnd w:id="48"/>
      <w:bookmarkEnd w:id="49"/>
    </w:p>
    <w:p w14:paraId="5DAE7047" w14:textId="0F1B52E3" w:rsidR="009665DF" w:rsidRDefault="00CC0DFA" w:rsidP="009665DF">
      <w:pPr>
        <w:pStyle w:val="Heading4"/>
      </w:pPr>
      <w:r>
        <w:t>Paragraph</w:t>
      </w:r>
      <w:r w:rsidRPr="00CC0DFA">
        <w:t xml:space="preserve"> 66(2)(b)</w:t>
      </w:r>
      <w:r w:rsidR="009665DF" w:rsidRPr="00CC0DFA">
        <w:t xml:space="preserve"> and Schedule </w:t>
      </w:r>
      <w:r w:rsidRPr="00CC0DFA">
        <w:t>6</w:t>
      </w:r>
    </w:p>
    <w:p w14:paraId="08164D1B" w14:textId="60E90516" w:rsidR="009665DF" w:rsidRDefault="009665DF" w:rsidP="009665DF">
      <w:r>
        <w:t>The new Regulations contain new valuation factors for superannuation interests in the payment phase, where benefits are being paid as a lifetime pension, whe</w:t>
      </w:r>
      <w:r w:rsidR="00C05C3B">
        <w:t>n</w:t>
      </w:r>
      <w:r>
        <w:t xml:space="preserve"> the member spouse is receiving the pension due to invalidity. These new valuation factors are intended to account for the fact that members who exit the workforce due to invalidity will experience higher than average rates of mortality, and to ensure that pensions payable upon invalidity are valued as accurately as possible. The new Regulations provide valuation factors for lifetime invalidity pensions in the payment phase with 8 different levels of indexation.</w:t>
      </w:r>
    </w:p>
    <w:p w14:paraId="31857A99" w14:textId="27FFF693" w:rsidR="009665DF" w:rsidRDefault="009665DF" w:rsidP="009665DF">
      <w:pPr>
        <w:pStyle w:val="Heading3"/>
      </w:pPr>
      <w:bookmarkStart w:id="50" w:name="_Toc152061083"/>
      <w:bookmarkStart w:id="51" w:name="_Toc158043532"/>
      <w:r>
        <w:lastRenderedPageBreak/>
        <w:t>No ‘default’ valuation methods or factors for fixed term and lifetime annuities</w:t>
      </w:r>
      <w:bookmarkEnd w:id="50"/>
      <w:bookmarkEnd w:id="51"/>
    </w:p>
    <w:p w14:paraId="68BD1BD1" w14:textId="26479832" w:rsidR="009665DF" w:rsidRDefault="009665DF" w:rsidP="009665DF">
      <w:pPr>
        <w:pStyle w:val="Heading4"/>
      </w:pPr>
      <w:r>
        <w:t>S</w:t>
      </w:r>
      <w:r w:rsidR="00CC0DFA">
        <w:t>ubs</w:t>
      </w:r>
      <w:r>
        <w:t xml:space="preserve">ection </w:t>
      </w:r>
      <w:r w:rsidR="00CC0DFA">
        <w:t>35(3)</w:t>
      </w:r>
    </w:p>
    <w:p w14:paraId="39E111C5" w14:textId="466859A0" w:rsidR="009665DF" w:rsidRDefault="009665DF" w:rsidP="009665DF">
      <w:bookmarkStart w:id="52" w:name="_Hlk151986159"/>
      <w:r>
        <w:t xml:space="preserve">Section </w:t>
      </w:r>
      <w:r w:rsidR="008B1B6B">
        <w:t>35</w:t>
      </w:r>
      <w:r>
        <w:t xml:space="preserve"> of the new Regulations applies where a trustee establishes a new annuity, or transfers, rolls over or pays an amount, in satisfaction of the non-member spouse’s entitlement under a superannuation splitting agreement or order. In order to calculate the non-member spouse’s entitlement, the value of the member spouse’s annuity must be determined first. Where the non-member spouse’s entitlement arises from a </w:t>
      </w:r>
      <w:r w:rsidRPr="005808F1">
        <w:rPr>
          <w:i/>
        </w:rPr>
        <w:t>superannuation agreement</w:t>
      </w:r>
      <w:r>
        <w:t xml:space="preserve">, </w:t>
      </w:r>
      <w:r w:rsidRPr="005A3498">
        <w:t xml:space="preserve">subsection </w:t>
      </w:r>
      <w:r w:rsidR="008B1B6B" w:rsidRPr="005A3498">
        <w:t>35(3)</w:t>
      </w:r>
      <w:r>
        <w:t xml:space="preserve"> of the new Regulations requires that the value of the member spouse’s annuity be calculated using a basis agreed upon by the parties. </w:t>
      </w:r>
      <w:bookmarkStart w:id="53" w:name="_Hlk151985972"/>
      <w:r>
        <w:t xml:space="preserve">Where the non-member spouse’s entitlement arises from a </w:t>
      </w:r>
      <w:r w:rsidRPr="005808F1">
        <w:rPr>
          <w:i/>
        </w:rPr>
        <w:t>superannuation splitting order</w:t>
      </w:r>
      <w:r>
        <w:t>, the court must determine the value of the annuity by such method as it considers appropriate</w:t>
      </w:r>
      <w:bookmarkEnd w:id="52"/>
      <w:bookmarkEnd w:id="53"/>
      <w:r>
        <w:t>.</w:t>
      </w:r>
    </w:p>
    <w:p w14:paraId="0A737B2D" w14:textId="00424AF3" w:rsidR="009665DF" w:rsidRDefault="009665DF" w:rsidP="009665DF">
      <w:bookmarkStart w:id="54" w:name="_Hlk151985984"/>
      <w:r>
        <w:t xml:space="preserve">This is a change from the existing Regulations, which prescribe ‘default’ valuation methods and factors for </w:t>
      </w:r>
      <w:r w:rsidR="005504B5">
        <w:t>lifetime</w:t>
      </w:r>
      <w:r>
        <w:t xml:space="preserve"> annuities (at</w:t>
      </w:r>
      <w:r w:rsidR="008B1B6B">
        <w:t xml:space="preserve"> existing</w:t>
      </w:r>
      <w:r>
        <w:t xml:space="preserve"> regulation 14Q(7)(c) and Schedule 4A) and </w:t>
      </w:r>
      <w:r w:rsidR="005504B5">
        <w:t xml:space="preserve">fixed term </w:t>
      </w:r>
      <w:r>
        <w:t xml:space="preserve">annuities (at </w:t>
      </w:r>
      <w:r w:rsidR="008B1B6B">
        <w:t xml:space="preserve">existing </w:t>
      </w:r>
      <w:r>
        <w:t>regulation 14Q(7)(d) and Schedule 5A). These ‘default’ valuation methods and factors for annuities have been removed as the</w:t>
      </w:r>
      <w:r w:rsidR="00F009F9">
        <w:t xml:space="preserve"> </w:t>
      </w:r>
      <w:r>
        <w:t xml:space="preserve">AGA has advised they are no longer fit for purpose, due to the increasing variation </w:t>
      </w:r>
      <w:r w:rsidR="005808F1">
        <w:t>in the types of</w:t>
      </w:r>
      <w:r>
        <w:t xml:space="preserve"> superannuation annuities available for purchase by retirees</w:t>
      </w:r>
      <w:r w:rsidR="009564EF">
        <w:t xml:space="preserve"> and the potential for variations in assumed mortality rates</w:t>
      </w:r>
      <w:r>
        <w:t>.</w:t>
      </w:r>
    </w:p>
    <w:p w14:paraId="3A02159A" w14:textId="19604530" w:rsidR="0032403B" w:rsidRPr="00A926CC" w:rsidRDefault="0032403B" w:rsidP="0032403B">
      <w:pPr>
        <w:pStyle w:val="Heading3"/>
      </w:pPr>
      <w:bookmarkStart w:id="55" w:name="_Toc158043533"/>
      <w:r w:rsidRPr="00A926CC">
        <w:t>Commencement of the new Regulations</w:t>
      </w:r>
      <w:bookmarkEnd w:id="55"/>
    </w:p>
    <w:p w14:paraId="6548190A" w14:textId="40A1223B" w:rsidR="00D83919" w:rsidRPr="00A926CC" w:rsidRDefault="0032403B" w:rsidP="0032403B">
      <w:r w:rsidRPr="00A926CC">
        <w:t>The new Regulations must commence on or before 1 April 2025</w:t>
      </w:r>
      <w:r w:rsidR="00D83919" w:rsidRPr="00A926CC">
        <w:t xml:space="preserve"> w</w:t>
      </w:r>
      <w:r w:rsidR="00E72B6B" w:rsidRPr="00A926CC">
        <w:t>hich is the date</w:t>
      </w:r>
      <w:r w:rsidR="00D83919" w:rsidRPr="00A926CC">
        <w:t xml:space="preserve"> the existing Regulations </w:t>
      </w:r>
      <w:r w:rsidR="00D833F8" w:rsidRPr="00A926CC">
        <w:t xml:space="preserve">are due to </w:t>
      </w:r>
      <w:r w:rsidR="00D83919" w:rsidRPr="00A926CC">
        <w:t>sunset</w:t>
      </w:r>
      <w:r w:rsidR="00E72B6B" w:rsidRPr="00A926CC">
        <w:t>.</w:t>
      </w:r>
      <w:r w:rsidR="00277A30" w:rsidRPr="00A926CC">
        <w:t xml:space="preserve"> </w:t>
      </w:r>
      <w:r w:rsidR="008E1EC0" w:rsidRPr="00A926CC">
        <w:t>Before the</w:t>
      </w:r>
      <w:r w:rsidR="00E72B6B" w:rsidRPr="00A926CC">
        <w:t xml:space="preserve"> new Regulations can </w:t>
      </w:r>
      <w:r w:rsidR="00D83919" w:rsidRPr="00A926CC">
        <w:t>commence</w:t>
      </w:r>
      <w:r w:rsidR="008E1EC0" w:rsidRPr="00A926CC">
        <w:t xml:space="preserve">, they must </w:t>
      </w:r>
      <w:r w:rsidR="00277A30" w:rsidRPr="00A926CC">
        <w:t>be made</w:t>
      </w:r>
      <w:r w:rsidR="00150B84" w:rsidRPr="00A926CC">
        <w:t xml:space="preserve"> (approved</w:t>
      </w:r>
      <w:r w:rsidR="00E72B6B" w:rsidRPr="00A926CC">
        <w:t xml:space="preserve"> by the Federal Executive Council</w:t>
      </w:r>
      <w:r w:rsidR="00150B84" w:rsidRPr="00A926CC">
        <w:t>)</w:t>
      </w:r>
      <w:r w:rsidR="00E72B6B" w:rsidRPr="00A926CC">
        <w:t xml:space="preserve"> and </w:t>
      </w:r>
      <w:r w:rsidR="008E1EC0" w:rsidRPr="00A926CC">
        <w:t xml:space="preserve">then </w:t>
      </w:r>
      <w:r w:rsidR="00E72B6B" w:rsidRPr="00A926CC">
        <w:t>registered (published) on the Federal Register of Legislation</w:t>
      </w:r>
      <w:r w:rsidR="008E1EC0" w:rsidRPr="00A926CC">
        <w:t>. T</w:t>
      </w:r>
      <w:r w:rsidR="00E72B6B" w:rsidRPr="00A926CC">
        <w:t>his can</w:t>
      </w:r>
      <w:r w:rsidR="008E1EC0" w:rsidRPr="00A926CC">
        <w:t xml:space="preserve"> occur</w:t>
      </w:r>
      <w:r w:rsidR="00E72B6B" w:rsidRPr="00A926CC">
        <w:t xml:space="preserve"> any time before 1 April 2025</w:t>
      </w:r>
      <w:r w:rsidR="009573C4" w:rsidRPr="00A926CC">
        <w:t>. The new Regulations can only be provided to the Federal Executive Council once they have been finalised by the department and approved by the Attorney-General.</w:t>
      </w:r>
      <w:r w:rsidR="000D3A41" w:rsidRPr="00A926CC">
        <w:t xml:space="preserve"> </w:t>
      </w:r>
      <w:r w:rsidR="00193517" w:rsidRPr="00A926CC">
        <w:t xml:space="preserve">The final quarter of 2024 </w:t>
      </w:r>
      <w:r w:rsidR="00E75980" w:rsidRPr="00A926CC">
        <w:t xml:space="preserve">is </w:t>
      </w:r>
      <w:r w:rsidR="00193517" w:rsidRPr="00A926CC">
        <w:t>the earliest that the</w:t>
      </w:r>
      <w:r w:rsidR="000D3A41" w:rsidRPr="00A926CC">
        <w:t xml:space="preserve"> new Regulations </w:t>
      </w:r>
      <w:r w:rsidR="00E75980" w:rsidRPr="00A926CC">
        <w:t>w</w:t>
      </w:r>
      <w:r w:rsidR="00193517" w:rsidRPr="00A926CC">
        <w:t xml:space="preserve">ould be made </w:t>
      </w:r>
      <w:r w:rsidR="000D3A41" w:rsidRPr="00A926CC">
        <w:t>and registered on the Federal Register of Legislation.</w:t>
      </w:r>
    </w:p>
    <w:p w14:paraId="5B089660" w14:textId="6B60FFC8" w:rsidR="00366205" w:rsidRPr="00A926CC" w:rsidRDefault="00E75980" w:rsidP="00366205">
      <w:r w:rsidRPr="00A926CC">
        <w:t>Once this occurs</w:t>
      </w:r>
      <w:r w:rsidR="00366205" w:rsidRPr="00A926CC">
        <w:t xml:space="preserve">, the new and updated valuation </w:t>
      </w:r>
      <w:r w:rsidR="00DA4A76" w:rsidRPr="00A926CC">
        <w:t xml:space="preserve">methods and </w:t>
      </w:r>
      <w:r w:rsidR="00366205" w:rsidRPr="00A926CC">
        <w:t xml:space="preserve">factors will be </w:t>
      </w:r>
      <w:r w:rsidR="005635E3" w:rsidRPr="00A926CC">
        <w:t xml:space="preserve">publicly </w:t>
      </w:r>
      <w:r w:rsidR="00366205" w:rsidRPr="00A926CC">
        <w:t xml:space="preserve">available, as </w:t>
      </w:r>
      <w:r w:rsidRPr="00A926CC">
        <w:t>part of</w:t>
      </w:r>
      <w:r w:rsidR="00366205" w:rsidRPr="00A926CC">
        <w:t xml:space="preserve"> the new</w:t>
      </w:r>
      <w:r w:rsidR="00304A26" w:rsidRPr="00A926CC">
        <w:t xml:space="preserve"> </w:t>
      </w:r>
      <w:r w:rsidR="00366205" w:rsidRPr="00A926CC">
        <w:t xml:space="preserve">Regulations. As noted earlier, </w:t>
      </w:r>
      <w:r w:rsidR="002F12A7" w:rsidRPr="00A926CC">
        <w:t xml:space="preserve">certain </w:t>
      </w:r>
      <w:r w:rsidR="00DA4A76" w:rsidRPr="00A926CC">
        <w:t xml:space="preserve">methods and </w:t>
      </w:r>
      <w:r w:rsidR="009464E6" w:rsidRPr="00A926CC">
        <w:t xml:space="preserve">all </w:t>
      </w:r>
      <w:r w:rsidR="00366205" w:rsidRPr="00A926CC">
        <w:t>factors are not included in the exposure draft Regulations.</w:t>
      </w:r>
    </w:p>
    <w:p w14:paraId="62DD3F36" w14:textId="5CD11759" w:rsidR="00D83919" w:rsidRPr="00A926CC" w:rsidRDefault="00D83919" w:rsidP="0032403B">
      <w:r w:rsidRPr="00A926CC">
        <w:t xml:space="preserve">The </w:t>
      </w:r>
      <w:r w:rsidR="006204E1" w:rsidRPr="00A926CC">
        <w:t xml:space="preserve">new Regulations </w:t>
      </w:r>
      <w:r w:rsidR="00E72B6B" w:rsidRPr="00A926CC">
        <w:t>will</w:t>
      </w:r>
      <w:r w:rsidRPr="00A926CC">
        <w:t xml:space="preserve"> specify when they </w:t>
      </w:r>
      <w:r w:rsidR="00CC5E95" w:rsidRPr="00A926CC">
        <w:t xml:space="preserve">are to </w:t>
      </w:r>
      <w:r w:rsidRPr="00A926CC">
        <w:t>commence</w:t>
      </w:r>
      <w:r w:rsidR="009573C4" w:rsidRPr="00A926CC">
        <w:t>. This could be</w:t>
      </w:r>
      <w:r w:rsidRPr="00A926CC">
        <w:t xml:space="preserve"> immediately (once the</w:t>
      </w:r>
      <w:r w:rsidR="00CC5E95" w:rsidRPr="00A926CC">
        <w:t xml:space="preserve"> </w:t>
      </w:r>
      <w:r w:rsidR="00E75980" w:rsidRPr="00A926CC">
        <w:t xml:space="preserve">new </w:t>
      </w:r>
      <w:r w:rsidR="00CC5E95" w:rsidRPr="00A926CC">
        <w:t>Regulations</w:t>
      </w:r>
      <w:r w:rsidRPr="00A926CC">
        <w:t xml:space="preserve"> are registered on the Federal Register of Legislation)</w:t>
      </w:r>
      <w:r w:rsidR="006C12DD" w:rsidRPr="00A926CC">
        <w:t xml:space="preserve">, </w:t>
      </w:r>
      <w:r w:rsidRPr="00A926CC">
        <w:t>on a particular date</w:t>
      </w:r>
      <w:r w:rsidR="006C12DD" w:rsidRPr="00A926CC">
        <w:t>,</w:t>
      </w:r>
      <w:r w:rsidRPr="00A926CC">
        <w:t xml:space="preserve"> or after a period of time (for example, 3 months).</w:t>
      </w:r>
      <w:r w:rsidR="00E72B6B" w:rsidRPr="00A926CC">
        <w:t xml:space="preserve"> </w:t>
      </w:r>
    </w:p>
    <w:p w14:paraId="62295EEE" w14:textId="6D06E6AA" w:rsidR="003169B2" w:rsidRPr="00A926CC" w:rsidRDefault="009D6523" w:rsidP="0032403B">
      <w:r w:rsidRPr="00A926CC">
        <w:t>A</w:t>
      </w:r>
      <w:r w:rsidR="00827C7C" w:rsidRPr="00A926CC">
        <w:t xml:space="preserve"> commencement date has not been included in the exposure draft Regulations </w:t>
      </w:r>
      <w:r w:rsidR="00BF3E4E" w:rsidRPr="00A926CC">
        <w:t xml:space="preserve">and the </w:t>
      </w:r>
      <w:r w:rsidR="00277A30" w:rsidRPr="00A926CC">
        <w:t xml:space="preserve">department </w:t>
      </w:r>
      <w:r w:rsidR="00BF3E4E" w:rsidRPr="00A926CC">
        <w:t xml:space="preserve">is </w:t>
      </w:r>
      <w:r w:rsidR="00277A30" w:rsidRPr="00A926CC">
        <w:t>seek</w:t>
      </w:r>
      <w:r w:rsidR="00BF3E4E" w:rsidRPr="00A926CC">
        <w:t>ing</w:t>
      </w:r>
      <w:r w:rsidR="002C7AB7" w:rsidRPr="00A926CC">
        <w:t xml:space="preserve"> </w:t>
      </w:r>
      <w:r w:rsidR="00277A30" w:rsidRPr="00A926CC">
        <w:t xml:space="preserve">views on </w:t>
      </w:r>
      <w:r w:rsidR="003862D9" w:rsidRPr="00A926CC">
        <w:t xml:space="preserve">any practical or administrative reasons </w:t>
      </w:r>
      <w:r w:rsidR="0030534D" w:rsidRPr="00A926CC">
        <w:t>that might necessitate</w:t>
      </w:r>
      <w:r w:rsidR="003862D9" w:rsidRPr="00A926CC">
        <w:t xml:space="preserve"> a delay </w:t>
      </w:r>
      <w:r w:rsidR="0030534D" w:rsidRPr="00A926CC">
        <w:t>from</w:t>
      </w:r>
      <w:r w:rsidR="003862D9" w:rsidRPr="00A926CC">
        <w:t xml:space="preserve"> </w:t>
      </w:r>
      <w:r w:rsidRPr="00A926CC">
        <w:t xml:space="preserve">when </w:t>
      </w:r>
      <w:r w:rsidR="003862D9" w:rsidRPr="00A926CC">
        <w:t xml:space="preserve">the new Regulations </w:t>
      </w:r>
      <w:r w:rsidRPr="00A926CC">
        <w:t xml:space="preserve">are </w:t>
      </w:r>
      <w:r w:rsidR="0039543D" w:rsidRPr="00A926CC">
        <w:t>registered on the Federal Register of Legislation</w:t>
      </w:r>
      <w:r w:rsidR="0030534D" w:rsidRPr="00A926CC">
        <w:t xml:space="preserve"> to</w:t>
      </w:r>
      <w:r w:rsidRPr="00A926CC">
        <w:t xml:space="preserve"> when they commence</w:t>
      </w:r>
      <w:r w:rsidR="003862D9" w:rsidRPr="00A926CC">
        <w:t>.</w:t>
      </w:r>
      <w:r w:rsidR="003169B2" w:rsidRPr="00A926CC">
        <w:t xml:space="preserve"> </w:t>
      </w:r>
    </w:p>
    <w:p w14:paraId="1D4AF5FE" w14:textId="1FCC116E" w:rsidR="0032403B" w:rsidRPr="00A926CC" w:rsidRDefault="00125498" w:rsidP="0032403B">
      <w:r w:rsidRPr="00A926CC">
        <w:t xml:space="preserve">The department envisages that </w:t>
      </w:r>
      <w:r w:rsidR="005C3781" w:rsidRPr="00A926CC">
        <w:t>superannuation trustees</w:t>
      </w:r>
      <w:r w:rsidRPr="00A926CC">
        <w:t xml:space="preserve"> may</w:t>
      </w:r>
      <w:r w:rsidR="005C3781" w:rsidRPr="00A926CC">
        <w:t xml:space="preserve"> require </w:t>
      </w:r>
      <w:r w:rsidRPr="00A926CC">
        <w:t xml:space="preserve">time </w:t>
      </w:r>
      <w:r w:rsidR="005C3781" w:rsidRPr="00A926CC">
        <w:t>to update systems to reflect the new valuation methods and factors</w:t>
      </w:r>
      <w:r w:rsidR="0039543D" w:rsidRPr="00A926CC">
        <w:t>, once they are known</w:t>
      </w:r>
      <w:r w:rsidRPr="00A926CC">
        <w:t>. However</w:t>
      </w:r>
      <w:r w:rsidR="00395521" w:rsidRPr="00A926CC">
        <w:t>,</w:t>
      </w:r>
      <w:r w:rsidRPr="00A926CC">
        <w:t xml:space="preserve"> the amount of time </w:t>
      </w:r>
      <w:r w:rsidR="006C12DD" w:rsidRPr="00A926CC">
        <w:t xml:space="preserve">provided </w:t>
      </w:r>
      <w:r w:rsidR="00C723AA" w:rsidRPr="00A926CC">
        <w:t xml:space="preserve">for this purpose </w:t>
      </w:r>
      <w:r w:rsidRPr="00A926CC">
        <w:t>will need to be</w:t>
      </w:r>
      <w:r w:rsidR="00BF3E4E" w:rsidRPr="00A926CC">
        <w:t xml:space="preserve"> </w:t>
      </w:r>
      <w:r w:rsidRPr="00A926CC">
        <w:t>balanced</w:t>
      </w:r>
      <w:r w:rsidR="006C12DD" w:rsidRPr="00A926CC">
        <w:t xml:space="preserve"> alongside </w:t>
      </w:r>
      <w:r w:rsidR="005C3781" w:rsidRPr="00A926CC">
        <w:t xml:space="preserve">the </w:t>
      </w:r>
      <w:r w:rsidR="008241A7" w:rsidRPr="00A926CC">
        <w:t xml:space="preserve">risk </w:t>
      </w:r>
      <w:r w:rsidR="00BF3E4E" w:rsidRPr="00A926CC">
        <w:t xml:space="preserve">that a delay in commencement may </w:t>
      </w:r>
      <w:r w:rsidR="008241A7" w:rsidRPr="00A926CC">
        <w:t>influenc</w:t>
      </w:r>
      <w:r w:rsidR="00BF3E4E" w:rsidRPr="00A926CC">
        <w:t>e</w:t>
      </w:r>
      <w:r w:rsidR="008241A7" w:rsidRPr="00A926CC">
        <w:t xml:space="preserve"> the </w:t>
      </w:r>
      <w:r w:rsidR="00591A25" w:rsidRPr="00A926CC">
        <w:lastRenderedPageBreak/>
        <w:t xml:space="preserve">behaviour </w:t>
      </w:r>
      <w:r w:rsidR="008241A7" w:rsidRPr="00A926CC">
        <w:t>of</w:t>
      </w:r>
      <w:r w:rsidR="00591A25" w:rsidRPr="00A926CC">
        <w:t xml:space="preserve"> separating parties depending on how </w:t>
      </w:r>
      <w:r w:rsidR="005C3781" w:rsidRPr="00A926CC">
        <w:t xml:space="preserve">the new valuation </w:t>
      </w:r>
      <w:r w:rsidR="00DA4A76" w:rsidRPr="00A926CC">
        <w:t xml:space="preserve">methods and </w:t>
      </w:r>
      <w:r w:rsidR="005C3781" w:rsidRPr="00A926CC">
        <w:t xml:space="preserve">factors </w:t>
      </w:r>
      <w:r w:rsidR="00591A25" w:rsidRPr="00A926CC">
        <w:t>might impact their particular</w:t>
      </w:r>
      <w:r w:rsidR="005C3781" w:rsidRPr="00A926CC">
        <w:t xml:space="preserve"> family law property </w:t>
      </w:r>
      <w:r w:rsidR="0041195E" w:rsidRPr="00A926CC">
        <w:t xml:space="preserve">division </w:t>
      </w:r>
      <w:r w:rsidR="00591A25" w:rsidRPr="00A926CC">
        <w:t>outcomes</w:t>
      </w:r>
      <w:r w:rsidR="00277A30" w:rsidRPr="00A926CC">
        <w:t>.</w:t>
      </w:r>
    </w:p>
    <w:tbl>
      <w:tblPr>
        <w:tblStyle w:val="TableGrid"/>
        <w:tblW w:w="0" w:type="auto"/>
        <w:tblLook w:val="04A0" w:firstRow="1" w:lastRow="0" w:firstColumn="1" w:lastColumn="0" w:noHBand="0" w:noVBand="1"/>
      </w:tblPr>
      <w:tblGrid>
        <w:gridCol w:w="10302"/>
      </w:tblGrid>
      <w:tr w:rsidR="009665DF" w14:paraId="32A648BC" w14:textId="77777777" w:rsidTr="0007150C">
        <w:tc>
          <w:tcPr>
            <w:tcW w:w="10528" w:type="dxa"/>
            <w:shd w:val="clear" w:color="auto" w:fill="E2E9EE"/>
          </w:tcPr>
          <w:p w14:paraId="0B492134" w14:textId="6276D3BB" w:rsidR="009665DF" w:rsidRPr="00A926CC" w:rsidRDefault="009665DF" w:rsidP="0007150C">
            <w:pPr>
              <w:pStyle w:val="Heading4"/>
            </w:pPr>
            <w:bookmarkStart w:id="56" w:name="_Hlk157704605"/>
            <w:bookmarkEnd w:id="54"/>
            <w:r w:rsidRPr="00A926CC">
              <w:t xml:space="preserve">Question </w:t>
            </w:r>
            <w:r w:rsidR="00082B62" w:rsidRPr="00A926CC">
              <w:t>7</w:t>
            </w:r>
          </w:p>
          <w:p w14:paraId="0F8B6FAE" w14:textId="2095B93A" w:rsidR="009665DF" w:rsidRPr="00A926CC" w:rsidRDefault="009665DF" w:rsidP="0007150C">
            <w:r w:rsidRPr="00A926CC">
              <w:t xml:space="preserve">Do you have concerns </w:t>
            </w:r>
            <w:r w:rsidR="009D63BA" w:rsidRPr="00A926CC">
              <w:t xml:space="preserve">that </w:t>
            </w:r>
            <w:r w:rsidRPr="00A926CC">
              <w:t xml:space="preserve">the new </w:t>
            </w:r>
            <w:r w:rsidR="00C15D98" w:rsidRPr="00A926CC">
              <w:t>R</w:t>
            </w:r>
            <w:r w:rsidRPr="00A926CC">
              <w:t xml:space="preserve">egulations </w:t>
            </w:r>
            <w:r w:rsidR="009D63BA" w:rsidRPr="00A926CC">
              <w:t xml:space="preserve">do </w:t>
            </w:r>
            <w:r w:rsidRPr="00A926CC">
              <w:t>not provid</w:t>
            </w:r>
            <w:r w:rsidR="009D63BA" w:rsidRPr="00A926CC">
              <w:t>e</w:t>
            </w:r>
            <w:r w:rsidRPr="00A926CC">
              <w:t xml:space="preserve"> a ‘default’ valuation method and factors for fixed term and lifetime annuities, where the trustee </w:t>
            </w:r>
            <w:r w:rsidR="00BD2710" w:rsidRPr="00A926CC">
              <w:t>satisfies</w:t>
            </w:r>
            <w:r w:rsidRPr="00A926CC">
              <w:t xml:space="preserve"> a payment splitting order or agreement by establishing a new annuity, or transferring, rolling over, or paying an amount to the non-member spouse?</w:t>
            </w:r>
          </w:p>
          <w:p w14:paraId="41DF06C9" w14:textId="06361F64" w:rsidR="005A70DA" w:rsidRPr="00A926CC" w:rsidRDefault="009665DF" w:rsidP="0007150C">
            <w:r w:rsidRPr="00A926CC">
              <w:t>If so, please expand on your concerns</w:t>
            </w:r>
            <w:r w:rsidR="002244E0" w:rsidRPr="00A926CC">
              <w:t xml:space="preserve">, including what you would </w:t>
            </w:r>
            <w:r w:rsidRPr="00A926CC">
              <w:t>propose instead</w:t>
            </w:r>
            <w:r w:rsidR="002244E0" w:rsidRPr="00A926CC">
              <w:t>.</w:t>
            </w:r>
          </w:p>
          <w:p w14:paraId="24143552" w14:textId="04E7754A" w:rsidR="005A70DA" w:rsidRPr="00A926CC" w:rsidRDefault="005A70DA" w:rsidP="005A70DA">
            <w:pPr>
              <w:pStyle w:val="Heading4"/>
            </w:pPr>
            <w:r w:rsidRPr="00A926CC">
              <w:t xml:space="preserve">Question </w:t>
            </w:r>
            <w:r w:rsidR="00082B62" w:rsidRPr="00A926CC">
              <w:t>8</w:t>
            </w:r>
          </w:p>
          <w:p w14:paraId="4D9EED37" w14:textId="209C2534" w:rsidR="00395521" w:rsidRPr="00A926CC" w:rsidRDefault="005808F1" w:rsidP="00C95EA6">
            <w:pPr>
              <w:pStyle w:val="Heading4"/>
              <w:spacing w:after="200" w:line="276" w:lineRule="auto"/>
              <w:rPr>
                <w:rFonts w:eastAsia="Calibri" w:cs="Calibri"/>
                <w:b w:val="0"/>
                <w:bCs w:val="0"/>
                <w:color w:val="auto"/>
                <w:sz w:val="22"/>
                <w:szCs w:val="22"/>
              </w:rPr>
            </w:pPr>
            <w:r w:rsidRPr="00A926CC">
              <w:rPr>
                <w:rFonts w:eastAsia="Calibri" w:cs="Calibri"/>
                <w:b w:val="0"/>
                <w:bCs w:val="0"/>
                <w:color w:val="auto"/>
                <w:sz w:val="22"/>
                <w:szCs w:val="22"/>
              </w:rPr>
              <w:t>What other</w:t>
            </w:r>
            <w:r w:rsidR="005A70DA" w:rsidRPr="00A926CC">
              <w:rPr>
                <w:rFonts w:eastAsia="Calibri" w:cs="Calibri"/>
                <w:b w:val="0"/>
                <w:bCs w:val="0"/>
                <w:color w:val="auto"/>
                <w:sz w:val="22"/>
                <w:szCs w:val="22"/>
              </w:rPr>
              <w:t xml:space="preserve"> co</w:t>
            </w:r>
            <w:r w:rsidR="00BD2710" w:rsidRPr="00A926CC">
              <w:rPr>
                <w:rFonts w:eastAsia="Calibri" w:cs="Calibri"/>
                <w:b w:val="0"/>
                <w:bCs w:val="0"/>
                <w:color w:val="auto"/>
                <w:sz w:val="22"/>
                <w:szCs w:val="22"/>
              </w:rPr>
              <w:t>mments</w:t>
            </w:r>
            <w:r w:rsidR="002244E0" w:rsidRPr="00A926CC">
              <w:rPr>
                <w:rFonts w:eastAsia="Calibri" w:cs="Calibri"/>
                <w:b w:val="0"/>
                <w:bCs w:val="0"/>
                <w:color w:val="auto"/>
                <w:sz w:val="22"/>
                <w:szCs w:val="22"/>
              </w:rPr>
              <w:t xml:space="preserve"> </w:t>
            </w:r>
            <w:r w:rsidRPr="00A926CC">
              <w:rPr>
                <w:rFonts w:eastAsia="Calibri" w:cs="Calibri"/>
                <w:b w:val="0"/>
                <w:bCs w:val="0"/>
                <w:color w:val="auto"/>
                <w:sz w:val="22"/>
                <w:szCs w:val="22"/>
              </w:rPr>
              <w:t>do you have</w:t>
            </w:r>
            <w:r w:rsidR="00BD2710" w:rsidRPr="00A926CC">
              <w:rPr>
                <w:rFonts w:eastAsia="Calibri" w:cs="Calibri"/>
                <w:b w:val="0"/>
                <w:bCs w:val="0"/>
                <w:color w:val="auto"/>
                <w:sz w:val="22"/>
                <w:szCs w:val="22"/>
              </w:rPr>
              <w:t xml:space="preserve"> </w:t>
            </w:r>
            <w:r w:rsidR="005A70DA" w:rsidRPr="00A926CC">
              <w:rPr>
                <w:rFonts w:eastAsia="Calibri" w:cs="Calibri"/>
                <w:b w:val="0"/>
                <w:bCs w:val="0"/>
                <w:color w:val="auto"/>
                <w:sz w:val="22"/>
                <w:szCs w:val="22"/>
              </w:rPr>
              <w:t xml:space="preserve">about </w:t>
            </w:r>
            <w:r w:rsidR="00752C3E" w:rsidRPr="00A926CC">
              <w:rPr>
                <w:rFonts w:eastAsia="Calibri" w:cs="Calibri"/>
                <w:b w:val="0"/>
                <w:bCs w:val="0"/>
                <w:color w:val="auto"/>
                <w:sz w:val="22"/>
                <w:szCs w:val="22"/>
              </w:rPr>
              <w:t xml:space="preserve">any of </w:t>
            </w:r>
            <w:r w:rsidR="005A70DA" w:rsidRPr="00A926CC">
              <w:rPr>
                <w:rFonts w:eastAsia="Calibri" w:cs="Calibri"/>
                <w:b w:val="0"/>
                <w:bCs w:val="0"/>
                <w:color w:val="auto"/>
                <w:sz w:val="22"/>
                <w:szCs w:val="22"/>
              </w:rPr>
              <w:t xml:space="preserve">the </w:t>
            </w:r>
            <w:r w:rsidR="00752C3E" w:rsidRPr="00A926CC">
              <w:rPr>
                <w:rFonts w:eastAsia="Calibri" w:cs="Calibri"/>
                <w:b w:val="0"/>
                <w:bCs w:val="0"/>
                <w:color w:val="auto"/>
                <w:sz w:val="22"/>
                <w:szCs w:val="22"/>
              </w:rPr>
              <w:t>new methods or factors that have been described</w:t>
            </w:r>
            <w:r w:rsidR="00395521" w:rsidRPr="00A926CC">
              <w:rPr>
                <w:rFonts w:eastAsia="Calibri" w:cs="Calibri"/>
                <w:b w:val="0"/>
                <w:bCs w:val="0"/>
                <w:color w:val="auto"/>
                <w:sz w:val="22"/>
                <w:szCs w:val="22"/>
              </w:rPr>
              <w:t>?</w:t>
            </w:r>
          </w:p>
          <w:p w14:paraId="05D60C5A" w14:textId="5F525753" w:rsidR="00BC230A" w:rsidRPr="00A926CC" w:rsidRDefault="00BC230A" w:rsidP="00BC230A">
            <w:pPr>
              <w:pStyle w:val="Heading4"/>
              <w:rPr>
                <w:rFonts w:eastAsia="Calibri" w:cs="Calibri"/>
                <w:b w:val="0"/>
                <w:bCs w:val="0"/>
                <w:color w:val="auto"/>
                <w:sz w:val="22"/>
                <w:szCs w:val="22"/>
              </w:rPr>
            </w:pPr>
            <w:r w:rsidRPr="00A926CC">
              <w:t xml:space="preserve">Question </w:t>
            </w:r>
            <w:r w:rsidR="00082B62" w:rsidRPr="00A926CC">
              <w:t>9</w:t>
            </w:r>
          </w:p>
          <w:p w14:paraId="73482AFE" w14:textId="52BCDE8F" w:rsidR="00787423" w:rsidRDefault="003842E3" w:rsidP="00030296">
            <w:r w:rsidRPr="00A926CC">
              <w:t xml:space="preserve">If the new </w:t>
            </w:r>
            <w:r w:rsidR="00C15D98" w:rsidRPr="00A926CC">
              <w:t>R</w:t>
            </w:r>
            <w:r w:rsidRPr="00A926CC">
              <w:t>egulations are</w:t>
            </w:r>
            <w:r w:rsidR="00C723AA" w:rsidRPr="00A926CC">
              <w:t xml:space="preserve"> </w:t>
            </w:r>
            <w:r w:rsidR="0041195E" w:rsidRPr="00A926CC">
              <w:t>made (</w:t>
            </w:r>
            <w:r w:rsidR="00C723AA" w:rsidRPr="00A926CC">
              <w:t>approved</w:t>
            </w:r>
            <w:r w:rsidR="0041195E" w:rsidRPr="00A926CC">
              <w:t>)</w:t>
            </w:r>
            <w:r w:rsidRPr="00A926CC">
              <w:t xml:space="preserve"> </w:t>
            </w:r>
            <w:r w:rsidR="003F36AC" w:rsidRPr="00A926CC">
              <w:t xml:space="preserve">and registered (published) </w:t>
            </w:r>
            <w:r w:rsidRPr="00A926CC">
              <w:t>earlier than 1 April 2025</w:t>
            </w:r>
            <w:r w:rsidR="00277A30" w:rsidRPr="00A926CC">
              <w:t xml:space="preserve"> (noting </w:t>
            </w:r>
            <w:r w:rsidR="00C723AA" w:rsidRPr="00A926CC">
              <w:t xml:space="preserve">that </w:t>
            </w:r>
            <w:r w:rsidR="008241A7" w:rsidRPr="00A926CC">
              <w:t xml:space="preserve">this </w:t>
            </w:r>
            <w:r w:rsidR="00304A26" w:rsidRPr="00A926CC">
              <w:t>w</w:t>
            </w:r>
            <w:r w:rsidR="008241A7" w:rsidRPr="00A926CC">
              <w:t>ould</w:t>
            </w:r>
            <w:r w:rsidR="0041195E" w:rsidRPr="00A926CC">
              <w:t xml:space="preserve"> not</w:t>
            </w:r>
            <w:r w:rsidR="008241A7" w:rsidRPr="00A926CC">
              <w:t xml:space="preserve"> </w:t>
            </w:r>
            <w:r w:rsidR="00C723AA" w:rsidRPr="00A926CC">
              <w:t xml:space="preserve">occur </w:t>
            </w:r>
            <w:r w:rsidR="008241A7" w:rsidRPr="00A926CC">
              <w:t>a</w:t>
            </w:r>
            <w:r w:rsidR="0041195E" w:rsidRPr="00A926CC">
              <w:t>ny</w:t>
            </w:r>
            <w:r w:rsidR="008241A7" w:rsidRPr="00A926CC">
              <w:t xml:space="preserve"> </w:t>
            </w:r>
            <w:r w:rsidR="00277A30" w:rsidRPr="00A926CC">
              <w:t>earl</w:t>
            </w:r>
            <w:r w:rsidR="0041195E" w:rsidRPr="00A926CC">
              <w:t>ier</w:t>
            </w:r>
            <w:r w:rsidR="00277A30" w:rsidRPr="00A926CC">
              <w:t xml:space="preserve"> </w:t>
            </w:r>
            <w:r w:rsidR="0041195E" w:rsidRPr="00A926CC">
              <w:t xml:space="preserve">than </w:t>
            </w:r>
            <w:r w:rsidR="00277A30" w:rsidRPr="00A926CC">
              <w:t>the final quarter of 2024)</w:t>
            </w:r>
            <w:r w:rsidRPr="00A926CC">
              <w:t xml:space="preserve">, </w:t>
            </w:r>
            <w:r w:rsidR="00030296" w:rsidRPr="00A926CC">
              <w:t>when should they commence</w:t>
            </w:r>
            <w:r w:rsidR="002244E0" w:rsidRPr="00A926CC">
              <w:t xml:space="preserve"> and why</w:t>
            </w:r>
            <w:r w:rsidR="00030296" w:rsidRPr="00A926CC">
              <w:t xml:space="preserve"> (for example, immediately, after 3 months,</w:t>
            </w:r>
            <w:r w:rsidR="00277A30" w:rsidRPr="00A926CC">
              <w:t xml:space="preserve"> or on</w:t>
            </w:r>
            <w:r w:rsidR="00030296" w:rsidRPr="00A926CC">
              <w:t xml:space="preserve"> 1 April 2025</w:t>
            </w:r>
            <w:r w:rsidR="0032403B" w:rsidRPr="00A926CC">
              <w:t>)</w:t>
            </w:r>
            <w:r w:rsidR="00277A30" w:rsidRPr="00A926CC">
              <w:t>?</w:t>
            </w:r>
            <w:r w:rsidR="00030296">
              <w:t xml:space="preserve"> </w:t>
            </w:r>
          </w:p>
        </w:tc>
      </w:tr>
      <w:bookmarkEnd w:id="56"/>
    </w:tbl>
    <w:p w14:paraId="54BD9EF3" w14:textId="69552132" w:rsidR="009665DF" w:rsidRDefault="009665DF" w:rsidP="0040192E">
      <w:pPr>
        <w:pStyle w:val="NoSpacing"/>
      </w:pPr>
    </w:p>
    <w:p w14:paraId="00C4D1E2" w14:textId="36451821" w:rsidR="0025197B" w:rsidRPr="00A926CC" w:rsidRDefault="0025197B" w:rsidP="0025197B">
      <w:pPr>
        <w:pStyle w:val="Heading3"/>
      </w:pPr>
      <w:bookmarkStart w:id="57" w:name="_Toc158043534"/>
      <w:bookmarkStart w:id="58" w:name="_Toc152061084"/>
      <w:r w:rsidRPr="00A926CC">
        <w:t>Application of the new and updated methods and factors</w:t>
      </w:r>
      <w:bookmarkEnd w:id="57"/>
    </w:p>
    <w:p w14:paraId="7E7644BB" w14:textId="4ECFACD6" w:rsidR="0025197B" w:rsidRPr="00A926CC" w:rsidRDefault="0025197B" w:rsidP="0025197B">
      <w:pPr>
        <w:rPr>
          <w:w w:val="100"/>
          <w:kern w:val="0"/>
        </w:rPr>
      </w:pPr>
      <w:r w:rsidRPr="00A926CC">
        <w:t xml:space="preserve">In circumstances where a </w:t>
      </w:r>
      <w:r w:rsidR="00CE28DC" w:rsidRPr="00A926CC">
        <w:t xml:space="preserve">member spouse’s </w:t>
      </w:r>
      <w:r w:rsidRPr="00A926CC">
        <w:t>superannuation interest is valued using the ‘default’ methods and factors</w:t>
      </w:r>
      <w:r w:rsidR="00CE28DC" w:rsidRPr="00A926CC">
        <w:t xml:space="preserve"> </w:t>
      </w:r>
      <w:r w:rsidRPr="00A926CC">
        <w:t>for the purpose of making a superannuation splitting order or agreement</w:t>
      </w:r>
      <w:r w:rsidR="00CE28DC" w:rsidRPr="00A926CC">
        <w:t>, t</w:t>
      </w:r>
      <w:r w:rsidRPr="00A926CC">
        <w:t>he ‘default’ methods and factors are then used to calculate the value of a non-member spouse’s entitlement once the order is given effect, or a splittable payment becomes payable.</w:t>
      </w:r>
    </w:p>
    <w:p w14:paraId="11DE355E" w14:textId="19562DF9" w:rsidR="0071665B" w:rsidRPr="00A926CC" w:rsidRDefault="0025197B" w:rsidP="0025197B">
      <w:r w:rsidRPr="00A926CC">
        <w:t xml:space="preserve">Section 142 of the new Regulations has the effect that the new and updated ‘default’ methods and factors are to be used </w:t>
      </w:r>
      <w:r w:rsidR="0010342E" w:rsidRPr="00A926CC">
        <w:t>for the</w:t>
      </w:r>
      <w:r w:rsidR="008332FC" w:rsidRPr="00A926CC">
        <w:t>se two</w:t>
      </w:r>
      <w:r w:rsidR="0010342E" w:rsidRPr="00A926CC">
        <w:t xml:space="preserve"> purpose</w:t>
      </w:r>
      <w:r w:rsidR="008332FC" w:rsidRPr="00A926CC">
        <w:t>s</w:t>
      </w:r>
      <w:r w:rsidR="0010342E" w:rsidRPr="00A926CC">
        <w:t xml:space="preserve"> </w:t>
      </w:r>
      <w:r w:rsidR="00362A38" w:rsidRPr="00A926CC">
        <w:t>from the time</w:t>
      </w:r>
      <w:r w:rsidRPr="00A926CC">
        <w:t xml:space="preserve"> the new </w:t>
      </w:r>
      <w:r w:rsidR="00362A38" w:rsidRPr="00A926CC">
        <w:t>R</w:t>
      </w:r>
      <w:r w:rsidRPr="00A926CC">
        <w:t xml:space="preserve">egulations commence. </w:t>
      </w:r>
      <w:r w:rsidR="00FD5A81" w:rsidRPr="00A926CC">
        <w:t>However, g</w:t>
      </w:r>
      <w:r w:rsidR="00005784" w:rsidRPr="00A926CC">
        <w:t xml:space="preserve">iven the passage of time that may occur between the time </w:t>
      </w:r>
      <w:r w:rsidR="00977DCC" w:rsidRPr="00A926CC">
        <w:t>a</w:t>
      </w:r>
      <w:r w:rsidR="00FD5A81" w:rsidRPr="00A926CC">
        <w:t xml:space="preserve"> superannuation</w:t>
      </w:r>
      <w:r w:rsidR="00977DCC" w:rsidRPr="00A926CC">
        <w:t xml:space="preserve"> interest is valued and </w:t>
      </w:r>
      <w:r w:rsidR="00005784" w:rsidRPr="00A926CC">
        <w:t xml:space="preserve">an order or agreement is made, and when it is given effect, </w:t>
      </w:r>
      <w:r w:rsidRPr="00A926CC">
        <w:t xml:space="preserve">there </w:t>
      </w:r>
      <w:r w:rsidR="00005784" w:rsidRPr="00A926CC">
        <w:t>will</w:t>
      </w:r>
      <w:r w:rsidRPr="00A926CC">
        <w:t xml:space="preserve"> be situations where an order</w:t>
      </w:r>
      <w:r w:rsidR="00005784" w:rsidRPr="00A926CC">
        <w:t xml:space="preserve"> or agreement</w:t>
      </w:r>
      <w:r w:rsidRPr="00A926CC">
        <w:t xml:space="preserve"> </w:t>
      </w:r>
      <w:r w:rsidR="00362A38" w:rsidRPr="00A926CC">
        <w:t>has been</w:t>
      </w:r>
      <w:r w:rsidRPr="00A926CC">
        <w:t xml:space="preserve"> made based on a valu</w:t>
      </w:r>
      <w:r w:rsidR="00FD5A81" w:rsidRPr="00A926CC">
        <w:t>ation</w:t>
      </w:r>
      <w:r w:rsidRPr="00A926CC">
        <w:t xml:space="preserve"> using the </w:t>
      </w:r>
      <w:r w:rsidRPr="00A926CC">
        <w:rPr>
          <w:i/>
        </w:rPr>
        <w:t xml:space="preserve">existing </w:t>
      </w:r>
      <w:r w:rsidRPr="00A926CC">
        <w:t xml:space="preserve">methods and factors, but the non-member’s entitlement will be calculated using the </w:t>
      </w:r>
      <w:r w:rsidRPr="00A926CC">
        <w:rPr>
          <w:i/>
        </w:rPr>
        <w:t>new</w:t>
      </w:r>
      <w:r w:rsidRPr="00A926CC">
        <w:t xml:space="preserve"> </w:t>
      </w:r>
      <w:r w:rsidR="00005784" w:rsidRPr="00A926CC">
        <w:t xml:space="preserve">methods and </w:t>
      </w:r>
      <w:r w:rsidRPr="00A926CC">
        <w:t>factors</w:t>
      </w:r>
      <w:r w:rsidR="00362A38" w:rsidRPr="00A926CC">
        <w:t xml:space="preserve"> (</w:t>
      </w:r>
      <w:r w:rsidR="00597D3E" w:rsidRPr="00A926CC">
        <w:t xml:space="preserve">if this occurs after </w:t>
      </w:r>
      <w:r w:rsidR="00362A38" w:rsidRPr="00A926CC">
        <w:t>the commencement of the new Regulations)</w:t>
      </w:r>
      <w:r w:rsidRPr="00A926CC">
        <w:t xml:space="preserve">. </w:t>
      </w:r>
    </w:p>
    <w:tbl>
      <w:tblPr>
        <w:tblStyle w:val="TableGrid"/>
        <w:tblW w:w="0" w:type="auto"/>
        <w:tblLook w:val="04A0" w:firstRow="1" w:lastRow="0" w:firstColumn="1" w:lastColumn="0" w:noHBand="0" w:noVBand="1"/>
      </w:tblPr>
      <w:tblGrid>
        <w:gridCol w:w="10302"/>
      </w:tblGrid>
      <w:tr w:rsidR="0025197B" w:rsidRPr="00A926CC" w14:paraId="4C6B48DC" w14:textId="77777777" w:rsidTr="00005784">
        <w:tc>
          <w:tcPr>
            <w:tcW w:w="10528" w:type="dxa"/>
            <w:shd w:val="clear" w:color="auto" w:fill="E2E9EE"/>
          </w:tcPr>
          <w:p w14:paraId="63548AA5" w14:textId="129A914C" w:rsidR="0025197B" w:rsidRPr="00A926CC" w:rsidRDefault="0025197B" w:rsidP="00005784">
            <w:pPr>
              <w:pStyle w:val="Heading4"/>
            </w:pPr>
            <w:r w:rsidRPr="00A926CC">
              <w:t>Question 10</w:t>
            </w:r>
          </w:p>
          <w:p w14:paraId="1AAC7C0F" w14:textId="4BA5DF88" w:rsidR="0025197B" w:rsidRPr="00A926CC" w:rsidRDefault="001B721F" w:rsidP="0025197B">
            <w:r w:rsidRPr="00A926CC">
              <w:t xml:space="preserve">Do you have any concerns with </w:t>
            </w:r>
            <w:r w:rsidR="00F14041" w:rsidRPr="00A926CC">
              <w:t>the new</w:t>
            </w:r>
            <w:r w:rsidR="008B35C5" w:rsidRPr="00A926CC">
              <w:t xml:space="preserve"> and updated</w:t>
            </w:r>
            <w:r w:rsidR="007B42AD" w:rsidRPr="00A926CC">
              <w:t xml:space="preserve"> methods and factors be</w:t>
            </w:r>
            <w:r w:rsidR="002E2C94" w:rsidRPr="00A926CC">
              <w:t>ing</w:t>
            </w:r>
            <w:r w:rsidR="007B42AD" w:rsidRPr="00A926CC">
              <w:t xml:space="preserve"> used </w:t>
            </w:r>
            <w:r w:rsidR="008B35C5" w:rsidRPr="00A926CC">
              <w:t>to calculate</w:t>
            </w:r>
            <w:r w:rsidR="008332FC" w:rsidRPr="00A926CC">
              <w:t xml:space="preserve"> </w:t>
            </w:r>
            <w:r w:rsidR="002E2C94" w:rsidRPr="00A926CC">
              <w:t>a</w:t>
            </w:r>
            <w:r w:rsidR="008B35C5" w:rsidRPr="00A926CC">
              <w:t xml:space="preserve"> non</w:t>
            </w:r>
            <w:r w:rsidRPr="00A926CC">
              <w:noBreakHyphen/>
            </w:r>
            <w:r w:rsidR="008B35C5" w:rsidRPr="00A926CC">
              <w:t xml:space="preserve">member spouse’s entitlement, where an order or agreement has been made based on </w:t>
            </w:r>
            <w:r w:rsidR="002E2C94" w:rsidRPr="00A926CC">
              <w:t>the</w:t>
            </w:r>
            <w:r w:rsidR="008B35C5" w:rsidRPr="00A926CC">
              <w:t xml:space="preserve"> superannuation interest being valued using the existing methods and factors?</w:t>
            </w:r>
          </w:p>
          <w:p w14:paraId="01198E0D" w14:textId="13DE5934" w:rsidR="0025197B" w:rsidRPr="00A926CC" w:rsidRDefault="0025197B" w:rsidP="0025197B">
            <w:r w:rsidRPr="00A926CC">
              <w:t>Please expand on your response.</w:t>
            </w:r>
          </w:p>
        </w:tc>
      </w:tr>
    </w:tbl>
    <w:p w14:paraId="5ABD0C65" w14:textId="77777777" w:rsidR="0025197B" w:rsidRPr="00A926CC" w:rsidRDefault="0025197B" w:rsidP="0025197B"/>
    <w:p w14:paraId="3E3FA2BF" w14:textId="3637A84A" w:rsidR="00E463DB" w:rsidRPr="00A926CC" w:rsidRDefault="00E463DB" w:rsidP="00E463DB">
      <w:pPr>
        <w:pStyle w:val="Heading2"/>
      </w:pPr>
      <w:bookmarkStart w:id="59" w:name="_Toc158043535"/>
      <w:r w:rsidRPr="00A926CC">
        <w:lastRenderedPageBreak/>
        <w:t xml:space="preserve">Clarifying </w:t>
      </w:r>
      <w:r w:rsidR="00952D55" w:rsidRPr="00A926CC">
        <w:t xml:space="preserve">and other </w:t>
      </w:r>
      <w:r w:rsidRPr="00A926CC">
        <w:t>amendments</w:t>
      </w:r>
      <w:bookmarkEnd w:id="58"/>
      <w:bookmarkEnd w:id="59"/>
    </w:p>
    <w:p w14:paraId="020FFFF2" w14:textId="77777777" w:rsidR="006C38BD" w:rsidRPr="00A926CC" w:rsidRDefault="006C38BD" w:rsidP="006C38BD">
      <w:pPr>
        <w:pStyle w:val="Heading3"/>
        <w:spacing w:beforeLines="100" w:before="240"/>
        <w:rPr>
          <w:rFonts w:eastAsia="Times New Roman" w:cs="Calibri"/>
          <w:w w:val="100"/>
          <w:kern w:val="0"/>
        </w:rPr>
      </w:pPr>
      <w:bookmarkStart w:id="60" w:name="_Toc158043536"/>
      <w:bookmarkStart w:id="61" w:name="_Toc152061085"/>
      <w:r w:rsidRPr="00A926CC">
        <w:rPr>
          <w:rFonts w:eastAsia="Times New Roman"/>
        </w:rPr>
        <w:t>Definition of ‘base amount’</w:t>
      </w:r>
      <w:bookmarkEnd w:id="60"/>
    </w:p>
    <w:p w14:paraId="3ADAAA0D" w14:textId="5CF0004E" w:rsidR="006C38BD" w:rsidRPr="00A926CC" w:rsidRDefault="006C38BD" w:rsidP="006C38BD">
      <w:pPr>
        <w:spacing w:after="240"/>
      </w:pPr>
      <w:r w:rsidRPr="00A926CC">
        <w:t xml:space="preserve">The term ‘base amount’ is used throughout the existing Regulations, however the term itself is not defined. To provide greater clarity, section 3 of the new Regulations contains a definition of ‘base amount’ that is to be used for the purpose of the new Regulations. </w:t>
      </w:r>
    </w:p>
    <w:p w14:paraId="71BA84F8" w14:textId="3B32D1D2" w:rsidR="006C38BD" w:rsidRDefault="006C38BD" w:rsidP="006C38BD">
      <w:pPr>
        <w:spacing w:after="240"/>
      </w:pPr>
      <w:r w:rsidRPr="00A926CC">
        <w:t>The definition of ‘base amount’ in the new Regulations adopts the current definition of ‘base amount allocated to the non</w:t>
      </w:r>
      <w:r w:rsidRPr="00A926CC">
        <w:noBreakHyphen/>
        <w:t>member spouse’ in regulation 45 of the existing Regulations.</w:t>
      </w:r>
      <w:r>
        <w:t xml:space="preserve"> That is, the ‘base amount’, in relation</w:t>
      </w:r>
      <w:r w:rsidR="008343FA">
        <w:t xml:space="preserve"> to</w:t>
      </w:r>
      <w:r>
        <w:t xml:space="preserve"> a superannuation interest, means the base amount specified for the purposes of Part VIIIB or VIIIC of the Family Law Act in a superannuation agreement or flag lifting agreement (rounded up or down to the nearest dollar, with 50 cents being rounded up), or the base amount allocated to the non-member spouse by the court in a splitting order made under subsection 90XT(4) or 90YY(5) of the Family Law Act (rounded up or down to the nearest dollar, with 50 cents being rounded up). </w:t>
      </w:r>
    </w:p>
    <w:p w14:paraId="1B8C238B" w14:textId="5121916D" w:rsidR="006C38BD" w:rsidRDefault="00EB2B1B" w:rsidP="00757839">
      <w:pPr>
        <w:spacing w:after="240"/>
      </w:pPr>
      <w:r>
        <w:t xml:space="preserve">The definition of ‘base amount allocated to the non-member spouse’ remains in Part </w:t>
      </w:r>
      <w:r w:rsidR="004B7742">
        <w:t xml:space="preserve">7 of the new Regulations (which substantially replicates Part </w:t>
      </w:r>
      <w:r>
        <w:t>6</w:t>
      </w:r>
      <w:r w:rsidR="004B7742">
        <w:t xml:space="preserve"> of the existing Regulations)</w:t>
      </w:r>
      <w:r>
        <w:t xml:space="preserve">, as </w:t>
      </w:r>
      <w:r>
        <w:rPr>
          <w:rFonts w:eastAsia="Times New Roman"/>
        </w:rPr>
        <w:t>this has the effect of deeming all base amounts (even those that are ‘specified’ in an agreement) as being ‘allocated’ to the non-member spouse for the purposes of calculating their entitlement.</w:t>
      </w:r>
      <w:r>
        <w:t xml:space="preserve"> </w:t>
      </w:r>
    </w:p>
    <w:tbl>
      <w:tblPr>
        <w:tblStyle w:val="TableGrid"/>
        <w:tblW w:w="0" w:type="auto"/>
        <w:tblLook w:val="04A0" w:firstRow="1" w:lastRow="0" w:firstColumn="1" w:lastColumn="0" w:noHBand="0" w:noVBand="1"/>
      </w:tblPr>
      <w:tblGrid>
        <w:gridCol w:w="10302"/>
      </w:tblGrid>
      <w:tr w:rsidR="00340AFC" w14:paraId="7FBE3395" w14:textId="77777777" w:rsidTr="00340AFC">
        <w:tc>
          <w:tcPr>
            <w:tcW w:w="10302" w:type="dxa"/>
            <w:shd w:val="clear" w:color="auto" w:fill="E2E9EE"/>
          </w:tcPr>
          <w:p w14:paraId="0481E83F" w14:textId="7AC2F948" w:rsidR="00340AFC" w:rsidRPr="00D165BA" w:rsidRDefault="00340AFC" w:rsidP="009046BB">
            <w:pPr>
              <w:pStyle w:val="Heading4"/>
            </w:pPr>
            <w:r>
              <w:t>Question 11</w:t>
            </w:r>
          </w:p>
          <w:p w14:paraId="2390E90D" w14:textId="77777777" w:rsidR="00340AFC" w:rsidRDefault="00340AFC" w:rsidP="00340AFC">
            <w:pPr>
              <w:spacing w:after="240"/>
              <w:rPr>
                <w:lang w:eastAsia="en-AU"/>
              </w:rPr>
            </w:pPr>
            <w:r>
              <w:rPr>
                <w:lang w:eastAsia="en-AU"/>
              </w:rPr>
              <w:t xml:space="preserve">Do you have any concerns with the definition of ‘base amount’? </w:t>
            </w:r>
          </w:p>
          <w:p w14:paraId="47576B5A" w14:textId="09495F95" w:rsidR="00340AFC" w:rsidRDefault="00340AFC" w:rsidP="00340AFC">
            <w:r>
              <w:rPr>
                <w:lang w:eastAsia="en-AU"/>
              </w:rPr>
              <w:t>If so, please expand on your concerns, including what you would propose instead.</w:t>
            </w:r>
          </w:p>
        </w:tc>
      </w:tr>
    </w:tbl>
    <w:p w14:paraId="13912FE2" w14:textId="4A743327" w:rsidR="00235304" w:rsidRPr="00852B60" w:rsidRDefault="00235304" w:rsidP="00235304">
      <w:pPr>
        <w:pStyle w:val="Heading3"/>
        <w:spacing w:beforeLines="100" w:before="240"/>
      </w:pPr>
      <w:bookmarkStart w:id="62" w:name="_Toc158043537"/>
      <w:r>
        <w:t xml:space="preserve">Definition </w:t>
      </w:r>
      <w:bookmarkStart w:id="63" w:name="_Hlk150775417"/>
      <w:bookmarkStart w:id="64" w:name="_Hlk150775447"/>
      <w:r>
        <w:t>of</w:t>
      </w:r>
      <w:bookmarkEnd w:id="63"/>
      <w:r>
        <w:t xml:space="preserve"> ‘component </w:t>
      </w:r>
      <w:bookmarkEnd w:id="64"/>
      <w:r>
        <w:t>of a superannuation interest’</w:t>
      </w:r>
      <w:bookmarkEnd w:id="61"/>
      <w:bookmarkEnd w:id="62"/>
    </w:p>
    <w:p w14:paraId="43E69FA2" w14:textId="7E4898C8" w:rsidR="00235304" w:rsidRPr="00852B60" w:rsidRDefault="00235304" w:rsidP="00235304">
      <w:pPr>
        <w:pStyle w:val="Heading4"/>
      </w:pPr>
      <w:r w:rsidRPr="009252CE">
        <w:t xml:space="preserve">Section </w:t>
      </w:r>
      <w:r w:rsidR="004B7742" w:rsidRPr="009252CE">
        <w:t>4</w:t>
      </w:r>
    </w:p>
    <w:p w14:paraId="0186DBFA" w14:textId="421A38CD" w:rsidR="00235304" w:rsidRDefault="00DD25E9" w:rsidP="00235304">
      <w:r>
        <w:t xml:space="preserve">The </w:t>
      </w:r>
      <w:r w:rsidRPr="00B17866">
        <w:t xml:space="preserve">term ‘component of a superannuation interest’ </w:t>
      </w:r>
      <w:r>
        <w:t xml:space="preserve">is used </w:t>
      </w:r>
      <w:r w:rsidR="00235304">
        <w:t>throughout the existing Regulations, h</w:t>
      </w:r>
      <w:r w:rsidR="00235304" w:rsidRPr="00B17866">
        <w:t>owever</w:t>
      </w:r>
      <w:r w:rsidR="00235304">
        <w:t xml:space="preserve"> </w:t>
      </w:r>
      <w:r w:rsidR="00235304" w:rsidRPr="00B17866">
        <w:t xml:space="preserve">the term itself is not defined. </w:t>
      </w:r>
      <w:r w:rsidR="00235304">
        <w:t>To provide greater clarity, s</w:t>
      </w:r>
      <w:r w:rsidR="00235304" w:rsidRPr="009252CE">
        <w:t xml:space="preserve">ection </w:t>
      </w:r>
      <w:r w:rsidR="004B7742" w:rsidRPr="009252CE">
        <w:t>4</w:t>
      </w:r>
      <w:r w:rsidR="00235304" w:rsidRPr="009252CE">
        <w:t xml:space="preserve"> contains</w:t>
      </w:r>
      <w:r w:rsidR="00235304">
        <w:t xml:space="preserve"> a definition of ‘component of a superannuation interest’ that is to be used for the purpose of the new Regulations. This definition is intended to make clear that a component of a superannuation interest is a part of a superannuation interest, with distinct features and characteristics, which does not make up the entire superannuation interest, and from which a benefit is, or may become, payable. This definition will make clear that the way in which the benefit itself is paid, for example via a pension, is not a component of a superannuation interest.</w:t>
      </w:r>
    </w:p>
    <w:tbl>
      <w:tblPr>
        <w:tblStyle w:val="TableGrid"/>
        <w:tblW w:w="0" w:type="auto"/>
        <w:tblLook w:val="04A0" w:firstRow="1" w:lastRow="0" w:firstColumn="1" w:lastColumn="0" w:noHBand="0" w:noVBand="1"/>
      </w:tblPr>
      <w:tblGrid>
        <w:gridCol w:w="10302"/>
      </w:tblGrid>
      <w:tr w:rsidR="00235304" w14:paraId="62B2FE58" w14:textId="77777777" w:rsidTr="0007150C">
        <w:tc>
          <w:tcPr>
            <w:tcW w:w="10528" w:type="dxa"/>
            <w:shd w:val="clear" w:color="auto" w:fill="E2E9EE"/>
          </w:tcPr>
          <w:p w14:paraId="2DB1BC4B" w14:textId="1CA04005" w:rsidR="00235304" w:rsidRPr="00D165BA" w:rsidRDefault="00235304" w:rsidP="0007150C">
            <w:pPr>
              <w:pStyle w:val="Heading4"/>
            </w:pPr>
            <w:bookmarkStart w:id="65" w:name="_Hlk160106049"/>
            <w:r>
              <w:t xml:space="preserve">Question </w:t>
            </w:r>
            <w:r w:rsidR="00C01792">
              <w:t>1</w:t>
            </w:r>
            <w:r w:rsidR="00882AE2">
              <w:t>2</w:t>
            </w:r>
          </w:p>
          <w:p w14:paraId="544F3376" w14:textId="44049440" w:rsidR="00AF6778" w:rsidRDefault="00235304" w:rsidP="00B51C03">
            <w:r>
              <w:t>Do you have any concerns with the definition of ‘component of a superannuation interest</w:t>
            </w:r>
            <w:r w:rsidR="007800AC">
              <w:t>’</w:t>
            </w:r>
            <w:r>
              <w:t xml:space="preserve">? </w:t>
            </w:r>
          </w:p>
          <w:p w14:paraId="62E0BCAC" w14:textId="609DDE80" w:rsidR="00235304" w:rsidRDefault="00235304" w:rsidP="0007150C">
            <w:r w:rsidRPr="00D165BA">
              <w:t xml:space="preserve">If </w:t>
            </w:r>
            <w:r>
              <w:t>so, please expand on your concerns</w:t>
            </w:r>
            <w:r w:rsidR="00B51C03">
              <w:t xml:space="preserve">, including what you </w:t>
            </w:r>
            <w:r>
              <w:t>would propose instead</w:t>
            </w:r>
            <w:r w:rsidR="006924F2">
              <w:t>.</w:t>
            </w:r>
          </w:p>
        </w:tc>
      </w:tr>
      <w:bookmarkEnd w:id="65"/>
    </w:tbl>
    <w:p w14:paraId="07D44EB0" w14:textId="77777777" w:rsidR="00235304" w:rsidRDefault="00235304" w:rsidP="0040192E">
      <w:pPr>
        <w:pStyle w:val="NoSpacing"/>
      </w:pPr>
    </w:p>
    <w:p w14:paraId="76DB6BCF" w14:textId="77777777" w:rsidR="00235304" w:rsidRDefault="00235304" w:rsidP="00235304">
      <w:pPr>
        <w:pStyle w:val="Heading3"/>
      </w:pPr>
      <w:bookmarkStart w:id="66" w:name="_Toc152061086"/>
      <w:bookmarkStart w:id="67" w:name="_Toc158043538"/>
      <w:r>
        <w:lastRenderedPageBreak/>
        <w:t>Conditions of release and releasing events</w:t>
      </w:r>
      <w:bookmarkEnd w:id="66"/>
      <w:bookmarkEnd w:id="67"/>
    </w:p>
    <w:p w14:paraId="5AC3D50A" w14:textId="7BC60DE3" w:rsidR="00235304" w:rsidRPr="00E72A17" w:rsidRDefault="00235304" w:rsidP="00235304">
      <w:pPr>
        <w:pStyle w:val="Heading4"/>
      </w:pPr>
      <w:r w:rsidRPr="00E72A17">
        <w:t>Sections 6 and 7</w:t>
      </w:r>
    </w:p>
    <w:p w14:paraId="25D0CFC1" w14:textId="77777777" w:rsidR="00235304" w:rsidRDefault="00235304" w:rsidP="00235304">
      <w:pPr>
        <w:rPr>
          <w:rFonts w:cstheme="minorHAnsi"/>
        </w:rPr>
      </w:pPr>
      <w:r w:rsidRPr="00E72A17">
        <w:t xml:space="preserve">Regulations 6 and 7 of the existing </w:t>
      </w:r>
      <w:r>
        <w:t>R</w:t>
      </w:r>
      <w:r w:rsidRPr="00E72A17">
        <w:t xml:space="preserve">egulations outline when a superannuation interest is in the growth phase for the purpose of the </w:t>
      </w:r>
      <w:r>
        <w:t>R</w:t>
      </w:r>
      <w:r w:rsidRPr="00E72A17">
        <w:t xml:space="preserve">egulations. </w:t>
      </w:r>
      <w:r>
        <w:t xml:space="preserve">A </w:t>
      </w:r>
      <w:r w:rsidRPr="00E72A17">
        <w:t xml:space="preserve">superannuation interest is </w:t>
      </w:r>
      <w:r>
        <w:t xml:space="preserve">in the payment phase at a particular date for the purpose of the Regulations if it is </w:t>
      </w:r>
      <w:r w:rsidRPr="00E72A17">
        <w:t>not in the growth phase</w:t>
      </w:r>
      <w:r>
        <w:t xml:space="preserve"> at that date.</w:t>
      </w:r>
      <w:r>
        <w:rPr>
          <w:rFonts w:cstheme="minorHAnsi"/>
        </w:rPr>
        <w:t xml:space="preserve"> </w:t>
      </w:r>
    </w:p>
    <w:p w14:paraId="56BEE0E6" w14:textId="011233F4" w:rsidR="00235304" w:rsidRDefault="00235304" w:rsidP="00235304">
      <w:pPr>
        <w:rPr>
          <w:rFonts w:cstheme="minorHAnsi"/>
        </w:rPr>
      </w:pPr>
      <w:r w:rsidRPr="00E72A17">
        <w:t xml:space="preserve">A superannuation interest is in the growth phase if, at a particular date, the member spouse has not satisfied a ‘relevant condition of release’ or ‘releasing event’ or, if they have satisfied a relevant ‘condition of release’ or ‘releasing event’, the member has not taken particular action </w:t>
      </w:r>
      <w:r w:rsidR="00D815C7">
        <w:t>with</w:t>
      </w:r>
      <w:r w:rsidRPr="00E72A17">
        <w:t xml:space="preserve"> respect </w:t>
      </w:r>
      <w:r w:rsidR="00D815C7">
        <w:t xml:space="preserve">to </w:t>
      </w:r>
      <w:r w:rsidRPr="00E72A17">
        <w:t xml:space="preserve">the benefits payable. </w:t>
      </w:r>
    </w:p>
    <w:p w14:paraId="271E3940" w14:textId="77777777" w:rsidR="00C20C8D" w:rsidRDefault="00235304" w:rsidP="00235304">
      <w:pPr>
        <w:rPr>
          <w:rFonts w:cstheme="minorHAnsi"/>
        </w:rPr>
      </w:pPr>
      <w:r>
        <w:rPr>
          <w:rFonts w:cstheme="minorHAnsi"/>
        </w:rPr>
        <w:t xml:space="preserve">The relevant conditions of release in regulation 6 are defined by reference to certain items in Schedule 1 of the SIS Regulations and Schedule 2 of the </w:t>
      </w:r>
      <w:r>
        <w:rPr>
          <w:rFonts w:cstheme="minorHAnsi"/>
          <w:i/>
        </w:rPr>
        <w:t>Retirement Savings Accounts Regulations 1997</w:t>
      </w:r>
      <w:r>
        <w:rPr>
          <w:rFonts w:cstheme="minorHAnsi"/>
        </w:rPr>
        <w:t xml:space="preserve"> (depending on the type of superannuation interest). These are: </w:t>
      </w:r>
    </w:p>
    <w:p w14:paraId="65BEA1D6" w14:textId="0A9E078A" w:rsidR="00C20C8D" w:rsidRDefault="00AC1CAA" w:rsidP="00C20C8D">
      <w:pPr>
        <w:pStyle w:val="ListParagraph"/>
        <w:numPr>
          <w:ilvl w:val="0"/>
          <w:numId w:val="32"/>
        </w:numPr>
        <w:rPr>
          <w:rFonts w:cstheme="minorHAnsi"/>
        </w:rPr>
      </w:pPr>
      <w:r>
        <w:rPr>
          <w:rFonts w:cstheme="minorHAnsi"/>
        </w:rPr>
        <w:t>r</w:t>
      </w:r>
      <w:r w:rsidR="00C20C8D" w:rsidRPr="00C20C8D">
        <w:rPr>
          <w:rFonts w:cstheme="minorHAnsi"/>
        </w:rPr>
        <w:t>etirement</w:t>
      </w:r>
    </w:p>
    <w:p w14:paraId="4951C0D6" w14:textId="2405D890" w:rsidR="00C20C8D" w:rsidRDefault="00AC1CAA" w:rsidP="00C20C8D">
      <w:pPr>
        <w:pStyle w:val="ListParagraph"/>
        <w:numPr>
          <w:ilvl w:val="0"/>
          <w:numId w:val="32"/>
        </w:numPr>
        <w:rPr>
          <w:rFonts w:cstheme="minorHAnsi"/>
        </w:rPr>
      </w:pPr>
      <w:r>
        <w:rPr>
          <w:rFonts w:cstheme="minorHAnsi"/>
        </w:rPr>
        <w:t>d</w:t>
      </w:r>
      <w:r w:rsidR="00235304" w:rsidRPr="00C20C8D">
        <w:rPr>
          <w:rFonts w:cstheme="minorHAnsi"/>
        </w:rPr>
        <w:t>eath</w:t>
      </w:r>
    </w:p>
    <w:p w14:paraId="4306F750" w14:textId="50F4DA80" w:rsidR="00C20C8D" w:rsidRDefault="00AC1CAA" w:rsidP="00C20C8D">
      <w:pPr>
        <w:pStyle w:val="ListParagraph"/>
        <w:numPr>
          <w:ilvl w:val="0"/>
          <w:numId w:val="32"/>
        </w:numPr>
        <w:rPr>
          <w:rFonts w:cstheme="minorHAnsi"/>
        </w:rPr>
      </w:pPr>
      <w:r>
        <w:rPr>
          <w:rFonts w:cstheme="minorHAnsi"/>
        </w:rPr>
        <w:t>p</w:t>
      </w:r>
      <w:r w:rsidR="00235304" w:rsidRPr="00C20C8D">
        <w:rPr>
          <w:rFonts w:cstheme="minorHAnsi"/>
        </w:rPr>
        <w:t>ermanent incapacity</w:t>
      </w:r>
    </w:p>
    <w:p w14:paraId="4F49B2E8" w14:textId="30D63C06" w:rsidR="00C977F4" w:rsidRDefault="00AC1CAA" w:rsidP="00C20C8D">
      <w:pPr>
        <w:pStyle w:val="ListParagraph"/>
        <w:numPr>
          <w:ilvl w:val="0"/>
          <w:numId w:val="32"/>
        </w:numPr>
        <w:rPr>
          <w:rFonts w:cstheme="minorHAnsi"/>
        </w:rPr>
      </w:pPr>
      <w:r>
        <w:rPr>
          <w:rFonts w:cstheme="minorHAnsi"/>
        </w:rPr>
        <w:t>a</w:t>
      </w:r>
      <w:r w:rsidR="00235304" w:rsidRPr="00C20C8D">
        <w:rPr>
          <w:rFonts w:cstheme="minorHAnsi"/>
        </w:rPr>
        <w:t>ttaining age 65</w:t>
      </w:r>
      <w:r>
        <w:rPr>
          <w:rFonts w:cstheme="minorHAnsi"/>
        </w:rPr>
        <w:t>,</w:t>
      </w:r>
      <w:r w:rsidR="00235304" w:rsidRPr="00C20C8D">
        <w:rPr>
          <w:rFonts w:cstheme="minorHAnsi"/>
        </w:rPr>
        <w:t xml:space="preserve"> and</w:t>
      </w:r>
    </w:p>
    <w:p w14:paraId="53563E1A" w14:textId="25C96EA6" w:rsidR="00C20C8D" w:rsidRDefault="00AC1CAA" w:rsidP="00C20C8D">
      <w:pPr>
        <w:pStyle w:val="ListParagraph"/>
        <w:numPr>
          <w:ilvl w:val="0"/>
          <w:numId w:val="32"/>
        </w:numPr>
        <w:rPr>
          <w:rFonts w:cstheme="minorHAnsi"/>
        </w:rPr>
      </w:pPr>
      <w:r>
        <w:rPr>
          <w:rFonts w:cstheme="minorHAnsi"/>
        </w:rPr>
        <w:t>t</w:t>
      </w:r>
      <w:r w:rsidR="00235304" w:rsidRPr="00C20C8D">
        <w:rPr>
          <w:rFonts w:cstheme="minorHAnsi"/>
        </w:rPr>
        <w:t>ermination of gainful employment</w:t>
      </w:r>
      <w:r w:rsidR="00235304" w:rsidRPr="00C20C8D">
        <w:rPr>
          <w:color w:val="000000"/>
          <w:sz w:val="20"/>
          <w:szCs w:val="20"/>
          <w:shd w:val="clear" w:color="auto" w:fill="FFFFFF"/>
        </w:rPr>
        <w:t>.</w:t>
      </w:r>
      <w:r w:rsidR="00235304" w:rsidRPr="00C20C8D">
        <w:rPr>
          <w:rFonts w:cstheme="minorHAnsi"/>
        </w:rPr>
        <w:t xml:space="preserve"> </w:t>
      </w:r>
    </w:p>
    <w:p w14:paraId="73C6C3D3" w14:textId="4DC9D752" w:rsidR="00235304" w:rsidRPr="00C20C8D" w:rsidRDefault="00235304" w:rsidP="00C20C8D">
      <w:pPr>
        <w:rPr>
          <w:rFonts w:cstheme="minorHAnsi"/>
        </w:rPr>
      </w:pPr>
      <w:r w:rsidRPr="00C20C8D">
        <w:rPr>
          <w:rFonts w:cstheme="minorHAnsi"/>
        </w:rPr>
        <w:t xml:space="preserve">The releasing events in regulation 7 reflect the relevant conditions of release in regulation 6. </w:t>
      </w:r>
    </w:p>
    <w:p w14:paraId="506F78C2" w14:textId="0CC44AA1" w:rsidR="00D815C7" w:rsidRDefault="00D815C7" w:rsidP="00235304">
      <w:pPr>
        <w:rPr>
          <w:rFonts w:cstheme="minorHAnsi"/>
        </w:rPr>
      </w:pPr>
      <w:r>
        <w:rPr>
          <w:rFonts w:cstheme="minorHAnsi"/>
        </w:rPr>
        <w:t xml:space="preserve">Sections 6 and 7 of the new Regulations add ‘terminal medical condition’ to the definition of ‘relevant condition of release’ and ‘releasing event’, with the effect that if a member spouse could be granted access to their superannuation benefits by reason of them having a terminal medical condition, and has taken particular action with respect to the benefits payable on the basis of having that condition, the superannuation interest will no longer be considered to be in the growth phase. </w:t>
      </w:r>
    </w:p>
    <w:p w14:paraId="38D22747" w14:textId="025C08AA" w:rsidR="00235304" w:rsidRDefault="00235304" w:rsidP="00235304">
      <w:pPr>
        <w:rPr>
          <w:rFonts w:cstheme="minorHAnsi"/>
        </w:rPr>
      </w:pPr>
      <w:r>
        <w:rPr>
          <w:rFonts w:cstheme="minorHAnsi"/>
        </w:rPr>
        <w:t>‘Terminal medical condition’ is a condition of release listed in items 102A</w:t>
      </w:r>
      <w:r w:rsidR="00AC1CAA">
        <w:rPr>
          <w:rFonts w:cstheme="minorHAnsi"/>
        </w:rPr>
        <w:t xml:space="preserve"> and</w:t>
      </w:r>
      <w:r w:rsidR="002C7AB7">
        <w:rPr>
          <w:rFonts w:cstheme="minorHAnsi"/>
        </w:rPr>
        <w:t xml:space="preserve"> </w:t>
      </w:r>
      <w:r>
        <w:rPr>
          <w:rFonts w:cstheme="minorHAnsi"/>
        </w:rPr>
        <w:t xml:space="preserve">202A of Schedule 1 of the SIS Regulations and item 102A of the </w:t>
      </w:r>
      <w:r>
        <w:rPr>
          <w:rFonts w:cstheme="minorHAnsi"/>
          <w:i/>
        </w:rPr>
        <w:t>Retirement Savings Accounts Regulations 1997,</w:t>
      </w:r>
      <w:r>
        <w:rPr>
          <w:rFonts w:cstheme="minorHAnsi"/>
        </w:rPr>
        <w:t xml:space="preserve"> and has a nil cashing restriction. </w:t>
      </w:r>
    </w:p>
    <w:tbl>
      <w:tblPr>
        <w:tblStyle w:val="TableGrid"/>
        <w:tblW w:w="0" w:type="auto"/>
        <w:tblLook w:val="04A0" w:firstRow="1" w:lastRow="0" w:firstColumn="1" w:lastColumn="0" w:noHBand="0" w:noVBand="1"/>
      </w:tblPr>
      <w:tblGrid>
        <w:gridCol w:w="10302"/>
      </w:tblGrid>
      <w:tr w:rsidR="00235304" w14:paraId="375BAF6A" w14:textId="77777777" w:rsidTr="0007150C">
        <w:tc>
          <w:tcPr>
            <w:tcW w:w="10528" w:type="dxa"/>
            <w:shd w:val="clear" w:color="auto" w:fill="E2E9EE"/>
          </w:tcPr>
          <w:p w14:paraId="7139AC73" w14:textId="7B3566D7" w:rsidR="00235304" w:rsidRPr="00D165BA" w:rsidRDefault="00235304" w:rsidP="0007150C">
            <w:pPr>
              <w:pStyle w:val="Heading4"/>
            </w:pPr>
            <w:r>
              <w:t xml:space="preserve">Question </w:t>
            </w:r>
            <w:r w:rsidR="00C01792">
              <w:t>1</w:t>
            </w:r>
            <w:r w:rsidR="00882AE2">
              <w:t>3</w:t>
            </w:r>
          </w:p>
          <w:p w14:paraId="4C99B9ED" w14:textId="17D23D51" w:rsidR="00235304" w:rsidRDefault="00235304" w:rsidP="0007150C">
            <w:pPr>
              <w:rPr>
                <w:rFonts w:cstheme="minorHAnsi"/>
              </w:rPr>
            </w:pPr>
            <w:r>
              <w:rPr>
                <w:rFonts w:cstheme="minorHAnsi"/>
              </w:rPr>
              <w:t>Do you have any concerns with ‘terminal medical condition’ being included as a ‘condition of release’ or ‘releasing event’ in sections 6 and 7 of the new Regulations?</w:t>
            </w:r>
          </w:p>
          <w:p w14:paraId="407EA691" w14:textId="3DBB3D71" w:rsidR="00235304" w:rsidRDefault="00235304" w:rsidP="0007150C">
            <w:r w:rsidRPr="00D165BA">
              <w:t xml:space="preserve">If </w:t>
            </w:r>
            <w:r>
              <w:t>so, please expand on your concerns.</w:t>
            </w:r>
          </w:p>
          <w:p w14:paraId="55C8F0FA" w14:textId="736A5DF2" w:rsidR="00235304" w:rsidRPr="00D165BA" w:rsidRDefault="00235304" w:rsidP="0007150C">
            <w:pPr>
              <w:pStyle w:val="Heading4"/>
            </w:pPr>
            <w:r>
              <w:t xml:space="preserve">Question </w:t>
            </w:r>
            <w:r w:rsidR="00C01792">
              <w:t>1</w:t>
            </w:r>
            <w:r w:rsidR="00882AE2">
              <w:t>4</w:t>
            </w:r>
          </w:p>
          <w:p w14:paraId="18D17AAB" w14:textId="11EE88C4" w:rsidR="00235304" w:rsidRDefault="00235304" w:rsidP="0007150C">
            <w:r>
              <w:rPr>
                <w:rFonts w:cstheme="minorHAnsi"/>
              </w:rPr>
              <w:t xml:space="preserve">Are there are other conditions of release </w:t>
            </w:r>
            <w:r w:rsidR="00730377">
              <w:rPr>
                <w:rFonts w:cstheme="minorHAnsi"/>
              </w:rPr>
              <w:t xml:space="preserve">that </w:t>
            </w:r>
            <w:r>
              <w:rPr>
                <w:rFonts w:cstheme="minorHAnsi"/>
              </w:rPr>
              <w:t xml:space="preserve">should be added to sections 6 and 7 of the new </w:t>
            </w:r>
            <w:r w:rsidR="00AF6778">
              <w:rPr>
                <w:rFonts w:cstheme="minorHAnsi"/>
              </w:rPr>
              <w:t>R</w:t>
            </w:r>
            <w:r>
              <w:rPr>
                <w:rFonts w:cstheme="minorHAnsi"/>
              </w:rPr>
              <w:t>egulations?</w:t>
            </w:r>
          </w:p>
        </w:tc>
      </w:tr>
    </w:tbl>
    <w:p w14:paraId="53653F50" w14:textId="77777777" w:rsidR="00235304" w:rsidRDefault="00235304" w:rsidP="00235304">
      <w:pPr>
        <w:spacing w:before="240"/>
      </w:pPr>
    </w:p>
    <w:p w14:paraId="7DD9D65E" w14:textId="3FFE6775" w:rsidR="00E463DB" w:rsidRPr="00524A7F" w:rsidRDefault="00E463DB" w:rsidP="00E463DB">
      <w:pPr>
        <w:pStyle w:val="Heading3"/>
      </w:pPr>
      <w:bookmarkStart w:id="68" w:name="_Toc152061088"/>
      <w:bookmarkStart w:id="69" w:name="_Toc158043539"/>
      <w:r>
        <w:lastRenderedPageBreak/>
        <w:t xml:space="preserve">Clarifying that a document </w:t>
      </w:r>
      <w:r w:rsidRPr="00E463DB">
        <w:t>containing</w:t>
      </w:r>
      <w:r>
        <w:t xml:space="preserve"> information about a superannuation interest is </w:t>
      </w:r>
      <w:r>
        <w:rPr>
          <w:i/>
        </w:rPr>
        <w:t>prima facie</w:t>
      </w:r>
      <w:r>
        <w:t xml:space="preserve"> evidence</w:t>
      </w:r>
      <w:bookmarkEnd w:id="68"/>
      <w:bookmarkEnd w:id="69"/>
    </w:p>
    <w:p w14:paraId="2901C584" w14:textId="5DCF4243" w:rsidR="00E463DB" w:rsidRDefault="00E463DB" w:rsidP="00E463DB">
      <w:pPr>
        <w:pStyle w:val="Heading4"/>
      </w:pPr>
      <w:r>
        <w:t xml:space="preserve">Section </w:t>
      </w:r>
      <w:r w:rsidR="009252CE">
        <w:t>137</w:t>
      </w:r>
      <w:r w:rsidRPr="00B01B30">
        <w:t xml:space="preserve"> </w:t>
      </w:r>
      <w:r>
        <w:t xml:space="preserve">- </w:t>
      </w:r>
      <w:r w:rsidRPr="00E463DB">
        <w:t>Evidentiary</w:t>
      </w:r>
      <w:r>
        <w:t xml:space="preserve"> Certificates</w:t>
      </w:r>
    </w:p>
    <w:p w14:paraId="00A3AFC1" w14:textId="584A14C7" w:rsidR="005C3781" w:rsidRDefault="00E463DB" w:rsidP="00952D55">
      <w:r>
        <w:t xml:space="preserve">The existing Regulations contain an evidentiary certificate provision at </w:t>
      </w:r>
      <w:r w:rsidR="0078763D">
        <w:t>sub</w:t>
      </w:r>
      <w:r>
        <w:t>regulation 68</w:t>
      </w:r>
      <w:proofErr w:type="gramStart"/>
      <w:r>
        <w:t>B(</w:t>
      </w:r>
      <w:proofErr w:type="gramEnd"/>
      <w:r>
        <w:t xml:space="preserve">2). </w:t>
      </w:r>
      <w:r w:rsidR="0078763D">
        <w:t xml:space="preserve">This </w:t>
      </w:r>
      <w:r>
        <w:t xml:space="preserve">provision prescribes that a document providing information about a superannuation interest is evidence of the information it contains and of the fact that it was provided to the person to whom it is addressed. </w:t>
      </w:r>
      <w:r w:rsidR="0078763D">
        <w:t xml:space="preserve">This provision is </w:t>
      </w:r>
      <w:r w:rsidR="000E788B">
        <w:t xml:space="preserve">consistent </w:t>
      </w:r>
      <w:r w:rsidR="0078763D">
        <w:t xml:space="preserve">with subsection 59(3) of the </w:t>
      </w:r>
      <w:r w:rsidR="0078763D">
        <w:rPr>
          <w:i/>
          <w:iCs/>
        </w:rPr>
        <w:t>Evidence Act 1995</w:t>
      </w:r>
      <w:r w:rsidR="0078763D">
        <w:t xml:space="preserve"> (Cth), which provides an exception to the hearsay rule. The exception states that where regulations made under an Act provide that a document has evidentiary effect, then that document may be relied upon as evidence of the representation contained in the document. </w:t>
      </w:r>
      <w:r>
        <w:t>Th</w:t>
      </w:r>
      <w:r w:rsidR="0078763D">
        <w:t>is</w:t>
      </w:r>
      <w:r>
        <w:t xml:space="preserve"> </w:t>
      </w:r>
      <w:r w:rsidR="0078763D">
        <w:t xml:space="preserve">provision </w:t>
      </w:r>
      <w:r w:rsidR="009252CE">
        <w:t xml:space="preserve">(section 137) </w:t>
      </w:r>
      <w:r>
        <w:t xml:space="preserve">has been amended in the new Regulations to state that </w:t>
      </w:r>
      <w:r w:rsidR="0078763D">
        <w:t xml:space="preserve">this evidence is </w:t>
      </w:r>
      <w:r>
        <w:rPr>
          <w:i/>
        </w:rPr>
        <w:t>prima facie evidence</w:t>
      </w:r>
      <w:r>
        <w:t xml:space="preserve"> rather than </w:t>
      </w:r>
      <w:r w:rsidRPr="00524A7F">
        <w:t>conclusive</w:t>
      </w:r>
      <w:r>
        <w:t xml:space="preserve"> evidence.</w:t>
      </w:r>
      <w:r w:rsidR="0078763D" w:rsidRPr="0078763D">
        <w:t xml:space="preserve"> </w:t>
      </w:r>
      <w:r>
        <w:t xml:space="preserve">This amendment is in line with Commonwealth drafting guidelines and ensures that there is </w:t>
      </w:r>
      <w:r w:rsidRPr="00CF17B5">
        <w:t>an opportunity for evidence of contrary matters to be adduced.</w:t>
      </w:r>
    </w:p>
    <w:p w14:paraId="27E57EDC" w14:textId="77777777" w:rsidR="0040192E" w:rsidRDefault="0040192E" w:rsidP="0040192E">
      <w:pPr>
        <w:pStyle w:val="NoSpacing"/>
      </w:pPr>
    </w:p>
    <w:p w14:paraId="308B131A" w14:textId="032CB397" w:rsidR="00E463DB" w:rsidRDefault="00E463DB" w:rsidP="00E463DB">
      <w:pPr>
        <w:pStyle w:val="Heading3"/>
      </w:pPr>
      <w:bookmarkStart w:id="70" w:name="_Toc152061089"/>
      <w:bookmarkStart w:id="71" w:name="_Toc158043540"/>
      <w:r>
        <w:t xml:space="preserve">Enabling alternative </w:t>
      </w:r>
      <w:r w:rsidRPr="00915D20">
        <w:t>methods</w:t>
      </w:r>
      <w:r>
        <w:t xml:space="preserve"> of communication, including via email and via an intermediary, </w:t>
      </w:r>
      <w:r w:rsidRPr="00E463DB">
        <w:t>between</w:t>
      </w:r>
      <w:r>
        <w:t xml:space="preserve"> a trustee and a non-member spouse</w:t>
      </w:r>
      <w:bookmarkEnd w:id="70"/>
      <w:bookmarkEnd w:id="71"/>
    </w:p>
    <w:p w14:paraId="62689F50" w14:textId="443AFF28" w:rsidR="00E463DB" w:rsidRDefault="00E463DB" w:rsidP="00E463DB">
      <w:pPr>
        <w:pStyle w:val="Heading4"/>
      </w:pPr>
      <w:r>
        <w:t xml:space="preserve">Section </w:t>
      </w:r>
      <w:r w:rsidR="009252CE">
        <w:t>141</w:t>
      </w:r>
    </w:p>
    <w:p w14:paraId="62B4BC38" w14:textId="77777777" w:rsidR="00E463DB" w:rsidRDefault="00E463DB" w:rsidP="00E463DB">
      <w:r w:rsidRPr="00F50070">
        <w:t xml:space="preserve">Where a superannuation interest is subject to a payment split or payment flag and payment splitting or flagging orders have been made, </w:t>
      </w:r>
      <w:r>
        <w:t>r</w:t>
      </w:r>
      <w:r w:rsidRPr="00F50070">
        <w:t xml:space="preserve">egulation 72 of the </w:t>
      </w:r>
      <w:r>
        <w:t>existing Regulations</w:t>
      </w:r>
      <w:r w:rsidRPr="00F50070">
        <w:t xml:space="preserve"> requires the non-member spouse to provide a written notice to the trustee of the superannuation plan in which the interest is held, advising of</w:t>
      </w:r>
      <w:r>
        <w:t xml:space="preserve"> the following in relation to the non-member spouse:</w:t>
      </w:r>
    </w:p>
    <w:p w14:paraId="4AA5895C" w14:textId="49A81713" w:rsidR="00E463DB" w:rsidRDefault="00E463DB" w:rsidP="00ED6477">
      <w:pPr>
        <w:pStyle w:val="Bullet1"/>
      </w:pPr>
      <w:r w:rsidRPr="00F50070">
        <w:t xml:space="preserve">full name and postal address </w:t>
      </w:r>
    </w:p>
    <w:p w14:paraId="4B93602B" w14:textId="508A17EE" w:rsidR="00E463DB" w:rsidRDefault="00E463DB" w:rsidP="00ED6477">
      <w:pPr>
        <w:pStyle w:val="Bullet1"/>
      </w:pPr>
      <w:r w:rsidRPr="00F50070">
        <w:t>date of birth if the interest is subject to a payment split</w:t>
      </w:r>
      <w:r w:rsidR="00847B7C">
        <w:t>,</w:t>
      </w:r>
      <w:r w:rsidRPr="00F50070">
        <w:t xml:space="preserve"> and</w:t>
      </w:r>
    </w:p>
    <w:p w14:paraId="6FDD31FA" w14:textId="77777777" w:rsidR="00E463DB" w:rsidRDefault="00E463DB" w:rsidP="00ED6477">
      <w:pPr>
        <w:pStyle w:val="Bullet1"/>
      </w:pPr>
      <w:r w:rsidRPr="00F50070">
        <w:t xml:space="preserve">if they are a member of the same fund, their membership number. </w:t>
      </w:r>
    </w:p>
    <w:p w14:paraId="13D3344A" w14:textId="166339E2" w:rsidR="00E463DB" w:rsidRDefault="00E463DB" w:rsidP="00E463DB">
      <w:r>
        <w:t>The new Regulations</w:t>
      </w:r>
      <w:r w:rsidR="009252CE">
        <w:t xml:space="preserve"> (at section 141)</w:t>
      </w:r>
      <w:r>
        <w:t xml:space="preserve"> contain amendments that are intended to </w:t>
      </w:r>
      <w:r w:rsidR="00847B7C">
        <w:t xml:space="preserve">facilitate safer communication between </w:t>
      </w:r>
      <w:r>
        <w:t xml:space="preserve">non-member spouses </w:t>
      </w:r>
      <w:r w:rsidR="00847B7C">
        <w:t xml:space="preserve">and </w:t>
      </w:r>
      <w:r>
        <w:t xml:space="preserve">superannuation trustees after a payment splitting or flagging order or agreement has been made. </w:t>
      </w:r>
    </w:p>
    <w:p w14:paraId="2889C716" w14:textId="7C847A7C" w:rsidR="00E463DB" w:rsidRPr="001D2194" w:rsidRDefault="00E463DB" w:rsidP="00E463DB">
      <w:pPr>
        <w:spacing w:before="240"/>
      </w:pPr>
      <w:r w:rsidRPr="001D2194">
        <w:t>The amendments:</w:t>
      </w:r>
    </w:p>
    <w:p w14:paraId="48A7666A" w14:textId="58C362FF" w:rsidR="00E463DB" w:rsidRPr="00253CC6" w:rsidRDefault="00E463DB" w:rsidP="00ED6477">
      <w:pPr>
        <w:pStyle w:val="Bullet1"/>
      </w:pPr>
      <w:r w:rsidRPr="00253CC6">
        <w:t>allow a non-member spouse to provide the trustee with either an email address or a postal address, instead of only a postal address</w:t>
      </w:r>
    </w:p>
    <w:p w14:paraId="5910DF07" w14:textId="5AB9C12D" w:rsidR="00E463DB" w:rsidRPr="00253CC6" w:rsidRDefault="00E463DB" w:rsidP="00ED6477">
      <w:pPr>
        <w:pStyle w:val="Bullet1"/>
      </w:pPr>
      <w:r w:rsidRPr="00253CC6">
        <w:t>allow a non-member spouse to provide a ‘care of’ postal address or email address of an intermediary (for example, a legal representative, support worker or other person), rather than their own personal email or postal address</w:t>
      </w:r>
      <w:r w:rsidR="00847B7C">
        <w:t>,</w:t>
      </w:r>
      <w:r w:rsidRPr="00253CC6">
        <w:t xml:space="preserve"> and</w:t>
      </w:r>
    </w:p>
    <w:p w14:paraId="7748E64F" w14:textId="77777777" w:rsidR="00E463DB" w:rsidRPr="00253CC6" w:rsidRDefault="00E463DB" w:rsidP="00ED6477">
      <w:pPr>
        <w:pStyle w:val="Bullet1"/>
      </w:pPr>
      <w:r w:rsidRPr="00253CC6">
        <w:lastRenderedPageBreak/>
        <w:t>remove the requirement for the non-member spouse to provide their membership number, where they are a member of the same fund. Where the non-member spouse is a member of the same fund, the fund should be able to obtain the non-member spouse’s membership number internally.</w:t>
      </w:r>
    </w:p>
    <w:p w14:paraId="33382F61" w14:textId="3EF4BD3D" w:rsidR="00E463DB" w:rsidRPr="00E463DB" w:rsidRDefault="00E463DB" w:rsidP="00E463DB">
      <w:pPr>
        <w:spacing w:before="240"/>
      </w:pPr>
      <w:r w:rsidRPr="005E0A04">
        <w:t xml:space="preserve">Allowing non-member spouses to designate an independent third party to serve as an intermediary for the non-member spouse will help </w:t>
      </w:r>
      <w:r>
        <w:t xml:space="preserve">mitigate the risk of systems abuse, </w:t>
      </w:r>
      <w:r w:rsidRPr="00525AE9">
        <w:t xml:space="preserve">protect the safety of non-member spouses, and limit the perpetuation of family violence via inappropriate access to personal details, particularly where the member spouse is both a party to the splitting </w:t>
      </w:r>
      <w:r>
        <w:t xml:space="preserve">agreement or </w:t>
      </w:r>
      <w:r w:rsidRPr="00525AE9">
        <w:t xml:space="preserve">orders and also the trustee of the fund that must give effect to the splitting </w:t>
      </w:r>
      <w:r>
        <w:t xml:space="preserve">agreement or </w:t>
      </w:r>
      <w:r w:rsidRPr="00525AE9">
        <w:t>orders</w:t>
      </w:r>
      <w:r>
        <w:t xml:space="preserve"> (as is the case for self-managed superannuation funds)</w:t>
      </w:r>
      <w:r w:rsidRPr="00525AE9">
        <w:t>.</w:t>
      </w:r>
    </w:p>
    <w:tbl>
      <w:tblPr>
        <w:tblStyle w:val="TableGrid"/>
        <w:tblW w:w="0" w:type="auto"/>
        <w:tblLook w:val="04A0" w:firstRow="1" w:lastRow="0" w:firstColumn="1" w:lastColumn="0" w:noHBand="0" w:noVBand="1"/>
      </w:tblPr>
      <w:tblGrid>
        <w:gridCol w:w="10302"/>
      </w:tblGrid>
      <w:tr w:rsidR="00E463DB" w14:paraId="37C983DA" w14:textId="77777777" w:rsidTr="0007150C">
        <w:tc>
          <w:tcPr>
            <w:tcW w:w="10528" w:type="dxa"/>
            <w:shd w:val="clear" w:color="auto" w:fill="E2E9EE"/>
          </w:tcPr>
          <w:p w14:paraId="0D7E6213" w14:textId="50C89146" w:rsidR="00E463DB" w:rsidRPr="00D165BA" w:rsidRDefault="00E463DB" w:rsidP="0007150C">
            <w:pPr>
              <w:pStyle w:val="Heading4"/>
            </w:pPr>
            <w:bookmarkStart w:id="72" w:name="_Hlk150958906"/>
            <w:r>
              <w:t xml:space="preserve">Question </w:t>
            </w:r>
            <w:r w:rsidR="00C01792">
              <w:t>1</w:t>
            </w:r>
            <w:r w:rsidR="00882AE2">
              <w:t>5</w:t>
            </w:r>
          </w:p>
          <w:p w14:paraId="4FE52152" w14:textId="265B7048" w:rsidR="00AF6778" w:rsidRDefault="00E463DB" w:rsidP="0007150C">
            <w:r>
              <w:t xml:space="preserve">Do you have any concerns </w:t>
            </w:r>
            <w:r w:rsidRPr="006B6770">
              <w:t xml:space="preserve">with the proposed amendments to </w:t>
            </w:r>
            <w:r>
              <w:t>s</w:t>
            </w:r>
            <w:r w:rsidRPr="006B6770">
              <w:t xml:space="preserve">ection </w:t>
            </w:r>
            <w:r w:rsidR="009252CE">
              <w:t>141</w:t>
            </w:r>
            <w:r w:rsidRPr="006B6770">
              <w:t>?</w:t>
            </w:r>
          </w:p>
          <w:p w14:paraId="44C795C5" w14:textId="0CEAB4E4" w:rsidR="00E463DB" w:rsidRDefault="00E463DB" w:rsidP="0007150C">
            <w:r>
              <w:t>If so, please expand on your concerns</w:t>
            </w:r>
            <w:r w:rsidR="00B51C03">
              <w:t xml:space="preserve">, including what </w:t>
            </w:r>
            <w:r>
              <w:t xml:space="preserve">you </w:t>
            </w:r>
            <w:r w:rsidR="00B51C03">
              <w:t xml:space="preserve">would </w:t>
            </w:r>
            <w:r>
              <w:t>propose instead</w:t>
            </w:r>
            <w:r w:rsidR="006924F2">
              <w:t>.</w:t>
            </w:r>
          </w:p>
        </w:tc>
      </w:tr>
    </w:tbl>
    <w:p w14:paraId="7C25A6A9" w14:textId="5EBC454D" w:rsidR="00A926CC" w:rsidRDefault="00A926CC">
      <w:pPr>
        <w:spacing w:after="0" w:line="240" w:lineRule="auto"/>
        <w:rPr>
          <w:rFonts w:eastAsia="SimSun" w:cs="Angsana New"/>
          <w:b/>
          <w:bCs/>
          <w:iCs/>
          <w:color w:val="4D738A"/>
          <w:sz w:val="40"/>
          <w:szCs w:val="48"/>
        </w:rPr>
      </w:pPr>
      <w:bookmarkStart w:id="73" w:name="_Toc152061090"/>
      <w:bookmarkStart w:id="74" w:name="_Toc158043541"/>
      <w:bookmarkEnd w:id="72"/>
    </w:p>
    <w:p w14:paraId="0D162D81" w14:textId="48583CEA" w:rsidR="00E463DB" w:rsidRDefault="009D14FF" w:rsidP="009D14FF">
      <w:pPr>
        <w:pStyle w:val="Heading2"/>
      </w:pPr>
      <w:r>
        <w:t xml:space="preserve">Other </w:t>
      </w:r>
      <w:r w:rsidR="00952D55">
        <w:t>matters</w:t>
      </w:r>
      <w:r>
        <w:t xml:space="preserve"> for consultation</w:t>
      </w:r>
      <w:bookmarkEnd w:id="73"/>
      <w:bookmarkEnd w:id="74"/>
    </w:p>
    <w:p w14:paraId="4099F4E6" w14:textId="77777777" w:rsidR="00226352" w:rsidRPr="00226352" w:rsidRDefault="00226352" w:rsidP="00D00910">
      <w:pPr>
        <w:pStyle w:val="Heading3"/>
      </w:pPr>
      <w:bookmarkStart w:id="75" w:name="_Toc152061091"/>
      <w:bookmarkStart w:id="76" w:name="_Toc158043542"/>
      <w:bookmarkStart w:id="77" w:name="_Hlk151991020"/>
      <w:r w:rsidRPr="005239CF">
        <w:t>Superannuation annuities - valuation and payment splitting</w:t>
      </w:r>
      <w:bookmarkEnd w:id="75"/>
      <w:bookmarkEnd w:id="76"/>
      <w:r w:rsidRPr="005239CF">
        <w:t xml:space="preserve"> </w:t>
      </w:r>
    </w:p>
    <w:p w14:paraId="6D54EB47" w14:textId="2833B833" w:rsidR="00226352" w:rsidRDefault="00226352" w:rsidP="00D00910">
      <w:pPr>
        <w:spacing w:after="240"/>
      </w:pPr>
      <w:r w:rsidRPr="00226352">
        <w:t xml:space="preserve">The </w:t>
      </w:r>
      <w:r w:rsidRPr="002C7AB7">
        <w:t>Family Law Act</w:t>
      </w:r>
      <w:r w:rsidRPr="00226352">
        <w:t xml:space="preserve"> provides that certain types of superannuation interests can only be split by reference to a percentage of future payments. These types of superannuation interests are called ‘percentage-only </w:t>
      </w:r>
      <w:proofErr w:type="gramStart"/>
      <w:r w:rsidRPr="00226352">
        <w:t>interests’</w:t>
      </w:r>
      <w:proofErr w:type="gramEnd"/>
      <w:r w:rsidRPr="00226352">
        <w:t>. Regulations 9A and 9B of the existing Regulations</w:t>
      </w:r>
      <w:r w:rsidR="009252CE">
        <w:t xml:space="preserve"> (and sections 10 and 11 of the new Regulations)</w:t>
      </w:r>
      <w:r w:rsidRPr="00226352">
        <w:t xml:space="preserve"> prescribe superannuation annuities and a number</w:t>
      </w:r>
      <w:r>
        <w:t xml:space="preserve"> of state judicial pension schemes as percentage-only interests. </w:t>
      </w:r>
    </w:p>
    <w:p w14:paraId="6DD2E6D2" w14:textId="3CD4CD89" w:rsidR="00226352" w:rsidRDefault="00226352" w:rsidP="00D00910">
      <w:pPr>
        <w:spacing w:after="240"/>
      </w:pPr>
      <w:r>
        <w:t>The existing Regulations do not provide ‘default’ valuation methods and factors for percentage</w:t>
      </w:r>
      <w:r>
        <w:noBreakHyphen/>
        <w:t>only interests, including superannuation annuities (except for fixed term and lifetime annuities in certain circumstances under existing regulation 14(Q), which have been removed from the new Regulations). Nor do they provide a power for the Minister to approve valuation methods and factors for percentage-only interests. Th</w:t>
      </w:r>
      <w:r w:rsidR="00F70A20">
        <w:t xml:space="preserve">ere are no changes to this approach </w:t>
      </w:r>
      <w:r>
        <w:t xml:space="preserve">in the new Regulations. </w:t>
      </w:r>
    </w:p>
    <w:p w14:paraId="7BF5E1D3" w14:textId="4B2A0813" w:rsidR="00226352" w:rsidRDefault="00226352" w:rsidP="005239CF">
      <w:pPr>
        <w:spacing w:after="240"/>
      </w:pPr>
      <w:r>
        <w:t>The preferred policy outcome is for superannuation interests to be actuarially valued for the purpose of family law property</w:t>
      </w:r>
      <w:r w:rsidR="002C7AB7">
        <w:t xml:space="preserve"> division</w:t>
      </w:r>
      <w:r>
        <w:t xml:space="preserve">, and for parties to have the option of either a percentage split or a base amount </w:t>
      </w:r>
      <w:proofErr w:type="gramStart"/>
      <w:r>
        <w:t>split</w:t>
      </w:r>
      <w:proofErr w:type="gramEnd"/>
      <w:r>
        <w:t>, wherever possible. The department</w:t>
      </w:r>
      <w:r w:rsidR="00347008">
        <w:t xml:space="preserve"> </w:t>
      </w:r>
      <w:r w:rsidR="002C7AB7">
        <w:t>therefore</w:t>
      </w:r>
      <w:r>
        <w:t xml:space="preserve"> seeks stakeholder views about how superannuation annuities should be treated in the new Regulations, </w:t>
      </w:r>
      <w:r w:rsidR="00F70A20">
        <w:t xml:space="preserve">specifically how they should be valued and </w:t>
      </w:r>
      <w:r>
        <w:t xml:space="preserve">whether </w:t>
      </w:r>
      <w:r w:rsidR="00F70A20">
        <w:t>they</w:t>
      </w:r>
      <w:r>
        <w:t xml:space="preserve"> should continue to be split only b</w:t>
      </w:r>
      <w:r w:rsidR="00F70A20">
        <w:t>y</w:t>
      </w:r>
      <w:r>
        <w:t xml:space="preserve"> reference to a percentage of future payments (or whether they should also be capable of being subject to base amount splits). </w:t>
      </w:r>
    </w:p>
    <w:tbl>
      <w:tblPr>
        <w:tblStyle w:val="TableGrid"/>
        <w:tblW w:w="0" w:type="auto"/>
        <w:tblLook w:val="04A0" w:firstRow="1" w:lastRow="0" w:firstColumn="1" w:lastColumn="0" w:noHBand="0" w:noVBand="1"/>
      </w:tblPr>
      <w:tblGrid>
        <w:gridCol w:w="10302"/>
      </w:tblGrid>
      <w:tr w:rsidR="00235304" w14:paraId="2DD62F39" w14:textId="77777777" w:rsidTr="0007150C">
        <w:tc>
          <w:tcPr>
            <w:tcW w:w="10528" w:type="dxa"/>
            <w:shd w:val="clear" w:color="auto" w:fill="E2E9EE"/>
          </w:tcPr>
          <w:p w14:paraId="18941C32" w14:textId="18D1BEF1" w:rsidR="00226352" w:rsidRPr="00D165BA" w:rsidRDefault="00226352" w:rsidP="00226352">
            <w:pPr>
              <w:pStyle w:val="Heading4"/>
            </w:pPr>
            <w:bookmarkStart w:id="78" w:name="paragraph"/>
            <w:bookmarkStart w:id="79" w:name="paragraphsub"/>
            <w:bookmarkStart w:id="80" w:name="_Hlk151123249"/>
            <w:bookmarkEnd w:id="77"/>
            <w:r>
              <w:lastRenderedPageBreak/>
              <w:t xml:space="preserve">Question </w:t>
            </w:r>
            <w:r w:rsidR="00C01792">
              <w:t>1</w:t>
            </w:r>
            <w:r w:rsidR="00882AE2">
              <w:t>6</w:t>
            </w:r>
          </w:p>
          <w:p w14:paraId="050A6AE8" w14:textId="70E2638E" w:rsidR="00226352" w:rsidRDefault="009F5FAF" w:rsidP="00B51C03">
            <w:r>
              <w:t>S</w:t>
            </w:r>
            <w:r w:rsidR="00226352">
              <w:t>uperannuation annuities prescribed as percentage-only interests</w:t>
            </w:r>
            <w:r w:rsidR="00AF6778">
              <w:t xml:space="preserve"> </w:t>
            </w:r>
            <w:r w:rsidR="00226352">
              <w:t>can only be split by reference to a percentage of future payments</w:t>
            </w:r>
            <w:r w:rsidR="00AF6778">
              <w:t xml:space="preserve">, and </w:t>
            </w:r>
            <w:r w:rsidR="00226352">
              <w:t xml:space="preserve">there is no power for the </w:t>
            </w:r>
            <w:r w:rsidR="00D45F89">
              <w:t>M</w:t>
            </w:r>
            <w:r w:rsidR="00226352">
              <w:t xml:space="preserve">inister to approve valuation methods </w:t>
            </w:r>
            <w:r w:rsidR="00C95EA6">
              <w:t>or</w:t>
            </w:r>
            <w:r w:rsidR="00226352">
              <w:t xml:space="preserve"> factors with respect to superannuation annuities.</w:t>
            </w:r>
          </w:p>
          <w:p w14:paraId="04A46C90" w14:textId="2AB6DC6A" w:rsidR="000B71D8" w:rsidRDefault="000B71D8" w:rsidP="0007150C">
            <w:r>
              <w:t>Should superannuation annuities continue to be prescribed as percentage-only interests?</w:t>
            </w:r>
          </w:p>
          <w:p w14:paraId="5E243370" w14:textId="39AC4D3C" w:rsidR="00235304" w:rsidRDefault="00AF6778" w:rsidP="0007150C">
            <w:r>
              <w:t>Please expand on your response.</w:t>
            </w:r>
          </w:p>
        </w:tc>
      </w:tr>
      <w:bookmarkEnd w:id="78"/>
      <w:bookmarkEnd w:id="79"/>
      <w:bookmarkEnd w:id="80"/>
    </w:tbl>
    <w:p w14:paraId="39185049" w14:textId="77777777" w:rsidR="00235304" w:rsidRDefault="00235304" w:rsidP="00235304">
      <w:pPr>
        <w:pStyle w:val="NoSpacing"/>
      </w:pPr>
    </w:p>
    <w:p w14:paraId="3371F9AC" w14:textId="518A136E" w:rsidR="00235304" w:rsidRDefault="00235304" w:rsidP="00FE3B3E">
      <w:pPr>
        <w:pStyle w:val="Heading3"/>
      </w:pPr>
      <w:bookmarkStart w:id="81" w:name="_Toc152061092"/>
      <w:bookmarkStart w:id="82" w:name="_Toc158043543"/>
      <w:r w:rsidRPr="00CC229D">
        <w:t>Unsplittable interests</w:t>
      </w:r>
      <w:bookmarkEnd w:id="81"/>
      <w:bookmarkEnd w:id="82"/>
    </w:p>
    <w:p w14:paraId="36841660" w14:textId="635B2DD0" w:rsidR="00235304" w:rsidRDefault="00235304" w:rsidP="00FE3B3E">
      <w:pPr>
        <w:pStyle w:val="Heading4"/>
      </w:pPr>
      <w:r w:rsidRPr="00FE3B3E">
        <w:t>Section</w:t>
      </w:r>
      <w:r>
        <w:t xml:space="preserve"> </w:t>
      </w:r>
      <w:r w:rsidR="009252CE">
        <w:t>14</w:t>
      </w:r>
      <w:r w:rsidRPr="00B82F4F">
        <w:t xml:space="preserve"> </w:t>
      </w:r>
    </w:p>
    <w:p w14:paraId="2F497069" w14:textId="3BF96452" w:rsidR="00D815C7" w:rsidRDefault="00D815C7" w:rsidP="00235304">
      <w:pPr>
        <w:spacing w:after="240"/>
      </w:pPr>
      <w:r w:rsidRPr="00B82F4F">
        <w:t xml:space="preserve">Existing </w:t>
      </w:r>
      <w:r>
        <w:t>r</w:t>
      </w:r>
      <w:r w:rsidRPr="00B82F4F">
        <w:t>egulation 11 prescribes certain types of superannuation interests as ‘unsplittable interests’ for the purpose of sections 90XD and 90YD of the Family Law Act. These are interests which cannot be split by an agreement or court order.</w:t>
      </w:r>
      <w:r>
        <w:t xml:space="preserve"> Currently, the Regulations exempts </w:t>
      </w:r>
      <w:r w:rsidRPr="0076481B">
        <w:t>a</w:t>
      </w:r>
      <w:r w:rsidRPr="001B2BA4">
        <w:t xml:space="preserve"> superannuation interest in the scheme provided under the </w:t>
      </w:r>
      <w:r w:rsidRPr="00B2491E">
        <w:rPr>
          <w:i/>
        </w:rPr>
        <w:t>Judges’ Pensions Act 1968</w:t>
      </w:r>
      <w:r>
        <w:t>, the</w:t>
      </w:r>
      <w:r w:rsidRPr="00511370">
        <w:t xml:space="preserve"> </w:t>
      </w:r>
      <w:r w:rsidRPr="005239CF">
        <w:rPr>
          <w:i/>
        </w:rPr>
        <w:t>Judges’ Pensions Act 1971</w:t>
      </w:r>
      <w:r>
        <w:rPr>
          <w:i/>
        </w:rPr>
        <w:t xml:space="preserve"> </w:t>
      </w:r>
      <w:r w:rsidRPr="002C7AB7">
        <w:t>(SA)</w:t>
      </w:r>
      <w:r>
        <w:t xml:space="preserve">, and </w:t>
      </w:r>
      <w:r w:rsidRPr="00511370">
        <w:t>the </w:t>
      </w:r>
      <w:r w:rsidRPr="00511370">
        <w:rPr>
          <w:i/>
        </w:rPr>
        <w:t>Parliamentary Contributory Superannuation Act 1948</w:t>
      </w:r>
      <w:r>
        <w:rPr>
          <w:i/>
        </w:rPr>
        <w:t>,</w:t>
      </w:r>
      <w:r>
        <w:t xml:space="preserve"> from being considered an unsplittable interest. The only substantive change between section </w:t>
      </w:r>
      <w:r w:rsidR="009252CE">
        <w:t>14</w:t>
      </w:r>
      <w:r>
        <w:t xml:space="preserve"> in the new Regulations and regulation 11 in </w:t>
      </w:r>
      <w:r w:rsidRPr="005B2156">
        <w:t xml:space="preserve">the </w:t>
      </w:r>
      <w:r>
        <w:t xml:space="preserve">existing Regulations </w:t>
      </w:r>
      <w:r w:rsidRPr="005B2156">
        <w:t>is</w:t>
      </w:r>
      <w:r>
        <w:t xml:space="preserve"> that a </w:t>
      </w:r>
      <w:r w:rsidRPr="00511370">
        <w:t xml:space="preserve">superannuation interest in the Judges’ Pensions Act Scheme </w:t>
      </w:r>
      <w:r>
        <w:t xml:space="preserve">is no longer exempted </w:t>
      </w:r>
      <w:r w:rsidRPr="00511370">
        <w:t>from being an unsplittable interest.</w:t>
      </w:r>
    </w:p>
    <w:p w14:paraId="370E5C83" w14:textId="3CCE8ECC" w:rsidR="00235304" w:rsidRPr="00261422" w:rsidRDefault="00235304" w:rsidP="00235304">
      <w:pPr>
        <w:spacing w:after="240"/>
      </w:pPr>
      <w:r>
        <w:t xml:space="preserve">Subsection </w:t>
      </w:r>
      <w:r w:rsidR="009252CE">
        <w:t>14</w:t>
      </w:r>
      <w:r>
        <w:t xml:space="preserve">(2) </w:t>
      </w:r>
      <w:r w:rsidR="001D0218">
        <w:t xml:space="preserve">of the new Regulations </w:t>
      </w:r>
      <w:r>
        <w:t xml:space="preserve">provides that a superannuation interest of a member spouse is an unsplittable interest if the whole or remaining part of the benefits are being paid to the member spouse as a lifetime </w:t>
      </w:r>
      <w:r w:rsidRPr="001B2BA4">
        <w:t>pension or fixed</w:t>
      </w:r>
      <w:r>
        <w:noBreakHyphen/>
      </w:r>
      <w:r w:rsidRPr="001B2BA4">
        <w:t>term pension that the member is no longer entitled to commute</w:t>
      </w:r>
      <w:r>
        <w:t xml:space="preserve">, or </w:t>
      </w:r>
      <w:r w:rsidRPr="001B2BA4">
        <w:t>a lifetime annuity or fixed</w:t>
      </w:r>
      <w:r>
        <w:noBreakHyphen/>
      </w:r>
      <w:r w:rsidRPr="001B2BA4">
        <w:t>term annuity</w:t>
      </w:r>
      <w:r>
        <w:t xml:space="preserve">, and </w:t>
      </w:r>
      <w:r w:rsidRPr="001B2BA4">
        <w:t>the amount of the annual benefit payable to the member is less than $2</w:t>
      </w:r>
      <w:r>
        <w:t>,</w:t>
      </w:r>
      <w:r w:rsidRPr="001B2BA4">
        <w:t>000</w:t>
      </w:r>
      <w:r>
        <w:t xml:space="preserve">.  Subsection </w:t>
      </w:r>
      <w:r w:rsidR="009E4181">
        <w:t>14</w:t>
      </w:r>
      <w:r>
        <w:t xml:space="preserve">(3) provides that, a superannuation interest of a member spouse is an unsplittable interest if the superannuation is not an interest </w:t>
      </w:r>
      <w:r w:rsidR="009A1E53">
        <w:t>with</w:t>
      </w:r>
      <w:r>
        <w:t xml:space="preserve"> respect </w:t>
      </w:r>
      <w:r w:rsidR="009A1E53">
        <w:t xml:space="preserve">to </w:t>
      </w:r>
      <w:r>
        <w:t xml:space="preserve">which the whole or remaining part of the benefits are being paid to the member spouse as a lifetime </w:t>
      </w:r>
      <w:r w:rsidRPr="001B2BA4">
        <w:t>pension or fixed</w:t>
      </w:r>
      <w:r>
        <w:noBreakHyphen/>
      </w:r>
      <w:r w:rsidRPr="001B2BA4">
        <w:t>term pension that the member is no longer entitled to commute</w:t>
      </w:r>
      <w:r>
        <w:t xml:space="preserve">, or </w:t>
      </w:r>
      <w:r w:rsidRPr="001B2BA4">
        <w:t>a lifetime annuity or fixed</w:t>
      </w:r>
      <w:r>
        <w:noBreakHyphen/>
      </w:r>
      <w:r w:rsidRPr="001B2BA4">
        <w:t>term annuity</w:t>
      </w:r>
      <w:r>
        <w:t xml:space="preserve">, and the withdrawal benefit in relation to the member spouse is less than $5,000. </w:t>
      </w:r>
      <w:r w:rsidRPr="00261422">
        <w:t>This recognises that splitting superannuation of little or no value is not cost effective for the parties and may be administratively burdensome for superannuation trustees to implement.</w:t>
      </w:r>
    </w:p>
    <w:p w14:paraId="7328600C" w14:textId="77777777" w:rsidR="00D815C7" w:rsidRDefault="00D815C7" w:rsidP="00D815C7">
      <w:pPr>
        <w:spacing w:after="240"/>
      </w:pPr>
      <w:r>
        <w:t xml:space="preserve">Noting the increasing variety of retirement income products being offered, for example innovative retirement income stream products, the department seeks stakeholders’ views on whether existing regulation 11 remains fit for purpose. </w:t>
      </w:r>
    </w:p>
    <w:p w14:paraId="5C4E4F89" w14:textId="6303FB24" w:rsidR="00235304" w:rsidRDefault="00235304" w:rsidP="00235304">
      <w:pPr>
        <w:spacing w:after="240"/>
      </w:pPr>
    </w:p>
    <w:tbl>
      <w:tblPr>
        <w:tblStyle w:val="TableGrid"/>
        <w:tblW w:w="0" w:type="auto"/>
        <w:tblLook w:val="04A0" w:firstRow="1" w:lastRow="0" w:firstColumn="1" w:lastColumn="0" w:noHBand="0" w:noVBand="1"/>
      </w:tblPr>
      <w:tblGrid>
        <w:gridCol w:w="10302"/>
      </w:tblGrid>
      <w:tr w:rsidR="00235304" w14:paraId="66A5D3C9" w14:textId="77777777" w:rsidTr="0007150C">
        <w:tc>
          <w:tcPr>
            <w:tcW w:w="10528" w:type="dxa"/>
            <w:shd w:val="clear" w:color="auto" w:fill="E2E9EE"/>
          </w:tcPr>
          <w:p w14:paraId="434E0F83" w14:textId="51B2E580" w:rsidR="00235304" w:rsidRPr="00D165BA" w:rsidRDefault="00235304" w:rsidP="0007150C">
            <w:pPr>
              <w:pStyle w:val="Heading4"/>
            </w:pPr>
            <w:r>
              <w:lastRenderedPageBreak/>
              <w:t xml:space="preserve">Question </w:t>
            </w:r>
            <w:r w:rsidR="00C01792">
              <w:t>1</w:t>
            </w:r>
            <w:r w:rsidR="00882AE2">
              <w:t>7</w:t>
            </w:r>
          </w:p>
          <w:p w14:paraId="4DBC1AFC" w14:textId="7B3E4BA1" w:rsidR="00CA4EAF" w:rsidRDefault="00235304" w:rsidP="0007150C">
            <w:r w:rsidRPr="007D2E79">
              <w:rPr>
                <w:bCs/>
              </w:rPr>
              <w:t>Are there other superannuation plans or annuities</w:t>
            </w:r>
            <w:r w:rsidR="00146495">
              <w:t xml:space="preserve"> </w:t>
            </w:r>
            <w:r w:rsidRPr="007D2E79">
              <w:t>which</w:t>
            </w:r>
            <w:r w:rsidR="001C19CF">
              <w:t xml:space="preserve"> should be prescribed as ‘unsplittable interests’ under </w:t>
            </w:r>
            <w:r w:rsidR="00211C7A">
              <w:t>section</w:t>
            </w:r>
            <w:r w:rsidR="00211C7A" w:rsidRPr="007D2E79">
              <w:t xml:space="preserve"> </w:t>
            </w:r>
            <w:r w:rsidR="009252CE">
              <w:t>14</w:t>
            </w:r>
            <w:r w:rsidR="00CA4EAF">
              <w:t>? Wh</w:t>
            </w:r>
            <w:r w:rsidR="00ED2524">
              <w:t>ich other plans or annuities, and wh</w:t>
            </w:r>
            <w:r w:rsidR="00CA4EAF">
              <w:t>y?</w:t>
            </w:r>
          </w:p>
          <w:p w14:paraId="3400F340" w14:textId="4B902379" w:rsidR="00082B62" w:rsidRPr="00D165BA" w:rsidRDefault="00082B62" w:rsidP="00082B62">
            <w:pPr>
              <w:pStyle w:val="Heading4"/>
            </w:pPr>
            <w:r>
              <w:t>Question 1</w:t>
            </w:r>
            <w:r w:rsidR="00882AE2">
              <w:t>8</w:t>
            </w:r>
          </w:p>
          <w:p w14:paraId="24B5FF24" w14:textId="2D1CAF82" w:rsidR="00235304" w:rsidRPr="007D2E79" w:rsidRDefault="00CA4EAF" w:rsidP="0007150C">
            <w:r>
              <w:t xml:space="preserve">Are there </w:t>
            </w:r>
            <w:r w:rsidRPr="007D2E79">
              <w:rPr>
                <w:bCs/>
              </w:rPr>
              <w:t>other superannuation plans or annuities</w:t>
            </w:r>
            <w:r w:rsidRPr="007D2E79">
              <w:t xml:space="preserve"> </w:t>
            </w:r>
            <w:r w:rsidR="00235304" w:rsidRPr="007D2E79">
              <w:t xml:space="preserve">which should be exempted from the operation of </w:t>
            </w:r>
            <w:r w:rsidR="00235304">
              <w:t>section</w:t>
            </w:r>
            <w:r w:rsidR="00235304" w:rsidRPr="007D2E79">
              <w:t xml:space="preserve"> </w:t>
            </w:r>
            <w:r w:rsidR="009252CE">
              <w:t>14</w:t>
            </w:r>
            <w:r w:rsidR="00235304" w:rsidRPr="007D2E79">
              <w:t>?</w:t>
            </w:r>
            <w:r>
              <w:t xml:space="preserve"> W</w:t>
            </w:r>
            <w:r w:rsidR="00ED2524">
              <w:t>hich other plans or annuities, and w</w:t>
            </w:r>
            <w:r>
              <w:t>hy?</w:t>
            </w:r>
          </w:p>
          <w:p w14:paraId="131C34DD" w14:textId="6BB9565F" w:rsidR="00235304" w:rsidRPr="00D165BA" w:rsidRDefault="00235304" w:rsidP="0007150C">
            <w:pPr>
              <w:pStyle w:val="Heading4"/>
            </w:pPr>
            <w:r>
              <w:t xml:space="preserve">Question </w:t>
            </w:r>
            <w:r w:rsidR="00C01792">
              <w:t>1</w:t>
            </w:r>
            <w:r w:rsidR="00882AE2">
              <w:t>9</w:t>
            </w:r>
          </w:p>
          <w:p w14:paraId="3C24B0F7" w14:textId="4085E897" w:rsidR="00235304" w:rsidRDefault="00235304" w:rsidP="0007150C">
            <w:r>
              <w:t xml:space="preserve">Please provide any other comments or concerns about the operation of section </w:t>
            </w:r>
            <w:r w:rsidR="009252CE">
              <w:t>14</w:t>
            </w:r>
            <w:r>
              <w:t>.</w:t>
            </w:r>
          </w:p>
        </w:tc>
      </w:tr>
    </w:tbl>
    <w:p w14:paraId="00227CCC" w14:textId="77777777" w:rsidR="00C20C8D" w:rsidRDefault="00C20C8D" w:rsidP="00C20C8D">
      <w:pPr>
        <w:pStyle w:val="Heading3"/>
        <w:spacing w:beforeLines="100" w:before="240"/>
      </w:pPr>
      <w:bookmarkStart w:id="83" w:name="_Toc152061093"/>
      <w:bookmarkStart w:id="84" w:name="_Toc158043544"/>
      <w:r w:rsidRPr="007D470A">
        <w:t xml:space="preserve">Payments </w:t>
      </w:r>
      <w:r>
        <w:t xml:space="preserve">of a particular character </w:t>
      </w:r>
      <w:r w:rsidRPr="00F03949">
        <w:t>that are not splittable payments</w:t>
      </w:r>
      <w:bookmarkEnd w:id="83"/>
      <w:bookmarkEnd w:id="84"/>
    </w:p>
    <w:p w14:paraId="461A5290" w14:textId="6C38C4F1" w:rsidR="00C20C8D" w:rsidRPr="00852B60" w:rsidRDefault="00C20C8D" w:rsidP="00C20C8D">
      <w:pPr>
        <w:pStyle w:val="Heading4"/>
      </w:pPr>
      <w:r>
        <w:t xml:space="preserve">Section </w:t>
      </w:r>
      <w:r w:rsidR="009252CE">
        <w:t>16</w:t>
      </w:r>
    </w:p>
    <w:p w14:paraId="7ADE2E7A" w14:textId="5B48EBEB" w:rsidR="00C20C8D" w:rsidRDefault="00C20C8D" w:rsidP="00C20C8D">
      <w:r>
        <w:t>N</w:t>
      </w:r>
      <w:r>
        <w:rPr>
          <w:shd w:val="clear" w:color="auto" w:fill="FFFFFF"/>
        </w:rPr>
        <w:t xml:space="preserve">ot all payments to a member spouse </w:t>
      </w:r>
      <w:r w:rsidR="009A1E53">
        <w:rPr>
          <w:shd w:val="clear" w:color="auto" w:fill="FFFFFF"/>
        </w:rPr>
        <w:t>with</w:t>
      </w:r>
      <w:r>
        <w:rPr>
          <w:shd w:val="clear" w:color="auto" w:fill="FFFFFF"/>
        </w:rPr>
        <w:t xml:space="preserve"> respect </w:t>
      </w:r>
      <w:r w:rsidR="009A1E53">
        <w:rPr>
          <w:shd w:val="clear" w:color="auto" w:fill="FFFFFF"/>
        </w:rPr>
        <w:t xml:space="preserve">to </w:t>
      </w:r>
      <w:r>
        <w:rPr>
          <w:shd w:val="clear" w:color="auto" w:fill="FFFFFF"/>
        </w:rPr>
        <w:t>their superannuation interest are ‘splittable payments’. A payment is not a ‘splittable payment’ if it meets any of the requirements prescribed in the Regulations for the purposes of subsections 90</w:t>
      </w:r>
      <w:proofErr w:type="gramStart"/>
      <w:r>
        <w:rPr>
          <w:shd w:val="clear" w:color="auto" w:fill="FFFFFF"/>
        </w:rPr>
        <w:t>XE(</w:t>
      </w:r>
      <w:proofErr w:type="gramEnd"/>
      <w:r>
        <w:rPr>
          <w:shd w:val="clear" w:color="auto" w:fill="FFFFFF"/>
        </w:rPr>
        <w:t xml:space="preserve">2) or 90YG(2) of the Family Law Act. Existing regulation 12 sets out the types of payments to a member spouse that are not ‘splittable </w:t>
      </w:r>
      <w:proofErr w:type="gramStart"/>
      <w:r>
        <w:rPr>
          <w:shd w:val="clear" w:color="auto" w:fill="FFFFFF"/>
        </w:rPr>
        <w:t>payments’</w:t>
      </w:r>
      <w:proofErr w:type="gramEnd"/>
      <w:r>
        <w:t>. These categories are located in subsection 1</w:t>
      </w:r>
      <w:r w:rsidR="009252CE">
        <w:t>6</w:t>
      </w:r>
      <w:r>
        <w:t xml:space="preserve">(2) of the new Regulations. </w:t>
      </w:r>
    </w:p>
    <w:p w14:paraId="38A9FBE7" w14:textId="7F0B7F28" w:rsidR="00C20C8D" w:rsidRDefault="00C20C8D" w:rsidP="00C20C8D">
      <w:pPr>
        <w:pStyle w:val="Heading4"/>
      </w:pPr>
      <w:r>
        <w:t xml:space="preserve">Paragraph </w:t>
      </w:r>
      <w:r w:rsidR="009252CE">
        <w:t>16</w:t>
      </w:r>
      <w:r>
        <w:t>(2)(c)</w:t>
      </w:r>
    </w:p>
    <w:p w14:paraId="6C3190E0" w14:textId="3FDAC310" w:rsidR="00C20C8D" w:rsidRDefault="00C20C8D" w:rsidP="00C20C8D">
      <w:r>
        <w:t xml:space="preserve">Paragraph </w:t>
      </w:r>
      <w:r w:rsidR="009252CE">
        <w:t>16</w:t>
      </w:r>
      <w:r>
        <w:t xml:space="preserve">(2)(c) reflects paragraph 12(1)(c) of the existing Regulations. Paragraph </w:t>
      </w:r>
      <w:r w:rsidR="009252CE">
        <w:t>16</w:t>
      </w:r>
      <w:r>
        <w:t>(</w:t>
      </w:r>
      <w:r w:rsidR="00D73495">
        <w:t>2</w:t>
      </w:r>
      <w:r>
        <w:t>)(c) provides that a pension payment to the member spouse that is paid on the basis of temporary incapacity (within the meaning of regulation 6.01 of the SIS Regulations) is not a splittable payment unless:</w:t>
      </w:r>
    </w:p>
    <w:p w14:paraId="622D6F97" w14:textId="77777777" w:rsidR="00D815C7" w:rsidRDefault="00D815C7" w:rsidP="00D815C7">
      <w:pPr>
        <w:pStyle w:val="ListParagraph"/>
        <w:numPr>
          <w:ilvl w:val="0"/>
          <w:numId w:val="33"/>
        </w:numPr>
      </w:pPr>
      <w:r>
        <w:t>it has been paid for more than 2 years</w:t>
      </w:r>
    </w:p>
    <w:p w14:paraId="041ED976" w14:textId="5A713ADD" w:rsidR="00D815C7" w:rsidRDefault="00D815C7" w:rsidP="00D815C7">
      <w:pPr>
        <w:pStyle w:val="ListParagraph"/>
        <w:numPr>
          <w:ilvl w:val="0"/>
          <w:numId w:val="33"/>
        </w:numPr>
      </w:pPr>
      <w:r>
        <w:t xml:space="preserve">it is a particular pension payment </w:t>
      </w:r>
      <w:r w:rsidR="009A1E53">
        <w:t>with</w:t>
      </w:r>
      <w:r>
        <w:t xml:space="preserve"> respect </w:t>
      </w:r>
      <w:r w:rsidR="009A1E53">
        <w:t xml:space="preserve">to </w:t>
      </w:r>
      <w:r>
        <w:t xml:space="preserve">a superannuation interest in the superannuation scheme continued in existence by the </w:t>
      </w:r>
      <w:r>
        <w:rPr>
          <w:i/>
        </w:rPr>
        <w:t>Superannuation (State Public Sector) Act 1990</w:t>
      </w:r>
      <w:r>
        <w:t xml:space="preserve"> (Qld), also known as the Australian Retirement Trust; or </w:t>
      </w:r>
    </w:p>
    <w:p w14:paraId="2E894308" w14:textId="77777777" w:rsidR="00D815C7" w:rsidRDefault="00D815C7" w:rsidP="00D815C7">
      <w:pPr>
        <w:pStyle w:val="ListParagraph"/>
        <w:numPr>
          <w:ilvl w:val="0"/>
          <w:numId w:val="33"/>
        </w:numPr>
      </w:pPr>
      <w:r>
        <w:t>it is a payment from a lifetime pension.</w:t>
      </w:r>
    </w:p>
    <w:p w14:paraId="254CAD1E" w14:textId="467A1035" w:rsidR="00C20C8D" w:rsidRDefault="00C20C8D" w:rsidP="00C20C8D">
      <w:r>
        <w:t xml:space="preserve">The policy rationale for paragraph </w:t>
      </w:r>
      <w:r w:rsidR="009252CE">
        <w:t>16</w:t>
      </w:r>
      <w:r>
        <w:t>(</w:t>
      </w:r>
      <w:r w:rsidR="00D73495">
        <w:t>2</w:t>
      </w:r>
      <w:r>
        <w:t>)(c) is that</w:t>
      </w:r>
      <w:r w:rsidRPr="00BA0476">
        <w:t xml:space="preserve"> temporary payments for illness or incapacity that are paid from a pension (within the meaning of section 10 of the SIS Act) should not be regarded as superannuation available to be split with a former spouse unless those payments have been made for at least two years</w:t>
      </w:r>
      <w:r w:rsidRPr="00940AB4">
        <w:t>, whereas l</w:t>
      </w:r>
      <w:r w:rsidRPr="00BA0476">
        <w:t>ong</w:t>
      </w:r>
      <w:r w:rsidRPr="00BA0476">
        <w:noBreakHyphen/>
        <w:t>term pension payments should be splittable immediately.</w:t>
      </w:r>
      <w:r>
        <w:t xml:space="preserve"> </w:t>
      </w:r>
    </w:p>
    <w:p w14:paraId="099A1E56" w14:textId="4BF561E1" w:rsidR="00C20C8D" w:rsidRDefault="00C20C8D" w:rsidP="00C20C8D">
      <w:r w:rsidRPr="00771DF2">
        <w:t>T</w:t>
      </w:r>
      <w:r>
        <w:t xml:space="preserve">he </w:t>
      </w:r>
      <w:r w:rsidR="00FB499D">
        <w:t>d</w:t>
      </w:r>
      <w:r>
        <w:t xml:space="preserve">epartment seeks to </w:t>
      </w:r>
      <w:r w:rsidR="00B17B6E">
        <w:t xml:space="preserve">better </w:t>
      </w:r>
      <w:r>
        <w:t xml:space="preserve">understand </w:t>
      </w:r>
      <w:r w:rsidR="00B17B6E">
        <w:t xml:space="preserve">the current application of this provision to </w:t>
      </w:r>
      <w:r>
        <w:t>superannuation products</w:t>
      </w:r>
      <w:r w:rsidR="00B17B6E">
        <w:t xml:space="preserve"> and whether the </w:t>
      </w:r>
      <w:r w:rsidR="00B339FE">
        <w:t xml:space="preserve">two-year period </w:t>
      </w:r>
      <w:r w:rsidR="00347008">
        <w:t>for such payments to not be splittable payments</w:t>
      </w:r>
      <w:r w:rsidR="00B339FE">
        <w:t xml:space="preserve"> </w:t>
      </w:r>
      <w:r w:rsidR="00B17B6E">
        <w:t>remains appropriate</w:t>
      </w:r>
      <w:r>
        <w:t>.</w:t>
      </w:r>
    </w:p>
    <w:p w14:paraId="788A72D3" w14:textId="77777777" w:rsidR="00C20C8D" w:rsidRDefault="00C20C8D" w:rsidP="00C20C8D"/>
    <w:tbl>
      <w:tblPr>
        <w:tblStyle w:val="TableGrid"/>
        <w:tblW w:w="0" w:type="auto"/>
        <w:tblLook w:val="04A0" w:firstRow="1" w:lastRow="0" w:firstColumn="1" w:lastColumn="0" w:noHBand="0" w:noVBand="1"/>
      </w:tblPr>
      <w:tblGrid>
        <w:gridCol w:w="10302"/>
      </w:tblGrid>
      <w:tr w:rsidR="00C20C8D" w14:paraId="774AA1B9" w14:textId="77777777" w:rsidTr="001805FD">
        <w:tc>
          <w:tcPr>
            <w:tcW w:w="10528" w:type="dxa"/>
            <w:shd w:val="clear" w:color="auto" w:fill="E2E9EE"/>
          </w:tcPr>
          <w:p w14:paraId="6632CFDC" w14:textId="79005405" w:rsidR="00C20C8D" w:rsidRDefault="00C20C8D" w:rsidP="001805FD">
            <w:pPr>
              <w:pStyle w:val="Heading4"/>
            </w:pPr>
            <w:r>
              <w:lastRenderedPageBreak/>
              <w:t xml:space="preserve">Question </w:t>
            </w:r>
            <w:r w:rsidR="00882AE2">
              <w:t>20</w:t>
            </w:r>
          </w:p>
          <w:p w14:paraId="465D217F" w14:textId="5D1D226A" w:rsidR="00C20C8D" w:rsidRDefault="00C20C8D" w:rsidP="001805FD">
            <w:r>
              <w:t xml:space="preserve">If you are a superannuation trustee, do you offer a product that falls under paragraph 12(1)(c)(i) of the existing </w:t>
            </w:r>
            <w:r w:rsidR="00146495">
              <w:t>R</w:t>
            </w:r>
            <w:r>
              <w:t xml:space="preserve">egulations? </w:t>
            </w:r>
          </w:p>
          <w:p w14:paraId="7DDADCF3" w14:textId="31BBCAD8" w:rsidR="00C20C8D" w:rsidRDefault="00C20C8D" w:rsidP="001805FD">
            <w:r>
              <w:t>If you</w:t>
            </w:r>
            <w:r w:rsidR="006529D6">
              <w:t xml:space="preserve"> answered ‘yes’ to the above question, </w:t>
            </w:r>
            <w:r>
              <w:t>please provide an example of a product that falls under paragraph 12(1)(c)(i) of the existing Regulations</w:t>
            </w:r>
            <w:r w:rsidR="006529D6">
              <w:t xml:space="preserve">. </w:t>
            </w:r>
          </w:p>
          <w:p w14:paraId="505B51FC" w14:textId="647C0971" w:rsidR="00C20C8D" w:rsidRDefault="00C20C8D" w:rsidP="001805FD">
            <w:pPr>
              <w:pStyle w:val="Heading4"/>
            </w:pPr>
            <w:r>
              <w:t xml:space="preserve">Question </w:t>
            </w:r>
            <w:r w:rsidR="00C01792">
              <w:t>2</w:t>
            </w:r>
            <w:r w:rsidR="00882AE2">
              <w:t>1</w:t>
            </w:r>
          </w:p>
          <w:p w14:paraId="5791AF2D" w14:textId="53CCA176" w:rsidR="006924F2" w:rsidRDefault="00C20C8D" w:rsidP="00B51C03">
            <w:r>
              <w:t xml:space="preserve">Do you have any concerns about the </w:t>
            </w:r>
            <w:r w:rsidR="00CA4EAF">
              <w:t>2</w:t>
            </w:r>
            <w:r w:rsidR="00B17B6E">
              <w:t>-</w:t>
            </w:r>
            <w:r>
              <w:t>year time limit in</w:t>
            </w:r>
            <w:r w:rsidR="006529D6">
              <w:t xml:space="preserve"> paragraph 12(1)(c)(i) of the existing Regulations, which has been replicated in</w:t>
            </w:r>
            <w:r>
              <w:t xml:space="preserve"> paragraph </w:t>
            </w:r>
            <w:r w:rsidR="009252CE">
              <w:t>16</w:t>
            </w:r>
            <w:r>
              <w:t>(</w:t>
            </w:r>
            <w:r w:rsidR="00D73495">
              <w:t>2</w:t>
            </w:r>
            <w:r>
              <w:t>)(c)(i)</w:t>
            </w:r>
            <w:r w:rsidR="00211C7A">
              <w:t xml:space="preserve"> of the new </w:t>
            </w:r>
            <w:r w:rsidR="006529D6">
              <w:t>R</w:t>
            </w:r>
            <w:r w:rsidR="00211C7A">
              <w:t>egulations</w:t>
            </w:r>
            <w:r>
              <w:t>?</w:t>
            </w:r>
            <w:r w:rsidR="006529D6">
              <w:t xml:space="preserve"> </w:t>
            </w:r>
          </w:p>
          <w:p w14:paraId="3B20F85B" w14:textId="6347E10E" w:rsidR="00B51C03" w:rsidRPr="00B51C03" w:rsidRDefault="00ED2524" w:rsidP="00B51C03">
            <w:r>
              <w:t>If so, please expand on what your concerns are.</w:t>
            </w:r>
          </w:p>
          <w:p w14:paraId="14E1A9B0" w14:textId="11FA7B82" w:rsidR="00B339FE" w:rsidRDefault="00B339FE" w:rsidP="006529D6">
            <w:pPr>
              <w:pStyle w:val="Heading4"/>
            </w:pPr>
            <w:r>
              <w:t xml:space="preserve">Question </w:t>
            </w:r>
            <w:r w:rsidR="00C01792">
              <w:t>2</w:t>
            </w:r>
            <w:r w:rsidR="00882AE2">
              <w:t>2</w:t>
            </w:r>
          </w:p>
          <w:p w14:paraId="124AFC84" w14:textId="6C5B0E65" w:rsidR="00B51C03" w:rsidRDefault="00B51C03" w:rsidP="008636E2">
            <w:r>
              <w:t xml:space="preserve">Does paragraph </w:t>
            </w:r>
            <w:r w:rsidR="009252CE">
              <w:t>16</w:t>
            </w:r>
            <w:r>
              <w:t>(2)(c)(i) need to be amended to better reflect current practice regarding temporary incapacity payments</w:t>
            </w:r>
            <w:r w:rsidR="007325EC">
              <w:t>?</w:t>
            </w:r>
          </w:p>
          <w:p w14:paraId="14DB3C23" w14:textId="716DF8EF" w:rsidR="00082B62" w:rsidRDefault="00B51C03" w:rsidP="008636E2">
            <w:pPr>
              <w:pStyle w:val="Heading4"/>
              <w:rPr>
                <w:rFonts w:eastAsia="Calibri" w:cs="Calibri"/>
                <w:b w:val="0"/>
                <w:bCs w:val="0"/>
                <w:color w:val="auto"/>
                <w:sz w:val="22"/>
                <w:szCs w:val="22"/>
              </w:rPr>
            </w:pPr>
            <w:r w:rsidRPr="00082B62">
              <w:rPr>
                <w:rFonts w:eastAsia="Calibri" w:cs="Calibri"/>
                <w:b w:val="0"/>
                <w:bCs w:val="0"/>
                <w:color w:val="auto"/>
                <w:sz w:val="22"/>
                <w:szCs w:val="22"/>
              </w:rPr>
              <w:t>If so, please expand on what your concerns are.</w:t>
            </w:r>
          </w:p>
          <w:p w14:paraId="29F2A276" w14:textId="0E6D99D0" w:rsidR="008636E2" w:rsidRPr="00D165BA" w:rsidRDefault="008636E2" w:rsidP="00082B62">
            <w:pPr>
              <w:pStyle w:val="Heading4"/>
              <w:spacing w:before="240"/>
            </w:pPr>
            <w:r>
              <w:t xml:space="preserve">Question </w:t>
            </w:r>
            <w:r w:rsidR="00C01792">
              <w:t>2</w:t>
            </w:r>
            <w:r w:rsidR="00882AE2">
              <w:t>3</w:t>
            </w:r>
          </w:p>
          <w:p w14:paraId="158FC63A" w14:textId="7C44336C" w:rsidR="00B51C03" w:rsidRDefault="008636E2" w:rsidP="006529D6">
            <w:r>
              <w:t xml:space="preserve">Do you think section </w:t>
            </w:r>
            <w:r w:rsidR="009252CE">
              <w:t>16</w:t>
            </w:r>
            <w:r>
              <w:t xml:space="preserve"> of the new </w:t>
            </w:r>
            <w:r w:rsidR="00ED2524">
              <w:t>R</w:t>
            </w:r>
            <w:r>
              <w:t>egulations covers all categories of payments to a member spouse which are not splittable payments</w:t>
            </w:r>
            <w:r w:rsidR="006529D6">
              <w:t xml:space="preserve">? </w:t>
            </w:r>
          </w:p>
          <w:p w14:paraId="70AB50E0" w14:textId="5F75A474" w:rsidR="00C20C8D" w:rsidRDefault="006529D6" w:rsidP="006529D6">
            <w:r>
              <w:t>If</w:t>
            </w:r>
            <w:r w:rsidR="008636E2">
              <w:t xml:space="preserve"> not, what other categories of payments to a member spouse should be covered in section </w:t>
            </w:r>
            <w:r w:rsidR="009252CE">
              <w:t>16</w:t>
            </w:r>
            <w:r w:rsidR="008636E2">
              <w:t>?</w:t>
            </w:r>
          </w:p>
        </w:tc>
      </w:tr>
    </w:tbl>
    <w:p w14:paraId="052B3C42" w14:textId="77777777" w:rsidR="00C20C8D" w:rsidRDefault="00C20C8D" w:rsidP="00586C16"/>
    <w:p w14:paraId="26DC66F6" w14:textId="741319E0" w:rsidR="00E463DB" w:rsidRDefault="00570382" w:rsidP="00E463DB">
      <w:pPr>
        <w:pStyle w:val="Heading3"/>
      </w:pPr>
      <w:bookmarkStart w:id="85" w:name="_Toc152061094"/>
      <w:bookmarkStart w:id="86" w:name="_Toc158043545"/>
      <w:r>
        <w:t>Ensuring</w:t>
      </w:r>
      <w:r w:rsidR="00E463DB">
        <w:t xml:space="preserve"> approved </w:t>
      </w:r>
      <w:r w:rsidR="00E463DB" w:rsidRPr="00E463DB">
        <w:t>methods</w:t>
      </w:r>
      <w:r w:rsidR="00E463DB">
        <w:t xml:space="preserve"> </w:t>
      </w:r>
      <w:r w:rsidR="00C95EA6">
        <w:t>and</w:t>
      </w:r>
      <w:r w:rsidR="00E463DB">
        <w:t xml:space="preserve"> factors</w:t>
      </w:r>
      <w:bookmarkEnd w:id="85"/>
      <w:r>
        <w:t xml:space="preserve"> are based on current actuarial assumptions</w:t>
      </w:r>
      <w:bookmarkEnd w:id="86"/>
    </w:p>
    <w:p w14:paraId="2E443AFC" w14:textId="3947C6F3" w:rsidR="00E463DB" w:rsidRPr="009D06E3" w:rsidRDefault="00E463DB" w:rsidP="00BF4B59">
      <w:r w:rsidRPr="009D06E3">
        <w:t xml:space="preserve">Under the </w:t>
      </w:r>
      <w:r w:rsidRPr="00B339FE">
        <w:t>Family Law Act</w:t>
      </w:r>
      <w:r w:rsidRPr="009D06E3">
        <w:rPr>
          <w:i/>
        </w:rPr>
        <w:t xml:space="preserve"> </w:t>
      </w:r>
      <w:r w:rsidRPr="009D06E3">
        <w:t xml:space="preserve">and the </w:t>
      </w:r>
      <w:r>
        <w:t>existing Regulations</w:t>
      </w:r>
      <w:r w:rsidRPr="009D06E3">
        <w:t xml:space="preserve">, there are three ways a superannuation interest can be valued: </w:t>
      </w:r>
    </w:p>
    <w:p w14:paraId="0A979983" w14:textId="7DDF2BD3" w:rsidR="00E463DB" w:rsidRPr="00253CC6" w:rsidRDefault="00B17B6E" w:rsidP="00ED6477">
      <w:pPr>
        <w:pStyle w:val="Bullet1"/>
      </w:pPr>
      <w:r>
        <w:t>u</w:t>
      </w:r>
      <w:r w:rsidR="00E463DB" w:rsidRPr="00253CC6">
        <w:t>sing default methods and factors prescribed in the existing Regulations (see Part 5, Family Law (Superannuation) Regulations 2001)</w:t>
      </w:r>
    </w:p>
    <w:p w14:paraId="72A5904D" w14:textId="36741C54" w:rsidR="00DD08E6" w:rsidRDefault="00B17B6E" w:rsidP="00ED6477">
      <w:pPr>
        <w:pStyle w:val="Bullet1"/>
      </w:pPr>
      <w:r>
        <w:t>u</w:t>
      </w:r>
      <w:r w:rsidR="00E463DB" w:rsidRPr="00253CC6">
        <w:t xml:space="preserve">sing methods </w:t>
      </w:r>
      <w:r w:rsidR="00C95EA6">
        <w:t>or</w:t>
      </w:r>
      <w:r w:rsidR="00E463DB" w:rsidRPr="00253CC6">
        <w:t xml:space="preserve"> factors approved by the Minister specifically for certain superannuation interests (contained in the </w:t>
      </w:r>
      <w:r w:rsidR="00E463DB" w:rsidRPr="00160270">
        <w:rPr>
          <w:i/>
        </w:rPr>
        <w:t>Methods and Factors for Valuing Particular Superannuation Interests) Approval 2003</w:t>
      </w:r>
      <w:r w:rsidR="00E463DB" w:rsidRPr="00253CC6">
        <w:t xml:space="preserve"> (the Approval Instrument))</w:t>
      </w:r>
      <w:r>
        <w:t>,</w:t>
      </w:r>
      <w:r w:rsidR="00E463DB" w:rsidRPr="00253CC6">
        <w:t xml:space="preserve"> or</w:t>
      </w:r>
    </w:p>
    <w:p w14:paraId="24F59088" w14:textId="5226AE95" w:rsidR="00E463DB" w:rsidRPr="00253CC6" w:rsidRDefault="00DD08E6" w:rsidP="00ED6477">
      <w:pPr>
        <w:pStyle w:val="Bullet1"/>
      </w:pPr>
      <w:r>
        <w:t xml:space="preserve">by </w:t>
      </w:r>
      <w:r w:rsidR="00E463DB" w:rsidRPr="00253CC6">
        <w:t>such method as the court considers appropriate</w:t>
      </w:r>
      <w:r>
        <w:t xml:space="preserve"> (</w:t>
      </w:r>
      <w:r w:rsidR="00E463DB" w:rsidRPr="00253CC6">
        <w:t>per paragraphs 90XT(2)(b) and 90YY(2)(b) of the Family Law Act</w:t>
      </w:r>
      <w:r>
        <w:t>)</w:t>
      </w:r>
      <w:r w:rsidR="00B17B6E">
        <w:t xml:space="preserve"> (this occurs w</w:t>
      </w:r>
      <w:r w:rsidR="00B17B6E" w:rsidRPr="00253CC6">
        <w:t>here the Regulations do not provide for valuation of a particular interest, and where no methods or factors have been approved for the interest by the Minister</w:t>
      </w:r>
      <w:r w:rsidR="00B17B6E">
        <w:t>).</w:t>
      </w:r>
    </w:p>
    <w:p w14:paraId="7BB68566" w14:textId="10267260" w:rsidR="00E463DB" w:rsidRPr="009D06E3" w:rsidRDefault="00E463DB" w:rsidP="00E463DB">
      <w:pPr>
        <w:spacing w:before="240"/>
      </w:pPr>
      <w:r w:rsidRPr="009D06E3">
        <w:t>There are currently</w:t>
      </w:r>
      <w:r>
        <w:t xml:space="preserve"> 38 superannuation plans with </w:t>
      </w:r>
      <w:r w:rsidRPr="009D06E3">
        <w:t xml:space="preserve">methods </w:t>
      </w:r>
      <w:r>
        <w:t>and</w:t>
      </w:r>
      <w:r w:rsidRPr="009D06E3">
        <w:t xml:space="preserve"> factors</w:t>
      </w:r>
      <w:r>
        <w:t xml:space="preserve"> that have been approved by the Minister</w:t>
      </w:r>
      <w:r w:rsidRPr="009D06E3">
        <w:t>.</w:t>
      </w:r>
    </w:p>
    <w:p w14:paraId="1E9B38CC" w14:textId="1C8114ED" w:rsidR="006033B6" w:rsidRPr="009D06E3" w:rsidRDefault="00D815C7" w:rsidP="00D815C7">
      <w:pPr>
        <w:spacing w:before="240"/>
      </w:pPr>
      <w:r w:rsidRPr="009D06E3">
        <w:lastRenderedPageBreak/>
        <w:t xml:space="preserve">As part of the process for remaking the </w:t>
      </w:r>
      <w:r>
        <w:t>existing Regulations</w:t>
      </w:r>
      <w:r w:rsidRPr="009D06E3">
        <w:t xml:space="preserve">, the </w:t>
      </w:r>
      <w:r>
        <w:t>d</w:t>
      </w:r>
      <w:r w:rsidRPr="009D06E3">
        <w:t xml:space="preserve">epartment has reviewed and updated the </w:t>
      </w:r>
      <w:r>
        <w:t>‘</w:t>
      </w:r>
      <w:r w:rsidRPr="009D06E3">
        <w:t>default</w:t>
      </w:r>
      <w:r>
        <w:t>’ methods and</w:t>
      </w:r>
      <w:r w:rsidRPr="009D06E3">
        <w:t xml:space="preserve"> factors (see </w:t>
      </w:r>
      <w:r w:rsidRPr="006A5728">
        <w:t>page</w:t>
      </w:r>
      <w:r w:rsidR="00C34813">
        <w:t xml:space="preserve"> </w:t>
      </w:r>
      <w:r w:rsidR="006A5728" w:rsidRPr="006A5728">
        <w:t>11</w:t>
      </w:r>
      <w:r w:rsidRPr="006A5728">
        <w:t xml:space="preserve"> for more</w:t>
      </w:r>
      <w:r w:rsidRPr="009D06E3">
        <w:t xml:space="preserve"> information). These methods and factors have not been updated </w:t>
      </w:r>
      <w:r w:rsidR="009A20AA">
        <w:t>since 2001</w:t>
      </w:r>
      <w:r w:rsidRPr="009D06E3">
        <w:t>.</w:t>
      </w:r>
      <w:r w:rsidR="00EA3777">
        <w:t xml:space="preserve"> Once the Regulations are remade, t</w:t>
      </w:r>
      <w:r w:rsidR="003359D1">
        <w:t xml:space="preserve">he ‘default’ methods and factors will be reviewed every 10 years in line with the </w:t>
      </w:r>
      <w:r w:rsidR="006033B6">
        <w:t xml:space="preserve">Australian Government’s sunsetting framework, which provides for the automatic repeal of legislative instruments after a </w:t>
      </w:r>
      <w:proofErr w:type="gramStart"/>
      <w:r w:rsidR="006033B6">
        <w:t>10 year</w:t>
      </w:r>
      <w:proofErr w:type="gramEnd"/>
      <w:r w:rsidR="006033B6">
        <w:t xml:space="preserve"> period</w:t>
      </w:r>
      <w:r w:rsidR="003359D1">
        <w:t>. This will ensure the</w:t>
      </w:r>
      <w:r w:rsidR="006033B6">
        <w:t xml:space="preserve"> ‘default</w:t>
      </w:r>
      <w:r w:rsidR="007002A4">
        <w:t>’</w:t>
      </w:r>
      <w:r w:rsidR="006033B6">
        <w:t xml:space="preserve"> methods and factors</w:t>
      </w:r>
      <w:r w:rsidR="003359D1">
        <w:t xml:space="preserve"> </w:t>
      </w:r>
      <w:r w:rsidR="00E7375F">
        <w:t>are</w:t>
      </w:r>
      <w:r w:rsidR="003359D1">
        <w:t xml:space="preserve"> regularly reviewed and kept up to date as needed.</w:t>
      </w:r>
    </w:p>
    <w:p w14:paraId="428220DE" w14:textId="7EAEF6DD" w:rsidR="00E463DB" w:rsidRPr="009D06E3" w:rsidRDefault="00E463DB" w:rsidP="00E463DB">
      <w:pPr>
        <w:spacing w:before="240"/>
      </w:pPr>
      <w:r w:rsidRPr="009D06E3">
        <w:t xml:space="preserve">Under the </w:t>
      </w:r>
      <w:r>
        <w:t xml:space="preserve">existing </w:t>
      </w:r>
      <w:r w:rsidRPr="009D06E3">
        <w:t xml:space="preserve">Regulations, there is no framework for </w:t>
      </w:r>
      <w:r>
        <w:t xml:space="preserve">regularly </w:t>
      </w:r>
      <w:r w:rsidRPr="009D06E3">
        <w:t xml:space="preserve">reviewing </w:t>
      </w:r>
      <w:r>
        <w:t>approved</w:t>
      </w:r>
      <w:r w:rsidRPr="009D06E3">
        <w:t xml:space="preserve"> methods and factors</w:t>
      </w:r>
      <w:r>
        <w:t xml:space="preserve"> in the Approval Instrument, or the information determinations made under regulation</w:t>
      </w:r>
      <w:r w:rsidR="00922ED9">
        <w:t>s</w:t>
      </w:r>
      <w:r>
        <w:t xml:space="preserve"> 63, 64 or 64A</w:t>
      </w:r>
      <w:r w:rsidRPr="009D06E3">
        <w:t xml:space="preserve">. Most </w:t>
      </w:r>
      <w:r>
        <w:t>approved</w:t>
      </w:r>
      <w:r w:rsidRPr="009D06E3">
        <w:t xml:space="preserve"> methods and factors were made prior to 2005, </w:t>
      </w:r>
      <w:r>
        <w:t xml:space="preserve">and </w:t>
      </w:r>
      <w:r w:rsidRPr="009D06E3">
        <w:t xml:space="preserve">none of these have been </w:t>
      </w:r>
      <w:r>
        <w:t xml:space="preserve">substantively </w:t>
      </w:r>
      <w:r w:rsidRPr="009D06E3">
        <w:t xml:space="preserve">updated since they were approved. </w:t>
      </w:r>
      <w:r>
        <w:t>T</w:t>
      </w:r>
      <w:r w:rsidRPr="009D06E3">
        <w:t xml:space="preserve">he </w:t>
      </w:r>
      <w:r w:rsidR="006033B6">
        <w:t xml:space="preserve">Australian Government’s position is that the approved methods and factors should be </w:t>
      </w:r>
      <w:r w:rsidR="00B339FE">
        <w:t>based on current actuarial assumptions</w:t>
      </w:r>
      <w:r w:rsidR="007158F8">
        <w:t xml:space="preserve">, </w:t>
      </w:r>
      <w:r w:rsidR="008B4AED">
        <w:t xml:space="preserve">in order </w:t>
      </w:r>
      <w:r w:rsidR="007158F8">
        <w:t>to</w:t>
      </w:r>
      <w:r w:rsidR="00B339FE">
        <w:t xml:space="preserve"> </w:t>
      </w:r>
      <w:r w:rsidRPr="009D06E3">
        <w:t xml:space="preserve">produce accurate and reasonable estimates of value.  </w:t>
      </w:r>
    </w:p>
    <w:tbl>
      <w:tblPr>
        <w:tblStyle w:val="TableGrid"/>
        <w:tblW w:w="0" w:type="auto"/>
        <w:tblLook w:val="04A0" w:firstRow="1" w:lastRow="0" w:firstColumn="1" w:lastColumn="0" w:noHBand="0" w:noVBand="1"/>
      </w:tblPr>
      <w:tblGrid>
        <w:gridCol w:w="10302"/>
      </w:tblGrid>
      <w:tr w:rsidR="00E463DB" w14:paraId="044913E6" w14:textId="77777777" w:rsidTr="0007150C">
        <w:tc>
          <w:tcPr>
            <w:tcW w:w="10528" w:type="dxa"/>
            <w:shd w:val="clear" w:color="auto" w:fill="E2E9EE"/>
          </w:tcPr>
          <w:p w14:paraId="5EEE7AD0" w14:textId="6325C947" w:rsidR="00E463DB" w:rsidRPr="00D165BA" w:rsidRDefault="00E463DB" w:rsidP="0007150C">
            <w:pPr>
              <w:pStyle w:val="Heading4"/>
            </w:pPr>
            <w:r>
              <w:t xml:space="preserve">Question </w:t>
            </w:r>
            <w:r w:rsidR="0013149F">
              <w:t>2</w:t>
            </w:r>
            <w:r w:rsidR="00882AE2">
              <w:t>4</w:t>
            </w:r>
          </w:p>
          <w:p w14:paraId="7DEA6D5A" w14:textId="3D24BC80" w:rsidR="00E463DB" w:rsidRPr="009D06E3" w:rsidRDefault="00E463DB" w:rsidP="00BF4B59">
            <w:r>
              <w:t>What</w:t>
            </w:r>
            <w:r w:rsidRPr="009D06E3">
              <w:t xml:space="preserve"> barriers</w:t>
            </w:r>
            <w:r w:rsidR="006529D6">
              <w:t xml:space="preserve"> </w:t>
            </w:r>
            <w:r w:rsidR="005F7F33">
              <w:t>w</w:t>
            </w:r>
            <w:r>
              <w:t>ould</w:t>
            </w:r>
            <w:r w:rsidRPr="009D06E3">
              <w:t xml:space="preserve"> prevent trustees from </w:t>
            </w:r>
            <w:r w:rsidR="005F7F33">
              <w:t xml:space="preserve">reviewing and </w:t>
            </w:r>
            <w:r w:rsidRPr="009D06E3">
              <w:t xml:space="preserve">updating their </w:t>
            </w:r>
            <w:r>
              <w:t>approved methods and factors and information determinations</w:t>
            </w:r>
            <w:r w:rsidRPr="009D06E3">
              <w:t>?</w:t>
            </w:r>
          </w:p>
          <w:p w14:paraId="25721633" w14:textId="244872A8" w:rsidR="00E463DB" w:rsidRPr="00E21BAA" w:rsidRDefault="00E463DB" w:rsidP="0007150C">
            <w:pPr>
              <w:pStyle w:val="Heading4"/>
            </w:pPr>
            <w:r w:rsidRPr="00E21BAA">
              <w:t xml:space="preserve">Question </w:t>
            </w:r>
            <w:r w:rsidR="0013149F">
              <w:t>2</w:t>
            </w:r>
            <w:r w:rsidR="00882AE2">
              <w:t>5</w:t>
            </w:r>
          </w:p>
          <w:p w14:paraId="24CA69C9" w14:textId="6FC5D95F" w:rsidR="00E463DB" w:rsidRDefault="00DD25E9" w:rsidP="00BF4B59">
            <w:r>
              <w:t xml:space="preserve">How much notice would trustees need to update their approved methods and factors, if </w:t>
            </w:r>
            <w:r w:rsidR="00DA4A76">
              <w:t xml:space="preserve">a requirement to review was </w:t>
            </w:r>
            <w:r>
              <w:t>imposed in legislation?</w:t>
            </w:r>
          </w:p>
        </w:tc>
      </w:tr>
    </w:tbl>
    <w:p w14:paraId="5CCB2B0B" w14:textId="77777777" w:rsidR="00C228E6" w:rsidRDefault="00C228E6" w:rsidP="00586C16"/>
    <w:p w14:paraId="0B7C0274" w14:textId="1601C40F" w:rsidR="00C228E6" w:rsidRDefault="00C228E6" w:rsidP="00C228E6">
      <w:pPr>
        <w:pStyle w:val="Heading3"/>
      </w:pPr>
      <w:bookmarkStart w:id="87" w:name="_Toc152061095"/>
      <w:bookmarkStart w:id="88" w:name="_Toc158043546"/>
      <w:r>
        <w:t>Treatment of allocated pensions and market linked pensions</w:t>
      </w:r>
      <w:bookmarkEnd w:id="87"/>
      <w:bookmarkEnd w:id="88"/>
    </w:p>
    <w:p w14:paraId="2F76E0ED" w14:textId="3E57B7C8" w:rsidR="00C228E6" w:rsidRDefault="00C228E6" w:rsidP="00C228E6">
      <w:pPr>
        <w:pStyle w:val="Heading4"/>
      </w:pPr>
      <w:r>
        <w:t xml:space="preserve">Sections </w:t>
      </w:r>
      <w:r w:rsidR="00E563CC">
        <w:t>90</w:t>
      </w:r>
      <w:r>
        <w:t xml:space="preserve"> and </w:t>
      </w:r>
      <w:r w:rsidR="00E563CC">
        <w:t>94</w:t>
      </w:r>
    </w:p>
    <w:p w14:paraId="7E9FB431" w14:textId="39E93E4F" w:rsidR="00C228E6" w:rsidRDefault="00C228E6" w:rsidP="00C228E6">
      <w:pPr>
        <w:rPr>
          <w:color w:val="000000"/>
        </w:rPr>
      </w:pPr>
      <w:r>
        <w:t xml:space="preserve">Sections </w:t>
      </w:r>
      <w:r w:rsidR="00E563CC">
        <w:t>90</w:t>
      </w:r>
      <w:r>
        <w:t xml:space="preserve"> and </w:t>
      </w:r>
      <w:r w:rsidR="00E563CC">
        <w:t>94</w:t>
      </w:r>
      <w:r>
        <w:t xml:space="preserve"> of the new Regulations (and regulations 58A and 58E of the existing Regulations) set out how the non-member spouse’s entitlement is to be calculated where a superannuation interest is in the payment phase at the date of service of an agreement or the date of the splitting order, and the benefits payable </w:t>
      </w:r>
      <w:r w:rsidR="009A1E53">
        <w:t>with</w:t>
      </w:r>
      <w:r>
        <w:t xml:space="preserve"> respect </w:t>
      </w:r>
      <w:r w:rsidR="009A1E53">
        <w:t xml:space="preserve">to </w:t>
      </w:r>
      <w:r>
        <w:t xml:space="preserve">the superannuation interest are being paid as an allocated pension or a market linked pension. Section </w:t>
      </w:r>
      <w:r w:rsidR="00E563CC">
        <w:t>90</w:t>
      </w:r>
      <w:r>
        <w:t xml:space="preserve"> </w:t>
      </w:r>
      <w:r w:rsidRPr="001B2BA4">
        <w:rPr>
          <w:color w:val="000000"/>
        </w:rPr>
        <w:t xml:space="preserve">applies </w:t>
      </w:r>
      <w:r>
        <w:rPr>
          <w:color w:val="000000"/>
        </w:rPr>
        <w:t xml:space="preserve">where the payment split is the </w:t>
      </w:r>
      <w:r w:rsidRPr="005574DD">
        <w:rPr>
          <w:i/>
          <w:color w:val="000000"/>
        </w:rPr>
        <w:t>first payment split</w:t>
      </w:r>
      <w:r>
        <w:rPr>
          <w:color w:val="000000"/>
        </w:rPr>
        <w:t xml:space="preserve"> for that superannuation interest. Section </w:t>
      </w:r>
      <w:r w:rsidR="00E563CC">
        <w:rPr>
          <w:color w:val="000000"/>
        </w:rPr>
        <w:t>94</w:t>
      </w:r>
      <w:r>
        <w:rPr>
          <w:color w:val="000000"/>
        </w:rPr>
        <w:t xml:space="preserve"> applies </w:t>
      </w:r>
      <w:r w:rsidRPr="001B2BA4">
        <w:t xml:space="preserve">if the payment split is a </w:t>
      </w:r>
      <w:r w:rsidRPr="005574DD">
        <w:rPr>
          <w:i/>
        </w:rPr>
        <w:t>second or later payment split</w:t>
      </w:r>
      <w:r w:rsidRPr="001B2BA4">
        <w:t xml:space="preserve"> </w:t>
      </w:r>
      <w:r>
        <w:t>for a</w:t>
      </w:r>
      <w:r w:rsidRPr="001B2BA4">
        <w:t xml:space="preserve"> splittable payment</w:t>
      </w:r>
      <w:r>
        <w:t xml:space="preserve"> for the superannuation interest.</w:t>
      </w:r>
    </w:p>
    <w:p w14:paraId="4FD0C2AC" w14:textId="0ECDF317" w:rsidR="00C228E6" w:rsidRDefault="00C228E6" w:rsidP="00C228E6">
      <w:r>
        <w:t xml:space="preserve">Part 7A of the </w:t>
      </w:r>
      <w:r>
        <w:rPr>
          <w:i/>
        </w:rPr>
        <w:t>Superannuation (Industry) Supervision Regulations 1994</w:t>
      </w:r>
      <w:r>
        <w:t xml:space="preserve"> (SIS Regulations) requires trustees to take certain steps where benefits </w:t>
      </w:r>
      <w:r w:rsidR="009A1E53">
        <w:t>with</w:t>
      </w:r>
      <w:r>
        <w:t xml:space="preserve"> respect </w:t>
      </w:r>
      <w:r w:rsidR="009A1E53">
        <w:t xml:space="preserve">to </w:t>
      </w:r>
      <w:r>
        <w:t>a superannuation interest are being paid as an allocated pension, an account-based pension, or a market linked pension, and where payment splitting arrangements apply to that interest. The steps set out in Part 7A require a trustee to create a new interest for the non</w:t>
      </w:r>
      <w:r>
        <w:noBreakHyphen/>
        <w:t xml:space="preserve">member spouse, or pay the non-member spouse an amount (where they have already reached a condition of release) in satisfaction of a payment splitting order or agreement. </w:t>
      </w:r>
    </w:p>
    <w:p w14:paraId="16C91887" w14:textId="5E1A3512" w:rsidR="00C228E6" w:rsidRDefault="00E631C8" w:rsidP="00C228E6">
      <w:r>
        <w:lastRenderedPageBreak/>
        <w:t>T</w:t>
      </w:r>
      <w:r w:rsidR="00C228E6">
        <w:t>he department seeks views on whether existing regulations 58A and 58E are currently being used to calculate the value of a non-member spouse’s interest where the benefits are being paid as an allocated or market linked pension, or whether the SIS Regulations are more commonly relied upon for this purpose.</w:t>
      </w:r>
    </w:p>
    <w:tbl>
      <w:tblPr>
        <w:tblStyle w:val="TableGrid"/>
        <w:tblW w:w="0" w:type="auto"/>
        <w:tblLook w:val="04A0" w:firstRow="1" w:lastRow="0" w:firstColumn="1" w:lastColumn="0" w:noHBand="0" w:noVBand="1"/>
      </w:tblPr>
      <w:tblGrid>
        <w:gridCol w:w="10302"/>
      </w:tblGrid>
      <w:tr w:rsidR="00C228E6" w14:paraId="3296BD10" w14:textId="77777777" w:rsidTr="001805FD">
        <w:tc>
          <w:tcPr>
            <w:tcW w:w="10528" w:type="dxa"/>
            <w:shd w:val="clear" w:color="auto" w:fill="E2E9EE"/>
          </w:tcPr>
          <w:p w14:paraId="3BBEB6EE" w14:textId="1EBB0890" w:rsidR="00C228E6" w:rsidRPr="00D165BA" w:rsidRDefault="00C228E6" w:rsidP="001805FD">
            <w:pPr>
              <w:pStyle w:val="Heading4"/>
            </w:pPr>
            <w:r>
              <w:t xml:space="preserve">Question </w:t>
            </w:r>
            <w:r w:rsidR="0013149F">
              <w:t>2</w:t>
            </w:r>
            <w:r w:rsidR="00882AE2">
              <w:t>6</w:t>
            </w:r>
          </w:p>
          <w:p w14:paraId="6F756A28" w14:textId="5B8F0CAF" w:rsidR="00ED2524" w:rsidRDefault="00CC55A5" w:rsidP="001805FD">
            <w:r>
              <w:t>The</w:t>
            </w:r>
            <w:r w:rsidR="00C228E6">
              <w:t xml:space="preserve"> splitting of superannuation interests, the benefits of which are </w:t>
            </w:r>
            <w:r w:rsidR="00723C67">
              <w:t xml:space="preserve">being </w:t>
            </w:r>
            <w:r w:rsidR="00C228E6">
              <w:t xml:space="preserve">paid as an allocated pension, an account-based pension, or a market linked pension, are dealt with by Part 7A of the </w:t>
            </w:r>
            <w:r w:rsidR="00C228E6">
              <w:rPr>
                <w:i/>
              </w:rPr>
              <w:t>Superannuation (Industry) Supervision Regulations 1994</w:t>
            </w:r>
            <w:r>
              <w:t>.</w:t>
            </w:r>
          </w:p>
          <w:p w14:paraId="42678B6E" w14:textId="77777777" w:rsidR="00034AA5" w:rsidRDefault="00CC55A5" w:rsidP="001805FD">
            <w:r>
              <w:t>S</w:t>
            </w:r>
            <w:r w:rsidR="00C228E6">
              <w:t>hould the new</w:t>
            </w:r>
            <w:r>
              <w:t xml:space="preserve"> </w:t>
            </w:r>
            <w:r w:rsidR="00ED2524">
              <w:t>R</w:t>
            </w:r>
            <w:r w:rsidR="00C228E6">
              <w:t>egulations continue to provide for the calculation of the non-member spouse’s entitlement?</w:t>
            </w:r>
            <w:r w:rsidR="001556EC" w:rsidDel="001556EC">
              <w:t xml:space="preserve"> </w:t>
            </w:r>
          </w:p>
          <w:p w14:paraId="2BED125B" w14:textId="36825E47" w:rsidR="00C228E6" w:rsidRDefault="00C228E6" w:rsidP="001805FD">
            <w:r>
              <w:t>Please expand on why, or why not.</w:t>
            </w:r>
          </w:p>
          <w:p w14:paraId="40E6009B" w14:textId="3F149A13" w:rsidR="00C228E6" w:rsidRDefault="00C228E6" w:rsidP="001805FD">
            <w:pPr>
              <w:pStyle w:val="Heading4"/>
            </w:pPr>
            <w:r>
              <w:t xml:space="preserve">Question </w:t>
            </w:r>
            <w:r w:rsidR="0013149F">
              <w:t>2</w:t>
            </w:r>
            <w:r w:rsidR="00882AE2">
              <w:t>7</w:t>
            </w:r>
          </w:p>
          <w:p w14:paraId="35EAABA7" w14:textId="44081D10" w:rsidR="00997040" w:rsidRDefault="00C228E6" w:rsidP="001556EC">
            <w:r>
              <w:t xml:space="preserve">If the answer to the previous question is yes, does section </w:t>
            </w:r>
            <w:r w:rsidR="00E563CC">
              <w:t>94</w:t>
            </w:r>
            <w:r>
              <w:t xml:space="preserve"> as drafted in the new </w:t>
            </w:r>
            <w:r w:rsidR="00ED2524">
              <w:t>R</w:t>
            </w:r>
            <w:r>
              <w:t xml:space="preserve">egulations accurately reflect how the non-member spouse’s entitlement is calculated where the payment split is a second or later payment split </w:t>
            </w:r>
            <w:r w:rsidR="009A1E53">
              <w:t>with</w:t>
            </w:r>
            <w:r>
              <w:t xml:space="preserve"> respect </w:t>
            </w:r>
            <w:r w:rsidR="009A1E53">
              <w:t xml:space="preserve">to </w:t>
            </w:r>
            <w:r>
              <w:t>the interest?</w:t>
            </w:r>
            <w:r w:rsidR="001556EC">
              <w:t xml:space="preserve"> </w:t>
            </w:r>
          </w:p>
          <w:p w14:paraId="120706A6" w14:textId="4BC73FE2" w:rsidR="00C228E6" w:rsidRDefault="001556EC" w:rsidP="001556EC">
            <w:r>
              <w:t xml:space="preserve">If </w:t>
            </w:r>
            <w:r w:rsidR="00C228E6">
              <w:t xml:space="preserve">your answer is no, please </w:t>
            </w:r>
            <w:r w:rsidR="0057530B">
              <w:t xml:space="preserve">expand on </w:t>
            </w:r>
            <w:r w:rsidR="00C228E6">
              <w:t>why</w:t>
            </w:r>
            <w:r w:rsidR="00DD25E9">
              <w:t>, including what you</w:t>
            </w:r>
            <w:r w:rsidR="00D45F89">
              <w:t xml:space="preserve"> </w:t>
            </w:r>
            <w:r w:rsidR="0057530B">
              <w:t>would</w:t>
            </w:r>
            <w:r w:rsidR="00DD25E9">
              <w:t xml:space="preserve"> </w:t>
            </w:r>
            <w:r w:rsidR="0057530B">
              <w:t>propose instead</w:t>
            </w:r>
            <w:r w:rsidR="006924F2">
              <w:t>.</w:t>
            </w:r>
          </w:p>
        </w:tc>
      </w:tr>
    </w:tbl>
    <w:p w14:paraId="08FD17E8" w14:textId="1B3D6604" w:rsidR="0040192E" w:rsidRDefault="0040192E" w:rsidP="0040192E">
      <w:pPr>
        <w:pStyle w:val="NoSpacing"/>
      </w:pPr>
    </w:p>
    <w:p w14:paraId="38FE6536" w14:textId="77777777" w:rsidR="0057530B" w:rsidRDefault="0057530B" w:rsidP="0057530B">
      <w:pPr>
        <w:pStyle w:val="Heading3"/>
      </w:pPr>
      <w:bookmarkStart w:id="89" w:name="_Toc152061096"/>
      <w:bookmarkStart w:id="90" w:name="_Toc158043547"/>
      <w:r>
        <w:t>Calculating the non-member spouse’s entitlement for certain superannuation interests</w:t>
      </w:r>
      <w:bookmarkEnd w:id="89"/>
      <w:bookmarkEnd w:id="90"/>
    </w:p>
    <w:p w14:paraId="127D9E30" w14:textId="064FC9C7" w:rsidR="0057530B" w:rsidRDefault="00D815C7" w:rsidP="0057530B">
      <w:pPr>
        <w:pStyle w:val="Heading4"/>
      </w:pPr>
      <w:r>
        <w:t xml:space="preserve">Part </w:t>
      </w:r>
      <w:r w:rsidR="00E563CC">
        <w:t>7</w:t>
      </w:r>
    </w:p>
    <w:p w14:paraId="782A5B8B" w14:textId="54FEEE92" w:rsidR="0057530B" w:rsidRPr="0057530B" w:rsidRDefault="0057530B" w:rsidP="0057530B">
      <w:r>
        <w:t xml:space="preserve">Part 6 of the existing Regulations provides for the calculation of the non-member spouse’s entitlement when a splittable payment becomes payable </w:t>
      </w:r>
      <w:r w:rsidR="009A1E53">
        <w:t>with</w:t>
      </w:r>
      <w:r>
        <w:t xml:space="preserve"> respect </w:t>
      </w:r>
      <w:r w:rsidR="009A1E53">
        <w:t>to</w:t>
      </w:r>
      <w:r>
        <w:t xml:space="preserve"> certain types of superannuation interests.</w:t>
      </w:r>
      <w:r w:rsidR="0053672F">
        <w:t xml:space="preserve"> </w:t>
      </w:r>
      <w:r w:rsidR="00B803D2">
        <w:t>Part 6 is replicated in the new Regulations (</w:t>
      </w:r>
      <w:r w:rsidR="00B803D2" w:rsidRPr="00E563CC">
        <w:t xml:space="preserve">at Part </w:t>
      </w:r>
      <w:r w:rsidR="00E563CC" w:rsidRPr="00E563CC">
        <w:t>7)</w:t>
      </w:r>
      <w:r w:rsidR="00B803D2" w:rsidRPr="00E563CC">
        <w:t xml:space="preserve"> with only minor technical changes made to increase clarity.</w:t>
      </w:r>
      <w:r w:rsidRPr="00E563CC">
        <w:t xml:space="preserve"> The department seeks views on whether</w:t>
      </w:r>
      <w:r w:rsidR="00B803D2" w:rsidRPr="00E563CC">
        <w:t xml:space="preserve"> Part </w:t>
      </w:r>
      <w:r w:rsidR="00E563CC" w:rsidRPr="00E563CC">
        <w:t>7</w:t>
      </w:r>
      <w:r w:rsidR="00B803D2" w:rsidRPr="00E563CC">
        <w:t>of</w:t>
      </w:r>
      <w:r w:rsidR="00B803D2">
        <w:t xml:space="preserve"> the new Regulations</w:t>
      </w:r>
      <w:r w:rsidR="001556EC">
        <w:t xml:space="preserve"> </w:t>
      </w:r>
      <w:r>
        <w:t>is fit for purpose.</w:t>
      </w:r>
    </w:p>
    <w:tbl>
      <w:tblPr>
        <w:tblStyle w:val="TableGrid"/>
        <w:tblW w:w="0" w:type="auto"/>
        <w:tblLook w:val="04A0" w:firstRow="1" w:lastRow="0" w:firstColumn="1" w:lastColumn="0" w:noHBand="0" w:noVBand="1"/>
      </w:tblPr>
      <w:tblGrid>
        <w:gridCol w:w="10302"/>
      </w:tblGrid>
      <w:tr w:rsidR="0057530B" w14:paraId="4C930F2F" w14:textId="77777777" w:rsidTr="001A0756">
        <w:tc>
          <w:tcPr>
            <w:tcW w:w="10528" w:type="dxa"/>
            <w:shd w:val="clear" w:color="auto" w:fill="E2E9EE"/>
          </w:tcPr>
          <w:p w14:paraId="0C06E7F9" w14:textId="67EE35C5" w:rsidR="0057530B" w:rsidRPr="00D165BA" w:rsidRDefault="0057530B" w:rsidP="001A0756">
            <w:pPr>
              <w:pStyle w:val="Heading4"/>
            </w:pPr>
            <w:r>
              <w:t xml:space="preserve">Question </w:t>
            </w:r>
            <w:r w:rsidR="0013149F">
              <w:t>2</w:t>
            </w:r>
            <w:r w:rsidR="00882AE2">
              <w:t>8</w:t>
            </w:r>
          </w:p>
          <w:p w14:paraId="7FFDF453" w14:textId="53134735" w:rsidR="0057530B" w:rsidRDefault="0057530B" w:rsidP="001A0756">
            <w:r>
              <w:t xml:space="preserve">Please provide any comments or concerns about the methods for calculating the non-member spouse’s entitlement under Part </w:t>
            </w:r>
            <w:r w:rsidR="00E563CC">
              <w:t>7</w:t>
            </w:r>
            <w:r>
              <w:t xml:space="preserve"> of the </w:t>
            </w:r>
            <w:r w:rsidR="00B803D2">
              <w:t xml:space="preserve">new </w:t>
            </w:r>
            <w:r w:rsidR="00ED2524">
              <w:t>R</w:t>
            </w:r>
            <w:r>
              <w:t>egulations</w:t>
            </w:r>
            <w:r w:rsidR="00B803D2">
              <w:t xml:space="preserve"> (which replicates Part 6 of the existing Regulations</w:t>
            </w:r>
            <w:r w:rsidR="006D7995">
              <w:t>)</w:t>
            </w:r>
            <w:r>
              <w:t>.</w:t>
            </w:r>
          </w:p>
        </w:tc>
      </w:tr>
    </w:tbl>
    <w:p w14:paraId="1D7F5577" w14:textId="77777777" w:rsidR="0057530B" w:rsidRPr="00BC374C" w:rsidRDefault="0057530B" w:rsidP="0040192E">
      <w:pPr>
        <w:pStyle w:val="NoSpacing"/>
      </w:pPr>
    </w:p>
    <w:p w14:paraId="7D2AD876" w14:textId="77777777" w:rsidR="0040192E" w:rsidRDefault="0040192E" w:rsidP="0040192E">
      <w:pPr>
        <w:pStyle w:val="Heading3"/>
      </w:pPr>
      <w:bookmarkStart w:id="91" w:name="_Toc152061097"/>
      <w:bookmarkStart w:id="92" w:name="_Toc158043548"/>
      <w:r>
        <w:t xml:space="preserve">Reviewing the current information </w:t>
      </w:r>
      <w:r w:rsidRPr="00E463DB">
        <w:t>requirements</w:t>
      </w:r>
      <w:r>
        <w:t xml:space="preserve"> under the Regulations</w:t>
      </w:r>
      <w:bookmarkEnd w:id="91"/>
      <w:bookmarkEnd w:id="92"/>
      <w:r>
        <w:t xml:space="preserve"> </w:t>
      </w:r>
    </w:p>
    <w:p w14:paraId="6FBF1CF4" w14:textId="259F92DF" w:rsidR="0040192E" w:rsidRDefault="0040192E" w:rsidP="0040192E">
      <w:pPr>
        <w:pStyle w:val="Heading4"/>
      </w:pPr>
      <w:r>
        <w:t xml:space="preserve">Part </w:t>
      </w:r>
      <w:r w:rsidR="00E563CC">
        <w:t>9</w:t>
      </w:r>
      <w:r>
        <w:t xml:space="preserve"> </w:t>
      </w:r>
    </w:p>
    <w:p w14:paraId="11C6A0AC" w14:textId="78F6104C" w:rsidR="0040192E" w:rsidRDefault="0040192E" w:rsidP="0040192E">
      <w:r>
        <w:t xml:space="preserve">Provisions under Part 7 of the existing Regulations mandate specific information that must be provided when an eligible person makes an application for information about a superannuation interest under </w:t>
      </w:r>
      <w:r w:rsidR="00B81D24">
        <w:t>sections </w:t>
      </w:r>
      <w:r>
        <w:t xml:space="preserve">90XZB and 90YZR of the Family Law Act. The application must be accompanied by a declaration that the applicant requires the information to assist them </w:t>
      </w:r>
      <w:r w:rsidR="00B81D24">
        <w:t>for</w:t>
      </w:r>
      <w:r>
        <w:t xml:space="preserve"> either of both of the following purposes:</w:t>
      </w:r>
    </w:p>
    <w:p w14:paraId="0C0EACD8" w14:textId="280B90E1" w:rsidR="0040192E" w:rsidRPr="00E463DB" w:rsidRDefault="0040192E" w:rsidP="00DD25E9">
      <w:pPr>
        <w:pStyle w:val="Bullet1"/>
        <w:numPr>
          <w:ilvl w:val="0"/>
          <w:numId w:val="41"/>
        </w:numPr>
      </w:pPr>
      <w:r w:rsidRPr="00E463DB">
        <w:t>in order to properly negotiate a superannuation agreement</w:t>
      </w:r>
      <w:r w:rsidR="00E631C8">
        <w:t>,</w:t>
      </w:r>
    </w:p>
    <w:p w14:paraId="4ED04978" w14:textId="445622C2" w:rsidR="0040192E" w:rsidRDefault="0040192E" w:rsidP="00ED6477">
      <w:pPr>
        <w:pStyle w:val="Bullet1"/>
        <w:numPr>
          <w:ilvl w:val="0"/>
          <w:numId w:val="41"/>
        </w:numPr>
      </w:pPr>
      <w:r w:rsidRPr="00E463DB">
        <w:lastRenderedPageBreak/>
        <w:t>in connection with the operation of Part VIIIB or Part VIIIC of the Family Law Act</w:t>
      </w:r>
      <w:r>
        <w:t xml:space="preserve">. </w:t>
      </w:r>
    </w:p>
    <w:p w14:paraId="473746C5" w14:textId="2005546C" w:rsidR="00B803D2" w:rsidRPr="0040192E" w:rsidRDefault="00B803D2" w:rsidP="00082B62">
      <w:pPr>
        <w:pStyle w:val="Bullet1"/>
      </w:pPr>
      <w:r>
        <w:t xml:space="preserve">Part 7 is replicated in the new </w:t>
      </w:r>
      <w:r w:rsidRPr="00E563CC">
        <w:t xml:space="preserve">Regulations (at Part </w:t>
      </w:r>
      <w:r w:rsidR="00E563CC" w:rsidRPr="00E563CC">
        <w:t>9</w:t>
      </w:r>
      <w:r w:rsidRPr="00E563CC">
        <w:t>) with</w:t>
      </w:r>
      <w:r>
        <w:t xml:space="preserve"> only minor technical changes made to increase clarity, and with amendments that relate to innovative retirement income stream products (see </w:t>
      </w:r>
      <w:r w:rsidRPr="006A5728">
        <w:t xml:space="preserve">page </w:t>
      </w:r>
      <w:r w:rsidR="006A5728" w:rsidRPr="006A5728">
        <w:t>26</w:t>
      </w:r>
      <w:r w:rsidR="006D7995" w:rsidRPr="006A5728">
        <w:t xml:space="preserve"> of this</w:t>
      </w:r>
      <w:r w:rsidR="006D7995">
        <w:t xml:space="preserve"> consultation paper</w:t>
      </w:r>
      <w:r>
        <w:t>).</w:t>
      </w:r>
    </w:p>
    <w:tbl>
      <w:tblPr>
        <w:tblStyle w:val="TableGrid"/>
        <w:tblW w:w="0" w:type="auto"/>
        <w:tblLook w:val="04A0" w:firstRow="1" w:lastRow="0" w:firstColumn="1" w:lastColumn="0" w:noHBand="0" w:noVBand="1"/>
      </w:tblPr>
      <w:tblGrid>
        <w:gridCol w:w="10302"/>
      </w:tblGrid>
      <w:tr w:rsidR="0040192E" w14:paraId="1D13F136" w14:textId="77777777" w:rsidTr="00082B62">
        <w:trPr>
          <w:trHeight w:val="1253"/>
        </w:trPr>
        <w:tc>
          <w:tcPr>
            <w:tcW w:w="10528" w:type="dxa"/>
            <w:shd w:val="clear" w:color="auto" w:fill="E2E9EE"/>
          </w:tcPr>
          <w:p w14:paraId="279F6081" w14:textId="4913814D" w:rsidR="0040192E" w:rsidRDefault="0040192E" w:rsidP="0007150C">
            <w:pPr>
              <w:pStyle w:val="Heading4"/>
            </w:pPr>
            <w:r>
              <w:t xml:space="preserve">Question </w:t>
            </w:r>
            <w:r w:rsidR="0013149F">
              <w:t>2</w:t>
            </w:r>
            <w:r w:rsidR="00882AE2">
              <w:t>9</w:t>
            </w:r>
          </w:p>
          <w:p w14:paraId="63931831" w14:textId="64601BE5" w:rsidR="0040192E" w:rsidRDefault="00F22420" w:rsidP="00DD25E9">
            <w:r>
              <w:t>W</w:t>
            </w:r>
            <w:r w:rsidRPr="00C15D98">
              <w:t>hat</w:t>
            </w:r>
            <w:r>
              <w:t xml:space="preserve"> other information about a superannuation interest</w:t>
            </w:r>
            <w:r w:rsidR="006D7995">
              <w:t>,</w:t>
            </w:r>
            <w:r>
              <w:t xml:space="preserve"> not listed in </w:t>
            </w:r>
            <w:r w:rsidR="006607FA" w:rsidRPr="00B40F09">
              <w:t xml:space="preserve">Part </w:t>
            </w:r>
            <w:r w:rsidR="00E563CC">
              <w:t>9</w:t>
            </w:r>
            <w:r w:rsidR="006607FA">
              <w:t xml:space="preserve"> of the new Regulations (which replicates </w:t>
            </w:r>
            <w:r>
              <w:t>Part 7 of the existing Regulations</w:t>
            </w:r>
            <w:r w:rsidR="006607FA">
              <w:t>)</w:t>
            </w:r>
            <w:r>
              <w:t>, would an eligible person require from a trustee?</w:t>
            </w:r>
            <w:r w:rsidDel="00C15D98">
              <w:t xml:space="preserve"> </w:t>
            </w:r>
          </w:p>
        </w:tc>
      </w:tr>
    </w:tbl>
    <w:p w14:paraId="5E8AD919" w14:textId="77777777" w:rsidR="0040192E" w:rsidRDefault="0040192E" w:rsidP="0040192E">
      <w:pPr>
        <w:pStyle w:val="NoSpacing"/>
      </w:pPr>
    </w:p>
    <w:p w14:paraId="409D05EF" w14:textId="1D36E8BA" w:rsidR="00E463DB" w:rsidRPr="003D3F98" w:rsidRDefault="00E463DB" w:rsidP="00E463DB">
      <w:pPr>
        <w:pStyle w:val="Heading3"/>
      </w:pPr>
      <w:bookmarkStart w:id="93" w:name="_Toc152061098"/>
      <w:bookmarkStart w:id="94" w:name="_Toc158043549"/>
      <w:r>
        <w:t xml:space="preserve">Reviewing the </w:t>
      </w:r>
      <w:r w:rsidRPr="00E463DB">
        <w:t>current</w:t>
      </w:r>
      <w:r>
        <w:t xml:space="preserve"> penalty framework in the Regulations</w:t>
      </w:r>
      <w:bookmarkEnd w:id="93"/>
      <w:bookmarkEnd w:id="94"/>
    </w:p>
    <w:p w14:paraId="62F9663B" w14:textId="7F03132A" w:rsidR="00E463DB" w:rsidRDefault="00E463DB" w:rsidP="00E463DB">
      <w:pPr>
        <w:pStyle w:val="Heading4"/>
      </w:pPr>
      <w:r>
        <w:t xml:space="preserve">Sections </w:t>
      </w:r>
      <w:r w:rsidR="00390C77">
        <w:t>139</w:t>
      </w:r>
      <w:r>
        <w:t xml:space="preserve"> </w:t>
      </w:r>
      <w:r w:rsidRPr="00E463DB">
        <w:t>and</w:t>
      </w:r>
      <w:r>
        <w:t xml:space="preserve"> </w:t>
      </w:r>
      <w:r w:rsidR="00390C77">
        <w:t>140</w:t>
      </w:r>
    </w:p>
    <w:p w14:paraId="14D3DF6B" w14:textId="07635CA8" w:rsidR="00E463DB" w:rsidRDefault="00E463DB" w:rsidP="00BF4B59">
      <w:r>
        <w:t xml:space="preserve">The </w:t>
      </w:r>
      <w:r w:rsidRPr="00723C67">
        <w:t>Family Law Act</w:t>
      </w:r>
      <w:r>
        <w:t xml:space="preserve"> delegates the power for the existing Regulations to include penalty provisions in relation to two provisions as follows:</w:t>
      </w:r>
    </w:p>
    <w:p w14:paraId="1F2EDAA0" w14:textId="77777777" w:rsidR="00E463DB" w:rsidRDefault="00E463DB" w:rsidP="00ED6477">
      <w:pPr>
        <w:pStyle w:val="Bullet1"/>
      </w:pPr>
      <w:r>
        <w:t>Regulation 70 – requires certain trustees to provide specific information</w:t>
      </w:r>
      <w:r w:rsidRPr="00A36DCE">
        <w:t xml:space="preserve"> </w:t>
      </w:r>
      <w:r>
        <w:t xml:space="preserve">to a non-member spouse after the trustee has been served with an agreement or order to split a superannuation interest. </w:t>
      </w:r>
    </w:p>
    <w:p w14:paraId="6385DBED" w14:textId="6CFB77FB" w:rsidR="00E463DB" w:rsidRDefault="00E463DB" w:rsidP="00ED6477">
      <w:pPr>
        <w:pStyle w:val="Bullet1"/>
      </w:pPr>
      <w:r>
        <w:t>Regulation 71 – requires</w:t>
      </w:r>
      <w:r w:rsidRPr="00B01B30">
        <w:t xml:space="preserve"> </w:t>
      </w:r>
      <w:r>
        <w:t>certain trustees to provide specific information to a non-member spouse at the end of each financial year.</w:t>
      </w:r>
    </w:p>
    <w:p w14:paraId="21530EF5" w14:textId="0930F5AC" w:rsidR="00E463DB" w:rsidRPr="00AC3F08" w:rsidRDefault="00B11628" w:rsidP="00E463DB">
      <w:pPr>
        <w:spacing w:before="240"/>
      </w:pPr>
      <w:r>
        <w:t>There are s</w:t>
      </w:r>
      <w:r w:rsidR="00E463DB">
        <w:t xml:space="preserve">imilar provisions requiring trustees of regulated superannuation schemes to provide specific information to a non-member spouse following a superannuation split </w:t>
      </w:r>
      <w:r>
        <w:t>with</w:t>
      </w:r>
      <w:r w:rsidR="00E463DB">
        <w:t>in the</w:t>
      </w:r>
      <w:r w:rsidR="00E463DB" w:rsidRPr="000A5F42">
        <w:rPr>
          <w:i/>
        </w:rPr>
        <w:t xml:space="preserve"> Superannuation Industry (Supervision) Regulations 1994</w:t>
      </w:r>
      <w:r w:rsidR="00E463DB">
        <w:t xml:space="preserve">. </w:t>
      </w:r>
    </w:p>
    <w:p w14:paraId="40CD8FAC" w14:textId="59B5B332" w:rsidR="00E463DB" w:rsidRPr="00E52F9A" w:rsidRDefault="00E463DB" w:rsidP="00E463DB">
      <w:pPr>
        <w:spacing w:before="240"/>
      </w:pPr>
      <w:r>
        <w:t>Currently, there is no penalty provision associated with Regulation 70</w:t>
      </w:r>
      <w:r w:rsidR="00B11628">
        <w:t>. However, n</w:t>
      </w:r>
      <w:r>
        <w:t xml:space="preserve">on-compliance with Regulation 71 within a 6-month period after the end of a financial year attracts 1 penalty unit. </w:t>
      </w:r>
    </w:p>
    <w:tbl>
      <w:tblPr>
        <w:tblStyle w:val="TableGrid"/>
        <w:tblW w:w="0" w:type="auto"/>
        <w:tblLook w:val="04A0" w:firstRow="1" w:lastRow="0" w:firstColumn="1" w:lastColumn="0" w:noHBand="0" w:noVBand="1"/>
      </w:tblPr>
      <w:tblGrid>
        <w:gridCol w:w="10302"/>
      </w:tblGrid>
      <w:tr w:rsidR="00E463DB" w14:paraId="63007F64" w14:textId="77777777" w:rsidTr="0007150C">
        <w:tc>
          <w:tcPr>
            <w:tcW w:w="10528" w:type="dxa"/>
            <w:shd w:val="clear" w:color="auto" w:fill="E2E9EE"/>
          </w:tcPr>
          <w:p w14:paraId="290D9858" w14:textId="0A80EEB1" w:rsidR="00E463DB" w:rsidRPr="00D165BA" w:rsidRDefault="00E463DB" w:rsidP="0007150C">
            <w:pPr>
              <w:pStyle w:val="Heading4"/>
            </w:pPr>
            <w:r>
              <w:lastRenderedPageBreak/>
              <w:t xml:space="preserve">Question </w:t>
            </w:r>
            <w:r w:rsidR="00882AE2">
              <w:t>30</w:t>
            </w:r>
          </w:p>
          <w:p w14:paraId="099A402A" w14:textId="4163D4B6" w:rsidR="00E463DB" w:rsidRPr="00C34813" w:rsidRDefault="00E463DB" w:rsidP="00BF4B59">
            <w:r>
              <w:t xml:space="preserve">What are your experiences with compliance </w:t>
            </w:r>
            <w:r w:rsidRPr="00C34813">
              <w:t xml:space="preserve">with </w:t>
            </w:r>
            <w:r w:rsidR="00B11628" w:rsidRPr="00C34813">
              <w:t>r</w:t>
            </w:r>
            <w:r w:rsidRPr="00C34813">
              <w:t>egulations</w:t>
            </w:r>
            <w:r w:rsidR="00B11628" w:rsidRPr="00C34813">
              <w:t xml:space="preserve"> 70 and 71 of the existing </w:t>
            </w:r>
            <w:r w:rsidR="000D0282" w:rsidRPr="00C34813">
              <w:t>R</w:t>
            </w:r>
            <w:r w:rsidR="00B11628" w:rsidRPr="00C34813">
              <w:t>egulations</w:t>
            </w:r>
            <w:r w:rsidRPr="00C34813">
              <w:t xml:space="preserve">?  </w:t>
            </w:r>
          </w:p>
          <w:p w14:paraId="7D9C36B6" w14:textId="4972B241" w:rsidR="00E463DB" w:rsidRPr="00C34813" w:rsidRDefault="00E463DB" w:rsidP="0007150C">
            <w:pPr>
              <w:pStyle w:val="Heading4"/>
            </w:pPr>
            <w:r w:rsidRPr="00C34813">
              <w:t xml:space="preserve">Question </w:t>
            </w:r>
            <w:r w:rsidR="00C01792" w:rsidRPr="00C34813">
              <w:t>3</w:t>
            </w:r>
            <w:r w:rsidR="00882AE2" w:rsidRPr="00C34813">
              <w:t>1</w:t>
            </w:r>
          </w:p>
          <w:p w14:paraId="1A090663" w14:textId="76F08A6D" w:rsidR="00034AA5" w:rsidRPr="00C34813" w:rsidRDefault="00E463DB" w:rsidP="000D0282">
            <w:r w:rsidRPr="00C34813">
              <w:t xml:space="preserve">Should </w:t>
            </w:r>
            <w:r w:rsidR="00F36E18" w:rsidRPr="00C34813">
              <w:t xml:space="preserve">a </w:t>
            </w:r>
            <w:r w:rsidRPr="00C34813">
              <w:t>penalty</w:t>
            </w:r>
            <w:r w:rsidR="00F36E18" w:rsidRPr="00C34813">
              <w:t xml:space="preserve"> provision</w:t>
            </w:r>
            <w:r w:rsidRPr="00C34813">
              <w:t xml:space="preserve"> be introduced </w:t>
            </w:r>
            <w:r w:rsidR="00B11628" w:rsidRPr="00C34813">
              <w:t xml:space="preserve">for non-compliance with </w:t>
            </w:r>
            <w:r w:rsidR="006607FA" w:rsidRPr="00C34813">
              <w:t xml:space="preserve">section </w:t>
            </w:r>
            <w:r w:rsidR="00390C77" w:rsidRPr="00C34813">
              <w:t>139</w:t>
            </w:r>
            <w:r w:rsidR="006607FA" w:rsidRPr="00C34813">
              <w:t xml:space="preserve"> of the new Regulations (which replicates </w:t>
            </w:r>
            <w:r w:rsidR="00B11628" w:rsidRPr="00C34813">
              <w:t>r</w:t>
            </w:r>
            <w:r w:rsidRPr="00C34813">
              <w:t>egulation 70</w:t>
            </w:r>
            <w:r w:rsidR="006607FA" w:rsidRPr="00C34813">
              <w:t xml:space="preserve"> of the existing Regulations)</w:t>
            </w:r>
            <w:r w:rsidRPr="00C34813">
              <w:t>?</w:t>
            </w:r>
            <w:r w:rsidR="008A5BA3" w:rsidRPr="00C34813">
              <w:t xml:space="preserve"> </w:t>
            </w:r>
          </w:p>
          <w:p w14:paraId="4B92AA4C" w14:textId="195CD94C" w:rsidR="000D0282" w:rsidRPr="00C34813" w:rsidRDefault="000D0282" w:rsidP="000D0282">
            <w:r w:rsidRPr="00C34813">
              <w:t>Please expand on your response.</w:t>
            </w:r>
          </w:p>
          <w:p w14:paraId="3A34A540" w14:textId="713807B3" w:rsidR="000D0282" w:rsidRPr="00C34813" w:rsidRDefault="000D0282" w:rsidP="000717B2">
            <w:pPr>
              <w:pStyle w:val="Heading4"/>
            </w:pPr>
            <w:r w:rsidRPr="00C34813">
              <w:t xml:space="preserve">Question </w:t>
            </w:r>
            <w:r w:rsidR="00082B62" w:rsidRPr="00C34813">
              <w:t>3</w:t>
            </w:r>
            <w:r w:rsidR="00882AE2" w:rsidRPr="00C34813">
              <w:t>2</w:t>
            </w:r>
          </w:p>
          <w:p w14:paraId="192C9B5E" w14:textId="3BDCBFEA" w:rsidR="000D0282" w:rsidRPr="00C34813" w:rsidRDefault="000D0282" w:rsidP="00BF4B59">
            <w:r w:rsidRPr="00C34813">
              <w:t xml:space="preserve">If a penalty provision should be introduced for non-compliance with </w:t>
            </w:r>
            <w:r w:rsidR="006607FA" w:rsidRPr="00C34813">
              <w:t>section</w:t>
            </w:r>
            <w:r w:rsidRPr="00C34813">
              <w:t xml:space="preserve"> </w:t>
            </w:r>
            <w:r w:rsidR="00390C77" w:rsidRPr="00C34813">
              <w:t>139</w:t>
            </w:r>
            <w:r w:rsidR="006607FA" w:rsidRPr="00C34813">
              <w:t xml:space="preserve"> of the new Regulations</w:t>
            </w:r>
            <w:r w:rsidRPr="00C34813">
              <w:t>, what should the penalty be?</w:t>
            </w:r>
          </w:p>
          <w:p w14:paraId="7F4EAF85" w14:textId="5D0AAEFA" w:rsidR="00E463DB" w:rsidRPr="00C34813" w:rsidRDefault="00E463DB" w:rsidP="0007150C">
            <w:pPr>
              <w:pStyle w:val="Heading4"/>
            </w:pPr>
            <w:r w:rsidRPr="00C34813">
              <w:t xml:space="preserve">Question </w:t>
            </w:r>
            <w:r w:rsidR="00C01792" w:rsidRPr="00C34813">
              <w:t>3</w:t>
            </w:r>
            <w:r w:rsidR="00882AE2" w:rsidRPr="00C34813">
              <w:t>3</w:t>
            </w:r>
          </w:p>
          <w:p w14:paraId="35E41C27" w14:textId="13F0E0A2" w:rsidR="00375241" w:rsidRPr="00C34813" w:rsidRDefault="00E463DB" w:rsidP="00BF4B59">
            <w:r w:rsidRPr="00C34813">
              <w:t xml:space="preserve">Should the penalty be increased </w:t>
            </w:r>
            <w:r w:rsidR="00B11628" w:rsidRPr="00C34813">
              <w:t xml:space="preserve">for non-compliance with </w:t>
            </w:r>
            <w:r w:rsidR="006607FA" w:rsidRPr="00C34813">
              <w:t>section</w:t>
            </w:r>
            <w:r w:rsidRPr="00C34813">
              <w:t xml:space="preserve"> </w:t>
            </w:r>
            <w:r w:rsidR="00390C77" w:rsidRPr="00C34813">
              <w:t>140</w:t>
            </w:r>
            <w:r w:rsidR="006607FA" w:rsidRPr="00C34813">
              <w:t xml:space="preserve"> of the new Regulations (which replicates regulation 71 of the existing Regulations)</w:t>
            </w:r>
            <w:r w:rsidR="00375241" w:rsidRPr="00C34813">
              <w:t>?</w:t>
            </w:r>
          </w:p>
          <w:p w14:paraId="08B06F77" w14:textId="518F737F" w:rsidR="00E463DB" w:rsidRDefault="008A5BA3" w:rsidP="00BF4B59">
            <w:r w:rsidRPr="00C34813">
              <w:t>I</w:t>
            </w:r>
            <w:r w:rsidR="00723C67" w:rsidRPr="00C34813">
              <w:t>f so, what should the penalty be increased to</w:t>
            </w:r>
            <w:r w:rsidR="00E463DB" w:rsidRPr="00C34813">
              <w:t>?</w:t>
            </w:r>
          </w:p>
          <w:p w14:paraId="73B0DC4E" w14:textId="074EC1A2" w:rsidR="00E463DB" w:rsidRDefault="00E463DB" w:rsidP="00BF4B59">
            <w:r>
              <w:t>Please expand on why</w:t>
            </w:r>
            <w:r w:rsidR="00375241">
              <w:t xml:space="preserve"> the penalty should </w:t>
            </w:r>
            <w:r w:rsidR="006607FA">
              <w:t xml:space="preserve">or should not </w:t>
            </w:r>
            <w:r w:rsidR="00375241">
              <w:t>be increased</w:t>
            </w:r>
            <w:r>
              <w:t>.</w:t>
            </w:r>
          </w:p>
        </w:tc>
      </w:tr>
    </w:tbl>
    <w:p w14:paraId="01E758E7" w14:textId="420D92EB" w:rsidR="00E463DB" w:rsidRDefault="00E463DB" w:rsidP="0040192E">
      <w:pPr>
        <w:pStyle w:val="NoSpacing"/>
      </w:pPr>
    </w:p>
    <w:p w14:paraId="6F294547" w14:textId="1C6ED7DC" w:rsidR="00176E75" w:rsidRDefault="00176E75" w:rsidP="00176E75">
      <w:pPr>
        <w:pStyle w:val="Heading3"/>
      </w:pPr>
      <w:bookmarkStart w:id="95" w:name="_Toc152061099"/>
      <w:bookmarkStart w:id="96" w:name="_Toc158043550"/>
      <w:r>
        <w:t xml:space="preserve">Members </w:t>
      </w:r>
      <w:r w:rsidR="00034AA5">
        <w:t>who have</w:t>
      </w:r>
      <w:r w:rsidR="000717B2">
        <w:t xml:space="preserve"> variations of sex characteristics</w:t>
      </w:r>
      <w:r w:rsidR="00034AA5">
        <w:t xml:space="preserve"> or</w:t>
      </w:r>
      <w:r w:rsidR="000717B2">
        <w:t xml:space="preserve"> </w:t>
      </w:r>
      <w:r>
        <w:t xml:space="preserve">who are intersex, </w:t>
      </w:r>
      <w:r w:rsidR="000717B2">
        <w:t xml:space="preserve">whose sex has changed from their sex recorded at birth, whose gender has changed from the gender they were assigned at birth, </w:t>
      </w:r>
      <w:r>
        <w:t xml:space="preserve">and/or </w:t>
      </w:r>
      <w:r w:rsidR="00034AA5">
        <w:t xml:space="preserve">who </w:t>
      </w:r>
      <w:r>
        <w:t>do not identify as either male or female</w:t>
      </w:r>
      <w:bookmarkEnd w:id="95"/>
      <w:bookmarkEnd w:id="96"/>
    </w:p>
    <w:p w14:paraId="1D539634" w14:textId="3AEEFF63" w:rsidR="00176E75" w:rsidRDefault="006E2EB8" w:rsidP="00176E75">
      <w:r>
        <w:t xml:space="preserve">The valuation factors in </w:t>
      </w:r>
      <w:r w:rsidR="00625C2E">
        <w:t xml:space="preserve">both </w:t>
      </w:r>
      <w:r>
        <w:t>the</w:t>
      </w:r>
      <w:r w:rsidR="00625C2E">
        <w:t xml:space="preserve"> existing and new</w:t>
      </w:r>
      <w:r>
        <w:t xml:space="preserve"> Regulations are based on a person being ‘male’ or ‘female’. </w:t>
      </w:r>
      <w:r w:rsidR="00176E75">
        <w:t xml:space="preserve">Neither the existing Regulations, nor the new Regulations, provide guidance or prescribe approaches for superannuation interests of members </w:t>
      </w:r>
      <w:r w:rsidR="00034AA5">
        <w:t>who have</w:t>
      </w:r>
      <w:r w:rsidR="000717B2" w:rsidRPr="000717B2">
        <w:t xml:space="preserve"> variations of sex characteristics</w:t>
      </w:r>
      <w:r w:rsidR="00034AA5">
        <w:t xml:space="preserve"> or</w:t>
      </w:r>
      <w:r w:rsidR="000717B2" w:rsidRPr="000717B2">
        <w:t xml:space="preserve"> who are intersex, whose sex has changed from their sex recorded at birth, whose gender has changed from the gender they were assigned at birth, and/or</w:t>
      </w:r>
      <w:r w:rsidR="00034AA5">
        <w:t xml:space="preserve"> who</w:t>
      </w:r>
      <w:r w:rsidR="000717B2" w:rsidRPr="000717B2">
        <w:t xml:space="preserve"> do not identify as either male or female</w:t>
      </w:r>
      <w:r w:rsidR="00176E75">
        <w:t>.</w:t>
      </w:r>
    </w:p>
    <w:p w14:paraId="2AB60177" w14:textId="7A6C8107" w:rsidR="00176E75" w:rsidRDefault="00176E75" w:rsidP="00176E75">
      <w:r>
        <w:t xml:space="preserve">The department is seeking views on </w:t>
      </w:r>
      <w:r w:rsidR="00F36E18">
        <w:t xml:space="preserve">this. </w:t>
      </w:r>
    </w:p>
    <w:tbl>
      <w:tblPr>
        <w:tblStyle w:val="TableGrid"/>
        <w:tblW w:w="0" w:type="auto"/>
        <w:tblLook w:val="04A0" w:firstRow="1" w:lastRow="0" w:firstColumn="1" w:lastColumn="0" w:noHBand="0" w:noVBand="1"/>
      </w:tblPr>
      <w:tblGrid>
        <w:gridCol w:w="10302"/>
      </w:tblGrid>
      <w:tr w:rsidR="00176E75" w14:paraId="37B63A2D" w14:textId="77777777" w:rsidTr="0007150C">
        <w:tc>
          <w:tcPr>
            <w:tcW w:w="10528" w:type="dxa"/>
            <w:shd w:val="clear" w:color="auto" w:fill="E2E9EE"/>
          </w:tcPr>
          <w:p w14:paraId="5E3AC391" w14:textId="35767AF5" w:rsidR="00176E75" w:rsidRPr="00D165BA" w:rsidRDefault="00176E75" w:rsidP="0007150C">
            <w:pPr>
              <w:pStyle w:val="Heading4"/>
            </w:pPr>
            <w:r>
              <w:lastRenderedPageBreak/>
              <w:t xml:space="preserve">Question </w:t>
            </w:r>
            <w:r w:rsidR="00C01792">
              <w:t>3</w:t>
            </w:r>
            <w:r w:rsidR="00882AE2">
              <w:t>4</w:t>
            </w:r>
          </w:p>
          <w:p w14:paraId="0F6D6766" w14:textId="7716FA23" w:rsidR="00176E75" w:rsidRDefault="00176E75" w:rsidP="0007150C">
            <w:r>
              <w:t xml:space="preserve">Should the new </w:t>
            </w:r>
            <w:r w:rsidR="006607FA">
              <w:t>R</w:t>
            </w:r>
            <w:r>
              <w:t>egulations provide guidance, or prescribe an approach, in relation to superannuation interests of members</w:t>
            </w:r>
            <w:r w:rsidR="000717B2">
              <w:t xml:space="preserve"> </w:t>
            </w:r>
            <w:r w:rsidR="00034AA5">
              <w:t>who have</w:t>
            </w:r>
            <w:r w:rsidR="000717B2" w:rsidRPr="000717B2">
              <w:t xml:space="preserve"> variations of sex characteristics</w:t>
            </w:r>
            <w:r w:rsidR="00034AA5">
              <w:t xml:space="preserve"> or</w:t>
            </w:r>
            <w:r w:rsidR="000717B2" w:rsidRPr="000717B2">
              <w:t xml:space="preserve"> who are intersex, whose sex has changed from their sex recorded at birth, whose gender has changed from the gender they were assigned at birth, and/or </w:t>
            </w:r>
            <w:r w:rsidR="00034AA5">
              <w:t>who</w:t>
            </w:r>
            <w:r w:rsidR="00627193">
              <w:t xml:space="preserve"> do</w:t>
            </w:r>
            <w:r w:rsidR="00034AA5">
              <w:t xml:space="preserve"> </w:t>
            </w:r>
            <w:r w:rsidR="000717B2" w:rsidRPr="000717B2">
              <w:t>not identify as either male or female</w:t>
            </w:r>
            <w:r w:rsidR="00034AA5">
              <w:t>?</w:t>
            </w:r>
          </w:p>
          <w:p w14:paraId="73245FBC" w14:textId="445E6901" w:rsidR="00176E75" w:rsidRDefault="00176E75" w:rsidP="0007150C">
            <w:r>
              <w:t xml:space="preserve">If so, what should the new </w:t>
            </w:r>
            <w:r w:rsidR="006607FA">
              <w:t>R</w:t>
            </w:r>
            <w:r>
              <w:t>egulations provide or prescribe?</w:t>
            </w:r>
          </w:p>
          <w:p w14:paraId="5579AB87" w14:textId="4C6A11BC" w:rsidR="00176E75" w:rsidRDefault="00176E75" w:rsidP="008B3243">
            <w:r>
              <w:t xml:space="preserve">Please provide any other </w:t>
            </w:r>
            <w:r w:rsidR="009E6925">
              <w:t xml:space="preserve">relevant </w:t>
            </w:r>
            <w:r>
              <w:t>comments or observations</w:t>
            </w:r>
            <w:r w:rsidR="00723C67">
              <w:t>.</w:t>
            </w:r>
          </w:p>
        </w:tc>
      </w:tr>
    </w:tbl>
    <w:p w14:paraId="73D643C6" w14:textId="78C8D36A" w:rsidR="009D14FF" w:rsidRDefault="009D14FF" w:rsidP="009665DF">
      <w:pPr>
        <w:spacing w:after="240" w:line="240" w:lineRule="auto"/>
      </w:pPr>
    </w:p>
    <w:p w14:paraId="4B638776" w14:textId="28C3EE1C" w:rsidR="006E2EB8" w:rsidRDefault="006E2EB8" w:rsidP="00787423">
      <w:pPr>
        <w:pStyle w:val="Heading2"/>
      </w:pPr>
      <w:bookmarkStart w:id="97" w:name="_Toc152061100"/>
      <w:bookmarkStart w:id="98" w:name="_Toc158043551"/>
      <w:r>
        <w:t>Other issues not covered in this consultation paper</w:t>
      </w:r>
      <w:bookmarkEnd w:id="97"/>
      <w:bookmarkEnd w:id="98"/>
    </w:p>
    <w:tbl>
      <w:tblPr>
        <w:tblStyle w:val="TableGrid"/>
        <w:tblW w:w="0" w:type="auto"/>
        <w:tblLook w:val="04A0" w:firstRow="1" w:lastRow="0" w:firstColumn="1" w:lastColumn="0" w:noHBand="0" w:noVBand="1"/>
      </w:tblPr>
      <w:tblGrid>
        <w:gridCol w:w="10302"/>
      </w:tblGrid>
      <w:tr w:rsidR="00F512F1" w14:paraId="57A76E1D" w14:textId="77777777" w:rsidTr="00034AA5">
        <w:tc>
          <w:tcPr>
            <w:tcW w:w="10528" w:type="dxa"/>
            <w:shd w:val="clear" w:color="auto" w:fill="E2E9EE"/>
          </w:tcPr>
          <w:p w14:paraId="0E5FAD0A" w14:textId="4D05A867" w:rsidR="00F512F1" w:rsidRDefault="00F512F1" w:rsidP="00F512F1">
            <w:pPr>
              <w:pStyle w:val="Heading4"/>
            </w:pPr>
            <w:r>
              <w:t>Question 3</w:t>
            </w:r>
            <w:r w:rsidR="00882AE2">
              <w:t>5</w:t>
            </w:r>
          </w:p>
          <w:p w14:paraId="5A3FAB9C" w14:textId="077BCCCC" w:rsidR="00F512F1" w:rsidRDefault="00F512F1" w:rsidP="00F512F1">
            <w:r>
              <w:t>Please provide comments about other aspects of the new or existing Regulations that have not been addressed elsewhere.</w:t>
            </w:r>
          </w:p>
        </w:tc>
      </w:tr>
    </w:tbl>
    <w:p w14:paraId="7F925F78" w14:textId="77777777" w:rsidR="00F512F1" w:rsidRPr="00F512F1" w:rsidRDefault="00F512F1" w:rsidP="00F512F1"/>
    <w:p w14:paraId="60791CF7" w14:textId="77777777" w:rsidR="00A57D92" w:rsidRDefault="00A57D92" w:rsidP="00A57D92">
      <w:pPr>
        <w:spacing w:after="240" w:line="240" w:lineRule="auto"/>
      </w:pPr>
    </w:p>
    <w:sectPr w:rsidR="00A57D92" w:rsidSect="00392602">
      <w:footerReference w:type="default" r:id="rId12"/>
      <w:type w:val="continuous"/>
      <w:pgSz w:w="12240" w:h="15840"/>
      <w:pgMar w:top="993" w:right="964" w:bottom="1701" w:left="964" w:header="142"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F34B" w14:textId="77777777" w:rsidR="00EC3459" w:rsidRDefault="00EC3459" w:rsidP="006150CB">
      <w:r>
        <w:separator/>
      </w:r>
    </w:p>
  </w:endnote>
  <w:endnote w:type="continuationSeparator" w:id="0">
    <w:p w14:paraId="2B490BAF" w14:textId="77777777" w:rsidR="00EC3459" w:rsidRDefault="00EC3459"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B53D" w14:textId="77777777" w:rsidR="009046BB" w:rsidRPr="00453257" w:rsidRDefault="009046BB" w:rsidP="00394664">
    <w:pPr>
      <w:pStyle w:val="Footer"/>
      <w:ind w:left="-284"/>
    </w:pPr>
    <w:r>
      <w:rPr>
        <w:noProof/>
        <w:lang w:eastAsia="en-AU"/>
      </w:rPr>
      <w:drawing>
        <wp:inline distT="0" distB="0" distL="0" distR="0" wp14:anchorId="751DD93A" wp14:editId="15238740">
          <wp:extent cx="7086534" cy="75485"/>
          <wp:effectExtent l="0" t="0" r="0" b="1270"/>
          <wp:docPr id="2" name="Picture 2"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86534" cy="75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661488"/>
      <w:docPartObj>
        <w:docPartGallery w:val="Page Numbers (Bottom of Page)"/>
        <w:docPartUnique/>
      </w:docPartObj>
    </w:sdtPr>
    <w:sdtEndPr/>
    <w:sdtContent>
      <w:sdt>
        <w:sdtPr>
          <w:id w:val="-1705238520"/>
          <w:docPartObj>
            <w:docPartGallery w:val="Page Numbers (Top of Page)"/>
            <w:docPartUnique/>
          </w:docPartObj>
        </w:sdtPr>
        <w:sdtEndPr/>
        <w:sdtContent>
          <w:p w14:paraId="41364FAF" w14:textId="07BD1746" w:rsidR="009046BB" w:rsidRPr="0025197B" w:rsidRDefault="009046BB" w:rsidP="0025197B">
            <w:pPr>
              <w:pStyle w:val="Footer"/>
              <w:tabs>
                <w:tab w:val="clear" w:pos="9026"/>
                <w:tab w:val="right" w:pos="10206"/>
              </w:tabs>
              <w:rPr>
                <w:color w:val="7F7F7F" w:themeColor="text1" w:themeTint="80"/>
              </w:rPr>
            </w:pPr>
            <w:r w:rsidRPr="00913AAC">
              <w:rPr>
                <w:i/>
              </w:rPr>
              <w:t>Family Law (Superannuation) Regulations 2024:</w:t>
            </w:r>
            <w:r w:rsidRPr="00913AAC">
              <w:t xml:space="preserve"> Consultation paper</w:t>
            </w:r>
            <w:r>
              <w:rPr>
                <w:color w:val="7F7F7F" w:themeColor="text1" w:themeTint="80"/>
              </w:rPr>
              <w:tab/>
              <w:t xml:space="preserve"> </w:t>
            </w:r>
            <w:r w:rsidRPr="00913AAC">
              <w:t xml:space="preserve">Page </w:t>
            </w:r>
            <w:r w:rsidRPr="00913AAC">
              <w:rPr>
                <w:b/>
                <w:bCs/>
                <w:sz w:val="24"/>
                <w:szCs w:val="24"/>
              </w:rPr>
              <w:fldChar w:fldCharType="begin"/>
            </w:r>
            <w:r w:rsidRPr="00913AAC">
              <w:rPr>
                <w:b/>
                <w:bCs/>
              </w:rPr>
              <w:instrText xml:space="preserve"> PAGE </w:instrText>
            </w:r>
            <w:r w:rsidRPr="00913AAC">
              <w:rPr>
                <w:b/>
                <w:bCs/>
                <w:sz w:val="24"/>
                <w:szCs w:val="24"/>
              </w:rPr>
              <w:fldChar w:fldCharType="separate"/>
            </w:r>
            <w:r w:rsidRPr="00913AAC">
              <w:rPr>
                <w:b/>
                <w:bCs/>
                <w:noProof/>
              </w:rPr>
              <w:t>2</w:t>
            </w:r>
            <w:r w:rsidRPr="00913AAC">
              <w:rPr>
                <w:b/>
                <w:bCs/>
                <w:sz w:val="24"/>
                <w:szCs w:val="24"/>
              </w:rPr>
              <w:fldChar w:fldCharType="end"/>
            </w:r>
            <w:r w:rsidRPr="00913AAC">
              <w:t xml:space="preserve"> of </w:t>
            </w:r>
            <w:r w:rsidRPr="00913AAC">
              <w:rPr>
                <w:b/>
                <w:bCs/>
                <w:sz w:val="24"/>
                <w:szCs w:val="24"/>
              </w:rPr>
              <w:fldChar w:fldCharType="begin"/>
            </w:r>
            <w:r w:rsidRPr="00913AAC">
              <w:rPr>
                <w:b/>
                <w:bCs/>
              </w:rPr>
              <w:instrText xml:space="preserve"> NUMPAGES  </w:instrText>
            </w:r>
            <w:r w:rsidRPr="00913AAC">
              <w:rPr>
                <w:b/>
                <w:bCs/>
                <w:sz w:val="24"/>
                <w:szCs w:val="24"/>
              </w:rPr>
              <w:fldChar w:fldCharType="separate"/>
            </w:r>
            <w:r w:rsidRPr="00913AAC">
              <w:rPr>
                <w:b/>
                <w:bCs/>
                <w:noProof/>
              </w:rPr>
              <w:t>2</w:t>
            </w:r>
            <w:r w:rsidRPr="00913AAC">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67DC" w14:textId="77777777" w:rsidR="00EC3459" w:rsidRDefault="00EC3459" w:rsidP="006150CB">
      <w:r>
        <w:separator/>
      </w:r>
    </w:p>
  </w:footnote>
  <w:footnote w:type="continuationSeparator" w:id="0">
    <w:p w14:paraId="02543E47" w14:textId="77777777" w:rsidR="00EC3459" w:rsidRDefault="00EC3459"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75257"/>
    <w:multiLevelType w:val="hybridMultilevel"/>
    <w:tmpl w:val="4E80DBDA"/>
    <w:lvl w:ilvl="0" w:tplc="E0A6CCB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14557"/>
    <w:multiLevelType w:val="hybridMultilevel"/>
    <w:tmpl w:val="AA62E556"/>
    <w:lvl w:ilvl="0" w:tplc="4D52A0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5B429A"/>
    <w:multiLevelType w:val="hybridMultilevel"/>
    <w:tmpl w:val="932C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2721E"/>
    <w:multiLevelType w:val="multilevel"/>
    <w:tmpl w:val="EFDC8A06"/>
    <w:numStyleLink w:val="Bullet2"/>
  </w:abstractNum>
  <w:abstractNum w:abstractNumId="6" w15:restartNumberingAfterBreak="0">
    <w:nsid w:val="0ABB6698"/>
    <w:multiLevelType w:val="hybridMultilevel"/>
    <w:tmpl w:val="FE5CDB00"/>
    <w:lvl w:ilvl="0" w:tplc="300495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65310"/>
    <w:multiLevelType w:val="hybridMultilevel"/>
    <w:tmpl w:val="02EA3706"/>
    <w:lvl w:ilvl="0" w:tplc="0434AE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DA1D6F"/>
    <w:multiLevelType w:val="multilevel"/>
    <w:tmpl w:val="06BC94A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A70B21"/>
    <w:multiLevelType w:val="hybridMultilevel"/>
    <w:tmpl w:val="64B6F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DD50CDE"/>
    <w:multiLevelType w:val="hybridMultilevel"/>
    <w:tmpl w:val="960024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3F4DAF"/>
    <w:multiLevelType w:val="hybridMultilevel"/>
    <w:tmpl w:val="FBF8E76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62B41E5"/>
    <w:multiLevelType w:val="hybridMultilevel"/>
    <w:tmpl w:val="66146E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91D5C87"/>
    <w:multiLevelType w:val="hybridMultilevel"/>
    <w:tmpl w:val="F5EAD78A"/>
    <w:lvl w:ilvl="0" w:tplc="77DEDA5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CF57CB"/>
    <w:multiLevelType w:val="hybridMultilevel"/>
    <w:tmpl w:val="BAB09F08"/>
    <w:lvl w:ilvl="0" w:tplc="CEA05F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B67862"/>
    <w:multiLevelType w:val="hybridMultilevel"/>
    <w:tmpl w:val="47B42E48"/>
    <w:lvl w:ilvl="0" w:tplc="0C09000F">
      <w:start w:val="1"/>
      <w:numFmt w:val="decimal"/>
      <w:lvlText w:val="%1."/>
      <w:lvlJc w:val="left"/>
      <w:pPr>
        <w:ind w:left="720" w:hanging="360"/>
      </w:pPr>
      <w:rPr>
        <w:rFonts w:hint="default"/>
        <w:color w:val="5C5C5C"/>
      </w:rPr>
    </w:lvl>
    <w:lvl w:ilvl="1" w:tplc="7610D95C">
      <w:start w:val="1"/>
      <w:numFmt w:val="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6B218C"/>
    <w:multiLevelType w:val="hybridMultilevel"/>
    <w:tmpl w:val="9118D1BA"/>
    <w:lvl w:ilvl="0" w:tplc="4D52A05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6A2B98"/>
    <w:multiLevelType w:val="hybridMultilevel"/>
    <w:tmpl w:val="15108D44"/>
    <w:lvl w:ilvl="0" w:tplc="DB8E6F06">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887321"/>
    <w:multiLevelType w:val="hybridMultilevel"/>
    <w:tmpl w:val="94B0A1D4"/>
    <w:lvl w:ilvl="0" w:tplc="D234B8A2">
      <w:start w:val="5"/>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ED3EBE"/>
    <w:multiLevelType w:val="hybridMultilevel"/>
    <w:tmpl w:val="A0068D72"/>
    <w:lvl w:ilvl="0" w:tplc="3E14DC5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5FD070F2"/>
    <w:multiLevelType w:val="hybridMultilevel"/>
    <w:tmpl w:val="8FA4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06302"/>
    <w:multiLevelType w:val="hybridMultilevel"/>
    <w:tmpl w:val="2D986470"/>
    <w:lvl w:ilvl="0" w:tplc="0434AE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A15FB9"/>
    <w:multiLevelType w:val="hybridMultilevel"/>
    <w:tmpl w:val="E07222E8"/>
    <w:lvl w:ilvl="0" w:tplc="94A05E42">
      <w:start w:val="1"/>
      <w:numFmt w:val="bullet"/>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8255F9"/>
    <w:multiLevelType w:val="hybridMultilevel"/>
    <w:tmpl w:val="C42A29C0"/>
    <w:lvl w:ilvl="0" w:tplc="065C74C2">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3F7EF1"/>
    <w:multiLevelType w:val="hybridMultilevel"/>
    <w:tmpl w:val="55A8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A190F"/>
    <w:multiLevelType w:val="hybridMultilevel"/>
    <w:tmpl w:val="FBF8E76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CB6466F"/>
    <w:multiLevelType w:val="hybridMultilevel"/>
    <w:tmpl w:val="AD622E5C"/>
    <w:lvl w:ilvl="0" w:tplc="CF0A2B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845B2"/>
    <w:multiLevelType w:val="hybridMultilevel"/>
    <w:tmpl w:val="676E5E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675496"/>
    <w:multiLevelType w:val="hybridMultilevel"/>
    <w:tmpl w:val="FBF8E76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59068D3"/>
    <w:multiLevelType w:val="hybridMultilevel"/>
    <w:tmpl w:val="82825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112D9"/>
    <w:multiLevelType w:val="hybridMultilevel"/>
    <w:tmpl w:val="A7446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2E4872"/>
    <w:multiLevelType w:val="hybridMultilevel"/>
    <w:tmpl w:val="5492C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8"/>
  </w:num>
  <w:num w:numId="3">
    <w:abstractNumId w:val="5"/>
  </w:num>
  <w:num w:numId="4">
    <w:abstractNumId w:val="0"/>
  </w:num>
  <w:num w:numId="5">
    <w:abstractNumId w:val="1"/>
  </w:num>
  <w:num w:numId="6">
    <w:abstractNumId w:val="31"/>
  </w:num>
  <w:num w:numId="7">
    <w:abstractNumId w:val="24"/>
  </w:num>
  <w:num w:numId="8">
    <w:abstractNumId w:val="3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num>
  <w:num w:numId="12">
    <w:abstractNumId w:val="23"/>
  </w:num>
  <w:num w:numId="13">
    <w:abstractNumId w:val="23"/>
  </w:num>
  <w:num w:numId="14">
    <w:abstractNumId w:val="23"/>
  </w:num>
  <w:num w:numId="15">
    <w:abstractNumId w:val="20"/>
  </w:num>
  <w:num w:numId="16">
    <w:abstractNumId w:val="16"/>
  </w:num>
  <w:num w:numId="17">
    <w:abstractNumId w:val="2"/>
  </w:num>
  <w:num w:numId="18">
    <w:abstractNumId w:val="30"/>
  </w:num>
  <w:num w:numId="19">
    <w:abstractNumId w:val="23"/>
  </w:num>
  <w:num w:numId="20">
    <w:abstractNumId w:val="23"/>
  </w:num>
  <w:num w:numId="21">
    <w:abstractNumId w:val="23"/>
  </w:num>
  <w:num w:numId="22">
    <w:abstractNumId w:val="23"/>
  </w:num>
  <w:num w:numId="23">
    <w:abstractNumId w:val="28"/>
  </w:num>
  <w:num w:numId="24">
    <w:abstractNumId w:val="14"/>
  </w:num>
  <w:num w:numId="25">
    <w:abstractNumId w:val="19"/>
  </w:num>
  <w:num w:numId="26">
    <w:abstractNumId w:val="23"/>
  </w:num>
  <w:num w:numId="27">
    <w:abstractNumId w:val="27"/>
  </w:num>
  <w:num w:numId="28">
    <w:abstractNumId w:val="17"/>
  </w:num>
  <w:num w:numId="29">
    <w:abstractNumId w:val="3"/>
  </w:num>
  <w:num w:numId="3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3"/>
  </w:num>
  <w:num w:numId="34">
    <w:abstractNumId w:val="6"/>
  </w:num>
  <w:num w:numId="35">
    <w:abstractNumId w:val="11"/>
  </w:num>
  <w:num w:numId="36">
    <w:abstractNumId w:val="26"/>
  </w:num>
  <w:num w:numId="37">
    <w:abstractNumId w:val="12"/>
  </w:num>
  <w:num w:numId="38">
    <w:abstractNumId w:val="29"/>
  </w:num>
  <w:num w:numId="39">
    <w:abstractNumId w:val="6"/>
  </w:num>
  <w:num w:numId="40">
    <w:abstractNumId w:val="15"/>
  </w:num>
  <w:num w:numId="41">
    <w:abstractNumId w:val="4"/>
  </w:num>
  <w:num w:numId="42">
    <w:abstractNumId w:val="22"/>
  </w:num>
  <w:num w:numId="43">
    <w:abstractNumId w:val="7"/>
  </w:num>
  <w:num w:numId="44">
    <w:abstractNumId w:val="25"/>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8"/>
    <w:rsid w:val="00005784"/>
    <w:rsid w:val="00006A78"/>
    <w:rsid w:val="00012E30"/>
    <w:rsid w:val="00016E34"/>
    <w:rsid w:val="00017D27"/>
    <w:rsid w:val="00021832"/>
    <w:rsid w:val="00021AA0"/>
    <w:rsid w:val="00026B81"/>
    <w:rsid w:val="00030296"/>
    <w:rsid w:val="00032618"/>
    <w:rsid w:val="00034AA5"/>
    <w:rsid w:val="000414D4"/>
    <w:rsid w:val="0004250A"/>
    <w:rsid w:val="00045018"/>
    <w:rsid w:val="00055422"/>
    <w:rsid w:val="00056E45"/>
    <w:rsid w:val="00061642"/>
    <w:rsid w:val="00061EED"/>
    <w:rsid w:val="0007150C"/>
    <w:rsid w:val="000717B2"/>
    <w:rsid w:val="000779A8"/>
    <w:rsid w:val="000779BE"/>
    <w:rsid w:val="00082B62"/>
    <w:rsid w:val="00082C10"/>
    <w:rsid w:val="00092960"/>
    <w:rsid w:val="00095981"/>
    <w:rsid w:val="00096B7A"/>
    <w:rsid w:val="000A283B"/>
    <w:rsid w:val="000B54AE"/>
    <w:rsid w:val="000B71D8"/>
    <w:rsid w:val="000B720E"/>
    <w:rsid w:val="000C1879"/>
    <w:rsid w:val="000C76DD"/>
    <w:rsid w:val="000C7BDE"/>
    <w:rsid w:val="000D0282"/>
    <w:rsid w:val="000D0FF3"/>
    <w:rsid w:val="000D3A41"/>
    <w:rsid w:val="000D49CE"/>
    <w:rsid w:val="000D5FE4"/>
    <w:rsid w:val="000E0D80"/>
    <w:rsid w:val="000E59CA"/>
    <w:rsid w:val="000E788B"/>
    <w:rsid w:val="000E7989"/>
    <w:rsid w:val="000F0C1C"/>
    <w:rsid w:val="000F1204"/>
    <w:rsid w:val="000F3D72"/>
    <w:rsid w:val="000F6CFB"/>
    <w:rsid w:val="0010342E"/>
    <w:rsid w:val="001054DA"/>
    <w:rsid w:val="0011430B"/>
    <w:rsid w:val="001237DD"/>
    <w:rsid w:val="00125498"/>
    <w:rsid w:val="00125BFC"/>
    <w:rsid w:val="00127F66"/>
    <w:rsid w:val="0013149F"/>
    <w:rsid w:val="00131849"/>
    <w:rsid w:val="00131FF3"/>
    <w:rsid w:val="00133B04"/>
    <w:rsid w:val="001413A0"/>
    <w:rsid w:val="00141E46"/>
    <w:rsid w:val="00144C44"/>
    <w:rsid w:val="001455C0"/>
    <w:rsid w:val="00146495"/>
    <w:rsid w:val="00150B84"/>
    <w:rsid w:val="00151188"/>
    <w:rsid w:val="00151A0A"/>
    <w:rsid w:val="001539EC"/>
    <w:rsid w:val="001556EC"/>
    <w:rsid w:val="00160270"/>
    <w:rsid w:val="001605BC"/>
    <w:rsid w:val="00160997"/>
    <w:rsid w:val="00165846"/>
    <w:rsid w:val="00176E75"/>
    <w:rsid w:val="001805FD"/>
    <w:rsid w:val="00181595"/>
    <w:rsid w:val="001842FB"/>
    <w:rsid w:val="00187872"/>
    <w:rsid w:val="001901B2"/>
    <w:rsid w:val="0019031E"/>
    <w:rsid w:val="00192F33"/>
    <w:rsid w:val="00193517"/>
    <w:rsid w:val="00196281"/>
    <w:rsid w:val="001A0756"/>
    <w:rsid w:val="001A4CEF"/>
    <w:rsid w:val="001A7734"/>
    <w:rsid w:val="001A7927"/>
    <w:rsid w:val="001B2188"/>
    <w:rsid w:val="001B721F"/>
    <w:rsid w:val="001C13F3"/>
    <w:rsid w:val="001C19CF"/>
    <w:rsid w:val="001C5718"/>
    <w:rsid w:val="001C5E24"/>
    <w:rsid w:val="001D0218"/>
    <w:rsid w:val="001D5F89"/>
    <w:rsid w:val="001E05F3"/>
    <w:rsid w:val="001F1BD6"/>
    <w:rsid w:val="001F4CEB"/>
    <w:rsid w:val="001F6573"/>
    <w:rsid w:val="002009BC"/>
    <w:rsid w:val="0020227B"/>
    <w:rsid w:val="00206391"/>
    <w:rsid w:val="00206B7D"/>
    <w:rsid w:val="00211C7A"/>
    <w:rsid w:val="00214EE2"/>
    <w:rsid w:val="00214FF5"/>
    <w:rsid w:val="002244E0"/>
    <w:rsid w:val="00226352"/>
    <w:rsid w:val="00227717"/>
    <w:rsid w:val="00230B26"/>
    <w:rsid w:val="00232F92"/>
    <w:rsid w:val="00235304"/>
    <w:rsid w:val="0023705C"/>
    <w:rsid w:val="00240660"/>
    <w:rsid w:val="002429A0"/>
    <w:rsid w:val="00250EBD"/>
    <w:rsid w:val="0025197B"/>
    <w:rsid w:val="00253442"/>
    <w:rsid w:val="00253CC6"/>
    <w:rsid w:val="002573AF"/>
    <w:rsid w:val="00262D25"/>
    <w:rsid w:val="00263635"/>
    <w:rsid w:val="002660B8"/>
    <w:rsid w:val="0027676A"/>
    <w:rsid w:val="00277A30"/>
    <w:rsid w:val="00281786"/>
    <w:rsid w:val="002826AB"/>
    <w:rsid w:val="00285421"/>
    <w:rsid w:val="0028677D"/>
    <w:rsid w:val="00293EDD"/>
    <w:rsid w:val="002A0994"/>
    <w:rsid w:val="002A4A78"/>
    <w:rsid w:val="002B00F6"/>
    <w:rsid w:val="002B0206"/>
    <w:rsid w:val="002C0480"/>
    <w:rsid w:val="002C36D2"/>
    <w:rsid w:val="002C3AFF"/>
    <w:rsid w:val="002C7AB7"/>
    <w:rsid w:val="002D6A03"/>
    <w:rsid w:val="002E0368"/>
    <w:rsid w:val="002E0546"/>
    <w:rsid w:val="002E2C94"/>
    <w:rsid w:val="002E6AC3"/>
    <w:rsid w:val="002F12A7"/>
    <w:rsid w:val="002F29DB"/>
    <w:rsid w:val="002F430C"/>
    <w:rsid w:val="00300AB4"/>
    <w:rsid w:val="00300B04"/>
    <w:rsid w:val="0030306A"/>
    <w:rsid w:val="00304A26"/>
    <w:rsid w:val="0030534D"/>
    <w:rsid w:val="003064ED"/>
    <w:rsid w:val="003104FB"/>
    <w:rsid w:val="00310F1B"/>
    <w:rsid w:val="00311513"/>
    <w:rsid w:val="003122EE"/>
    <w:rsid w:val="003169B2"/>
    <w:rsid w:val="00317BB6"/>
    <w:rsid w:val="00317DBC"/>
    <w:rsid w:val="00320228"/>
    <w:rsid w:val="0032288A"/>
    <w:rsid w:val="00323D12"/>
    <w:rsid w:val="0032403B"/>
    <w:rsid w:val="003359D1"/>
    <w:rsid w:val="003359DE"/>
    <w:rsid w:val="00340702"/>
    <w:rsid w:val="00340AFC"/>
    <w:rsid w:val="00343FCD"/>
    <w:rsid w:val="0034541F"/>
    <w:rsid w:val="00346DF8"/>
    <w:rsid w:val="00347008"/>
    <w:rsid w:val="00357414"/>
    <w:rsid w:val="00357E9B"/>
    <w:rsid w:val="00360832"/>
    <w:rsid w:val="00362A38"/>
    <w:rsid w:val="00363CFF"/>
    <w:rsid w:val="00366205"/>
    <w:rsid w:val="00371E1B"/>
    <w:rsid w:val="00372C25"/>
    <w:rsid w:val="00375241"/>
    <w:rsid w:val="00376E1E"/>
    <w:rsid w:val="0037720A"/>
    <w:rsid w:val="003775F2"/>
    <w:rsid w:val="003842E3"/>
    <w:rsid w:val="003843AA"/>
    <w:rsid w:val="003862D9"/>
    <w:rsid w:val="00390C77"/>
    <w:rsid w:val="00392602"/>
    <w:rsid w:val="00394664"/>
    <w:rsid w:val="00394DB4"/>
    <w:rsid w:val="0039543D"/>
    <w:rsid w:val="00395521"/>
    <w:rsid w:val="00395615"/>
    <w:rsid w:val="00396978"/>
    <w:rsid w:val="003A5735"/>
    <w:rsid w:val="003B05DC"/>
    <w:rsid w:val="003B28B8"/>
    <w:rsid w:val="003B786E"/>
    <w:rsid w:val="003C15F5"/>
    <w:rsid w:val="003C5853"/>
    <w:rsid w:val="003C7D09"/>
    <w:rsid w:val="003D17ED"/>
    <w:rsid w:val="003D2A15"/>
    <w:rsid w:val="003D5786"/>
    <w:rsid w:val="003E09D3"/>
    <w:rsid w:val="003E611C"/>
    <w:rsid w:val="003E7356"/>
    <w:rsid w:val="003F36AC"/>
    <w:rsid w:val="003F486A"/>
    <w:rsid w:val="003F5615"/>
    <w:rsid w:val="003F6219"/>
    <w:rsid w:val="003F776F"/>
    <w:rsid w:val="0040192E"/>
    <w:rsid w:val="00406594"/>
    <w:rsid w:val="0041195E"/>
    <w:rsid w:val="0041315C"/>
    <w:rsid w:val="0041413F"/>
    <w:rsid w:val="004158C1"/>
    <w:rsid w:val="00417635"/>
    <w:rsid w:val="00424CBF"/>
    <w:rsid w:val="0042594F"/>
    <w:rsid w:val="00426D97"/>
    <w:rsid w:val="00444C81"/>
    <w:rsid w:val="004450A3"/>
    <w:rsid w:val="00453257"/>
    <w:rsid w:val="004543F2"/>
    <w:rsid w:val="004658D3"/>
    <w:rsid w:val="00471A6B"/>
    <w:rsid w:val="00471E7A"/>
    <w:rsid w:val="00483F19"/>
    <w:rsid w:val="00485A87"/>
    <w:rsid w:val="00496758"/>
    <w:rsid w:val="004A0E94"/>
    <w:rsid w:val="004A465E"/>
    <w:rsid w:val="004B7742"/>
    <w:rsid w:val="004B7EBF"/>
    <w:rsid w:val="004C197F"/>
    <w:rsid w:val="004C392E"/>
    <w:rsid w:val="004D2494"/>
    <w:rsid w:val="004D37D8"/>
    <w:rsid w:val="004E2C81"/>
    <w:rsid w:val="004E77FE"/>
    <w:rsid w:val="004F2F76"/>
    <w:rsid w:val="004F346E"/>
    <w:rsid w:val="004F5A26"/>
    <w:rsid w:val="00505415"/>
    <w:rsid w:val="005159E1"/>
    <w:rsid w:val="00517BDF"/>
    <w:rsid w:val="005233AB"/>
    <w:rsid w:val="005234E5"/>
    <w:rsid w:val="005239CF"/>
    <w:rsid w:val="00524531"/>
    <w:rsid w:val="00536347"/>
    <w:rsid w:val="0053672F"/>
    <w:rsid w:val="0053740F"/>
    <w:rsid w:val="0054550D"/>
    <w:rsid w:val="00545914"/>
    <w:rsid w:val="005504B5"/>
    <w:rsid w:val="00551FF3"/>
    <w:rsid w:val="005635E3"/>
    <w:rsid w:val="00564E6F"/>
    <w:rsid w:val="00570382"/>
    <w:rsid w:val="00570711"/>
    <w:rsid w:val="0057105F"/>
    <w:rsid w:val="0057530B"/>
    <w:rsid w:val="005808F1"/>
    <w:rsid w:val="00581828"/>
    <w:rsid w:val="00586C16"/>
    <w:rsid w:val="005913BB"/>
    <w:rsid w:val="00591A25"/>
    <w:rsid w:val="0059537C"/>
    <w:rsid w:val="00597D3E"/>
    <w:rsid w:val="005A3498"/>
    <w:rsid w:val="005A4B2F"/>
    <w:rsid w:val="005A70DA"/>
    <w:rsid w:val="005A7256"/>
    <w:rsid w:val="005B05BA"/>
    <w:rsid w:val="005B2156"/>
    <w:rsid w:val="005B3456"/>
    <w:rsid w:val="005C125C"/>
    <w:rsid w:val="005C1BB3"/>
    <w:rsid w:val="005C2EE6"/>
    <w:rsid w:val="005C3781"/>
    <w:rsid w:val="005C49C8"/>
    <w:rsid w:val="005C5D9D"/>
    <w:rsid w:val="005D144E"/>
    <w:rsid w:val="005D17FE"/>
    <w:rsid w:val="005D3FEF"/>
    <w:rsid w:val="005E0E21"/>
    <w:rsid w:val="005E517E"/>
    <w:rsid w:val="005E624E"/>
    <w:rsid w:val="005F72DD"/>
    <w:rsid w:val="005F7F33"/>
    <w:rsid w:val="006033B6"/>
    <w:rsid w:val="00604EED"/>
    <w:rsid w:val="006134DC"/>
    <w:rsid w:val="006150CB"/>
    <w:rsid w:val="006204E1"/>
    <w:rsid w:val="0062483E"/>
    <w:rsid w:val="00625BBB"/>
    <w:rsid w:val="00625C2E"/>
    <w:rsid w:val="00626FFD"/>
    <w:rsid w:val="00627193"/>
    <w:rsid w:val="00641B1F"/>
    <w:rsid w:val="00650B33"/>
    <w:rsid w:val="00651FD9"/>
    <w:rsid w:val="006529D6"/>
    <w:rsid w:val="00660511"/>
    <w:rsid w:val="006607FA"/>
    <w:rsid w:val="0066394A"/>
    <w:rsid w:val="00676441"/>
    <w:rsid w:val="00684710"/>
    <w:rsid w:val="006900D5"/>
    <w:rsid w:val="006924F2"/>
    <w:rsid w:val="006A09FB"/>
    <w:rsid w:val="006A5728"/>
    <w:rsid w:val="006B133C"/>
    <w:rsid w:val="006B41D1"/>
    <w:rsid w:val="006C12DD"/>
    <w:rsid w:val="006C38BD"/>
    <w:rsid w:val="006C4FCA"/>
    <w:rsid w:val="006C7829"/>
    <w:rsid w:val="006D36A1"/>
    <w:rsid w:val="006D7995"/>
    <w:rsid w:val="006E2EB8"/>
    <w:rsid w:val="006E58AF"/>
    <w:rsid w:val="006E6618"/>
    <w:rsid w:val="006F03AD"/>
    <w:rsid w:val="006F380B"/>
    <w:rsid w:val="006F67E1"/>
    <w:rsid w:val="007002A4"/>
    <w:rsid w:val="0070497E"/>
    <w:rsid w:val="00704EEC"/>
    <w:rsid w:val="00711D12"/>
    <w:rsid w:val="00715544"/>
    <w:rsid w:val="007158F8"/>
    <w:rsid w:val="0071665B"/>
    <w:rsid w:val="0072294E"/>
    <w:rsid w:val="00722CEF"/>
    <w:rsid w:val="00723C67"/>
    <w:rsid w:val="00730377"/>
    <w:rsid w:val="007325EC"/>
    <w:rsid w:val="00734519"/>
    <w:rsid w:val="0074252E"/>
    <w:rsid w:val="00745DAE"/>
    <w:rsid w:val="00746535"/>
    <w:rsid w:val="00750A25"/>
    <w:rsid w:val="00752C3E"/>
    <w:rsid w:val="00757146"/>
    <w:rsid w:val="00757839"/>
    <w:rsid w:val="007651B6"/>
    <w:rsid w:val="00765643"/>
    <w:rsid w:val="0077498A"/>
    <w:rsid w:val="007800AC"/>
    <w:rsid w:val="00780BFE"/>
    <w:rsid w:val="00782CB6"/>
    <w:rsid w:val="00787423"/>
    <w:rsid w:val="0078763D"/>
    <w:rsid w:val="007A3058"/>
    <w:rsid w:val="007A6472"/>
    <w:rsid w:val="007B0031"/>
    <w:rsid w:val="007B0703"/>
    <w:rsid w:val="007B2CE6"/>
    <w:rsid w:val="007B3E55"/>
    <w:rsid w:val="007B42AD"/>
    <w:rsid w:val="007C1892"/>
    <w:rsid w:val="007C29F0"/>
    <w:rsid w:val="007C7B87"/>
    <w:rsid w:val="007D7245"/>
    <w:rsid w:val="007E4D18"/>
    <w:rsid w:val="007E63A3"/>
    <w:rsid w:val="007F4EAF"/>
    <w:rsid w:val="00803BD8"/>
    <w:rsid w:val="00804EB2"/>
    <w:rsid w:val="008125DD"/>
    <w:rsid w:val="008241A7"/>
    <w:rsid w:val="00827C7C"/>
    <w:rsid w:val="00830FD6"/>
    <w:rsid w:val="008332FC"/>
    <w:rsid w:val="008343FA"/>
    <w:rsid w:val="00834646"/>
    <w:rsid w:val="008408FE"/>
    <w:rsid w:val="008416C2"/>
    <w:rsid w:val="0084306E"/>
    <w:rsid w:val="00845846"/>
    <w:rsid w:val="00847B7C"/>
    <w:rsid w:val="0085513A"/>
    <w:rsid w:val="00856826"/>
    <w:rsid w:val="00861B1D"/>
    <w:rsid w:val="008636E2"/>
    <w:rsid w:val="008658C8"/>
    <w:rsid w:val="00871429"/>
    <w:rsid w:val="008731EF"/>
    <w:rsid w:val="00881A59"/>
    <w:rsid w:val="00882AE2"/>
    <w:rsid w:val="008924C7"/>
    <w:rsid w:val="008934DA"/>
    <w:rsid w:val="008A5BA3"/>
    <w:rsid w:val="008A7099"/>
    <w:rsid w:val="008B1B6B"/>
    <w:rsid w:val="008B3243"/>
    <w:rsid w:val="008B35C5"/>
    <w:rsid w:val="008B4AED"/>
    <w:rsid w:val="008B4D09"/>
    <w:rsid w:val="008B5095"/>
    <w:rsid w:val="008C098E"/>
    <w:rsid w:val="008C2AB7"/>
    <w:rsid w:val="008C4174"/>
    <w:rsid w:val="008D0939"/>
    <w:rsid w:val="008D2EF7"/>
    <w:rsid w:val="008E1EC0"/>
    <w:rsid w:val="008E2273"/>
    <w:rsid w:val="008E787A"/>
    <w:rsid w:val="008F0ED2"/>
    <w:rsid w:val="008F407A"/>
    <w:rsid w:val="009046BB"/>
    <w:rsid w:val="00907FAE"/>
    <w:rsid w:val="00912AF1"/>
    <w:rsid w:val="00913AAC"/>
    <w:rsid w:val="00914171"/>
    <w:rsid w:val="0091565C"/>
    <w:rsid w:val="00921BC1"/>
    <w:rsid w:val="00922ED9"/>
    <w:rsid w:val="00923904"/>
    <w:rsid w:val="009252CE"/>
    <w:rsid w:val="0093003F"/>
    <w:rsid w:val="00944F90"/>
    <w:rsid w:val="00945072"/>
    <w:rsid w:val="009464E6"/>
    <w:rsid w:val="00947C35"/>
    <w:rsid w:val="00950B2E"/>
    <w:rsid w:val="00951B89"/>
    <w:rsid w:val="00952D55"/>
    <w:rsid w:val="00953132"/>
    <w:rsid w:val="009555DE"/>
    <w:rsid w:val="009564C2"/>
    <w:rsid w:val="009564EF"/>
    <w:rsid w:val="009573C4"/>
    <w:rsid w:val="009619DE"/>
    <w:rsid w:val="00962A8D"/>
    <w:rsid w:val="00965641"/>
    <w:rsid w:val="00965E0D"/>
    <w:rsid w:val="009665DF"/>
    <w:rsid w:val="00966FF7"/>
    <w:rsid w:val="009710ED"/>
    <w:rsid w:val="00976B8B"/>
    <w:rsid w:val="00977DCC"/>
    <w:rsid w:val="00982030"/>
    <w:rsid w:val="009832A3"/>
    <w:rsid w:val="00983797"/>
    <w:rsid w:val="0098671E"/>
    <w:rsid w:val="0099015B"/>
    <w:rsid w:val="009903F9"/>
    <w:rsid w:val="00992B36"/>
    <w:rsid w:val="00997040"/>
    <w:rsid w:val="00997AB8"/>
    <w:rsid w:val="009A1E53"/>
    <w:rsid w:val="009A20AA"/>
    <w:rsid w:val="009A2156"/>
    <w:rsid w:val="009B1088"/>
    <w:rsid w:val="009B5BC0"/>
    <w:rsid w:val="009B6906"/>
    <w:rsid w:val="009D14FF"/>
    <w:rsid w:val="009D15C1"/>
    <w:rsid w:val="009D63BA"/>
    <w:rsid w:val="009D6523"/>
    <w:rsid w:val="009D66CA"/>
    <w:rsid w:val="009D71F2"/>
    <w:rsid w:val="009E4181"/>
    <w:rsid w:val="009E6925"/>
    <w:rsid w:val="009E70E1"/>
    <w:rsid w:val="009F4007"/>
    <w:rsid w:val="009F5FAF"/>
    <w:rsid w:val="00A01B81"/>
    <w:rsid w:val="00A0226E"/>
    <w:rsid w:val="00A07DB2"/>
    <w:rsid w:val="00A10769"/>
    <w:rsid w:val="00A13EC5"/>
    <w:rsid w:val="00A150B2"/>
    <w:rsid w:val="00A24F4F"/>
    <w:rsid w:val="00A302ED"/>
    <w:rsid w:val="00A41354"/>
    <w:rsid w:val="00A46B60"/>
    <w:rsid w:val="00A5050B"/>
    <w:rsid w:val="00A51B73"/>
    <w:rsid w:val="00A523F6"/>
    <w:rsid w:val="00A529C1"/>
    <w:rsid w:val="00A57D92"/>
    <w:rsid w:val="00A61C50"/>
    <w:rsid w:val="00A61FD0"/>
    <w:rsid w:val="00A66D19"/>
    <w:rsid w:val="00A746E6"/>
    <w:rsid w:val="00A74FDD"/>
    <w:rsid w:val="00A763EE"/>
    <w:rsid w:val="00A7667B"/>
    <w:rsid w:val="00A810CE"/>
    <w:rsid w:val="00A92226"/>
    <w:rsid w:val="00A926CC"/>
    <w:rsid w:val="00A92BCB"/>
    <w:rsid w:val="00AA5303"/>
    <w:rsid w:val="00AB2028"/>
    <w:rsid w:val="00AC141B"/>
    <w:rsid w:val="00AC1CAA"/>
    <w:rsid w:val="00AC476F"/>
    <w:rsid w:val="00AC5700"/>
    <w:rsid w:val="00AC742F"/>
    <w:rsid w:val="00AD0F18"/>
    <w:rsid w:val="00AD15BA"/>
    <w:rsid w:val="00AD2C4A"/>
    <w:rsid w:val="00AD4095"/>
    <w:rsid w:val="00AD6DD8"/>
    <w:rsid w:val="00AE00A1"/>
    <w:rsid w:val="00AE2034"/>
    <w:rsid w:val="00AF092A"/>
    <w:rsid w:val="00AF1D44"/>
    <w:rsid w:val="00AF1F14"/>
    <w:rsid w:val="00AF20FD"/>
    <w:rsid w:val="00AF6778"/>
    <w:rsid w:val="00B0286F"/>
    <w:rsid w:val="00B11628"/>
    <w:rsid w:val="00B124E2"/>
    <w:rsid w:val="00B17B6E"/>
    <w:rsid w:val="00B20416"/>
    <w:rsid w:val="00B339FE"/>
    <w:rsid w:val="00B40F09"/>
    <w:rsid w:val="00B47B76"/>
    <w:rsid w:val="00B47F3D"/>
    <w:rsid w:val="00B51C03"/>
    <w:rsid w:val="00B53171"/>
    <w:rsid w:val="00B539A1"/>
    <w:rsid w:val="00B5427F"/>
    <w:rsid w:val="00B61445"/>
    <w:rsid w:val="00B666A8"/>
    <w:rsid w:val="00B728F1"/>
    <w:rsid w:val="00B74535"/>
    <w:rsid w:val="00B803D2"/>
    <w:rsid w:val="00B811E1"/>
    <w:rsid w:val="00B81D24"/>
    <w:rsid w:val="00B92EE6"/>
    <w:rsid w:val="00B93303"/>
    <w:rsid w:val="00B96F8D"/>
    <w:rsid w:val="00B97BAE"/>
    <w:rsid w:val="00BA4750"/>
    <w:rsid w:val="00BB29FA"/>
    <w:rsid w:val="00BB40BF"/>
    <w:rsid w:val="00BB7659"/>
    <w:rsid w:val="00BC230A"/>
    <w:rsid w:val="00BC4B3F"/>
    <w:rsid w:val="00BD19FE"/>
    <w:rsid w:val="00BD2710"/>
    <w:rsid w:val="00BD4DAA"/>
    <w:rsid w:val="00BD4E62"/>
    <w:rsid w:val="00BE2734"/>
    <w:rsid w:val="00BF004D"/>
    <w:rsid w:val="00BF02FF"/>
    <w:rsid w:val="00BF3E4E"/>
    <w:rsid w:val="00BF4B59"/>
    <w:rsid w:val="00C01792"/>
    <w:rsid w:val="00C031AD"/>
    <w:rsid w:val="00C03373"/>
    <w:rsid w:val="00C03842"/>
    <w:rsid w:val="00C04EE2"/>
    <w:rsid w:val="00C05C3B"/>
    <w:rsid w:val="00C079E3"/>
    <w:rsid w:val="00C13108"/>
    <w:rsid w:val="00C14FF0"/>
    <w:rsid w:val="00C15D98"/>
    <w:rsid w:val="00C20C8D"/>
    <w:rsid w:val="00C228E6"/>
    <w:rsid w:val="00C2321A"/>
    <w:rsid w:val="00C263EA"/>
    <w:rsid w:val="00C279C1"/>
    <w:rsid w:val="00C34813"/>
    <w:rsid w:val="00C367B2"/>
    <w:rsid w:val="00C42FB4"/>
    <w:rsid w:val="00C43590"/>
    <w:rsid w:val="00C43B7C"/>
    <w:rsid w:val="00C443E7"/>
    <w:rsid w:val="00C46EFB"/>
    <w:rsid w:val="00C50EFE"/>
    <w:rsid w:val="00C51433"/>
    <w:rsid w:val="00C53518"/>
    <w:rsid w:val="00C53FEB"/>
    <w:rsid w:val="00C61F49"/>
    <w:rsid w:val="00C6212C"/>
    <w:rsid w:val="00C65766"/>
    <w:rsid w:val="00C6698E"/>
    <w:rsid w:val="00C71064"/>
    <w:rsid w:val="00C723AA"/>
    <w:rsid w:val="00C7325D"/>
    <w:rsid w:val="00C820C4"/>
    <w:rsid w:val="00C82B07"/>
    <w:rsid w:val="00C832FD"/>
    <w:rsid w:val="00C83C8E"/>
    <w:rsid w:val="00C843DF"/>
    <w:rsid w:val="00C9443A"/>
    <w:rsid w:val="00C950D3"/>
    <w:rsid w:val="00C955EC"/>
    <w:rsid w:val="00C95EA6"/>
    <w:rsid w:val="00C962B1"/>
    <w:rsid w:val="00C977F4"/>
    <w:rsid w:val="00CA0C24"/>
    <w:rsid w:val="00CA4A9D"/>
    <w:rsid w:val="00CA4BE2"/>
    <w:rsid w:val="00CA4EAF"/>
    <w:rsid w:val="00CA6E81"/>
    <w:rsid w:val="00CA7A26"/>
    <w:rsid w:val="00CB3385"/>
    <w:rsid w:val="00CC0DFA"/>
    <w:rsid w:val="00CC1D2F"/>
    <w:rsid w:val="00CC3885"/>
    <w:rsid w:val="00CC3C5C"/>
    <w:rsid w:val="00CC55A5"/>
    <w:rsid w:val="00CC5E95"/>
    <w:rsid w:val="00CC7889"/>
    <w:rsid w:val="00CD245E"/>
    <w:rsid w:val="00CD3B87"/>
    <w:rsid w:val="00CD5B95"/>
    <w:rsid w:val="00CE0142"/>
    <w:rsid w:val="00CE28DC"/>
    <w:rsid w:val="00CE2B69"/>
    <w:rsid w:val="00CE43FE"/>
    <w:rsid w:val="00CE5055"/>
    <w:rsid w:val="00CE7C3E"/>
    <w:rsid w:val="00CF0D02"/>
    <w:rsid w:val="00CF1818"/>
    <w:rsid w:val="00CF1C21"/>
    <w:rsid w:val="00CF3043"/>
    <w:rsid w:val="00D0056F"/>
    <w:rsid w:val="00D00910"/>
    <w:rsid w:val="00D00AF3"/>
    <w:rsid w:val="00D00CB1"/>
    <w:rsid w:val="00D02789"/>
    <w:rsid w:val="00D069A3"/>
    <w:rsid w:val="00D06E99"/>
    <w:rsid w:val="00D154C7"/>
    <w:rsid w:val="00D1613A"/>
    <w:rsid w:val="00D16724"/>
    <w:rsid w:val="00D2001A"/>
    <w:rsid w:val="00D2167F"/>
    <w:rsid w:val="00D218D6"/>
    <w:rsid w:val="00D22BD6"/>
    <w:rsid w:val="00D247C2"/>
    <w:rsid w:val="00D24A25"/>
    <w:rsid w:val="00D368E2"/>
    <w:rsid w:val="00D37A91"/>
    <w:rsid w:val="00D42AF8"/>
    <w:rsid w:val="00D45F89"/>
    <w:rsid w:val="00D469DF"/>
    <w:rsid w:val="00D47ABA"/>
    <w:rsid w:val="00D50FF3"/>
    <w:rsid w:val="00D56D3F"/>
    <w:rsid w:val="00D67BC9"/>
    <w:rsid w:val="00D70630"/>
    <w:rsid w:val="00D73495"/>
    <w:rsid w:val="00D815C7"/>
    <w:rsid w:val="00D82EAE"/>
    <w:rsid w:val="00D833F8"/>
    <w:rsid w:val="00D83919"/>
    <w:rsid w:val="00D85362"/>
    <w:rsid w:val="00D94034"/>
    <w:rsid w:val="00D97369"/>
    <w:rsid w:val="00D978A2"/>
    <w:rsid w:val="00DA4A76"/>
    <w:rsid w:val="00DB33B5"/>
    <w:rsid w:val="00DB76DE"/>
    <w:rsid w:val="00DC3F82"/>
    <w:rsid w:val="00DC52EE"/>
    <w:rsid w:val="00DC6175"/>
    <w:rsid w:val="00DC648E"/>
    <w:rsid w:val="00DC74AC"/>
    <w:rsid w:val="00DD08E6"/>
    <w:rsid w:val="00DD25E9"/>
    <w:rsid w:val="00DD5631"/>
    <w:rsid w:val="00DD6FDD"/>
    <w:rsid w:val="00DD7F5C"/>
    <w:rsid w:val="00DF0C78"/>
    <w:rsid w:val="00DF0F65"/>
    <w:rsid w:val="00DF1A49"/>
    <w:rsid w:val="00DF1B86"/>
    <w:rsid w:val="00DF4409"/>
    <w:rsid w:val="00E01561"/>
    <w:rsid w:val="00E1264F"/>
    <w:rsid w:val="00E12D8B"/>
    <w:rsid w:val="00E31B4A"/>
    <w:rsid w:val="00E327FA"/>
    <w:rsid w:val="00E33B38"/>
    <w:rsid w:val="00E34811"/>
    <w:rsid w:val="00E40C48"/>
    <w:rsid w:val="00E463DB"/>
    <w:rsid w:val="00E472A7"/>
    <w:rsid w:val="00E52F9A"/>
    <w:rsid w:val="00E563BF"/>
    <w:rsid w:val="00E563CC"/>
    <w:rsid w:val="00E57C90"/>
    <w:rsid w:val="00E631C8"/>
    <w:rsid w:val="00E64D47"/>
    <w:rsid w:val="00E65627"/>
    <w:rsid w:val="00E701B5"/>
    <w:rsid w:val="00E72B6B"/>
    <w:rsid w:val="00E7375F"/>
    <w:rsid w:val="00E75980"/>
    <w:rsid w:val="00E81810"/>
    <w:rsid w:val="00E81C6F"/>
    <w:rsid w:val="00E83502"/>
    <w:rsid w:val="00E8370F"/>
    <w:rsid w:val="00E83C96"/>
    <w:rsid w:val="00E979BA"/>
    <w:rsid w:val="00EA2052"/>
    <w:rsid w:val="00EA3777"/>
    <w:rsid w:val="00EB2B1B"/>
    <w:rsid w:val="00EB3102"/>
    <w:rsid w:val="00EB3936"/>
    <w:rsid w:val="00EC3459"/>
    <w:rsid w:val="00ED2524"/>
    <w:rsid w:val="00ED487F"/>
    <w:rsid w:val="00ED6477"/>
    <w:rsid w:val="00ED6E95"/>
    <w:rsid w:val="00EE3A5A"/>
    <w:rsid w:val="00EE64A8"/>
    <w:rsid w:val="00EF0ED1"/>
    <w:rsid w:val="00EF32B8"/>
    <w:rsid w:val="00EF3CEB"/>
    <w:rsid w:val="00F009F9"/>
    <w:rsid w:val="00F074BF"/>
    <w:rsid w:val="00F11A76"/>
    <w:rsid w:val="00F13157"/>
    <w:rsid w:val="00F14041"/>
    <w:rsid w:val="00F17D62"/>
    <w:rsid w:val="00F215E8"/>
    <w:rsid w:val="00F22420"/>
    <w:rsid w:val="00F26BDD"/>
    <w:rsid w:val="00F3239E"/>
    <w:rsid w:val="00F3458B"/>
    <w:rsid w:val="00F36E18"/>
    <w:rsid w:val="00F460F2"/>
    <w:rsid w:val="00F5005A"/>
    <w:rsid w:val="00F512F1"/>
    <w:rsid w:val="00F514C7"/>
    <w:rsid w:val="00F55E86"/>
    <w:rsid w:val="00F60F66"/>
    <w:rsid w:val="00F61F22"/>
    <w:rsid w:val="00F6478E"/>
    <w:rsid w:val="00F66BA9"/>
    <w:rsid w:val="00F70A20"/>
    <w:rsid w:val="00F721ED"/>
    <w:rsid w:val="00F722C7"/>
    <w:rsid w:val="00F72768"/>
    <w:rsid w:val="00F75670"/>
    <w:rsid w:val="00F76026"/>
    <w:rsid w:val="00F81D58"/>
    <w:rsid w:val="00F82719"/>
    <w:rsid w:val="00F8362F"/>
    <w:rsid w:val="00F838FD"/>
    <w:rsid w:val="00F95878"/>
    <w:rsid w:val="00FA7845"/>
    <w:rsid w:val="00FB499D"/>
    <w:rsid w:val="00FB6730"/>
    <w:rsid w:val="00FC2F1D"/>
    <w:rsid w:val="00FC324F"/>
    <w:rsid w:val="00FD2014"/>
    <w:rsid w:val="00FD54D8"/>
    <w:rsid w:val="00FD5A81"/>
    <w:rsid w:val="00FE05B7"/>
    <w:rsid w:val="00FE3B3E"/>
    <w:rsid w:val="00FE6BB1"/>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AFC"/>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E472A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ED6477"/>
    <w:pPr>
      <w:numPr>
        <w:ilvl w:val="0"/>
        <w:numId w:val="45"/>
      </w:numPr>
      <w:spacing w:after="240"/>
      <w:contextualSpacing w:val="0"/>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styleId="CommentReference">
    <w:name w:val="annotation reference"/>
    <w:basedOn w:val="DefaultParagraphFont"/>
    <w:uiPriority w:val="99"/>
    <w:semiHidden/>
    <w:unhideWhenUsed/>
    <w:rsid w:val="00B539A1"/>
    <w:rPr>
      <w:sz w:val="16"/>
      <w:szCs w:val="16"/>
    </w:rPr>
  </w:style>
  <w:style w:type="paragraph" w:styleId="CommentText">
    <w:name w:val="annotation text"/>
    <w:basedOn w:val="Normal"/>
    <w:link w:val="CommentTextChar"/>
    <w:uiPriority w:val="99"/>
    <w:unhideWhenUsed/>
    <w:rsid w:val="00B539A1"/>
    <w:pPr>
      <w:spacing w:after="160" w:line="240" w:lineRule="auto"/>
    </w:pPr>
    <w:rPr>
      <w:rFonts w:asciiTheme="minorHAnsi" w:eastAsiaTheme="minorHAnsi" w:hAnsiTheme="minorHAnsi" w:cstheme="minorBidi"/>
      <w:w w:val="100"/>
      <w:kern w:val="0"/>
      <w:sz w:val="20"/>
      <w:szCs w:val="20"/>
    </w:rPr>
  </w:style>
  <w:style w:type="character" w:customStyle="1" w:styleId="CommentTextChar">
    <w:name w:val="Comment Text Char"/>
    <w:basedOn w:val="DefaultParagraphFont"/>
    <w:link w:val="CommentText"/>
    <w:uiPriority w:val="99"/>
    <w:rsid w:val="00B539A1"/>
    <w:rPr>
      <w:rFonts w:asciiTheme="minorHAnsi" w:eastAsiaTheme="minorHAnsi" w:hAnsiTheme="minorHAnsi" w:cstheme="minorBidi"/>
      <w:lang w:eastAsia="en-US"/>
    </w:rPr>
  </w:style>
  <w:style w:type="character" w:customStyle="1" w:styleId="Heading5Char">
    <w:name w:val="Heading 5 Char"/>
    <w:basedOn w:val="DefaultParagraphFont"/>
    <w:link w:val="Heading5"/>
    <w:uiPriority w:val="9"/>
    <w:rsid w:val="00E472A7"/>
    <w:rPr>
      <w:rFonts w:asciiTheme="majorHAnsi" w:eastAsiaTheme="majorEastAsia" w:hAnsiTheme="majorHAnsi" w:cstheme="majorBidi"/>
      <w:color w:val="365F91" w:themeColor="accent1" w:themeShade="BF"/>
      <w:w w:val="105"/>
      <w:kern w:val="40"/>
      <w:sz w:val="22"/>
      <w:szCs w:val="22"/>
      <w:lang w:eastAsia="en-US"/>
    </w:rPr>
  </w:style>
  <w:style w:type="paragraph" w:styleId="CommentSubject">
    <w:name w:val="annotation subject"/>
    <w:basedOn w:val="CommentText"/>
    <w:next w:val="CommentText"/>
    <w:link w:val="CommentSubjectChar"/>
    <w:uiPriority w:val="99"/>
    <w:semiHidden/>
    <w:unhideWhenUsed/>
    <w:rsid w:val="00CE43FE"/>
    <w:pPr>
      <w:spacing w:after="200"/>
    </w:pPr>
    <w:rPr>
      <w:rFonts w:ascii="Calibri" w:eastAsia="Calibri" w:hAnsi="Calibri" w:cs="Calibri"/>
      <w:b/>
      <w:bCs/>
      <w:w w:val="105"/>
      <w:kern w:val="40"/>
    </w:rPr>
  </w:style>
  <w:style w:type="character" w:customStyle="1" w:styleId="CommentSubjectChar">
    <w:name w:val="Comment Subject Char"/>
    <w:basedOn w:val="CommentTextChar"/>
    <w:link w:val="CommentSubject"/>
    <w:uiPriority w:val="99"/>
    <w:semiHidden/>
    <w:rsid w:val="00CE43FE"/>
    <w:rPr>
      <w:rFonts w:asciiTheme="minorHAnsi" w:eastAsiaTheme="minorHAnsi" w:hAnsiTheme="minorHAnsi" w:cs="Calibri"/>
      <w:b/>
      <w:bCs/>
      <w:w w:val="105"/>
      <w:kern w:val="40"/>
      <w:lang w:eastAsia="en-US"/>
    </w:rPr>
  </w:style>
  <w:style w:type="table" w:styleId="TableGrid">
    <w:name w:val="Table Grid"/>
    <w:basedOn w:val="TableNormal"/>
    <w:uiPriority w:val="39"/>
    <w:rsid w:val="005D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FF7"/>
    <w:rPr>
      <w:color w:val="0000FF" w:themeColor="hyperlink"/>
      <w:u w:val="single"/>
    </w:rPr>
  </w:style>
  <w:style w:type="character" w:styleId="UnresolvedMention">
    <w:name w:val="Unresolved Mention"/>
    <w:basedOn w:val="DefaultParagraphFont"/>
    <w:uiPriority w:val="99"/>
    <w:semiHidden/>
    <w:unhideWhenUsed/>
    <w:rsid w:val="00966FF7"/>
    <w:rPr>
      <w:color w:val="605E5C"/>
      <w:shd w:val="clear" w:color="auto" w:fill="E1DFDD"/>
    </w:rPr>
  </w:style>
  <w:style w:type="paragraph" w:styleId="ListParagraph">
    <w:name w:val="List Paragraph"/>
    <w:basedOn w:val="Normal"/>
    <w:uiPriority w:val="34"/>
    <w:qFormat/>
    <w:rsid w:val="00B92EE6"/>
    <w:pPr>
      <w:ind w:left="720"/>
      <w:contextualSpacing/>
    </w:pPr>
  </w:style>
  <w:style w:type="paragraph" w:styleId="TOCHeading">
    <w:name w:val="TOC Heading"/>
    <w:basedOn w:val="Heading1"/>
    <w:next w:val="Normal"/>
    <w:uiPriority w:val="39"/>
    <w:unhideWhenUsed/>
    <w:qFormat/>
    <w:rsid w:val="009665DF"/>
    <w:pPr>
      <w:keepLines/>
      <w:spacing w:before="240" w:line="259" w:lineRule="auto"/>
      <w:jc w:val="left"/>
      <w:outlineLvl w:val="9"/>
    </w:pPr>
    <w:rPr>
      <w:rFonts w:asciiTheme="majorHAnsi" w:eastAsiaTheme="majorEastAsia" w:hAnsiTheme="majorHAnsi" w:cstheme="majorBidi"/>
      <w:b w:val="0"/>
      <w:bCs w:val="0"/>
      <w:color w:val="365F91" w:themeColor="accent1" w:themeShade="BF"/>
      <w:w w:val="100"/>
      <w:kern w:val="0"/>
      <w:sz w:val="32"/>
      <w:szCs w:val="32"/>
      <w:lang w:val="en-US"/>
    </w:rPr>
  </w:style>
  <w:style w:type="paragraph" w:styleId="TOC1">
    <w:name w:val="toc 1"/>
    <w:basedOn w:val="Normal"/>
    <w:next w:val="Normal"/>
    <w:autoRedefine/>
    <w:uiPriority w:val="39"/>
    <w:unhideWhenUsed/>
    <w:rsid w:val="009665DF"/>
    <w:pPr>
      <w:spacing w:after="100"/>
    </w:pPr>
  </w:style>
  <w:style w:type="paragraph" w:styleId="TOC2">
    <w:name w:val="toc 2"/>
    <w:basedOn w:val="Normal"/>
    <w:next w:val="Normal"/>
    <w:autoRedefine/>
    <w:uiPriority w:val="39"/>
    <w:unhideWhenUsed/>
    <w:rsid w:val="009665DF"/>
    <w:pPr>
      <w:spacing w:after="100"/>
      <w:ind w:left="220"/>
    </w:pPr>
  </w:style>
  <w:style w:type="paragraph" w:styleId="TOC3">
    <w:name w:val="toc 3"/>
    <w:basedOn w:val="Normal"/>
    <w:next w:val="Normal"/>
    <w:autoRedefine/>
    <w:uiPriority w:val="39"/>
    <w:unhideWhenUsed/>
    <w:rsid w:val="009665DF"/>
    <w:pPr>
      <w:spacing w:after="100"/>
      <w:ind w:left="440"/>
    </w:pPr>
  </w:style>
  <w:style w:type="paragraph" w:styleId="NoSpacing">
    <w:name w:val="No Spacing"/>
    <w:uiPriority w:val="1"/>
    <w:qFormat/>
    <w:rsid w:val="00235304"/>
    <w:rPr>
      <w:rFonts w:cs="Calibri"/>
      <w:w w:val="105"/>
      <w:kern w:val="40"/>
      <w:sz w:val="22"/>
      <w:szCs w:val="22"/>
      <w:lang w:eastAsia="en-US"/>
    </w:rPr>
  </w:style>
  <w:style w:type="paragraph" w:customStyle="1" w:styleId="Definition">
    <w:name w:val="Definition"/>
    <w:aliases w:val="dd"/>
    <w:basedOn w:val="Normal"/>
    <w:rsid w:val="002826AB"/>
    <w:pPr>
      <w:spacing w:before="180" w:after="0" w:line="240" w:lineRule="auto"/>
      <w:ind w:left="1134"/>
    </w:pPr>
    <w:rPr>
      <w:rFonts w:ascii="Times New Roman" w:eastAsia="Times New Roman" w:hAnsi="Times New Roman" w:cs="Times New Roman"/>
      <w:w w:val="100"/>
      <w:kern w:val="0"/>
      <w:szCs w:val="20"/>
      <w:lang w:eastAsia="en-AU"/>
    </w:rPr>
  </w:style>
  <w:style w:type="character" w:customStyle="1" w:styleId="paragraphChar">
    <w:name w:val="paragraph Char"/>
    <w:aliases w:val="a Char"/>
    <w:basedOn w:val="DefaultParagraphFont"/>
    <w:link w:val="paragraph"/>
    <w:locked/>
    <w:rsid w:val="002826AB"/>
    <w:rPr>
      <w:rFonts w:ascii="Times New Roman" w:eastAsia="Times New Roman" w:hAnsi="Times New Roman"/>
      <w:sz w:val="22"/>
    </w:rPr>
  </w:style>
  <w:style w:type="paragraph" w:customStyle="1" w:styleId="paragraph">
    <w:name w:val="paragraph"/>
    <w:aliases w:val="a"/>
    <w:basedOn w:val="Normal"/>
    <w:link w:val="paragraphChar"/>
    <w:rsid w:val="002826AB"/>
    <w:pPr>
      <w:tabs>
        <w:tab w:val="right" w:pos="1531"/>
      </w:tabs>
      <w:spacing w:before="40" w:after="0" w:line="240" w:lineRule="auto"/>
      <w:ind w:left="1644" w:hanging="1644"/>
    </w:pPr>
    <w:rPr>
      <w:rFonts w:ascii="Times New Roman" w:eastAsia="Times New Roman" w:hAnsi="Times New Roman" w:cs="Times New Roman"/>
      <w:w w:val="100"/>
      <w:kern w:val="0"/>
      <w:szCs w:val="20"/>
      <w:lang w:eastAsia="en-AU"/>
    </w:rPr>
  </w:style>
  <w:style w:type="paragraph" w:styleId="Revision">
    <w:name w:val="Revision"/>
    <w:hidden/>
    <w:uiPriority w:val="99"/>
    <w:semiHidden/>
    <w:rsid w:val="005B3456"/>
    <w:rPr>
      <w:rFonts w:cs="Calibri"/>
      <w:w w:val="105"/>
      <w:kern w:val="40"/>
      <w:sz w:val="22"/>
      <w:szCs w:val="22"/>
      <w:lang w:eastAsia="en-US"/>
    </w:rPr>
  </w:style>
  <w:style w:type="character" w:customStyle="1" w:styleId="BulletChar">
    <w:name w:val="Bullet Char"/>
    <w:basedOn w:val="DefaultParagraphFont"/>
    <w:link w:val="Bullet"/>
    <w:locked/>
    <w:rsid w:val="00830FD6"/>
  </w:style>
  <w:style w:type="paragraph" w:customStyle="1" w:styleId="Bullet">
    <w:name w:val="Bullet"/>
    <w:basedOn w:val="Normal"/>
    <w:link w:val="BulletChar"/>
    <w:rsid w:val="00830FD6"/>
    <w:pPr>
      <w:numPr>
        <w:numId w:val="30"/>
      </w:numPr>
      <w:spacing w:after="160" w:line="256" w:lineRule="auto"/>
    </w:pPr>
    <w:rPr>
      <w:rFonts w:cs="Times New Roman"/>
      <w:w w:val="100"/>
      <w:kern w:val="0"/>
      <w:sz w:val="20"/>
      <w:szCs w:val="20"/>
      <w:lang w:eastAsia="en-AU"/>
    </w:rPr>
  </w:style>
  <w:style w:type="paragraph" w:customStyle="1" w:styleId="Dash">
    <w:name w:val="Dash"/>
    <w:basedOn w:val="Normal"/>
    <w:rsid w:val="00830FD6"/>
    <w:pPr>
      <w:numPr>
        <w:ilvl w:val="1"/>
        <w:numId w:val="30"/>
      </w:numPr>
      <w:spacing w:after="160" w:line="256" w:lineRule="auto"/>
    </w:pPr>
    <w:rPr>
      <w:rFonts w:asciiTheme="minorHAnsi" w:eastAsiaTheme="minorHAnsi" w:hAnsiTheme="minorHAnsi" w:cstheme="minorBidi"/>
      <w:w w:val="100"/>
      <w:kern w:val="0"/>
    </w:rPr>
  </w:style>
  <w:style w:type="paragraph" w:customStyle="1" w:styleId="DoubleDot">
    <w:name w:val="Double Dot"/>
    <w:basedOn w:val="Normal"/>
    <w:rsid w:val="00830FD6"/>
    <w:pPr>
      <w:numPr>
        <w:ilvl w:val="2"/>
        <w:numId w:val="30"/>
      </w:numPr>
      <w:spacing w:after="160" w:line="256" w:lineRule="auto"/>
    </w:pPr>
    <w:rPr>
      <w:rFonts w:asciiTheme="minorHAnsi" w:eastAsiaTheme="minorHAnsi" w:hAnsiTheme="minorHAnsi" w:cstheme="minorBidi"/>
      <w:w w:val="100"/>
      <w:kern w:val="0"/>
    </w:rPr>
  </w:style>
  <w:style w:type="paragraph" w:customStyle="1" w:styleId="definition0">
    <w:name w:val="definition"/>
    <w:basedOn w:val="Normal"/>
    <w:rsid w:val="00750A25"/>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character" w:customStyle="1" w:styleId="ActHead5Char">
    <w:name w:val="ActHead 5 Char"/>
    <w:aliases w:val="s Char"/>
    <w:link w:val="ActHead5"/>
    <w:locked/>
    <w:rsid w:val="00DD25E9"/>
    <w:rPr>
      <w:rFonts w:ascii="Times New Roman" w:eastAsia="Times New Roman" w:hAnsi="Times New Roman"/>
      <w:b/>
      <w:kern w:val="28"/>
      <w:sz w:val="24"/>
    </w:rPr>
  </w:style>
  <w:style w:type="paragraph" w:customStyle="1" w:styleId="subsection">
    <w:name w:val="subsection"/>
    <w:aliases w:val="ss"/>
    <w:basedOn w:val="Normal"/>
    <w:link w:val="subsectionChar"/>
    <w:rsid w:val="00DD25E9"/>
    <w:pPr>
      <w:tabs>
        <w:tab w:val="right" w:pos="1021"/>
      </w:tabs>
      <w:spacing w:before="180" w:after="0" w:line="240" w:lineRule="auto"/>
      <w:ind w:left="1134" w:hanging="1134"/>
    </w:pPr>
    <w:rPr>
      <w:rFonts w:ascii="Times New Roman" w:eastAsia="Times New Roman" w:hAnsi="Times New Roman" w:cs="Times New Roman"/>
      <w:w w:val="100"/>
      <w:kern w:val="0"/>
      <w:szCs w:val="20"/>
      <w:lang w:eastAsia="en-AU"/>
    </w:rPr>
  </w:style>
  <w:style w:type="paragraph" w:customStyle="1" w:styleId="ActHead5">
    <w:name w:val="ActHead 5"/>
    <w:aliases w:val="s"/>
    <w:basedOn w:val="Normal"/>
    <w:next w:val="subsection"/>
    <w:link w:val="ActHead5Char"/>
    <w:qFormat/>
    <w:rsid w:val="00DD25E9"/>
    <w:pPr>
      <w:keepNext/>
      <w:keepLines/>
      <w:spacing w:before="280" w:after="0" w:line="240" w:lineRule="auto"/>
      <w:ind w:left="1134" w:hanging="1134"/>
      <w:outlineLvl w:val="4"/>
    </w:pPr>
    <w:rPr>
      <w:rFonts w:ascii="Times New Roman" w:eastAsia="Times New Roman" w:hAnsi="Times New Roman" w:cs="Times New Roman"/>
      <w:b/>
      <w:w w:val="100"/>
      <w:kern w:val="28"/>
      <w:sz w:val="24"/>
      <w:szCs w:val="20"/>
      <w:lang w:eastAsia="en-AU"/>
    </w:rPr>
  </w:style>
  <w:style w:type="character" w:customStyle="1" w:styleId="subsectionChar">
    <w:name w:val="subsection Char"/>
    <w:aliases w:val="ss Char"/>
    <w:basedOn w:val="DefaultParagraphFont"/>
    <w:link w:val="subsection"/>
    <w:locked/>
    <w:rsid w:val="00DD25E9"/>
    <w:rPr>
      <w:rFonts w:ascii="Times New Roman" w:eastAsia="Times New Roman" w:hAnsi="Times New Roman"/>
      <w:sz w:val="22"/>
    </w:rPr>
  </w:style>
  <w:style w:type="character" w:customStyle="1" w:styleId="CharSectno">
    <w:name w:val="CharSectno"/>
    <w:basedOn w:val="DefaultParagraphFont"/>
    <w:qFormat/>
    <w:rsid w:val="00DD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9151">
      <w:bodyDiv w:val="1"/>
      <w:marLeft w:val="0"/>
      <w:marRight w:val="0"/>
      <w:marTop w:val="0"/>
      <w:marBottom w:val="0"/>
      <w:divBdr>
        <w:top w:val="none" w:sz="0" w:space="0" w:color="auto"/>
        <w:left w:val="none" w:sz="0" w:space="0" w:color="auto"/>
        <w:bottom w:val="none" w:sz="0" w:space="0" w:color="auto"/>
        <w:right w:val="none" w:sz="0" w:space="0" w:color="auto"/>
      </w:divBdr>
    </w:div>
    <w:div w:id="453406203">
      <w:bodyDiv w:val="1"/>
      <w:marLeft w:val="0"/>
      <w:marRight w:val="0"/>
      <w:marTop w:val="0"/>
      <w:marBottom w:val="0"/>
      <w:divBdr>
        <w:top w:val="none" w:sz="0" w:space="0" w:color="auto"/>
        <w:left w:val="none" w:sz="0" w:space="0" w:color="auto"/>
        <w:bottom w:val="none" w:sz="0" w:space="0" w:color="auto"/>
        <w:right w:val="none" w:sz="0" w:space="0" w:color="auto"/>
      </w:divBdr>
    </w:div>
    <w:div w:id="485557427">
      <w:bodyDiv w:val="1"/>
      <w:marLeft w:val="0"/>
      <w:marRight w:val="0"/>
      <w:marTop w:val="0"/>
      <w:marBottom w:val="0"/>
      <w:divBdr>
        <w:top w:val="none" w:sz="0" w:space="0" w:color="auto"/>
        <w:left w:val="none" w:sz="0" w:space="0" w:color="auto"/>
        <w:bottom w:val="none" w:sz="0" w:space="0" w:color="auto"/>
        <w:right w:val="none" w:sz="0" w:space="0" w:color="auto"/>
      </w:divBdr>
    </w:div>
    <w:div w:id="872303149">
      <w:bodyDiv w:val="1"/>
      <w:marLeft w:val="0"/>
      <w:marRight w:val="0"/>
      <w:marTop w:val="0"/>
      <w:marBottom w:val="0"/>
      <w:divBdr>
        <w:top w:val="none" w:sz="0" w:space="0" w:color="auto"/>
        <w:left w:val="none" w:sz="0" w:space="0" w:color="auto"/>
        <w:bottom w:val="none" w:sz="0" w:space="0" w:color="auto"/>
        <w:right w:val="none" w:sz="0" w:space="0" w:color="auto"/>
      </w:divBdr>
    </w:div>
    <w:div w:id="1039354706">
      <w:bodyDiv w:val="1"/>
      <w:marLeft w:val="0"/>
      <w:marRight w:val="0"/>
      <w:marTop w:val="0"/>
      <w:marBottom w:val="0"/>
      <w:divBdr>
        <w:top w:val="none" w:sz="0" w:space="0" w:color="auto"/>
        <w:left w:val="none" w:sz="0" w:space="0" w:color="auto"/>
        <w:bottom w:val="none" w:sz="0" w:space="0" w:color="auto"/>
        <w:right w:val="none" w:sz="0" w:space="0" w:color="auto"/>
      </w:divBdr>
    </w:div>
    <w:div w:id="1216239506">
      <w:bodyDiv w:val="1"/>
      <w:marLeft w:val="0"/>
      <w:marRight w:val="0"/>
      <w:marTop w:val="0"/>
      <w:marBottom w:val="0"/>
      <w:divBdr>
        <w:top w:val="none" w:sz="0" w:space="0" w:color="auto"/>
        <w:left w:val="none" w:sz="0" w:space="0" w:color="auto"/>
        <w:bottom w:val="none" w:sz="0" w:space="0" w:color="auto"/>
        <w:right w:val="none" w:sz="0" w:space="0" w:color="auto"/>
      </w:divBdr>
    </w:div>
    <w:div w:id="1219166561">
      <w:bodyDiv w:val="1"/>
      <w:marLeft w:val="0"/>
      <w:marRight w:val="0"/>
      <w:marTop w:val="0"/>
      <w:marBottom w:val="0"/>
      <w:divBdr>
        <w:top w:val="none" w:sz="0" w:space="0" w:color="auto"/>
        <w:left w:val="none" w:sz="0" w:space="0" w:color="auto"/>
        <w:bottom w:val="none" w:sz="0" w:space="0" w:color="auto"/>
        <w:right w:val="none" w:sz="0" w:space="0" w:color="auto"/>
      </w:divBdr>
    </w:div>
    <w:div w:id="1221942759">
      <w:bodyDiv w:val="1"/>
      <w:marLeft w:val="0"/>
      <w:marRight w:val="0"/>
      <w:marTop w:val="0"/>
      <w:marBottom w:val="0"/>
      <w:divBdr>
        <w:top w:val="none" w:sz="0" w:space="0" w:color="auto"/>
        <w:left w:val="none" w:sz="0" w:space="0" w:color="auto"/>
        <w:bottom w:val="none" w:sz="0" w:space="0" w:color="auto"/>
        <w:right w:val="none" w:sz="0" w:space="0" w:color="auto"/>
      </w:divBdr>
    </w:div>
    <w:div w:id="1620333098">
      <w:bodyDiv w:val="1"/>
      <w:marLeft w:val="0"/>
      <w:marRight w:val="0"/>
      <w:marTop w:val="0"/>
      <w:marBottom w:val="0"/>
      <w:divBdr>
        <w:top w:val="none" w:sz="0" w:space="0" w:color="auto"/>
        <w:left w:val="none" w:sz="0" w:space="0" w:color="auto"/>
        <w:bottom w:val="none" w:sz="0" w:space="0" w:color="auto"/>
        <w:right w:val="none" w:sz="0" w:space="0" w:color="auto"/>
      </w:divBdr>
    </w:div>
    <w:div w:id="1717924152">
      <w:bodyDiv w:val="1"/>
      <w:marLeft w:val="0"/>
      <w:marRight w:val="0"/>
      <w:marTop w:val="0"/>
      <w:marBottom w:val="0"/>
      <w:divBdr>
        <w:top w:val="none" w:sz="0" w:space="0" w:color="auto"/>
        <w:left w:val="none" w:sz="0" w:space="0" w:color="auto"/>
        <w:bottom w:val="none" w:sz="0" w:space="0" w:color="auto"/>
        <w:right w:val="none" w:sz="0" w:space="0" w:color="auto"/>
      </w:divBdr>
    </w:div>
    <w:div w:id="20334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ic.austlii.edu.au/au/legis/cth/consol_act/fla1975114/s90xd.html" TargetMode="External"/><Relationship Id="rId5" Type="http://schemas.openxmlformats.org/officeDocument/2006/relationships/footnotes" Target="footnotes.xml"/><Relationship Id="rId10" Type="http://schemas.openxmlformats.org/officeDocument/2006/relationships/hyperlink" Target="mailto:FLSRegulations@ag.gov.au" TargetMode="External"/><Relationship Id="rId4" Type="http://schemas.openxmlformats.org/officeDocument/2006/relationships/webSettings" Target="webSettings.xml"/><Relationship Id="rId9" Type="http://schemas.openxmlformats.org/officeDocument/2006/relationships/hyperlink" Target="http://www.consultations.ag.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9250</Words>
  <Characters>52728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Family Law (Superannuation) Regulations</dc:title>
  <dc:creator/>
  <cp:lastModifiedBy/>
  <cp:revision>1</cp:revision>
  <dcterms:created xsi:type="dcterms:W3CDTF">2024-03-26T04:02:00Z</dcterms:created>
  <dcterms:modified xsi:type="dcterms:W3CDTF">2024-03-26T04:02:00Z</dcterms:modified>
</cp:coreProperties>
</file>