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C432" w14:textId="77777777" w:rsidR="00BE48EE" w:rsidRPr="00C73D06" w:rsidRDefault="00BE48EE" w:rsidP="00BE48EE">
      <w:pPr>
        <w:ind w:left="-851"/>
        <w:sectPr w:rsidR="00BE48EE" w:rsidRPr="00C73D06" w:rsidSect="00BE48EE">
          <w:headerReference w:type="default" r:id="rId7"/>
          <w:footerReference w:type="default" r:id="rId8"/>
          <w:type w:val="continuous"/>
          <w:pgSz w:w="12240" w:h="15840"/>
          <w:pgMar w:top="142" w:right="964" w:bottom="964" w:left="964" w:header="142" w:footer="311" w:gutter="0"/>
          <w:cols w:space="708"/>
          <w:docGrid w:linePitch="360"/>
        </w:sectPr>
      </w:pPr>
      <w:bookmarkStart w:id="0" w:name="_GoBack"/>
      <w:bookmarkEnd w:id="0"/>
      <w:r w:rsidRPr="00C73D06">
        <w:rPr>
          <w:noProof/>
        </w:rPr>
        <w:drawing>
          <wp:inline distT="0" distB="0" distL="0" distR="0" wp14:anchorId="31699F54" wp14:editId="3C121D07">
            <wp:extent cx="7579290" cy="1470660"/>
            <wp:effectExtent l="0" t="0" r="3175" b="0"/>
            <wp:docPr id="2" name="Picture 2"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1E0593CC" w14:textId="77777777" w:rsidR="00BE48EE" w:rsidRPr="00C73D06" w:rsidRDefault="00BE48EE" w:rsidP="00BE48EE">
      <w:pPr>
        <w:spacing w:before="240"/>
        <w:jc w:val="right"/>
      </w:pPr>
      <w:r>
        <w:t>October</w:t>
      </w:r>
      <w:r w:rsidRPr="00C73D06">
        <w:t xml:space="preserve"> 2021</w:t>
      </w:r>
    </w:p>
    <w:p w14:paraId="5703C696" w14:textId="77777777" w:rsidR="00BE48EE" w:rsidRPr="00C73D06" w:rsidRDefault="00BE48EE" w:rsidP="00BE48EE"/>
    <w:p w14:paraId="25119469" w14:textId="77777777" w:rsidR="00BE48EE" w:rsidRPr="00C73D06" w:rsidRDefault="00BE48EE" w:rsidP="006911EE">
      <w:pPr>
        <w:pStyle w:val="Heading1"/>
        <w:spacing w:beforeLines="550" w:before="1320"/>
        <w:rPr>
          <w:sz w:val="72"/>
          <w:szCs w:val="72"/>
        </w:rPr>
      </w:pPr>
      <w:bookmarkStart w:id="1" w:name="_Toc68015000"/>
      <w:bookmarkStart w:id="2" w:name="_Toc68016980"/>
      <w:bookmarkStart w:id="3" w:name="_Toc73542495"/>
      <w:r w:rsidRPr="00C73D06">
        <w:rPr>
          <w:sz w:val="72"/>
          <w:szCs w:val="72"/>
        </w:rPr>
        <w:t xml:space="preserve">Improving the </w:t>
      </w:r>
      <w:r>
        <w:rPr>
          <w:sz w:val="72"/>
          <w:szCs w:val="72"/>
        </w:rPr>
        <w:t>c</w:t>
      </w:r>
      <w:r w:rsidRPr="00C73D06">
        <w:rPr>
          <w:sz w:val="72"/>
          <w:szCs w:val="72"/>
        </w:rPr>
        <w:t xml:space="preserve">ompetency and </w:t>
      </w:r>
      <w:r>
        <w:rPr>
          <w:sz w:val="72"/>
          <w:szCs w:val="72"/>
        </w:rPr>
        <w:t>a</w:t>
      </w:r>
      <w:r w:rsidRPr="00C73D06">
        <w:rPr>
          <w:sz w:val="72"/>
          <w:szCs w:val="72"/>
        </w:rPr>
        <w:t xml:space="preserve">ccountability of </w:t>
      </w:r>
      <w:r>
        <w:rPr>
          <w:sz w:val="72"/>
          <w:szCs w:val="72"/>
        </w:rPr>
        <w:t>f</w:t>
      </w:r>
      <w:r w:rsidRPr="00C73D06">
        <w:rPr>
          <w:sz w:val="72"/>
          <w:szCs w:val="72"/>
        </w:rPr>
        <w:t xml:space="preserve">amily </w:t>
      </w:r>
      <w:r>
        <w:rPr>
          <w:sz w:val="72"/>
          <w:szCs w:val="72"/>
        </w:rPr>
        <w:t>r</w:t>
      </w:r>
      <w:r w:rsidRPr="00C73D06">
        <w:rPr>
          <w:sz w:val="72"/>
          <w:szCs w:val="72"/>
        </w:rPr>
        <w:t xml:space="preserve">eport </w:t>
      </w:r>
      <w:r>
        <w:rPr>
          <w:sz w:val="72"/>
          <w:szCs w:val="72"/>
        </w:rPr>
        <w:t>w</w:t>
      </w:r>
      <w:r w:rsidRPr="00C73D06">
        <w:rPr>
          <w:sz w:val="72"/>
          <w:szCs w:val="72"/>
        </w:rPr>
        <w:t>riters</w:t>
      </w:r>
      <w:bookmarkEnd w:id="1"/>
      <w:bookmarkEnd w:id="2"/>
      <w:bookmarkEnd w:id="3"/>
    </w:p>
    <w:p w14:paraId="2E77387E" w14:textId="77777777" w:rsidR="00BE48EE" w:rsidRPr="00C73D06" w:rsidRDefault="00BE48EE" w:rsidP="00BE48EE">
      <w:pPr>
        <w:pStyle w:val="Heading2"/>
        <w:spacing w:before="240"/>
        <w:jc w:val="center"/>
        <w:rPr>
          <w:sz w:val="56"/>
          <w:szCs w:val="72"/>
        </w:rPr>
      </w:pPr>
      <w:bookmarkStart w:id="4" w:name="_Toc68015001"/>
      <w:bookmarkStart w:id="5" w:name="_Toc68016981"/>
      <w:bookmarkStart w:id="6" w:name="_Toc73542496"/>
      <w:r w:rsidRPr="00C73D06">
        <w:rPr>
          <w:sz w:val="56"/>
          <w:szCs w:val="72"/>
        </w:rPr>
        <w:t xml:space="preserve">Consultation </w:t>
      </w:r>
      <w:r>
        <w:rPr>
          <w:sz w:val="56"/>
          <w:szCs w:val="72"/>
        </w:rPr>
        <w:t>p</w:t>
      </w:r>
      <w:r w:rsidRPr="00C73D06">
        <w:rPr>
          <w:sz w:val="56"/>
          <w:szCs w:val="72"/>
        </w:rPr>
        <w:t>aper</w:t>
      </w:r>
      <w:bookmarkEnd w:id="4"/>
      <w:bookmarkEnd w:id="5"/>
      <w:bookmarkEnd w:id="6"/>
    </w:p>
    <w:p w14:paraId="2EBF0407" w14:textId="77777777" w:rsidR="00BE48EE" w:rsidRPr="00C73D06" w:rsidRDefault="00BE48EE" w:rsidP="00BE48EE">
      <w:pPr>
        <w:spacing w:after="0" w:line="240" w:lineRule="auto"/>
      </w:pPr>
      <w:r w:rsidRPr="00C73D06">
        <w:br w:type="page"/>
      </w:r>
    </w:p>
    <w:sdt>
      <w:sdtPr>
        <w:rPr>
          <w:rFonts w:eastAsiaTheme="minorEastAsia" w:cstheme="minorBidi"/>
          <w:b w:val="0"/>
          <w:sz w:val="21"/>
          <w:szCs w:val="21"/>
        </w:rPr>
        <w:id w:val="1866709338"/>
        <w:docPartObj>
          <w:docPartGallery w:val="Table of Contents"/>
          <w:docPartUnique/>
        </w:docPartObj>
      </w:sdtPr>
      <w:sdtEndPr>
        <w:rPr>
          <w:bCs/>
          <w:noProof/>
          <w:sz w:val="22"/>
        </w:rPr>
      </w:sdtEndPr>
      <w:sdtContent>
        <w:p w14:paraId="710A5A9B" w14:textId="77777777" w:rsidR="00BE48EE" w:rsidRPr="00C73D06" w:rsidRDefault="00BE48EE" w:rsidP="00BE48EE">
          <w:pPr>
            <w:pStyle w:val="TOCHeading"/>
            <w:spacing w:before="240"/>
          </w:pPr>
          <w:r w:rsidRPr="00C73D06">
            <w:t xml:space="preserve">Table of </w:t>
          </w:r>
          <w:r>
            <w:t>c</w:t>
          </w:r>
          <w:r w:rsidRPr="00C73D06">
            <w:t>ontents</w:t>
          </w:r>
        </w:p>
        <w:p w14:paraId="3542D2E3" w14:textId="77777777" w:rsidR="00BE48EE" w:rsidRPr="00C73D06" w:rsidRDefault="00BE48EE" w:rsidP="00BE48EE">
          <w:pPr>
            <w:pStyle w:val="TOC1"/>
            <w:rPr>
              <w:noProof/>
              <w:szCs w:val="22"/>
            </w:rPr>
          </w:pPr>
          <w:r w:rsidRPr="00C73D06">
            <w:rPr>
              <w:b/>
              <w:bCs/>
              <w:noProof/>
            </w:rPr>
            <w:fldChar w:fldCharType="begin"/>
          </w:r>
          <w:r w:rsidRPr="00C73D06">
            <w:rPr>
              <w:b/>
              <w:bCs/>
              <w:noProof/>
            </w:rPr>
            <w:instrText xml:space="preserve"> TOC \o "1-2" \h \z \u </w:instrText>
          </w:r>
          <w:r w:rsidRPr="00C73D06">
            <w:rPr>
              <w:b/>
              <w:bCs/>
              <w:noProof/>
            </w:rPr>
            <w:fldChar w:fldCharType="separate"/>
          </w:r>
          <w:hyperlink w:anchor="_Toc73542497" w:history="1">
            <w:r w:rsidRPr="00C73D06">
              <w:rPr>
                <w:rStyle w:val="Hyperlink"/>
                <w:noProof/>
              </w:rPr>
              <w:t>Introduction</w:t>
            </w:r>
            <w:r w:rsidRPr="00C73D06">
              <w:rPr>
                <w:noProof/>
                <w:webHidden/>
              </w:rPr>
              <w:tab/>
            </w:r>
            <w:r w:rsidRPr="00C73D06">
              <w:rPr>
                <w:noProof/>
                <w:webHidden/>
              </w:rPr>
              <w:fldChar w:fldCharType="begin"/>
            </w:r>
            <w:r w:rsidRPr="00C73D06">
              <w:rPr>
                <w:noProof/>
                <w:webHidden/>
              </w:rPr>
              <w:instrText xml:space="preserve"> PAGEREF _Toc73542497 \h </w:instrText>
            </w:r>
            <w:r w:rsidRPr="00C73D06">
              <w:rPr>
                <w:noProof/>
                <w:webHidden/>
              </w:rPr>
            </w:r>
            <w:r w:rsidRPr="00C73D06">
              <w:rPr>
                <w:noProof/>
                <w:webHidden/>
              </w:rPr>
              <w:fldChar w:fldCharType="separate"/>
            </w:r>
            <w:r>
              <w:rPr>
                <w:noProof/>
                <w:webHidden/>
              </w:rPr>
              <w:t>3</w:t>
            </w:r>
            <w:r w:rsidRPr="00C73D06">
              <w:rPr>
                <w:noProof/>
                <w:webHidden/>
              </w:rPr>
              <w:fldChar w:fldCharType="end"/>
            </w:r>
          </w:hyperlink>
        </w:p>
        <w:p w14:paraId="5FA11B90" w14:textId="77777777" w:rsidR="00BE48EE" w:rsidRPr="00C73D06" w:rsidRDefault="007D4508" w:rsidP="00BE48EE">
          <w:pPr>
            <w:pStyle w:val="TOC1"/>
            <w:rPr>
              <w:noProof/>
              <w:szCs w:val="22"/>
            </w:rPr>
          </w:pPr>
          <w:hyperlink w:anchor="_Toc73542498" w:history="1">
            <w:r w:rsidR="00BE48EE" w:rsidRPr="00C73D06">
              <w:rPr>
                <w:rStyle w:val="Hyperlink"/>
                <w:noProof/>
              </w:rPr>
              <w:t>Part I - Family Report Requirements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_Toc73542498 \h </w:instrText>
            </w:r>
            <w:r w:rsidR="00BE48EE" w:rsidRPr="00C73D06">
              <w:rPr>
                <w:noProof/>
                <w:webHidden/>
              </w:rPr>
            </w:r>
            <w:r w:rsidR="00BE48EE" w:rsidRPr="00C73D06">
              <w:rPr>
                <w:noProof/>
                <w:webHidden/>
              </w:rPr>
              <w:fldChar w:fldCharType="separate"/>
            </w:r>
            <w:r w:rsidR="00BE48EE">
              <w:rPr>
                <w:noProof/>
                <w:webHidden/>
              </w:rPr>
              <w:t>5</w:t>
            </w:r>
            <w:r w:rsidR="00BE48EE" w:rsidRPr="00C73D06">
              <w:rPr>
                <w:noProof/>
                <w:webHidden/>
              </w:rPr>
              <w:fldChar w:fldCharType="end"/>
            </w:r>
          </w:hyperlink>
        </w:p>
        <w:p w14:paraId="42AB5FFE" w14:textId="77777777" w:rsidR="00BE48EE" w:rsidRPr="00C73D06" w:rsidRDefault="007D4508" w:rsidP="00BE48EE">
          <w:pPr>
            <w:pStyle w:val="TOC2"/>
            <w:tabs>
              <w:tab w:val="right" w:leader="dot" w:pos="10302"/>
            </w:tabs>
            <w:rPr>
              <w:noProof/>
              <w:szCs w:val="22"/>
            </w:rPr>
          </w:pPr>
          <w:hyperlink w:anchor="_Toc73542499" w:history="1">
            <w:r w:rsidR="00BE48EE" w:rsidRPr="00C73D06">
              <w:rPr>
                <w:rStyle w:val="Hyperlink"/>
                <w:noProof/>
              </w:rPr>
              <w:t>Family reports and family report writers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_Toc73542499 \h </w:instrText>
            </w:r>
            <w:r w:rsidR="00BE48EE" w:rsidRPr="00C73D06">
              <w:rPr>
                <w:noProof/>
                <w:webHidden/>
              </w:rPr>
            </w:r>
            <w:r w:rsidR="00BE48EE" w:rsidRPr="00C73D06">
              <w:rPr>
                <w:noProof/>
                <w:webHidden/>
              </w:rPr>
              <w:fldChar w:fldCharType="separate"/>
            </w:r>
            <w:r w:rsidR="00BE48EE">
              <w:rPr>
                <w:noProof/>
                <w:webHidden/>
              </w:rPr>
              <w:t>5</w:t>
            </w:r>
            <w:r w:rsidR="00BE48EE" w:rsidRPr="00C73D06">
              <w:rPr>
                <w:noProof/>
                <w:webHidden/>
              </w:rPr>
              <w:fldChar w:fldCharType="end"/>
            </w:r>
          </w:hyperlink>
        </w:p>
        <w:p w14:paraId="438E76B4" w14:textId="77777777" w:rsidR="00BE48EE" w:rsidRPr="00C73D06" w:rsidRDefault="007D4508" w:rsidP="00BE48EE">
          <w:pPr>
            <w:pStyle w:val="TOC2"/>
            <w:tabs>
              <w:tab w:val="right" w:leader="dot" w:pos="10302"/>
            </w:tabs>
            <w:rPr>
              <w:noProof/>
              <w:szCs w:val="22"/>
            </w:rPr>
          </w:pPr>
          <w:hyperlink w:anchor="_Toc73542500" w:history="1">
            <w:r w:rsidR="00BE48EE" w:rsidRPr="00C73D06">
              <w:rPr>
                <w:rStyle w:val="Hyperlink"/>
                <w:noProof/>
              </w:rPr>
              <w:t>Scope and requirements of a family report</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_Toc73542500 \h </w:instrText>
            </w:r>
            <w:r w:rsidR="00BE48EE" w:rsidRPr="00C73D06">
              <w:rPr>
                <w:noProof/>
                <w:webHidden/>
              </w:rPr>
            </w:r>
            <w:r w:rsidR="00BE48EE" w:rsidRPr="00C73D06">
              <w:rPr>
                <w:noProof/>
                <w:webHidden/>
              </w:rPr>
              <w:fldChar w:fldCharType="separate"/>
            </w:r>
            <w:r w:rsidR="00BE48EE">
              <w:rPr>
                <w:noProof/>
                <w:webHidden/>
              </w:rPr>
              <w:t>7</w:t>
            </w:r>
            <w:r w:rsidR="00BE48EE" w:rsidRPr="00C73D06">
              <w:rPr>
                <w:noProof/>
                <w:webHidden/>
              </w:rPr>
              <w:fldChar w:fldCharType="end"/>
            </w:r>
          </w:hyperlink>
        </w:p>
        <w:p w14:paraId="4B6CB2A7" w14:textId="77777777" w:rsidR="00BE48EE" w:rsidRPr="00C73D06" w:rsidRDefault="007D4508" w:rsidP="00BE48EE">
          <w:pPr>
            <w:pStyle w:val="TOC1"/>
            <w:rPr>
              <w:noProof/>
              <w:szCs w:val="22"/>
            </w:rPr>
          </w:pPr>
          <w:hyperlink w:anchor="_Toc73542501" w:history="1">
            <w:r w:rsidR="00BE48EE" w:rsidRPr="00C73D06">
              <w:rPr>
                <w:rStyle w:val="Hyperlink"/>
                <w:noProof/>
              </w:rPr>
              <w:t>Part II – Competency and Quality</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_Toc73542501 \h </w:instrText>
            </w:r>
            <w:r w:rsidR="00BE48EE" w:rsidRPr="00C73D06">
              <w:rPr>
                <w:noProof/>
                <w:webHidden/>
              </w:rPr>
            </w:r>
            <w:r w:rsidR="00BE48EE" w:rsidRPr="00C73D06">
              <w:rPr>
                <w:noProof/>
                <w:webHidden/>
              </w:rPr>
              <w:fldChar w:fldCharType="separate"/>
            </w:r>
            <w:r w:rsidR="00BE48EE">
              <w:rPr>
                <w:noProof/>
                <w:webHidden/>
              </w:rPr>
              <w:t>10</w:t>
            </w:r>
            <w:r w:rsidR="00BE48EE" w:rsidRPr="00C73D06">
              <w:rPr>
                <w:noProof/>
                <w:webHidden/>
              </w:rPr>
              <w:fldChar w:fldCharType="end"/>
            </w:r>
          </w:hyperlink>
        </w:p>
        <w:p w14:paraId="240E93A6" w14:textId="77777777" w:rsidR="00BE48EE" w:rsidRPr="00C73D06" w:rsidRDefault="007D4508" w:rsidP="00BE48EE">
          <w:pPr>
            <w:pStyle w:val="TOC2"/>
            <w:tabs>
              <w:tab w:val="right" w:leader="dot" w:pos="10302"/>
            </w:tabs>
            <w:rPr>
              <w:noProof/>
              <w:szCs w:val="22"/>
            </w:rPr>
          </w:pPr>
          <w:hyperlink w:anchor="_Toc73542502" w:history="1">
            <w:r w:rsidR="00BE48EE" w:rsidRPr="00C73D06">
              <w:rPr>
                <w:rStyle w:val="Hyperlink"/>
                <w:noProof/>
              </w:rPr>
              <w:t>Competency of family report writers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_Toc73542502 \h </w:instrText>
            </w:r>
            <w:r w:rsidR="00BE48EE" w:rsidRPr="00C73D06">
              <w:rPr>
                <w:noProof/>
                <w:webHidden/>
              </w:rPr>
            </w:r>
            <w:r w:rsidR="00BE48EE" w:rsidRPr="00C73D06">
              <w:rPr>
                <w:noProof/>
                <w:webHidden/>
              </w:rPr>
              <w:fldChar w:fldCharType="separate"/>
            </w:r>
            <w:r w:rsidR="00BE48EE">
              <w:rPr>
                <w:noProof/>
                <w:webHidden/>
              </w:rPr>
              <w:t>10</w:t>
            </w:r>
            <w:r w:rsidR="00BE48EE" w:rsidRPr="00C73D06">
              <w:rPr>
                <w:noProof/>
                <w:webHidden/>
              </w:rPr>
              <w:fldChar w:fldCharType="end"/>
            </w:r>
          </w:hyperlink>
        </w:p>
        <w:p w14:paraId="5E431F1E" w14:textId="77777777" w:rsidR="00BE48EE" w:rsidRPr="00C73D06" w:rsidRDefault="007D4508" w:rsidP="00BE48EE">
          <w:pPr>
            <w:pStyle w:val="TOC2"/>
            <w:tabs>
              <w:tab w:val="right" w:leader="dot" w:pos="10302"/>
            </w:tabs>
            <w:rPr>
              <w:noProof/>
              <w:szCs w:val="22"/>
            </w:rPr>
          </w:pPr>
          <w:hyperlink w:anchor="_Toc73542503" w:history="1">
            <w:r w:rsidR="00BE48EE" w:rsidRPr="00C73D06">
              <w:rPr>
                <w:rStyle w:val="Hyperlink"/>
                <w:noProof/>
              </w:rPr>
              <w:t>Screening for suitability</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_Toc73542503 \h </w:instrText>
            </w:r>
            <w:r w:rsidR="00BE48EE" w:rsidRPr="00C73D06">
              <w:rPr>
                <w:noProof/>
                <w:webHidden/>
              </w:rPr>
            </w:r>
            <w:r w:rsidR="00BE48EE" w:rsidRPr="00C73D06">
              <w:rPr>
                <w:noProof/>
                <w:webHidden/>
              </w:rPr>
              <w:fldChar w:fldCharType="separate"/>
            </w:r>
            <w:r w:rsidR="00BE48EE">
              <w:rPr>
                <w:noProof/>
                <w:webHidden/>
              </w:rPr>
              <w:t>18</w:t>
            </w:r>
            <w:r w:rsidR="00BE48EE" w:rsidRPr="00C73D06">
              <w:rPr>
                <w:noProof/>
                <w:webHidden/>
              </w:rPr>
              <w:fldChar w:fldCharType="end"/>
            </w:r>
          </w:hyperlink>
        </w:p>
        <w:p w14:paraId="500DBD9B" w14:textId="77777777" w:rsidR="00BE48EE" w:rsidRPr="00C73D06" w:rsidRDefault="007D4508" w:rsidP="00BE48EE">
          <w:pPr>
            <w:pStyle w:val="TOC2"/>
            <w:tabs>
              <w:tab w:val="right" w:leader="dot" w:pos="10302"/>
            </w:tabs>
            <w:rPr>
              <w:noProof/>
              <w:szCs w:val="22"/>
            </w:rPr>
          </w:pPr>
          <w:hyperlink w:anchor="_Toc73542504" w:history="1">
            <w:r w:rsidR="00BE48EE" w:rsidRPr="00C73D06">
              <w:rPr>
                <w:rStyle w:val="Hyperlink"/>
                <w:noProof/>
              </w:rPr>
              <w:t>Quality assurance mechanisms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_Toc73542504 \h </w:instrText>
            </w:r>
            <w:r w:rsidR="00BE48EE" w:rsidRPr="00C73D06">
              <w:rPr>
                <w:noProof/>
                <w:webHidden/>
              </w:rPr>
            </w:r>
            <w:r w:rsidR="00BE48EE" w:rsidRPr="00C73D06">
              <w:rPr>
                <w:noProof/>
                <w:webHidden/>
              </w:rPr>
              <w:fldChar w:fldCharType="separate"/>
            </w:r>
            <w:r w:rsidR="00BE48EE">
              <w:rPr>
                <w:noProof/>
                <w:webHidden/>
              </w:rPr>
              <w:t>20</w:t>
            </w:r>
            <w:r w:rsidR="00BE48EE" w:rsidRPr="00C73D06">
              <w:rPr>
                <w:noProof/>
                <w:webHidden/>
              </w:rPr>
              <w:fldChar w:fldCharType="end"/>
            </w:r>
          </w:hyperlink>
        </w:p>
        <w:p w14:paraId="3A2FB8E1" w14:textId="77777777" w:rsidR="00BE48EE" w:rsidRPr="00C73D06" w:rsidRDefault="007D4508" w:rsidP="00BE48EE">
          <w:pPr>
            <w:pStyle w:val="TOC2"/>
            <w:tabs>
              <w:tab w:val="right" w:leader="dot" w:pos="10302"/>
            </w:tabs>
            <w:rPr>
              <w:noProof/>
              <w:szCs w:val="22"/>
            </w:rPr>
          </w:pPr>
          <w:hyperlink w:anchor="_Toc73542505" w:history="1">
            <w:r w:rsidR="00BE48EE" w:rsidRPr="00C73D06">
              <w:rPr>
                <w:rStyle w:val="Hyperlink"/>
                <w:noProof/>
              </w:rPr>
              <w:t>Transparency</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_Toc73542505 \h </w:instrText>
            </w:r>
            <w:r w:rsidR="00BE48EE" w:rsidRPr="00C73D06">
              <w:rPr>
                <w:noProof/>
                <w:webHidden/>
              </w:rPr>
            </w:r>
            <w:r w:rsidR="00BE48EE" w:rsidRPr="00C73D06">
              <w:rPr>
                <w:noProof/>
                <w:webHidden/>
              </w:rPr>
              <w:fldChar w:fldCharType="separate"/>
            </w:r>
            <w:r w:rsidR="00BE48EE">
              <w:rPr>
                <w:noProof/>
                <w:webHidden/>
              </w:rPr>
              <w:t>23</w:t>
            </w:r>
            <w:r w:rsidR="00BE48EE" w:rsidRPr="00C73D06">
              <w:rPr>
                <w:noProof/>
                <w:webHidden/>
              </w:rPr>
              <w:fldChar w:fldCharType="end"/>
            </w:r>
          </w:hyperlink>
        </w:p>
        <w:p w14:paraId="53D453D9" w14:textId="77777777" w:rsidR="00BE48EE" w:rsidRPr="00C73D06" w:rsidRDefault="007D4508" w:rsidP="00BE48EE">
          <w:pPr>
            <w:pStyle w:val="TOC2"/>
            <w:tabs>
              <w:tab w:val="right" w:leader="dot" w:pos="10302"/>
            </w:tabs>
            <w:rPr>
              <w:noProof/>
              <w:szCs w:val="22"/>
            </w:rPr>
          </w:pPr>
          <w:hyperlink w:anchor="_Toc73542506" w:history="1">
            <w:r w:rsidR="00BE48EE" w:rsidRPr="00C73D06">
              <w:rPr>
                <w:rStyle w:val="Hyperlink"/>
                <w:noProof/>
              </w:rPr>
              <w:t>Implementing options for enhancing competency and quality assurance mechanisms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_Toc73542506 \h </w:instrText>
            </w:r>
            <w:r w:rsidR="00BE48EE" w:rsidRPr="00C73D06">
              <w:rPr>
                <w:noProof/>
                <w:webHidden/>
              </w:rPr>
            </w:r>
            <w:r w:rsidR="00BE48EE" w:rsidRPr="00C73D06">
              <w:rPr>
                <w:noProof/>
                <w:webHidden/>
              </w:rPr>
              <w:fldChar w:fldCharType="separate"/>
            </w:r>
            <w:r w:rsidR="00BE48EE">
              <w:rPr>
                <w:noProof/>
                <w:webHidden/>
              </w:rPr>
              <w:t>25</w:t>
            </w:r>
            <w:r w:rsidR="00BE48EE" w:rsidRPr="00C73D06">
              <w:rPr>
                <w:noProof/>
                <w:webHidden/>
              </w:rPr>
              <w:fldChar w:fldCharType="end"/>
            </w:r>
          </w:hyperlink>
        </w:p>
        <w:p w14:paraId="13A189F2" w14:textId="77777777" w:rsidR="00BE48EE" w:rsidRPr="00C73D06" w:rsidRDefault="007D4508" w:rsidP="00BE48EE">
          <w:pPr>
            <w:pStyle w:val="TOC1"/>
            <w:rPr>
              <w:noProof/>
              <w:szCs w:val="22"/>
            </w:rPr>
          </w:pPr>
          <w:hyperlink w:anchor="_Toc73542507" w:history="1">
            <w:r w:rsidR="00BE48EE" w:rsidRPr="00C73D06">
              <w:rPr>
                <w:rStyle w:val="Hyperlink"/>
                <w:noProof/>
              </w:rPr>
              <w:t>Part III – Complaints and Accountability</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_Toc73542507 \h </w:instrText>
            </w:r>
            <w:r w:rsidR="00BE48EE" w:rsidRPr="00C73D06">
              <w:rPr>
                <w:noProof/>
                <w:webHidden/>
              </w:rPr>
            </w:r>
            <w:r w:rsidR="00BE48EE" w:rsidRPr="00C73D06">
              <w:rPr>
                <w:noProof/>
                <w:webHidden/>
              </w:rPr>
              <w:fldChar w:fldCharType="separate"/>
            </w:r>
            <w:r w:rsidR="00BE48EE">
              <w:rPr>
                <w:noProof/>
                <w:webHidden/>
              </w:rPr>
              <w:t>30</w:t>
            </w:r>
            <w:r w:rsidR="00BE48EE" w:rsidRPr="00C73D06">
              <w:rPr>
                <w:noProof/>
                <w:webHidden/>
              </w:rPr>
              <w:fldChar w:fldCharType="end"/>
            </w:r>
          </w:hyperlink>
        </w:p>
        <w:p w14:paraId="3735C1C9" w14:textId="77777777" w:rsidR="00BE48EE" w:rsidRPr="00C73D06" w:rsidRDefault="007D4508" w:rsidP="00BE48EE">
          <w:pPr>
            <w:pStyle w:val="TOC2"/>
            <w:tabs>
              <w:tab w:val="right" w:leader="dot" w:pos="10302"/>
            </w:tabs>
            <w:rPr>
              <w:noProof/>
              <w:szCs w:val="22"/>
            </w:rPr>
          </w:pPr>
          <w:hyperlink w:anchor="_Toc73542508" w:history="1">
            <w:r w:rsidR="00BE48EE" w:rsidRPr="00C73D06">
              <w:rPr>
                <w:rStyle w:val="Hyperlink"/>
                <w:noProof/>
              </w:rPr>
              <w:t>Court-based review of complaints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_Toc73542508 \h </w:instrText>
            </w:r>
            <w:r w:rsidR="00BE48EE" w:rsidRPr="00C73D06">
              <w:rPr>
                <w:noProof/>
                <w:webHidden/>
              </w:rPr>
            </w:r>
            <w:r w:rsidR="00BE48EE" w:rsidRPr="00C73D06">
              <w:rPr>
                <w:noProof/>
                <w:webHidden/>
              </w:rPr>
              <w:fldChar w:fldCharType="separate"/>
            </w:r>
            <w:r w:rsidR="00BE48EE">
              <w:rPr>
                <w:noProof/>
                <w:webHidden/>
              </w:rPr>
              <w:t>30</w:t>
            </w:r>
            <w:r w:rsidR="00BE48EE" w:rsidRPr="00C73D06">
              <w:rPr>
                <w:noProof/>
                <w:webHidden/>
              </w:rPr>
              <w:fldChar w:fldCharType="end"/>
            </w:r>
          </w:hyperlink>
        </w:p>
        <w:p w14:paraId="245810B1" w14:textId="77777777" w:rsidR="00BE48EE" w:rsidRPr="00C73D06" w:rsidRDefault="007D4508" w:rsidP="00BE48EE">
          <w:pPr>
            <w:pStyle w:val="TOC2"/>
            <w:tabs>
              <w:tab w:val="right" w:leader="dot" w:pos="10302"/>
            </w:tabs>
            <w:rPr>
              <w:noProof/>
              <w:szCs w:val="22"/>
            </w:rPr>
          </w:pPr>
          <w:hyperlink w:anchor="_Toc73542509" w:history="1">
            <w:r w:rsidR="00BE48EE" w:rsidRPr="00C73D06">
              <w:rPr>
                <w:rStyle w:val="Hyperlink"/>
                <w:noProof/>
                <w:lang w:val="en-GB"/>
              </w:rPr>
              <w:t>Review of complaints by external authorities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_Toc73542509 \h </w:instrText>
            </w:r>
            <w:r w:rsidR="00BE48EE" w:rsidRPr="00C73D06">
              <w:rPr>
                <w:noProof/>
                <w:webHidden/>
              </w:rPr>
            </w:r>
            <w:r w:rsidR="00BE48EE" w:rsidRPr="00C73D06">
              <w:rPr>
                <w:noProof/>
                <w:webHidden/>
              </w:rPr>
              <w:fldChar w:fldCharType="separate"/>
            </w:r>
            <w:r w:rsidR="00BE48EE">
              <w:rPr>
                <w:noProof/>
                <w:webHidden/>
              </w:rPr>
              <w:t>32</w:t>
            </w:r>
            <w:r w:rsidR="00BE48EE" w:rsidRPr="00C73D06">
              <w:rPr>
                <w:noProof/>
                <w:webHidden/>
              </w:rPr>
              <w:fldChar w:fldCharType="end"/>
            </w:r>
          </w:hyperlink>
        </w:p>
        <w:p w14:paraId="61851384" w14:textId="77777777" w:rsidR="00BE48EE" w:rsidRPr="00C73D06" w:rsidRDefault="007D4508" w:rsidP="00BE48EE">
          <w:pPr>
            <w:pStyle w:val="TOC2"/>
            <w:tabs>
              <w:tab w:val="right" w:leader="dot" w:pos="10302"/>
            </w:tabs>
            <w:rPr>
              <w:noProof/>
              <w:szCs w:val="22"/>
            </w:rPr>
          </w:pPr>
          <w:hyperlink w:anchor="_Toc73542510" w:history="1">
            <w:r w:rsidR="00BE48EE" w:rsidRPr="00C73D06">
              <w:rPr>
                <w:rStyle w:val="Hyperlink"/>
                <w:noProof/>
              </w:rPr>
              <w:t>Limitations on receiving evidence from family law matters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_Toc73542510 \h </w:instrText>
            </w:r>
            <w:r w:rsidR="00BE48EE" w:rsidRPr="00C73D06">
              <w:rPr>
                <w:noProof/>
                <w:webHidden/>
              </w:rPr>
            </w:r>
            <w:r w:rsidR="00BE48EE" w:rsidRPr="00C73D06">
              <w:rPr>
                <w:noProof/>
                <w:webHidden/>
              </w:rPr>
              <w:fldChar w:fldCharType="separate"/>
            </w:r>
            <w:r w:rsidR="00BE48EE">
              <w:rPr>
                <w:noProof/>
                <w:webHidden/>
              </w:rPr>
              <w:t>36</w:t>
            </w:r>
            <w:r w:rsidR="00BE48EE" w:rsidRPr="00C73D06">
              <w:rPr>
                <w:noProof/>
                <w:webHidden/>
              </w:rPr>
              <w:fldChar w:fldCharType="end"/>
            </w:r>
          </w:hyperlink>
        </w:p>
        <w:p w14:paraId="494A9827" w14:textId="77777777" w:rsidR="00BE48EE" w:rsidRPr="00C73D06" w:rsidRDefault="007D4508" w:rsidP="00BE48EE">
          <w:pPr>
            <w:pStyle w:val="TOC2"/>
            <w:tabs>
              <w:tab w:val="right" w:leader="dot" w:pos="10302"/>
            </w:tabs>
            <w:rPr>
              <w:noProof/>
              <w:szCs w:val="22"/>
            </w:rPr>
          </w:pPr>
          <w:hyperlink w:anchor="_Toc73542511" w:history="1">
            <w:r w:rsidR="00BE48EE" w:rsidRPr="00C73D06">
              <w:rPr>
                <w:rStyle w:val="Hyperlink"/>
                <w:noProof/>
              </w:rPr>
              <w:t>Issues and risks in investigating complaints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_Toc73542511 \h </w:instrText>
            </w:r>
            <w:r w:rsidR="00BE48EE" w:rsidRPr="00C73D06">
              <w:rPr>
                <w:noProof/>
                <w:webHidden/>
              </w:rPr>
            </w:r>
            <w:r w:rsidR="00BE48EE" w:rsidRPr="00C73D06">
              <w:rPr>
                <w:noProof/>
                <w:webHidden/>
              </w:rPr>
              <w:fldChar w:fldCharType="separate"/>
            </w:r>
            <w:r w:rsidR="00BE48EE">
              <w:rPr>
                <w:noProof/>
                <w:webHidden/>
              </w:rPr>
              <w:t>38</w:t>
            </w:r>
            <w:r w:rsidR="00BE48EE" w:rsidRPr="00C73D06">
              <w:rPr>
                <w:noProof/>
                <w:webHidden/>
              </w:rPr>
              <w:fldChar w:fldCharType="end"/>
            </w:r>
          </w:hyperlink>
        </w:p>
        <w:p w14:paraId="4DBBEAE8" w14:textId="77777777" w:rsidR="00BE48EE" w:rsidRPr="00C73D06" w:rsidRDefault="007D4508" w:rsidP="00BE48EE">
          <w:pPr>
            <w:pStyle w:val="TOC2"/>
            <w:tabs>
              <w:tab w:val="right" w:leader="dot" w:pos="10302"/>
            </w:tabs>
            <w:rPr>
              <w:noProof/>
              <w:szCs w:val="22"/>
            </w:rPr>
          </w:pPr>
          <w:hyperlink w:anchor="_Toc73542512" w:history="1">
            <w:r w:rsidR="00BE48EE" w:rsidRPr="00C73D06">
              <w:rPr>
                <w:rStyle w:val="Hyperlink"/>
                <w:noProof/>
              </w:rPr>
              <w:t>Establishing effective complaints mechanisms</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_Toc73542512 \h </w:instrText>
            </w:r>
            <w:r w:rsidR="00BE48EE" w:rsidRPr="00C73D06">
              <w:rPr>
                <w:noProof/>
                <w:webHidden/>
              </w:rPr>
            </w:r>
            <w:r w:rsidR="00BE48EE" w:rsidRPr="00C73D06">
              <w:rPr>
                <w:noProof/>
                <w:webHidden/>
              </w:rPr>
              <w:fldChar w:fldCharType="separate"/>
            </w:r>
            <w:r w:rsidR="00BE48EE">
              <w:rPr>
                <w:noProof/>
                <w:webHidden/>
              </w:rPr>
              <w:t>40</w:t>
            </w:r>
            <w:r w:rsidR="00BE48EE" w:rsidRPr="00C73D06">
              <w:rPr>
                <w:noProof/>
                <w:webHidden/>
              </w:rPr>
              <w:fldChar w:fldCharType="end"/>
            </w:r>
          </w:hyperlink>
        </w:p>
        <w:p w14:paraId="3D2F9ED9" w14:textId="77777777" w:rsidR="00BE48EE" w:rsidRPr="00C73D06" w:rsidRDefault="007D4508" w:rsidP="00BE48EE">
          <w:pPr>
            <w:pStyle w:val="TOC1"/>
            <w:rPr>
              <w:noProof/>
              <w:szCs w:val="22"/>
            </w:rPr>
          </w:pPr>
          <w:hyperlink w:anchor="_Toc73542513" w:history="1">
            <w:r w:rsidR="00BE48EE" w:rsidRPr="00C73D06">
              <w:rPr>
                <w:rStyle w:val="Hyperlink"/>
                <w:noProof/>
              </w:rPr>
              <w:t>Conclusion</w:t>
            </w:r>
            <w:r w:rsidR="00BE48EE" w:rsidRPr="00C73D06">
              <w:rPr>
                <w:noProof/>
                <w:webHidden/>
              </w:rPr>
              <w:tab/>
            </w:r>
            <w:r w:rsidR="00BE48EE" w:rsidRPr="00C73D06">
              <w:rPr>
                <w:noProof/>
                <w:webHidden/>
              </w:rPr>
              <w:fldChar w:fldCharType="begin"/>
            </w:r>
            <w:r w:rsidR="00BE48EE" w:rsidRPr="00C73D06">
              <w:rPr>
                <w:noProof/>
                <w:webHidden/>
              </w:rPr>
              <w:instrText xml:space="preserve"> PAGEREF _Toc73542513 \h </w:instrText>
            </w:r>
            <w:r w:rsidR="00BE48EE" w:rsidRPr="00C73D06">
              <w:rPr>
                <w:noProof/>
                <w:webHidden/>
              </w:rPr>
            </w:r>
            <w:r w:rsidR="00BE48EE" w:rsidRPr="00C73D06">
              <w:rPr>
                <w:noProof/>
                <w:webHidden/>
              </w:rPr>
              <w:fldChar w:fldCharType="separate"/>
            </w:r>
            <w:r w:rsidR="00BE48EE">
              <w:rPr>
                <w:noProof/>
                <w:webHidden/>
              </w:rPr>
              <w:t>42</w:t>
            </w:r>
            <w:r w:rsidR="00BE48EE" w:rsidRPr="00C73D06">
              <w:rPr>
                <w:noProof/>
                <w:webHidden/>
              </w:rPr>
              <w:fldChar w:fldCharType="end"/>
            </w:r>
          </w:hyperlink>
        </w:p>
        <w:p w14:paraId="66EDB921" w14:textId="77777777" w:rsidR="00BE48EE" w:rsidRPr="00C73D06" w:rsidRDefault="00BE48EE" w:rsidP="00BE48EE">
          <w:pPr>
            <w:pStyle w:val="TOC1"/>
            <w:spacing w:line="480" w:lineRule="auto"/>
            <w:rPr>
              <w:noProof/>
              <w:szCs w:val="22"/>
            </w:rPr>
          </w:pPr>
          <w:r w:rsidRPr="00C73D06">
            <w:rPr>
              <w:b/>
              <w:bCs/>
              <w:noProof/>
            </w:rPr>
            <w:fldChar w:fldCharType="end"/>
          </w:r>
        </w:p>
      </w:sdtContent>
    </w:sdt>
    <w:p w14:paraId="48E42012" w14:textId="77777777" w:rsidR="00BE48EE" w:rsidRPr="00C73D06" w:rsidRDefault="00BE48EE" w:rsidP="00BE48EE">
      <w:pPr>
        <w:pStyle w:val="Heading3"/>
        <w:spacing w:before="240"/>
      </w:pPr>
      <w:r w:rsidRPr="00C73D06">
        <w:br w:type="page"/>
      </w:r>
    </w:p>
    <w:p w14:paraId="72AF40C1" w14:textId="77777777" w:rsidR="00BE48EE" w:rsidRPr="00C73D06" w:rsidRDefault="00BE48EE" w:rsidP="00BE48EE">
      <w:pPr>
        <w:pStyle w:val="Heading1"/>
        <w:spacing w:before="240"/>
      </w:pPr>
      <w:bookmarkStart w:id="7" w:name="_Toc67657883"/>
      <w:bookmarkStart w:id="8" w:name="_Toc73542497"/>
      <w:r w:rsidRPr="00C73D06">
        <w:lastRenderedPageBreak/>
        <w:t>Introduction</w:t>
      </w:r>
      <w:bookmarkEnd w:id="7"/>
      <w:bookmarkEnd w:id="8"/>
    </w:p>
    <w:p w14:paraId="485433BC" w14:textId="77777777" w:rsidR="00BE48EE" w:rsidRPr="00C73D06" w:rsidRDefault="00BE48EE" w:rsidP="00BE48EE">
      <w:pPr>
        <w:spacing w:before="160"/>
        <w:rPr>
          <w:rFonts w:cstheme="minorHAnsi"/>
          <w:szCs w:val="22"/>
          <w:lang w:val="en-GB"/>
        </w:rPr>
      </w:pPr>
      <w:r w:rsidRPr="00C73D06">
        <w:rPr>
          <w:rFonts w:cstheme="minorHAnsi"/>
          <w:szCs w:val="22"/>
          <w:lang w:val="en-GB"/>
        </w:rPr>
        <w:t>Family report writers play an essential role in family law parenting matters. Family report writers prepare reports that provide information and recommendations about parenting arrangements that are in the best interests of the child or children. Family reports are then considered by the parties, their legal representatives, and judges.</w:t>
      </w:r>
    </w:p>
    <w:p w14:paraId="61518471" w14:textId="77777777" w:rsidR="00BE48EE" w:rsidRPr="00C73D06" w:rsidRDefault="00BE48EE" w:rsidP="00BE48EE">
      <w:pPr>
        <w:spacing w:before="160" w:after="0"/>
        <w:rPr>
          <w:rFonts w:cstheme="minorHAnsi"/>
          <w:szCs w:val="22"/>
        </w:rPr>
      </w:pPr>
      <w:r w:rsidRPr="00C73D06">
        <w:rPr>
          <w:rFonts w:cstheme="minorHAnsi"/>
          <w:szCs w:val="22"/>
        </w:rPr>
        <w:t xml:space="preserve">Reports and public inquiries have raised concerns about family reports and the professionals </w:t>
      </w:r>
      <w:r>
        <w:rPr>
          <w:rFonts w:cstheme="minorHAnsi"/>
          <w:szCs w:val="22"/>
        </w:rPr>
        <w:t>who prepare them</w:t>
      </w:r>
      <w:r w:rsidRPr="00C73D06">
        <w:rPr>
          <w:rFonts w:cstheme="minorHAnsi"/>
          <w:szCs w:val="22"/>
        </w:rPr>
        <w:t>. A series of recommendations have been made about improving the skills, competencies and accountability mechanisms of family report writers.</w:t>
      </w:r>
      <w:r w:rsidRPr="00C73D06">
        <w:rPr>
          <w:rStyle w:val="FootnoteReference"/>
          <w:rFonts w:cstheme="minorHAnsi"/>
          <w:szCs w:val="22"/>
        </w:rPr>
        <w:footnoteReference w:id="1"/>
      </w:r>
      <w:r w:rsidRPr="00C73D06">
        <w:rPr>
          <w:rFonts w:cstheme="minorHAnsi"/>
          <w:szCs w:val="22"/>
        </w:rPr>
        <w:t xml:space="preserve"> The Australian Law Reform Commission’s (ALRC)</w:t>
      </w:r>
      <w:r w:rsidRPr="00C73D06">
        <w:rPr>
          <w:rFonts w:cstheme="minorHAnsi"/>
          <w:i/>
          <w:szCs w:val="22"/>
        </w:rPr>
        <w:t xml:space="preserve"> </w:t>
      </w:r>
      <w:r w:rsidRPr="00C73D06">
        <w:rPr>
          <w:rFonts w:cstheme="minorHAnsi"/>
          <w:szCs w:val="22"/>
        </w:rPr>
        <w:t>2019 report into the family law system,</w:t>
      </w:r>
      <w:r w:rsidRPr="00C73D06">
        <w:rPr>
          <w:rFonts w:cstheme="minorHAnsi"/>
          <w:i/>
          <w:szCs w:val="22"/>
        </w:rPr>
        <w:t xml:space="preserve"> Family Law for the Future: An Inquiry into the Family Law System, </w:t>
      </w:r>
      <w:r w:rsidRPr="00C73D06">
        <w:rPr>
          <w:rFonts w:cstheme="minorHAnsi"/>
          <w:szCs w:val="22"/>
        </w:rPr>
        <w:t xml:space="preserve">recommended that: </w:t>
      </w:r>
    </w:p>
    <w:p w14:paraId="0F52D864" w14:textId="77777777" w:rsidR="00BE48EE" w:rsidRPr="00C73D06" w:rsidRDefault="00BE48EE" w:rsidP="00BE48EE">
      <w:pPr>
        <w:spacing w:before="160"/>
        <w:ind w:left="720"/>
        <w:rPr>
          <w:i/>
          <w:lang w:val="en-GB"/>
        </w:rPr>
      </w:pPr>
      <w:r w:rsidRPr="00C73D06">
        <w:rPr>
          <w:i/>
        </w:rPr>
        <w:t>The Attorney-General’s Department should develop a mandatory national accreditation scheme for private family report writers (</w:t>
      </w:r>
      <w:r>
        <w:rPr>
          <w:i/>
        </w:rPr>
        <w:t>r</w:t>
      </w:r>
      <w:r w:rsidRPr="00C73D06">
        <w:rPr>
          <w:i/>
        </w:rPr>
        <w:t>ecommendation 53).</w:t>
      </w:r>
      <w:r w:rsidRPr="00C73D06">
        <w:rPr>
          <w:rStyle w:val="FootnoteReference"/>
          <w:rFonts w:cstheme="minorHAnsi"/>
          <w:i/>
          <w:szCs w:val="22"/>
        </w:rPr>
        <w:footnoteReference w:id="2"/>
      </w:r>
    </w:p>
    <w:p w14:paraId="78443909" w14:textId="77777777" w:rsidR="00BE48EE" w:rsidRPr="00C73D06" w:rsidRDefault="00BE48EE" w:rsidP="00BE48EE">
      <w:pPr>
        <w:spacing w:before="160"/>
        <w:rPr>
          <w:rFonts w:cstheme="minorHAnsi"/>
          <w:szCs w:val="22"/>
          <w:lang w:val="en-GB"/>
        </w:rPr>
      </w:pPr>
      <w:r w:rsidRPr="00C73D06">
        <w:rPr>
          <w:rFonts w:cstheme="minorHAnsi"/>
          <w:szCs w:val="22"/>
          <w:lang w:val="en-GB"/>
        </w:rPr>
        <w:t>The ALRC also proposed that the Attorney-General’s Department consider developing and maintaining a publicly available list of family report writers that identifies their expertise, including qualifications, skills, experience, and relevant training.</w:t>
      </w:r>
      <w:r w:rsidRPr="00C73D06">
        <w:rPr>
          <w:rStyle w:val="FootnoteReference"/>
          <w:rFonts w:cstheme="minorHAnsi"/>
          <w:szCs w:val="22"/>
          <w:lang w:val="en-GB"/>
        </w:rPr>
        <w:footnoteReference w:id="3"/>
      </w:r>
    </w:p>
    <w:p w14:paraId="6C4CFDC3" w14:textId="77777777" w:rsidR="00BE48EE" w:rsidRPr="00C73D06" w:rsidRDefault="00BE48EE" w:rsidP="00BE48EE">
      <w:pPr>
        <w:spacing w:before="160"/>
        <w:rPr>
          <w:rFonts w:cstheme="minorHAnsi"/>
          <w:szCs w:val="22"/>
        </w:rPr>
      </w:pPr>
      <w:r w:rsidRPr="00C73D06">
        <w:rPr>
          <w:rFonts w:cstheme="minorHAnsi"/>
          <w:szCs w:val="22"/>
        </w:rPr>
        <w:t xml:space="preserve">Most recently, the second interim report of the Joint Select Committee (JSC) on Australia’s Family Law System, </w:t>
      </w:r>
      <w:r w:rsidRPr="00C73D06">
        <w:rPr>
          <w:rFonts w:cstheme="minorHAnsi"/>
          <w:i/>
          <w:szCs w:val="22"/>
        </w:rPr>
        <w:t xml:space="preserve">Improvements in family law proceedings, </w:t>
      </w:r>
      <w:r w:rsidRPr="00C73D06">
        <w:rPr>
          <w:rFonts w:cstheme="minorHAnsi"/>
          <w:szCs w:val="22"/>
        </w:rPr>
        <w:t>recommended that:</w:t>
      </w:r>
    </w:p>
    <w:p w14:paraId="60B00678" w14:textId="77777777" w:rsidR="00BE48EE" w:rsidRPr="00C73D06" w:rsidRDefault="00BE48EE" w:rsidP="00BE48EE">
      <w:pPr>
        <w:spacing w:before="160"/>
        <w:ind w:left="720"/>
        <w:rPr>
          <w:i/>
        </w:rPr>
      </w:pPr>
      <w:r w:rsidRPr="00C73D06">
        <w:rPr>
          <w:i/>
        </w:rPr>
        <w:t xml:space="preserve">The Australian Government lead the establishment of mandatory accreditation, standards and monitoring processes, including complaints mechanisms and ongoing professional development requirements, for family consultants, including family report writers employed by the court and engaged under Regulation 7 of the Family Law Regulations, and privately </w:t>
      </w:r>
      <w:r>
        <w:rPr>
          <w:i/>
        </w:rPr>
        <w:t>engaged family report writers (r</w:t>
      </w:r>
      <w:r w:rsidRPr="00C73D06">
        <w:rPr>
          <w:i/>
        </w:rPr>
        <w:t>ecommendation 9).</w:t>
      </w:r>
      <w:r w:rsidRPr="00C73D06">
        <w:rPr>
          <w:i/>
          <w:vertAlign w:val="superscript"/>
        </w:rPr>
        <w:footnoteReference w:id="4"/>
      </w:r>
      <w:r w:rsidRPr="00C73D06">
        <w:rPr>
          <w:i/>
          <w:vertAlign w:val="superscript"/>
        </w:rPr>
        <w:t xml:space="preserve"> </w:t>
      </w:r>
    </w:p>
    <w:p w14:paraId="5BF50155" w14:textId="77777777" w:rsidR="00BE48EE" w:rsidRPr="00C73D06" w:rsidRDefault="00BE48EE" w:rsidP="00BE48EE">
      <w:pPr>
        <w:spacing w:before="160" w:after="0"/>
        <w:rPr>
          <w:rFonts w:cstheme="minorHAnsi"/>
          <w:szCs w:val="22"/>
          <w:lang w:val="en-GB"/>
        </w:rPr>
      </w:pPr>
      <w:r>
        <w:rPr>
          <w:rFonts w:cstheme="minorHAnsi"/>
          <w:szCs w:val="22"/>
          <w:lang w:val="en-GB"/>
        </w:rPr>
        <w:t>I</w:t>
      </w:r>
      <w:r w:rsidRPr="000A5E43">
        <w:rPr>
          <w:rFonts w:cstheme="minorHAnsi"/>
          <w:szCs w:val="22"/>
          <w:lang w:val="en-GB"/>
        </w:rPr>
        <w:t xml:space="preserve">n </w:t>
      </w:r>
      <w:r>
        <w:rPr>
          <w:rFonts w:cstheme="minorHAnsi"/>
          <w:szCs w:val="22"/>
          <w:lang w:val="en-GB"/>
        </w:rPr>
        <w:t>submissions</w:t>
      </w:r>
      <w:r w:rsidRPr="000A5E43">
        <w:rPr>
          <w:rFonts w:cstheme="minorHAnsi"/>
          <w:szCs w:val="22"/>
          <w:lang w:val="en-GB"/>
        </w:rPr>
        <w:t xml:space="preserve"> to these reviews</w:t>
      </w:r>
      <w:r>
        <w:rPr>
          <w:rFonts w:cstheme="minorHAnsi"/>
          <w:szCs w:val="22"/>
          <w:lang w:val="en-GB"/>
        </w:rPr>
        <w:t>,</w:t>
      </w:r>
      <w:r w:rsidRPr="000A5E43">
        <w:rPr>
          <w:rFonts w:cstheme="minorHAnsi"/>
          <w:szCs w:val="22"/>
          <w:lang w:val="en-GB"/>
        </w:rPr>
        <w:t xml:space="preserve"> stakeholders have expressed </w:t>
      </w:r>
      <w:r>
        <w:rPr>
          <w:rFonts w:cstheme="minorHAnsi"/>
          <w:szCs w:val="22"/>
          <w:lang w:val="en-GB"/>
        </w:rPr>
        <w:t>the following concerns in relation to family report writers:</w:t>
      </w:r>
      <w:r w:rsidRPr="00C73D06">
        <w:rPr>
          <w:rFonts w:cstheme="minorHAnsi"/>
          <w:szCs w:val="22"/>
          <w:lang w:val="en-GB"/>
        </w:rPr>
        <w:t xml:space="preserve"> </w:t>
      </w:r>
    </w:p>
    <w:p w14:paraId="61410E9E" w14:textId="77777777" w:rsidR="00BE48EE" w:rsidRPr="00C73D06" w:rsidRDefault="00BE48EE" w:rsidP="00BE48EE">
      <w:pPr>
        <w:pStyle w:val="ListParagraph"/>
        <w:numPr>
          <w:ilvl w:val="0"/>
          <w:numId w:val="11"/>
        </w:numPr>
        <w:rPr>
          <w:rFonts w:cstheme="minorHAnsi"/>
          <w:szCs w:val="22"/>
          <w:lang w:val="en-GB"/>
        </w:rPr>
      </w:pPr>
      <w:r>
        <w:rPr>
          <w:rFonts w:cstheme="minorHAnsi"/>
          <w:szCs w:val="22"/>
        </w:rPr>
        <w:t xml:space="preserve">Some family report writers have an insufficient </w:t>
      </w:r>
      <w:r w:rsidRPr="00C73D06">
        <w:rPr>
          <w:rFonts w:cstheme="minorHAnsi"/>
          <w:szCs w:val="22"/>
        </w:rPr>
        <w:t>understanding of family violence, child abuse and the impact of trauma</w:t>
      </w:r>
      <w:r>
        <w:rPr>
          <w:rFonts w:cstheme="minorHAnsi"/>
          <w:szCs w:val="22"/>
        </w:rPr>
        <w:t>.</w:t>
      </w:r>
    </w:p>
    <w:p w14:paraId="17DA9D17" w14:textId="77777777" w:rsidR="00BE48EE" w:rsidRPr="00C73D06" w:rsidRDefault="00BE48EE" w:rsidP="00BE48EE">
      <w:pPr>
        <w:pStyle w:val="ListParagraph"/>
        <w:numPr>
          <w:ilvl w:val="0"/>
          <w:numId w:val="11"/>
        </w:numPr>
        <w:spacing w:before="160"/>
        <w:rPr>
          <w:rFonts w:cstheme="minorHAnsi"/>
          <w:szCs w:val="22"/>
          <w:lang w:val="en-GB"/>
        </w:rPr>
      </w:pPr>
      <w:r>
        <w:rPr>
          <w:rFonts w:cstheme="minorHAnsi"/>
          <w:szCs w:val="22"/>
        </w:rPr>
        <w:t xml:space="preserve">Some </w:t>
      </w:r>
      <w:r w:rsidRPr="00C73D06">
        <w:rPr>
          <w:rFonts w:cstheme="minorHAnsi"/>
          <w:szCs w:val="22"/>
        </w:rPr>
        <w:t>reports</w:t>
      </w:r>
      <w:r>
        <w:rPr>
          <w:rFonts w:cstheme="minorHAnsi"/>
          <w:szCs w:val="22"/>
        </w:rPr>
        <w:t xml:space="preserve"> do</w:t>
      </w:r>
      <w:r w:rsidRPr="00C73D06">
        <w:rPr>
          <w:rFonts w:cstheme="minorHAnsi"/>
          <w:szCs w:val="22"/>
        </w:rPr>
        <w:t xml:space="preserve"> not adequately address </w:t>
      </w:r>
      <w:r>
        <w:rPr>
          <w:rFonts w:cstheme="minorHAnsi"/>
          <w:szCs w:val="22"/>
        </w:rPr>
        <w:t xml:space="preserve">allegations of </w:t>
      </w:r>
      <w:r w:rsidRPr="00C73D06">
        <w:rPr>
          <w:rFonts w:cstheme="minorHAnsi"/>
          <w:szCs w:val="22"/>
        </w:rPr>
        <w:t>violence, or minimis</w:t>
      </w:r>
      <w:r>
        <w:rPr>
          <w:rFonts w:cstheme="minorHAnsi"/>
          <w:szCs w:val="22"/>
        </w:rPr>
        <w:t>e</w:t>
      </w:r>
      <w:r w:rsidRPr="00C73D06">
        <w:rPr>
          <w:rFonts w:cstheme="minorHAnsi"/>
          <w:szCs w:val="22"/>
        </w:rPr>
        <w:t xml:space="preserve"> allegations and concerns</w:t>
      </w:r>
      <w:r>
        <w:rPr>
          <w:rFonts w:cstheme="minorHAnsi"/>
          <w:szCs w:val="22"/>
        </w:rPr>
        <w:t>.</w:t>
      </w:r>
      <w:r w:rsidRPr="00C73D06">
        <w:rPr>
          <w:rFonts w:cstheme="minorHAnsi"/>
          <w:szCs w:val="22"/>
        </w:rPr>
        <w:t xml:space="preserve"> </w:t>
      </w:r>
    </w:p>
    <w:p w14:paraId="38C93F17" w14:textId="77777777" w:rsidR="00BE48EE" w:rsidRPr="00C73D06" w:rsidRDefault="00BE48EE" w:rsidP="00BE48EE">
      <w:pPr>
        <w:pStyle w:val="ListParagraph"/>
        <w:numPr>
          <w:ilvl w:val="0"/>
          <w:numId w:val="11"/>
        </w:numPr>
        <w:spacing w:before="160"/>
        <w:rPr>
          <w:rFonts w:cstheme="minorHAnsi"/>
          <w:szCs w:val="22"/>
          <w:lang w:val="en-GB"/>
        </w:rPr>
      </w:pPr>
      <w:r>
        <w:rPr>
          <w:rFonts w:cstheme="minorHAnsi"/>
          <w:szCs w:val="22"/>
        </w:rPr>
        <w:t>C</w:t>
      </w:r>
      <w:r w:rsidRPr="00C73D06">
        <w:rPr>
          <w:rFonts w:cstheme="minorHAnsi"/>
          <w:szCs w:val="22"/>
        </w:rPr>
        <w:t>onscious and unconscious bias</w:t>
      </w:r>
      <w:r>
        <w:rPr>
          <w:rFonts w:cstheme="minorHAnsi"/>
          <w:szCs w:val="22"/>
        </w:rPr>
        <w:t>.</w:t>
      </w:r>
    </w:p>
    <w:p w14:paraId="1B8636FD" w14:textId="77777777" w:rsidR="00BE48EE" w:rsidRPr="00C73D06" w:rsidRDefault="00BE48EE" w:rsidP="00BE48EE">
      <w:pPr>
        <w:pStyle w:val="ListParagraph"/>
        <w:numPr>
          <w:ilvl w:val="0"/>
          <w:numId w:val="11"/>
        </w:numPr>
        <w:spacing w:before="160"/>
        <w:rPr>
          <w:rFonts w:cstheme="minorHAnsi"/>
          <w:szCs w:val="22"/>
          <w:lang w:val="en-GB"/>
        </w:rPr>
      </w:pPr>
      <w:r>
        <w:rPr>
          <w:rFonts w:cstheme="minorHAnsi"/>
          <w:szCs w:val="22"/>
        </w:rPr>
        <w:t xml:space="preserve">Some </w:t>
      </w:r>
      <w:r w:rsidRPr="00C73D06">
        <w:rPr>
          <w:rFonts w:cstheme="minorHAnsi"/>
          <w:szCs w:val="22"/>
        </w:rPr>
        <w:t>assessment</w:t>
      </w:r>
      <w:r>
        <w:rPr>
          <w:rFonts w:cstheme="minorHAnsi"/>
          <w:szCs w:val="22"/>
        </w:rPr>
        <w:t>s</w:t>
      </w:r>
      <w:r w:rsidRPr="00C73D06">
        <w:rPr>
          <w:rFonts w:cstheme="minorHAnsi"/>
          <w:szCs w:val="22"/>
        </w:rPr>
        <w:t xml:space="preserve"> and recommendations</w:t>
      </w:r>
      <w:r>
        <w:rPr>
          <w:rFonts w:cstheme="minorHAnsi"/>
          <w:szCs w:val="22"/>
        </w:rPr>
        <w:t xml:space="preserve"> are </w:t>
      </w:r>
      <w:r w:rsidRPr="00C73D06">
        <w:rPr>
          <w:rFonts w:cstheme="minorHAnsi"/>
          <w:szCs w:val="22"/>
        </w:rPr>
        <w:t xml:space="preserve">beyond the scope of </w:t>
      </w:r>
      <w:r>
        <w:rPr>
          <w:rFonts w:cstheme="minorHAnsi"/>
          <w:szCs w:val="22"/>
        </w:rPr>
        <w:t xml:space="preserve">the family report writer’s </w:t>
      </w:r>
      <w:r w:rsidRPr="00C73D06">
        <w:rPr>
          <w:rFonts w:cstheme="minorHAnsi"/>
          <w:szCs w:val="22"/>
        </w:rPr>
        <w:t>competency and qualifications</w:t>
      </w:r>
      <w:r>
        <w:rPr>
          <w:rFonts w:cstheme="minorHAnsi"/>
          <w:szCs w:val="22"/>
        </w:rPr>
        <w:t>.</w:t>
      </w:r>
    </w:p>
    <w:p w14:paraId="06F85564" w14:textId="77777777" w:rsidR="00BE48EE" w:rsidRPr="00C73D06" w:rsidRDefault="00BE48EE" w:rsidP="00BE48EE">
      <w:pPr>
        <w:pStyle w:val="ListParagraph"/>
        <w:numPr>
          <w:ilvl w:val="0"/>
          <w:numId w:val="11"/>
        </w:numPr>
        <w:spacing w:before="160"/>
        <w:rPr>
          <w:rFonts w:cstheme="minorHAnsi"/>
          <w:szCs w:val="22"/>
          <w:lang w:val="en-GB"/>
        </w:rPr>
      </w:pPr>
      <w:r>
        <w:rPr>
          <w:rFonts w:cstheme="minorHAnsi"/>
          <w:szCs w:val="22"/>
        </w:rPr>
        <w:t xml:space="preserve">Some family report writers do </w:t>
      </w:r>
      <w:r w:rsidRPr="00C73D06">
        <w:rPr>
          <w:rFonts w:cstheme="minorHAnsi"/>
          <w:szCs w:val="22"/>
        </w:rPr>
        <w:t>not appropriately engag</w:t>
      </w:r>
      <w:r>
        <w:rPr>
          <w:rFonts w:cstheme="minorHAnsi"/>
          <w:szCs w:val="22"/>
        </w:rPr>
        <w:t>e with or</w:t>
      </w:r>
      <w:r w:rsidRPr="00C73D06">
        <w:rPr>
          <w:rFonts w:cstheme="minorHAnsi"/>
          <w:szCs w:val="22"/>
        </w:rPr>
        <w:t xml:space="preserve"> listen to</w:t>
      </w:r>
      <w:r>
        <w:rPr>
          <w:rFonts w:cstheme="minorHAnsi"/>
          <w:szCs w:val="22"/>
        </w:rPr>
        <w:t xml:space="preserve"> children and do not</w:t>
      </w:r>
      <w:r w:rsidRPr="00C73D06">
        <w:rPr>
          <w:rFonts w:cstheme="minorHAnsi"/>
          <w:szCs w:val="22"/>
        </w:rPr>
        <w:t xml:space="preserve"> accurately represent </w:t>
      </w:r>
      <w:r>
        <w:rPr>
          <w:rFonts w:cstheme="minorHAnsi"/>
          <w:szCs w:val="22"/>
        </w:rPr>
        <w:t>their views.</w:t>
      </w:r>
    </w:p>
    <w:p w14:paraId="7FF089C2" w14:textId="77777777" w:rsidR="00BE48EE" w:rsidRPr="00C73D06" w:rsidRDefault="00BE48EE" w:rsidP="00BE48EE">
      <w:pPr>
        <w:pStyle w:val="ListParagraph"/>
        <w:numPr>
          <w:ilvl w:val="0"/>
          <w:numId w:val="11"/>
        </w:numPr>
        <w:spacing w:before="160"/>
        <w:rPr>
          <w:rFonts w:cstheme="minorHAnsi"/>
          <w:szCs w:val="22"/>
          <w:lang w:val="en-GB"/>
        </w:rPr>
      </w:pPr>
      <w:r>
        <w:rPr>
          <w:rFonts w:cstheme="minorHAnsi"/>
          <w:szCs w:val="22"/>
        </w:rPr>
        <w:lastRenderedPageBreak/>
        <w:t xml:space="preserve">Family report writers do not do enough </w:t>
      </w:r>
      <w:r w:rsidRPr="00C73D06">
        <w:rPr>
          <w:rFonts w:cstheme="minorHAnsi"/>
          <w:szCs w:val="22"/>
        </w:rPr>
        <w:t>evidence gathering from third parties</w:t>
      </w:r>
      <w:r>
        <w:rPr>
          <w:rFonts w:cstheme="minorHAnsi"/>
          <w:szCs w:val="22"/>
        </w:rPr>
        <w:t>.</w:t>
      </w:r>
    </w:p>
    <w:p w14:paraId="49E1CCAA" w14:textId="77777777" w:rsidR="00BE48EE" w:rsidRPr="00C73D06" w:rsidRDefault="00BE48EE" w:rsidP="00BE48EE">
      <w:pPr>
        <w:pStyle w:val="ListParagraph"/>
        <w:numPr>
          <w:ilvl w:val="0"/>
          <w:numId w:val="11"/>
        </w:numPr>
        <w:spacing w:before="160"/>
        <w:rPr>
          <w:rFonts w:cstheme="minorHAnsi"/>
          <w:szCs w:val="22"/>
          <w:lang w:val="en-GB"/>
        </w:rPr>
      </w:pPr>
      <w:r>
        <w:rPr>
          <w:rFonts w:cstheme="minorHAnsi"/>
          <w:szCs w:val="22"/>
        </w:rPr>
        <w:t xml:space="preserve">Some family </w:t>
      </w:r>
      <w:r w:rsidRPr="00C73D06">
        <w:rPr>
          <w:rFonts w:cstheme="minorHAnsi"/>
          <w:szCs w:val="22"/>
        </w:rPr>
        <w:t xml:space="preserve">reports </w:t>
      </w:r>
      <w:r>
        <w:rPr>
          <w:rFonts w:cstheme="minorHAnsi"/>
          <w:szCs w:val="22"/>
        </w:rPr>
        <w:t>are too</w:t>
      </w:r>
      <w:r w:rsidRPr="00C73D06">
        <w:rPr>
          <w:rFonts w:cstheme="minorHAnsi"/>
          <w:szCs w:val="22"/>
        </w:rPr>
        <w:t xml:space="preserve"> general in nature and </w:t>
      </w:r>
      <w:r w:rsidRPr="00C73D06">
        <w:rPr>
          <w:rFonts w:cstheme="minorHAnsi"/>
          <w:szCs w:val="22"/>
          <w:lang w:val="en-GB"/>
        </w:rPr>
        <w:t>lack focus on specific issues raised in the proceedings such as family violence or child abuse.</w:t>
      </w:r>
    </w:p>
    <w:p w14:paraId="767572E4" w14:textId="77777777" w:rsidR="00BE48EE" w:rsidRPr="00C73D06" w:rsidRDefault="00BE48EE" w:rsidP="00BE48EE">
      <w:pPr>
        <w:spacing w:before="160"/>
        <w:rPr>
          <w:rFonts w:cstheme="minorHAnsi"/>
          <w:szCs w:val="22"/>
          <w:lang w:val="en-GB"/>
        </w:rPr>
      </w:pPr>
      <w:r w:rsidRPr="00C73D06">
        <w:rPr>
          <w:rFonts w:cstheme="minorHAnsi"/>
          <w:szCs w:val="22"/>
          <w:lang w:val="en-GB"/>
        </w:rPr>
        <w:t xml:space="preserve">Stakeholders raised these concerns about all categories of professionals who prepare family reports – psychologists, social workers and psychiatrists. This paper therefore considers all professionals involved in family report writing and family assessments. </w:t>
      </w:r>
    </w:p>
    <w:p w14:paraId="12C58C91" w14:textId="77777777" w:rsidR="00BE48EE" w:rsidRPr="00C73D06" w:rsidRDefault="00BE48EE" w:rsidP="00BE48EE">
      <w:pPr>
        <w:pStyle w:val="Heading2"/>
        <w:rPr>
          <w:lang w:val="en-GB"/>
        </w:rPr>
      </w:pPr>
      <w:bookmarkStart w:id="9" w:name="_Toc67657884"/>
      <w:r w:rsidRPr="00C73D06">
        <w:rPr>
          <w:lang w:val="en-GB"/>
        </w:rPr>
        <w:t>Purpose</w:t>
      </w:r>
      <w:bookmarkEnd w:id="9"/>
      <w:r w:rsidRPr="00C73D06">
        <w:rPr>
          <w:lang w:val="en-GB"/>
        </w:rPr>
        <w:t xml:space="preserve"> and scope </w:t>
      </w:r>
    </w:p>
    <w:p w14:paraId="3FAE5458" w14:textId="77777777" w:rsidR="00BE48EE" w:rsidRPr="00C73D06" w:rsidRDefault="00BE48EE" w:rsidP="00BE48EE">
      <w:r w:rsidRPr="00C73D06">
        <w:t>The department has prepared this paper as part of the Government’s response to recommendation</w:t>
      </w:r>
      <w:r>
        <w:t> </w:t>
      </w:r>
      <w:r w:rsidRPr="00C73D06">
        <w:t xml:space="preserve">53 of the ALRC report. </w:t>
      </w:r>
      <w:r w:rsidRPr="00C73D06">
        <w:rPr>
          <w:rFonts w:cstheme="minorHAnsi"/>
          <w:szCs w:val="22"/>
        </w:rPr>
        <w:t xml:space="preserve">The Government agreed in principle with this recommendation </w:t>
      </w:r>
      <w:r w:rsidRPr="00C73D06">
        <w:t>and committed to explore options to improve the competency, quality and overall number of professionals involved in writing family reports.</w:t>
      </w:r>
      <w:r w:rsidRPr="00C73D06">
        <w:rPr>
          <w:rStyle w:val="FootnoteReference"/>
        </w:rPr>
        <w:footnoteReference w:id="5"/>
      </w:r>
      <w:r w:rsidRPr="00C73D06">
        <w:t xml:space="preserve"> This paper seeks views from stakeholders and interested members of the public on how the competency and accountability of professionals who prepare family reports could be improved, and the entities and mechanisms that could be engaged to achieve this.</w:t>
      </w:r>
    </w:p>
    <w:p w14:paraId="1DE67A41" w14:textId="77777777" w:rsidR="00BE48EE" w:rsidRPr="00C73D06" w:rsidRDefault="00BE48EE" w:rsidP="00BE48EE">
      <w:pPr>
        <w:rPr>
          <w:szCs w:val="22"/>
          <w:lang w:val="en-GB"/>
        </w:rPr>
      </w:pPr>
      <w:r w:rsidRPr="00C73D06">
        <w:rPr>
          <w:szCs w:val="22"/>
          <w:lang w:val="en-GB"/>
        </w:rPr>
        <w:t>This paper does not consider</w:t>
      </w:r>
      <w:r>
        <w:rPr>
          <w:szCs w:val="22"/>
          <w:lang w:val="en-GB"/>
        </w:rPr>
        <w:t xml:space="preserve"> </w:t>
      </w:r>
      <w:r w:rsidRPr="00C73D06">
        <w:rPr>
          <w:szCs w:val="22"/>
          <w:lang w:val="en-GB"/>
        </w:rPr>
        <w:t>expanding or varying the roles of family report writer</w:t>
      </w:r>
      <w:r>
        <w:rPr>
          <w:szCs w:val="22"/>
          <w:lang w:val="en-GB"/>
        </w:rPr>
        <w:t xml:space="preserve">, </w:t>
      </w:r>
      <w:r w:rsidRPr="00C73D06">
        <w:rPr>
          <w:szCs w:val="22"/>
          <w:lang w:val="en-GB"/>
        </w:rPr>
        <w:t>increasing the time that report writers spend with parties,</w:t>
      </w:r>
      <w:r>
        <w:rPr>
          <w:szCs w:val="22"/>
          <w:lang w:val="en-GB"/>
        </w:rPr>
        <w:t xml:space="preserve"> </w:t>
      </w:r>
      <w:r w:rsidRPr="00C73D06">
        <w:rPr>
          <w:szCs w:val="22"/>
          <w:lang w:val="en-GB"/>
        </w:rPr>
        <w:t>alternative options to family reports</w:t>
      </w:r>
      <w:r>
        <w:rPr>
          <w:szCs w:val="22"/>
          <w:lang w:val="en-GB"/>
        </w:rPr>
        <w:t xml:space="preserve"> or</w:t>
      </w:r>
      <w:r w:rsidRPr="00C73D06">
        <w:rPr>
          <w:szCs w:val="22"/>
          <w:lang w:val="en-GB"/>
        </w:rPr>
        <w:t xml:space="preserve"> funding arrangements for family report writers</w:t>
      </w:r>
      <w:r w:rsidRPr="00C73D06">
        <w:t xml:space="preserve">. </w:t>
      </w:r>
    </w:p>
    <w:p w14:paraId="2DECD1A0" w14:textId="77777777" w:rsidR="00BE48EE" w:rsidRPr="00C73D06" w:rsidRDefault="00BE48EE" w:rsidP="00BE48EE">
      <w:pPr>
        <w:pStyle w:val="Heading2"/>
      </w:pPr>
      <w:r w:rsidRPr="00C73D06">
        <w:t>Consultation process</w:t>
      </w:r>
    </w:p>
    <w:p w14:paraId="7132C1EF" w14:textId="77777777" w:rsidR="00BE48EE" w:rsidRPr="00C73D06" w:rsidRDefault="00BE48EE" w:rsidP="00BE48EE">
      <w:pPr>
        <w:rPr>
          <w:szCs w:val="22"/>
        </w:rPr>
      </w:pPr>
      <w:r w:rsidRPr="00C73D06">
        <w:rPr>
          <w:szCs w:val="22"/>
        </w:rPr>
        <w:t xml:space="preserve">The department welcomes submissions from stakeholders and members of the public in response to the issues and options identified in this paper. Submissions should not include the names or identifying details of any individual, family, or specific family report writer. The department cannot investigate any submission that makes a complaint about a report writer. While the department has attempted to ensure the factual accuracy of the information contained in this document, any advice or corrections are welcome. </w:t>
      </w:r>
    </w:p>
    <w:p w14:paraId="4346F3B9" w14:textId="77777777" w:rsidR="00BE48EE" w:rsidRDefault="00BE48EE" w:rsidP="00BE48EE">
      <w:r>
        <w:t xml:space="preserve">The department intends to publish submissions, although reserves the right to leave unpublished any submission, or part thereof. </w:t>
      </w:r>
      <w:r w:rsidRPr="00C73D06">
        <w:t>Please let us know if you do not want your submission published.</w:t>
      </w:r>
      <w:r w:rsidRPr="00C64202">
        <w:rPr>
          <w:szCs w:val="22"/>
        </w:rPr>
        <w:t xml:space="preserve"> Submissions may be subject to freedom of information requests, or requests from </w:t>
      </w:r>
      <w:r>
        <w:rPr>
          <w:szCs w:val="22"/>
        </w:rPr>
        <w:t>P</w:t>
      </w:r>
      <w:r w:rsidRPr="00C64202">
        <w:rPr>
          <w:szCs w:val="22"/>
        </w:rPr>
        <w:t>arliament</w:t>
      </w:r>
      <w:r>
        <w:rPr>
          <w:szCs w:val="22"/>
        </w:rPr>
        <w:t>,</w:t>
      </w:r>
      <w:r w:rsidRPr="00EB1F65">
        <w:rPr>
          <w:szCs w:val="22"/>
        </w:rPr>
        <w:t xml:space="preserve"> </w:t>
      </w:r>
      <w:r>
        <w:rPr>
          <w:szCs w:val="22"/>
        </w:rPr>
        <w:t>which the department will consider and respond to in line with regulatory requirements</w:t>
      </w:r>
      <w:r w:rsidRPr="00C64202">
        <w:rPr>
          <w:szCs w:val="22"/>
        </w:rPr>
        <w:t>.</w:t>
      </w:r>
    </w:p>
    <w:p w14:paraId="1400CA77" w14:textId="77777777" w:rsidR="00BE48EE" w:rsidRPr="00C73D06" w:rsidRDefault="00BE48EE" w:rsidP="00BE48EE">
      <w:pPr>
        <w:rPr>
          <w:szCs w:val="22"/>
        </w:rPr>
      </w:pPr>
      <w:r w:rsidRPr="00C73D06">
        <w:rPr>
          <w:szCs w:val="22"/>
        </w:rPr>
        <w:t xml:space="preserve">Submissions </w:t>
      </w:r>
      <w:r>
        <w:rPr>
          <w:szCs w:val="22"/>
        </w:rPr>
        <w:t>close on</w:t>
      </w:r>
      <w:r w:rsidRPr="00C73D06">
        <w:rPr>
          <w:szCs w:val="22"/>
        </w:rPr>
        <w:t xml:space="preserve"> </w:t>
      </w:r>
      <w:r>
        <w:rPr>
          <w:b/>
          <w:szCs w:val="22"/>
        </w:rPr>
        <w:t>3 December</w:t>
      </w:r>
      <w:r w:rsidRPr="00D33C67">
        <w:rPr>
          <w:b/>
          <w:color w:val="000000" w:themeColor="text1"/>
          <w:szCs w:val="22"/>
        </w:rPr>
        <w:t xml:space="preserve"> 2021</w:t>
      </w:r>
      <w:r>
        <w:rPr>
          <w:b/>
          <w:color w:val="000000" w:themeColor="text1"/>
          <w:szCs w:val="22"/>
        </w:rPr>
        <w:t>.</w:t>
      </w:r>
    </w:p>
    <w:p w14:paraId="7D63EAED" w14:textId="77777777" w:rsidR="00BE48EE" w:rsidRPr="00C73D06" w:rsidRDefault="00BE48EE" w:rsidP="00BE48EE">
      <w:pPr>
        <w:rPr>
          <w:rFonts w:asciiTheme="majorHAnsi" w:eastAsiaTheme="majorEastAsia" w:hAnsiTheme="majorHAnsi" w:cstheme="majorBidi"/>
          <w:sz w:val="32"/>
          <w:szCs w:val="32"/>
        </w:rPr>
      </w:pPr>
      <w:r w:rsidRPr="00C73D06">
        <w:br w:type="page"/>
      </w:r>
    </w:p>
    <w:p w14:paraId="7D389309" w14:textId="77777777" w:rsidR="00BE48EE" w:rsidRPr="00C73D06" w:rsidRDefault="00BE48EE" w:rsidP="00BE48EE">
      <w:pPr>
        <w:pStyle w:val="Heading1"/>
        <w:spacing w:beforeLines="0" w:before="0" w:line="276" w:lineRule="auto"/>
      </w:pPr>
      <w:bookmarkStart w:id="10" w:name="_Toc67657886"/>
      <w:bookmarkStart w:id="11" w:name="_Toc73542498"/>
      <w:r w:rsidRPr="00C73D06">
        <w:lastRenderedPageBreak/>
        <w:t>Part I - Family Report Requirements</w:t>
      </w:r>
      <w:bookmarkEnd w:id="10"/>
      <w:bookmarkEnd w:id="11"/>
    </w:p>
    <w:p w14:paraId="7E6DB3BB" w14:textId="77777777" w:rsidR="00BE48EE" w:rsidRPr="00C73D06" w:rsidRDefault="00BE48EE" w:rsidP="00BE48EE">
      <w:pPr>
        <w:pStyle w:val="Heading2"/>
        <w:spacing w:before="240" w:line="276" w:lineRule="auto"/>
      </w:pPr>
      <w:bookmarkStart w:id="12" w:name="_Toc67657887"/>
      <w:bookmarkStart w:id="13" w:name="_Toc73542499"/>
      <w:r w:rsidRPr="00C73D06">
        <w:t>Family reports and family report writers</w:t>
      </w:r>
      <w:bookmarkEnd w:id="12"/>
      <w:bookmarkEnd w:id="13"/>
    </w:p>
    <w:p w14:paraId="519509B0" w14:textId="77777777" w:rsidR="00BE48EE" w:rsidRPr="00C73D06" w:rsidRDefault="00BE48EE" w:rsidP="00BE48EE">
      <w:pPr>
        <w:rPr>
          <w:szCs w:val="22"/>
        </w:rPr>
      </w:pPr>
      <w:r>
        <w:rPr>
          <w:szCs w:val="22"/>
        </w:rPr>
        <w:t>A f</w:t>
      </w:r>
      <w:r w:rsidRPr="00C73D06">
        <w:rPr>
          <w:szCs w:val="22"/>
        </w:rPr>
        <w:t xml:space="preserve">amily report </w:t>
      </w:r>
      <w:r>
        <w:rPr>
          <w:szCs w:val="22"/>
        </w:rPr>
        <w:t>is a</w:t>
      </w:r>
      <w:r w:rsidRPr="00C73D06">
        <w:rPr>
          <w:szCs w:val="22"/>
        </w:rPr>
        <w:t xml:space="preserve"> </w:t>
      </w:r>
      <w:r>
        <w:rPr>
          <w:szCs w:val="22"/>
        </w:rPr>
        <w:t>written assessment</w:t>
      </w:r>
      <w:r w:rsidRPr="00C73D06">
        <w:rPr>
          <w:szCs w:val="22"/>
        </w:rPr>
        <w:t xml:space="preserve"> prepared by </w:t>
      </w:r>
      <w:r>
        <w:rPr>
          <w:szCs w:val="22"/>
        </w:rPr>
        <w:t xml:space="preserve">a </w:t>
      </w:r>
      <w:r w:rsidRPr="00C73D06">
        <w:rPr>
          <w:szCs w:val="22"/>
        </w:rPr>
        <w:t>social science expert to assist</w:t>
      </w:r>
      <w:r>
        <w:rPr>
          <w:szCs w:val="22"/>
        </w:rPr>
        <w:t xml:space="preserve"> a</w:t>
      </w:r>
      <w:r w:rsidRPr="00C73D06">
        <w:rPr>
          <w:szCs w:val="22"/>
        </w:rPr>
        <w:t xml:space="preserve"> judge in </w:t>
      </w:r>
      <w:r>
        <w:rPr>
          <w:szCs w:val="22"/>
        </w:rPr>
        <w:t xml:space="preserve">deciding </w:t>
      </w:r>
      <w:r w:rsidRPr="00C73D06">
        <w:rPr>
          <w:szCs w:val="22"/>
        </w:rPr>
        <w:t>parenting arrangements that are in the best interests of the child</w:t>
      </w:r>
      <w:r>
        <w:rPr>
          <w:szCs w:val="22"/>
        </w:rPr>
        <w:t xml:space="preserve"> or children</w:t>
      </w:r>
      <w:r w:rsidRPr="00C73D06">
        <w:rPr>
          <w:szCs w:val="22"/>
        </w:rPr>
        <w:t xml:space="preserve">. </w:t>
      </w:r>
    </w:p>
    <w:p w14:paraId="5DA18F69" w14:textId="77777777" w:rsidR="00BE48EE" w:rsidRPr="00C73D06" w:rsidRDefault="00BE48EE" w:rsidP="00BE48EE">
      <w:pPr>
        <w:rPr>
          <w:szCs w:val="22"/>
        </w:rPr>
      </w:pPr>
      <w:r w:rsidRPr="00C73D06">
        <w:rPr>
          <w:szCs w:val="22"/>
        </w:rPr>
        <w:t xml:space="preserve">Family reports </w:t>
      </w:r>
      <w:r>
        <w:rPr>
          <w:szCs w:val="22"/>
        </w:rPr>
        <w:t>involve</w:t>
      </w:r>
      <w:r w:rsidRPr="00C73D06">
        <w:rPr>
          <w:szCs w:val="22"/>
        </w:rPr>
        <w:t xml:space="preserve"> an independent forensic </w:t>
      </w:r>
      <w:r>
        <w:rPr>
          <w:szCs w:val="22"/>
        </w:rPr>
        <w:t>assessment</w:t>
      </w:r>
      <w:r w:rsidRPr="00C73D06">
        <w:rPr>
          <w:szCs w:val="22"/>
        </w:rPr>
        <w:t xml:space="preserve"> of the family, done from a social science and non-partisan perspective.</w:t>
      </w:r>
      <w:r w:rsidRPr="00C73D06">
        <w:rPr>
          <w:rStyle w:val="FootnoteReference"/>
          <w:szCs w:val="22"/>
        </w:rPr>
        <w:footnoteReference w:id="6"/>
      </w:r>
      <w:r w:rsidRPr="00C73D06">
        <w:rPr>
          <w:szCs w:val="22"/>
        </w:rPr>
        <w:t xml:space="preserve"> Family reports usually provide advice about family dynamics including the attitudes and parenting capacity of each parent, the child’s relationship with the parents and significant others, the child’s wishes and views, and any risks to the family. Where family violence is identified, a specialised family violence assessment is to be included in the assessment and report. </w:t>
      </w:r>
    </w:p>
    <w:p w14:paraId="1A078D42" w14:textId="77777777" w:rsidR="00BE48EE" w:rsidRPr="00C73D06" w:rsidRDefault="00BE48EE" w:rsidP="00BE48EE">
      <w:pPr>
        <w:rPr>
          <w:szCs w:val="22"/>
        </w:rPr>
      </w:pPr>
      <w:r w:rsidRPr="00C73D06">
        <w:rPr>
          <w:szCs w:val="22"/>
        </w:rPr>
        <w:t xml:space="preserve">The information that forms the basis of a family report includes interviews and observations of parties and their children, affidavits and other documents filed in proceedings, information from </w:t>
      </w:r>
      <w:r>
        <w:rPr>
          <w:szCs w:val="22"/>
        </w:rPr>
        <w:t>an</w:t>
      </w:r>
      <w:r w:rsidRPr="00C73D06">
        <w:rPr>
          <w:szCs w:val="22"/>
        </w:rPr>
        <w:t xml:space="preserve"> Independent Children’s Lawyer</w:t>
      </w:r>
      <w:r>
        <w:rPr>
          <w:szCs w:val="22"/>
        </w:rPr>
        <w:t xml:space="preserve"> (if appointed)</w:t>
      </w:r>
      <w:r w:rsidRPr="00C73D06">
        <w:rPr>
          <w:szCs w:val="22"/>
        </w:rPr>
        <w:t>, and possibly reports from the child’s school or psychologist.</w:t>
      </w:r>
      <w:r w:rsidRPr="00C73D06">
        <w:rPr>
          <w:rStyle w:val="FootnoteReference"/>
          <w:szCs w:val="22"/>
        </w:rPr>
        <w:footnoteReference w:id="7"/>
      </w:r>
    </w:p>
    <w:p w14:paraId="2EC2D5D9" w14:textId="77777777" w:rsidR="00BE48EE" w:rsidRDefault="00BE48EE" w:rsidP="00BE48EE">
      <w:pPr>
        <w:rPr>
          <w:szCs w:val="22"/>
        </w:rPr>
      </w:pPr>
      <w:r w:rsidRPr="00C73D06">
        <w:rPr>
          <w:szCs w:val="22"/>
        </w:rPr>
        <w:t>The weight or reliance given to the family report is at the judge’s discretion and will vary for each case. However, family reports are commonly used and are of great importance in practice.</w:t>
      </w:r>
    </w:p>
    <w:p w14:paraId="0392BA81" w14:textId="77777777" w:rsidR="00BE48EE" w:rsidRPr="00C73D06" w:rsidRDefault="00BE48EE" w:rsidP="00BE48EE">
      <w:pPr>
        <w:rPr>
          <w:szCs w:val="22"/>
        </w:rPr>
      </w:pPr>
      <w:r>
        <w:rPr>
          <w:szCs w:val="22"/>
        </w:rPr>
        <w:t xml:space="preserve">While the terms ‘family report’ and ‘family report writer’ are commonly understood in family law, they are not specifically defined terms in the </w:t>
      </w:r>
      <w:r w:rsidRPr="007B3231">
        <w:rPr>
          <w:i/>
          <w:szCs w:val="22"/>
        </w:rPr>
        <w:t>Family Law Act 1975</w:t>
      </w:r>
      <w:r>
        <w:rPr>
          <w:szCs w:val="22"/>
        </w:rPr>
        <w:t xml:space="preserve">. Their meaning is derived from a number of provisions in family law legislation, guidelines and operational approaches.  </w:t>
      </w:r>
    </w:p>
    <w:p w14:paraId="2F09A415" w14:textId="77777777" w:rsidR="00BE48EE" w:rsidRPr="00C73D06" w:rsidRDefault="00BE48EE" w:rsidP="00BE48EE">
      <w:pPr>
        <w:pStyle w:val="Heading3"/>
        <w:spacing w:line="276" w:lineRule="auto"/>
      </w:pPr>
      <w:bookmarkStart w:id="14" w:name="_Toc67657888"/>
      <w:r w:rsidRPr="00C73D06">
        <w:t>Family consultants and single expert witnesses</w:t>
      </w:r>
      <w:bookmarkEnd w:id="14"/>
    </w:p>
    <w:p w14:paraId="1FE87C78" w14:textId="77777777" w:rsidR="00BE48EE" w:rsidRPr="003B789D" w:rsidRDefault="00BE48EE" w:rsidP="00BE48EE">
      <w:pPr>
        <w:rPr>
          <w:szCs w:val="22"/>
        </w:rPr>
      </w:pPr>
      <w:r>
        <w:rPr>
          <w:szCs w:val="22"/>
        </w:rPr>
        <w:t xml:space="preserve">The court may order that a report be prepared by a </w:t>
      </w:r>
      <w:r w:rsidRPr="00B71D39">
        <w:rPr>
          <w:szCs w:val="22"/>
        </w:rPr>
        <w:t xml:space="preserve">family consultant </w:t>
      </w:r>
      <w:r>
        <w:rPr>
          <w:szCs w:val="22"/>
        </w:rPr>
        <w:t xml:space="preserve">under sections 55A and 62G of the </w:t>
      </w:r>
      <w:r w:rsidRPr="005F753B">
        <w:rPr>
          <w:szCs w:val="22"/>
        </w:rPr>
        <w:t>Family Law Act</w:t>
      </w:r>
      <w:r w:rsidRPr="009E3A1E">
        <w:rPr>
          <w:szCs w:val="22"/>
        </w:rPr>
        <w:t>.</w:t>
      </w:r>
      <w:r w:rsidRPr="009E3A1E">
        <w:rPr>
          <w:rStyle w:val="FootnoteReference"/>
          <w:szCs w:val="22"/>
        </w:rPr>
        <w:footnoteReference w:id="8"/>
      </w:r>
      <w:r>
        <w:rPr>
          <w:szCs w:val="22"/>
        </w:rPr>
        <w:t xml:space="preserve"> T</w:t>
      </w:r>
      <w:r w:rsidRPr="00C73D06">
        <w:rPr>
          <w:szCs w:val="22"/>
        </w:rPr>
        <w:t xml:space="preserve">he </w:t>
      </w:r>
      <w:r w:rsidRPr="005435FB">
        <w:rPr>
          <w:i/>
          <w:szCs w:val="22"/>
        </w:rPr>
        <w:t>Federal Circuit and Family Court of Australia (Family Law) Rules</w:t>
      </w:r>
      <w:r>
        <w:rPr>
          <w:i/>
          <w:szCs w:val="22"/>
        </w:rPr>
        <w:t xml:space="preserve"> 2021</w:t>
      </w:r>
      <w:r w:rsidRPr="00C73D06">
        <w:rPr>
          <w:rStyle w:val="FootnoteReference"/>
          <w:i/>
          <w:szCs w:val="22"/>
        </w:rPr>
        <w:footnoteReference w:id="9"/>
      </w:r>
      <w:r w:rsidRPr="00C73D06">
        <w:rPr>
          <w:i/>
          <w:szCs w:val="22"/>
        </w:rPr>
        <w:t xml:space="preserve"> </w:t>
      </w:r>
      <w:r>
        <w:rPr>
          <w:szCs w:val="22"/>
        </w:rPr>
        <w:t xml:space="preserve">define </w:t>
      </w:r>
      <w:r w:rsidRPr="001F4C00">
        <w:rPr>
          <w:b/>
          <w:szCs w:val="22"/>
        </w:rPr>
        <w:t>family consultant’s report</w:t>
      </w:r>
      <w:r>
        <w:rPr>
          <w:szCs w:val="22"/>
        </w:rPr>
        <w:t xml:space="preserve"> </w:t>
      </w:r>
      <w:r w:rsidRPr="00C73D06">
        <w:rPr>
          <w:szCs w:val="22"/>
        </w:rPr>
        <w:t>a</w:t>
      </w:r>
      <w:r>
        <w:rPr>
          <w:szCs w:val="22"/>
        </w:rPr>
        <w:t>s</w:t>
      </w:r>
      <w:r w:rsidRPr="00C73D06">
        <w:rPr>
          <w:szCs w:val="22"/>
        </w:rPr>
        <w:t xml:space="preserve"> a report concerning the best interests of the child, prepared under sections 55A or 62G</w:t>
      </w:r>
      <w:r>
        <w:rPr>
          <w:szCs w:val="22"/>
        </w:rPr>
        <w:t xml:space="preserve"> of the Family Law Act</w:t>
      </w:r>
      <w:r w:rsidRPr="00C73D06">
        <w:rPr>
          <w:szCs w:val="22"/>
        </w:rPr>
        <w:t>.</w:t>
      </w:r>
      <w:r w:rsidRPr="00C73D06">
        <w:rPr>
          <w:rStyle w:val="FootnoteReference"/>
          <w:szCs w:val="22"/>
        </w:rPr>
        <w:footnoteReference w:id="10"/>
      </w:r>
      <w:r>
        <w:rPr>
          <w:szCs w:val="22"/>
        </w:rPr>
        <w:t xml:space="preserve"> A family consultant’s report may be a </w:t>
      </w:r>
      <w:r>
        <w:t>child impact report (a shorter report conducted earlier in proceedings), a specific issues report or a family report.</w:t>
      </w:r>
      <w:r>
        <w:rPr>
          <w:rStyle w:val="FootnoteReference"/>
        </w:rPr>
        <w:footnoteReference w:id="11"/>
      </w:r>
      <w:r>
        <w:t xml:space="preserve"> The </w:t>
      </w:r>
      <w:r w:rsidRPr="003B789D">
        <w:rPr>
          <w:i/>
        </w:rPr>
        <w:t>Family Court Rules 202</w:t>
      </w:r>
      <w:r w:rsidRPr="00901C32">
        <w:rPr>
          <w:i/>
        </w:rPr>
        <w:t>1</w:t>
      </w:r>
      <w:r>
        <w:rPr>
          <w:i/>
        </w:rPr>
        <w:t xml:space="preserve"> </w:t>
      </w:r>
      <w:r w:rsidRPr="005F753B">
        <w:t>(WA)</w:t>
      </w:r>
      <w:r>
        <w:t xml:space="preserve"> define </w:t>
      </w:r>
      <w:r>
        <w:rPr>
          <w:b/>
        </w:rPr>
        <w:t xml:space="preserve">family report </w:t>
      </w:r>
      <w:r>
        <w:t xml:space="preserve">as a report concerning the </w:t>
      </w:r>
      <w:r>
        <w:lastRenderedPageBreak/>
        <w:t xml:space="preserve">best interests of a child, prepared under section 73 of the </w:t>
      </w:r>
      <w:r w:rsidRPr="00901C32">
        <w:rPr>
          <w:i/>
        </w:rPr>
        <w:t>Family Court Act 1997</w:t>
      </w:r>
      <w:r>
        <w:t xml:space="preserve"> (WA) or sections 55A(2) or 62G of the Family Law Act.</w:t>
      </w:r>
      <w:r>
        <w:rPr>
          <w:rStyle w:val="FootnoteReference"/>
        </w:rPr>
        <w:footnoteReference w:id="12"/>
      </w:r>
    </w:p>
    <w:p w14:paraId="34FBBBF8" w14:textId="77777777" w:rsidR="00BE48EE" w:rsidRPr="00C73D06" w:rsidRDefault="00BE48EE" w:rsidP="00BE48EE">
      <w:pPr>
        <w:rPr>
          <w:rFonts w:cstheme="minorHAnsi"/>
          <w:szCs w:val="22"/>
        </w:rPr>
      </w:pPr>
      <w:r w:rsidRPr="00C73D06">
        <w:rPr>
          <w:rFonts w:cstheme="minorHAnsi"/>
          <w:szCs w:val="22"/>
        </w:rPr>
        <w:t>Family consultants are appointed in two main ways:</w:t>
      </w:r>
    </w:p>
    <w:p w14:paraId="3866F1A9" w14:textId="77777777" w:rsidR="00BE48EE" w:rsidRPr="00E81A50" w:rsidRDefault="00BE48EE" w:rsidP="00BE48EE">
      <w:pPr>
        <w:pStyle w:val="ListParagraph"/>
        <w:numPr>
          <w:ilvl w:val="0"/>
          <w:numId w:val="4"/>
        </w:numPr>
        <w:spacing w:before="120" w:after="120"/>
        <w:ind w:left="850" w:hanging="425"/>
        <w:contextualSpacing w:val="0"/>
        <w:rPr>
          <w:rFonts w:cstheme="minorHAnsi"/>
          <w:szCs w:val="22"/>
        </w:rPr>
      </w:pPr>
      <w:r w:rsidRPr="00C73D06">
        <w:rPr>
          <w:rFonts w:cstheme="minorHAnsi"/>
          <w:b/>
          <w:szCs w:val="22"/>
        </w:rPr>
        <w:t>In-house.</w:t>
      </w:r>
      <w:r w:rsidRPr="00C73D06">
        <w:rPr>
          <w:rFonts w:cstheme="minorHAnsi"/>
          <w:szCs w:val="22"/>
        </w:rPr>
        <w:t xml:space="preserve"> These family consultants are employees of the Federal Circuit and Family Court of Australia’s C</w:t>
      </w:r>
      <w:r>
        <w:rPr>
          <w:rFonts w:cstheme="minorHAnsi"/>
          <w:szCs w:val="22"/>
        </w:rPr>
        <w:t>ourt Children’s</w:t>
      </w:r>
      <w:r w:rsidRPr="00E81A50">
        <w:rPr>
          <w:rFonts w:cstheme="minorHAnsi"/>
          <w:szCs w:val="22"/>
        </w:rPr>
        <w:t xml:space="preserve"> Service (C</w:t>
      </w:r>
      <w:r>
        <w:rPr>
          <w:rFonts w:cstheme="minorHAnsi"/>
          <w:szCs w:val="22"/>
        </w:rPr>
        <w:t>C</w:t>
      </w:r>
      <w:r w:rsidRPr="00E81A50">
        <w:rPr>
          <w:rFonts w:cstheme="minorHAnsi"/>
          <w:szCs w:val="22"/>
        </w:rPr>
        <w:t>S).</w:t>
      </w:r>
      <w:r w:rsidRPr="00E81A50" w:rsidDel="00663E67">
        <w:rPr>
          <w:rFonts w:cstheme="minorHAnsi"/>
          <w:szCs w:val="22"/>
        </w:rPr>
        <w:t xml:space="preserve"> </w:t>
      </w:r>
      <w:r w:rsidRPr="00E81A50">
        <w:rPr>
          <w:rFonts w:cstheme="minorHAnsi"/>
          <w:szCs w:val="22"/>
        </w:rPr>
        <w:t xml:space="preserve">In Western Australia, </w:t>
      </w:r>
      <w:r>
        <w:rPr>
          <w:rFonts w:cstheme="minorHAnsi"/>
          <w:szCs w:val="22"/>
        </w:rPr>
        <w:t xml:space="preserve">the Department of Justice employs </w:t>
      </w:r>
      <w:r w:rsidRPr="00E81A50">
        <w:rPr>
          <w:rFonts w:cstheme="minorHAnsi"/>
          <w:szCs w:val="22"/>
        </w:rPr>
        <w:t>family consultants</w:t>
      </w:r>
      <w:r>
        <w:rPr>
          <w:rFonts w:cstheme="minorHAnsi"/>
          <w:szCs w:val="22"/>
        </w:rPr>
        <w:t xml:space="preserve"> who are based in </w:t>
      </w:r>
      <w:r w:rsidRPr="00E81A50">
        <w:rPr>
          <w:rFonts w:cstheme="minorHAnsi"/>
          <w:szCs w:val="22"/>
        </w:rPr>
        <w:t>the Family Court Counselling and Consultancy Service (FCCCS)</w:t>
      </w:r>
      <w:r>
        <w:rPr>
          <w:rFonts w:cstheme="minorHAnsi"/>
          <w:szCs w:val="22"/>
        </w:rPr>
        <w:t>, a branch of the Court Counselling and Support Services directorate, located</w:t>
      </w:r>
      <w:r w:rsidRPr="002802E3">
        <w:rPr>
          <w:rFonts w:cstheme="minorHAnsi"/>
          <w:szCs w:val="22"/>
        </w:rPr>
        <w:t xml:space="preserve"> </w:t>
      </w:r>
      <w:r w:rsidRPr="00E81A50">
        <w:rPr>
          <w:rFonts w:cstheme="minorHAnsi"/>
          <w:szCs w:val="22"/>
        </w:rPr>
        <w:t>at the Family Court of Western Australia. The work of in-house family consultants is organised through the courts and includes family report writing. These family consultants are from the professions of social work and psychology.</w:t>
      </w:r>
    </w:p>
    <w:p w14:paraId="6051AEB1" w14:textId="77777777" w:rsidR="00BE48EE" w:rsidRPr="000B5171" w:rsidRDefault="00BE48EE" w:rsidP="00BE48EE">
      <w:pPr>
        <w:pBdr>
          <w:top w:val="single" w:sz="4" w:space="1" w:color="auto"/>
          <w:left w:val="single" w:sz="4" w:space="4" w:color="auto"/>
          <w:bottom w:val="single" w:sz="4" w:space="1" w:color="auto"/>
          <w:right w:val="single" w:sz="4" w:space="4" w:color="auto"/>
        </w:pBdr>
        <w:spacing w:before="120" w:after="120"/>
        <w:ind w:left="425"/>
        <w:jc w:val="left"/>
        <w:rPr>
          <w:rFonts w:cstheme="minorHAnsi"/>
          <w:szCs w:val="22"/>
        </w:rPr>
      </w:pPr>
      <w:r>
        <w:rPr>
          <w:szCs w:val="22"/>
          <w:lang w:eastAsia="en-GB"/>
        </w:rPr>
        <w:t>On</w:t>
      </w:r>
      <w:r w:rsidRPr="000B5171">
        <w:rPr>
          <w:szCs w:val="22"/>
          <w:lang w:eastAsia="en-GB"/>
        </w:rPr>
        <w:t xml:space="preserve"> 1 September 2021, the Family Court </w:t>
      </w:r>
      <w:r>
        <w:rPr>
          <w:szCs w:val="22"/>
          <w:lang w:eastAsia="en-GB"/>
        </w:rPr>
        <w:t xml:space="preserve">of Australia </w:t>
      </w:r>
      <w:r w:rsidRPr="000B5171">
        <w:rPr>
          <w:szCs w:val="22"/>
          <w:lang w:eastAsia="en-GB"/>
        </w:rPr>
        <w:t xml:space="preserve">and </w:t>
      </w:r>
      <w:r>
        <w:rPr>
          <w:szCs w:val="22"/>
          <w:lang w:eastAsia="en-GB"/>
        </w:rPr>
        <w:t xml:space="preserve">the </w:t>
      </w:r>
      <w:r w:rsidRPr="000B5171">
        <w:rPr>
          <w:szCs w:val="22"/>
          <w:lang w:eastAsia="en-GB"/>
        </w:rPr>
        <w:t xml:space="preserve">Federal Circuit Court </w:t>
      </w:r>
      <w:r>
        <w:rPr>
          <w:szCs w:val="22"/>
          <w:lang w:eastAsia="en-GB"/>
        </w:rPr>
        <w:t>were</w:t>
      </w:r>
      <w:r w:rsidRPr="000B5171">
        <w:rPr>
          <w:szCs w:val="22"/>
          <w:lang w:eastAsia="en-GB"/>
        </w:rPr>
        <w:t xml:space="preserve"> brought together under a unified administrative structure. </w:t>
      </w:r>
      <w:r>
        <w:t xml:space="preserve">Child Dispute Services is now known as the </w:t>
      </w:r>
      <w:r w:rsidRPr="000B5171">
        <w:rPr>
          <w:bCs/>
        </w:rPr>
        <w:t>Court Children’s Service</w:t>
      </w:r>
      <w:r>
        <w:rPr>
          <w:bCs/>
        </w:rPr>
        <w:t xml:space="preserve"> (CCS)</w:t>
      </w:r>
      <w:r w:rsidRPr="000B5171">
        <w:rPr>
          <w:bCs/>
        </w:rPr>
        <w:t xml:space="preserve">. </w:t>
      </w:r>
      <w:r w:rsidRPr="00AB1B8F">
        <w:t xml:space="preserve">In-house family consultants </w:t>
      </w:r>
      <w:r>
        <w:t xml:space="preserve">are now </w:t>
      </w:r>
      <w:r w:rsidRPr="00AB1B8F">
        <w:t xml:space="preserve">known as </w:t>
      </w:r>
      <w:r w:rsidRPr="000B5171">
        <w:rPr>
          <w:bCs/>
        </w:rPr>
        <w:t>Court Child Experts</w:t>
      </w:r>
      <w:r>
        <w:rPr>
          <w:bCs/>
        </w:rPr>
        <w:t>, to better reflect the range of their duties</w:t>
      </w:r>
      <w:r w:rsidRPr="000B5171">
        <w:rPr>
          <w:bCs/>
        </w:rPr>
        <w:t xml:space="preserve">. </w:t>
      </w:r>
      <w:r w:rsidRPr="00146378">
        <w:t>Court Child Experts hold both a statutory appointment as a family consultant</w:t>
      </w:r>
      <w:r>
        <w:t xml:space="preserve"> (conducting assessments and preparing family reports)</w:t>
      </w:r>
      <w:r w:rsidRPr="00146378">
        <w:t xml:space="preserve"> and an authorisation as a family counsellor</w:t>
      </w:r>
      <w:r>
        <w:t xml:space="preserve">. </w:t>
      </w:r>
      <w:r w:rsidRPr="000B5171">
        <w:rPr>
          <w:bCs/>
        </w:rPr>
        <w:t xml:space="preserve">As </w:t>
      </w:r>
      <w:r>
        <w:rPr>
          <w:bCs/>
        </w:rPr>
        <w:t>this document focuses on Child Court Experts’ family consultant role, the term ‘in-house family consultant’ will be used to refer to this group of family report writers.</w:t>
      </w:r>
    </w:p>
    <w:p w14:paraId="38A7B563" w14:textId="77777777" w:rsidR="00BE48EE" w:rsidRPr="00721D65" w:rsidRDefault="00BE48EE" w:rsidP="00BE48EE">
      <w:pPr>
        <w:pStyle w:val="ListParagraph"/>
        <w:numPr>
          <w:ilvl w:val="0"/>
          <w:numId w:val="4"/>
        </w:numPr>
        <w:spacing w:before="120" w:after="120"/>
        <w:ind w:left="850" w:hanging="425"/>
        <w:contextualSpacing w:val="0"/>
        <w:rPr>
          <w:rFonts w:cstheme="minorHAnsi"/>
          <w:szCs w:val="22"/>
        </w:rPr>
      </w:pPr>
      <w:r w:rsidRPr="00721D65">
        <w:rPr>
          <w:rFonts w:cstheme="minorHAnsi"/>
          <w:b/>
          <w:szCs w:val="22"/>
        </w:rPr>
        <w:t>Regulation 7 statutory appointments.</w:t>
      </w:r>
      <w:r w:rsidRPr="00721D65">
        <w:rPr>
          <w:rStyle w:val="FootnoteReference"/>
          <w:rFonts w:cstheme="minorHAnsi"/>
          <w:szCs w:val="22"/>
        </w:rPr>
        <w:t xml:space="preserve"> </w:t>
      </w:r>
      <w:r w:rsidRPr="00721D65">
        <w:rPr>
          <w:rFonts w:cstheme="minorHAnsi"/>
          <w:szCs w:val="22"/>
        </w:rPr>
        <w:t xml:space="preserve">These family consultants are private practitioners who </w:t>
      </w:r>
      <w:r>
        <w:rPr>
          <w:rFonts w:cstheme="minorHAnsi"/>
          <w:szCs w:val="22"/>
        </w:rPr>
        <w:t>hold</w:t>
      </w:r>
      <w:r w:rsidRPr="00721D65">
        <w:rPr>
          <w:rFonts w:cstheme="minorHAnsi"/>
          <w:szCs w:val="22"/>
        </w:rPr>
        <w:t xml:space="preserve"> a statutory appointment </w:t>
      </w:r>
      <w:r>
        <w:rPr>
          <w:rFonts w:cstheme="minorHAnsi"/>
          <w:szCs w:val="22"/>
        </w:rPr>
        <w:t>from</w:t>
      </w:r>
      <w:r w:rsidRPr="00721D65">
        <w:rPr>
          <w:rFonts w:cstheme="minorHAnsi"/>
          <w:szCs w:val="22"/>
        </w:rPr>
        <w:t xml:space="preserve"> the Chief Executive Officer(s) of the Federal Circuit </w:t>
      </w:r>
      <w:r>
        <w:rPr>
          <w:rFonts w:cstheme="minorHAnsi"/>
          <w:szCs w:val="22"/>
        </w:rPr>
        <w:t>and</w:t>
      </w:r>
      <w:r w:rsidRPr="00721D65">
        <w:rPr>
          <w:rFonts w:cstheme="minorHAnsi"/>
          <w:szCs w:val="22"/>
        </w:rPr>
        <w:t xml:space="preserve"> Family Court of Australia under regulation 7 of the </w:t>
      </w:r>
      <w:r w:rsidRPr="00721D65">
        <w:rPr>
          <w:rFonts w:cstheme="minorHAnsi"/>
          <w:i/>
          <w:szCs w:val="22"/>
        </w:rPr>
        <w:t>Family Law Regulations 1984</w:t>
      </w:r>
      <w:r w:rsidRPr="00721D65">
        <w:rPr>
          <w:rFonts w:cstheme="minorHAnsi"/>
          <w:szCs w:val="22"/>
        </w:rPr>
        <w:t xml:space="preserve">. They prepare family reports on a fee-for-service basis, paid for by the courts. They are from the professions of social work and psychology. The Family Court of Western Australia does not use regulation 7 family consultants. </w:t>
      </w:r>
    </w:p>
    <w:p w14:paraId="14E65ED3" w14:textId="77777777" w:rsidR="00BE48EE" w:rsidRPr="00C73D06" w:rsidRDefault="00BE48EE" w:rsidP="00BE48EE">
      <w:pPr>
        <w:rPr>
          <w:szCs w:val="22"/>
        </w:rPr>
      </w:pPr>
      <w:r>
        <w:rPr>
          <w:szCs w:val="22"/>
        </w:rPr>
        <w:t>I</w:t>
      </w:r>
      <w:r w:rsidRPr="00721D65">
        <w:rPr>
          <w:szCs w:val="22"/>
        </w:rPr>
        <w:t>n practice, the term ‘</w:t>
      </w:r>
      <w:r w:rsidRPr="00B71D39">
        <w:rPr>
          <w:szCs w:val="22"/>
        </w:rPr>
        <w:t>family report’</w:t>
      </w:r>
      <w:r w:rsidRPr="00721D65">
        <w:rPr>
          <w:szCs w:val="22"/>
        </w:rPr>
        <w:t xml:space="preserve"> is also commonly</w:t>
      </w:r>
      <w:r w:rsidRPr="00C73D06">
        <w:rPr>
          <w:szCs w:val="22"/>
        </w:rPr>
        <w:t xml:space="preserve"> used to refer to a family assessment and report of the same nature prepared by a </w:t>
      </w:r>
      <w:r w:rsidRPr="00C73D06">
        <w:rPr>
          <w:b/>
          <w:szCs w:val="22"/>
        </w:rPr>
        <w:t>single expert witness</w:t>
      </w:r>
      <w:r w:rsidRPr="00C73D06">
        <w:rPr>
          <w:szCs w:val="22"/>
        </w:rPr>
        <w:t>.</w:t>
      </w:r>
      <w:r w:rsidRPr="00C73D06">
        <w:rPr>
          <w:rStyle w:val="FootnoteReference"/>
          <w:szCs w:val="22"/>
        </w:rPr>
        <w:t xml:space="preserve"> </w:t>
      </w:r>
      <w:r w:rsidRPr="00C73D06">
        <w:rPr>
          <w:rStyle w:val="FootnoteReference"/>
          <w:szCs w:val="22"/>
        </w:rPr>
        <w:footnoteReference w:id="13"/>
      </w:r>
      <w:r w:rsidRPr="00C73D06">
        <w:rPr>
          <w:szCs w:val="22"/>
        </w:rPr>
        <w:t xml:space="preserve"> </w:t>
      </w:r>
      <w:r w:rsidRPr="00C73D06">
        <w:rPr>
          <w:rFonts w:cstheme="minorHAnsi"/>
          <w:szCs w:val="22"/>
        </w:rPr>
        <w:t xml:space="preserve">Australia wide, these private practitioners are jointly appointed by, or on behalf of, </w:t>
      </w:r>
      <w:r w:rsidRPr="00C73D06">
        <w:rPr>
          <w:rFonts w:cstheme="minorHAnsi"/>
          <w:i/>
          <w:szCs w:val="22"/>
        </w:rPr>
        <w:t>both</w:t>
      </w:r>
      <w:r w:rsidRPr="00C73D06">
        <w:rPr>
          <w:rFonts w:cstheme="minorHAnsi"/>
          <w:szCs w:val="22"/>
        </w:rPr>
        <w:t xml:space="preserve"> parties to the proceeding. Single expert witnesses are governed by </w:t>
      </w:r>
      <w:r>
        <w:rPr>
          <w:rFonts w:cstheme="minorHAnsi"/>
          <w:szCs w:val="22"/>
        </w:rPr>
        <w:t xml:space="preserve">Division 7.1.2 of the </w:t>
      </w:r>
      <w:r w:rsidRPr="0058145A">
        <w:rPr>
          <w:rFonts w:cstheme="minorHAnsi"/>
          <w:i/>
          <w:szCs w:val="22"/>
        </w:rPr>
        <w:t>Federal Circuit and Family Court of Australia (Family Law) Rules 2021</w:t>
      </w:r>
      <w:r w:rsidRPr="00C73D06">
        <w:rPr>
          <w:rFonts w:cstheme="minorHAnsi"/>
          <w:szCs w:val="22"/>
        </w:rPr>
        <w:t>.</w:t>
      </w:r>
      <w:r w:rsidRPr="00C73D06">
        <w:rPr>
          <w:rFonts w:cstheme="minorHAnsi"/>
          <w:szCs w:val="22"/>
          <w:lang w:eastAsia="en-GB"/>
        </w:rPr>
        <w:t xml:space="preserve"> They are usually from the professions of psychology, psychiatry, and social work. </w:t>
      </w:r>
      <w:r w:rsidRPr="00C73D06">
        <w:rPr>
          <w:szCs w:val="22"/>
        </w:rPr>
        <w:t xml:space="preserve">The objective of a family report prepared by a family consultant (in-house or regulation 7) and single expert witness is the same and requires experts with </w:t>
      </w:r>
      <w:r>
        <w:rPr>
          <w:szCs w:val="22"/>
        </w:rPr>
        <w:t>similar</w:t>
      </w:r>
      <w:r w:rsidRPr="00C73D06">
        <w:rPr>
          <w:szCs w:val="22"/>
        </w:rPr>
        <w:t xml:space="preserve"> social science skills and expertise. </w:t>
      </w:r>
      <w:r>
        <w:rPr>
          <w:szCs w:val="22"/>
        </w:rPr>
        <w:t>The financial capacity of each party will assist the court to determine whether a family consultant is assigned to prepare a report, or the parties are to pay for the services of</w:t>
      </w:r>
      <w:r>
        <w:t xml:space="preserve"> a single expert witness.</w:t>
      </w:r>
      <w:r>
        <w:rPr>
          <w:rStyle w:val="FootnoteReference"/>
        </w:rPr>
        <w:footnoteReference w:id="14"/>
      </w:r>
    </w:p>
    <w:p w14:paraId="64D07F8B" w14:textId="77777777" w:rsidR="00BE48EE" w:rsidRPr="00C73D06" w:rsidRDefault="00BE48EE" w:rsidP="00BE48EE">
      <w:pPr>
        <w:pBdr>
          <w:top w:val="single" w:sz="4" w:space="1" w:color="auto"/>
          <w:left w:val="single" w:sz="4" w:space="4" w:color="auto"/>
          <w:bottom w:val="single" w:sz="4" w:space="1" w:color="auto"/>
          <w:right w:val="single" w:sz="4" w:space="4" w:color="auto"/>
        </w:pBdr>
        <w:ind w:left="426" w:right="389"/>
        <w:rPr>
          <w:szCs w:val="22"/>
        </w:rPr>
      </w:pPr>
      <w:r>
        <w:rPr>
          <w:szCs w:val="22"/>
        </w:rPr>
        <w:t>I</w:t>
      </w:r>
      <w:r w:rsidRPr="00C73D06">
        <w:rPr>
          <w:szCs w:val="22"/>
        </w:rPr>
        <w:t>n this paper</w:t>
      </w:r>
      <w:r>
        <w:rPr>
          <w:szCs w:val="22"/>
        </w:rPr>
        <w:t>,</w:t>
      </w:r>
      <w:r w:rsidRPr="00C73D06">
        <w:rPr>
          <w:szCs w:val="22"/>
        </w:rPr>
        <w:t xml:space="preserve"> references to </w:t>
      </w:r>
      <w:r w:rsidRPr="00B71D39">
        <w:rPr>
          <w:b/>
          <w:szCs w:val="22"/>
        </w:rPr>
        <w:t>family reports</w:t>
      </w:r>
      <w:r w:rsidRPr="00C73D06">
        <w:rPr>
          <w:szCs w:val="22"/>
        </w:rPr>
        <w:t xml:space="preserve"> include</w:t>
      </w:r>
      <w:r>
        <w:rPr>
          <w:szCs w:val="22"/>
        </w:rPr>
        <w:t xml:space="preserve"> both</w:t>
      </w:r>
      <w:r w:rsidRPr="00C73D06">
        <w:rPr>
          <w:szCs w:val="22"/>
        </w:rPr>
        <w:t xml:space="preserve"> </w:t>
      </w:r>
      <w:r>
        <w:rPr>
          <w:szCs w:val="22"/>
        </w:rPr>
        <w:t>family consultant’s reports</w:t>
      </w:r>
      <w:r w:rsidRPr="00C73D06">
        <w:rPr>
          <w:szCs w:val="22"/>
        </w:rPr>
        <w:t xml:space="preserve"> </w:t>
      </w:r>
      <w:r>
        <w:rPr>
          <w:szCs w:val="22"/>
        </w:rPr>
        <w:t xml:space="preserve">and reports of the same nature </w:t>
      </w:r>
      <w:r w:rsidRPr="00C73D06">
        <w:rPr>
          <w:szCs w:val="22"/>
        </w:rPr>
        <w:t xml:space="preserve">prepared by single expert witnesses. </w:t>
      </w:r>
    </w:p>
    <w:p w14:paraId="2DB9EEDC" w14:textId="77777777" w:rsidR="00BE48EE" w:rsidRPr="00C73D06" w:rsidRDefault="00BE48EE" w:rsidP="00BE48EE">
      <w:pPr>
        <w:rPr>
          <w:szCs w:val="22"/>
          <w:lang w:eastAsia="en-GB"/>
        </w:rPr>
      </w:pPr>
      <w:r w:rsidRPr="00C73D06">
        <w:rPr>
          <w:rFonts w:cstheme="minorHAnsi"/>
          <w:szCs w:val="22"/>
        </w:rPr>
        <w:t xml:space="preserve">Single expert witnesses may also prepare other specialised private reports at the direction of parties or the court on specific issues, </w:t>
      </w:r>
      <w:r w:rsidRPr="00B71D39">
        <w:rPr>
          <w:rFonts w:cstheme="minorHAnsi"/>
          <w:szCs w:val="22"/>
        </w:rPr>
        <w:t>which</w:t>
      </w:r>
      <w:r w:rsidRPr="00B71D39">
        <w:rPr>
          <w:i/>
          <w:szCs w:val="22"/>
        </w:rPr>
        <w:t xml:space="preserve"> are not considered family reports or assessments</w:t>
      </w:r>
      <w:r w:rsidRPr="00C73D06">
        <w:rPr>
          <w:szCs w:val="22"/>
        </w:rPr>
        <w:t xml:space="preserve">. </w:t>
      </w:r>
      <w:r w:rsidRPr="00C73D06">
        <w:rPr>
          <w:color w:val="000000"/>
          <w:lang w:val="en-US"/>
        </w:rPr>
        <w:t>The ALRC noted that some single expert witnesses only provide evidence in family</w:t>
      </w:r>
      <w:r>
        <w:rPr>
          <w:color w:val="000000"/>
          <w:lang w:val="en-US"/>
        </w:rPr>
        <w:t xml:space="preserve"> law</w:t>
      </w:r>
      <w:r w:rsidRPr="00C73D06">
        <w:rPr>
          <w:color w:val="000000"/>
          <w:lang w:val="en-US"/>
        </w:rPr>
        <w:t xml:space="preserve"> matters in rare circumstances and may be unwilling to undergo an </w:t>
      </w:r>
      <w:r w:rsidRPr="00C73D06">
        <w:rPr>
          <w:color w:val="000000"/>
          <w:lang w:val="en-US"/>
        </w:rPr>
        <w:lastRenderedPageBreak/>
        <w:t>accreditation process, so did not extend their recommendation to single expert witnesses.</w:t>
      </w:r>
      <w:r w:rsidRPr="00C73D06">
        <w:rPr>
          <w:rStyle w:val="FootnoteReference"/>
          <w:color w:val="000000"/>
          <w:lang w:val="en-US"/>
        </w:rPr>
        <w:footnoteReference w:id="15"/>
      </w:r>
      <w:r w:rsidRPr="00C73D06">
        <w:rPr>
          <w:color w:val="000000"/>
          <w:lang w:val="en-US"/>
        </w:rPr>
        <w:t xml:space="preserve"> However, the JSC noted that consideration should be given to applying an accreditation scheme to single expert witnesses who ‘regularly’ provide family reports.</w:t>
      </w:r>
      <w:r w:rsidRPr="00C73D06">
        <w:rPr>
          <w:rStyle w:val="FootnoteReference"/>
          <w:color w:val="000000"/>
          <w:lang w:val="en-US"/>
        </w:rPr>
        <w:footnoteReference w:id="16"/>
      </w:r>
      <w:r w:rsidRPr="00C73D06">
        <w:rPr>
          <w:color w:val="000000"/>
          <w:lang w:val="en-US"/>
        </w:rPr>
        <w:t xml:space="preserve"> </w:t>
      </w:r>
    </w:p>
    <w:p w14:paraId="510D2EF5" w14:textId="77777777" w:rsidR="00BE48EE" w:rsidRPr="00C73D06" w:rsidRDefault="00BE48EE" w:rsidP="00BE48EE">
      <w:pPr>
        <w:rPr>
          <w:szCs w:val="22"/>
          <w:lang w:eastAsia="en-GB"/>
        </w:rPr>
      </w:pPr>
      <w:r w:rsidRPr="00C73D06">
        <w:rPr>
          <w:szCs w:val="22"/>
          <w:lang w:eastAsia="en-GB"/>
        </w:rPr>
        <w:t>‘Family consultant’ refers to both in-house and regulation 7 family report writers. ‘</w:t>
      </w:r>
      <w:r w:rsidRPr="00C73D06">
        <w:rPr>
          <w:color w:val="000000"/>
          <w:lang w:val="en-US"/>
        </w:rPr>
        <w:t xml:space="preserve">Private family report writer’ </w:t>
      </w:r>
      <w:r w:rsidRPr="00C73D06">
        <w:rPr>
          <w:szCs w:val="22"/>
          <w:lang w:eastAsia="en-GB"/>
        </w:rPr>
        <w:t xml:space="preserve">is often inconsistently applied to refer to regulation 7 family consultants, or to </w:t>
      </w:r>
      <w:r>
        <w:rPr>
          <w:szCs w:val="22"/>
          <w:lang w:eastAsia="en-GB"/>
        </w:rPr>
        <w:t>single expert witnesses</w:t>
      </w:r>
      <w:r w:rsidRPr="00C73D06">
        <w:rPr>
          <w:szCs w:val="22"/>
          <w:lang w:eastAsia="en-GB"/>
        </w:rPr>
        <w:t xml:space="preserve">, or both. Diagram 1 depicts these overlapping terms. </w:t>
      </w:r>
    </w:p>
    <w:p w14:paraId="01CF6053" w14:textId="77777777" w:rsidR="00BE48EE" w:rsidRPr="002D19DE" w:rsidRDefault="00BE48EE" w:rsidP="00BE48EE">
      <w:pPr>
        <w:pBdr>
          <w:top w:val="single" w:sz="4" w:space="1" w:color="auto"/>
          <w:left w:val="single" w:sz="4" w:space="4" w:color="auto"/>
          <w:bottom w:val="single" w:sz="4" w:space="1" w:color="auto"/>
          <w:right w:val="single" w:sz="4" w:space="4" w:color="auto"/>
        </w:pBdr>
        <w:ind w:left="426" w:right="389"/>
        <w:rPr>
          <w:szCs w:val="22"/>
          <w:lang w:eastAsia="en-GB"/>
        </w:rPr>
      </w:pPr>
      <w:r w:rsidRPr="00C73D06">
        <w:rPr>
          <w:szCs w:val="22"/>
        </w:rPr>
        <w:t xml:space="preserve">This paper considers all types of family report writers, and issues and options to ensure their competence and accountability. </w:t>
      </w:r>
    </w:p>
    <w:p w14:paraId="0BAEF22C" w14:textId="77777777" w:rsidR="00BE48EE" w:rsidRDefault="00BE48EE" w:rsidP="00BE48EE">
      <w:pPr>
        <w:keepNext/>
        <w:spacing w:after="0"/>
        <w:rPr>
          <w:b/>
          <w:szCs w:val="22"/>
          <w:lang w:eastAsia="en-GB"/>
        </w:rPr>
      </w:pPr>
      <w:r w:rsidRPr="00721D65">
        <w:rPr>
          <w:b/>
          <w:szCs w:val="22"/>
          <w:lang w:eastAsia="en-GB"/>
        </w:rPr>
        <w:t>Diagram 1: Types of family report writers</w:t>
      </w:r>
    </w:p>
    <w:p w14:paraId="518D474B" w14:textId="77777777" w:rsidR="00BE48EE" w:rsidRPr="002F7486" w:rsidRDefault="00BE48EE" w:rsidP="00BE48EE">
      <w:pPr>
        <w:keepNext/>
        <w:spacing w:after="0"/>
        <w:rPr>
          <w:sz w:val="18"/>
          <w:szCs w:val="20"/>
        </w:rPr>
      </w:pPr>
      <w:r>
        <w:rPr>
          <w:noProof/>
        </w:rPr>
        <w:drawing>
          <wp:inline distT="0" distB="0" distL="0" distR="0" wp14:anchorId="1DF06246" wp14:editId="29F6CAE8">
            <wp:extent cx="6548120" cy="3496733"/>
            <wp:effectExtent l="0" t="0" r="5080" b="8890"/>
            <wp:docPr id="1" name="Picture 1" descr="The diagram shows three overlapping circles with &quot;in-house family consultant&quot; in the first circle, &quot;regulation 7 family consultant&quot; in the second circle and &quot;single expert witness&quot; in the third circle. “Family consultant” is written where “in-house family consultant” and “regulation 7 family consultant” overlap. “Private report writer” is written where “regulation 7 family consultant” and “single expert witness” overlap. The circles also include data on how many family report writers there are for each type. There were 103 in-house family consultants employed by the FCoA and FCC in August 2021 and 15.6 employed by FCWA in June 2021. There were 101 regulation 7 appointments on the FCoA and FCC register in August 2021 and no regulation 7s in WA. There is no available data on single expert witnesses. There is a line between the “in-house family consultant” and “regulation 7 family consultant” circles with text saying “3175 reports completed in the FCoA and FCC in 2020-2021” and “223 reports in the FCWA”. There is an arrow from the “single expert witness” circle with text saying “no data on reports prepared but an estimated 3000 annually.”" title="Diagram depicting types of report writers and data for eac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807"/>
                    <a:stretch/>
                  </pic:blipFill>
                  <pic:spPr bwMode="auto">
                    <a:xfrm>
                      <a:off x="0" y="0"/>
                      <a:ext cx="6548120" cy="3496733"/>
                    </a:xfrm>
                    <a:prstGeom prst="rect">
                      <a:avLst/>
                    </a:prstGeom>
                    <a:ln>
                      <a:noFill/>
                    </a:ln>
                    <a:extLst>
                      <a:ext uri="{53640926-AAD7-44D8-BBD7-CCE9431645EC}">
                        <a14:shadowObscured xmlns:a14="http://schemas.microsoft.com/office/drawing/2010/main"/>
                      </a:ext>
                    </a:extLst>
                  </pic:spPr>
                </pic:pic>
              </a:graphicData>
            </a:graphic>
          </wp:inline>
        </w:drawing>
      </w:r>
    </w:p>
    <w:p w14:paraId="33F4F9C1" w14:textId="77777777" w:rsidR="00BE48EE" w:rsidRPr="00C73D06" w:rsidRDefault="00BE48EE" w:rsidP="00BE48EE">
      <w:pPr>
        <w:keepNext/>
        <w:spacing w:after="0"/>
        <w:rPr>
          <w:sz w:val="18"/>
          <w:szCs w:val="20"/>
          <w:lang w:eastAsia="en-GB"/>
        </w:rPr>
      </w:pPr>
      <w:r w:rsidRPr="00C73D06">
        <w:rPr>
          <w:sz w:val="18"/>
          <w:szCs w:val="20"/>
          <w:lang w:eastAsia="en-GB"/>
        </w:rPr>
        <w:t>*In 20</w:t>
      </w:r>
      <w:r>
        <w:rPr>
          <w:sz w:val="18"/>
          <w:szCs w:val="20"/>
          <w:lang w:eastAsia="en-GB"/>
        </w:rPr>
        <w:t xml:space="preserve">20-2021, compared to 3482 reports prepared in 2019-20, a financial year less affected by COVID-19. </w:t>
      </w:r>
    </w:p>
    <w:p w14:paraId="581E32C9" w14:textId="77777777" w:rsidR="00BE48EE" w:rsidRPr="00C73D06" w:rsidRDefault="00BE48EE" w:rsidP="00BE48EE">
      <w:pPr>
        <w:spacing w:line="240" w:lineRule="auto"/>
        <w:rPr>
          <w:sz w:val="18"/>
          <w:szCs w:val="20"/>
        </w:rPr>
      </w:pPr>
      <w:r w:rsidRPr="00C73D06">
        <w:rPr>
          <w:sz w:val="18"/>
          <w:szCs w:val="20"/>
          <w:lang w:eastAsia="en-GB"/>
        </w:rPr>
        <w:t xml:space="preserve">**In </w:t>
      </w:r>
      <w:r w:rsidRPr="00C73D06">
        <w:rPr>
          <w:sz w:val="18"/>
          <w:szCs w:val="20"/>
        </w:rPr>
        <w:t>2020.</w:t>
      </w:r>
      <w:r w:rsidRPr="00C73D06">
        <w:rPr>
          <w:sz w:val="18"/>
          <w:szCs w:val="20"/>
          <w:lang w:eastAsia="en-GB"/>
        </w:rPr>
        <w:t xml:space="preserve"> </w:t>
      </w:r>
      <w:r>
        <w:rPr>
          <w:sz w:val="18"/>
          <w:szCs w:val="20"/>
          <w:lang w:eastAsia="en-GB"/>
        </w:rPr>
        <w:t xml:space="preserve">171 reports were prepared in 2019. </w:t>
      </w:r>
    </w:p>
    <w:p w14:paraId="198F2269" w14:textId="77777777" w:rsidR="00BE48EE" w:rsidRPr="00C73D06" w:rsidRDefault="00BE48EE" w:rsidP="00BE48EE">
      <w:pPr>
        <w:pStyle w:val="Heading3"/>
      </w:pPr>
      <w:bookmarkStart w:id="15" w:name="_Toc67657889"/>
      <w:bookmarkStart w:id="16" w:name="_Toc73542500"/>
      <w:r w:rsidRPr="00C73D06">
        <w:t>Scope and requirements of a family report</w:t>
      </w:r>
      <w:bookmarkEnd w:id="15"/>
      <w:bookmarkEnd w:id="16"/>
      <w:r w:rsidRPr="00C73D06">
        <w:t xml:space="preserve"> </w:t>
      </w:r>
    </w:p>
    <w:p w14:paraId="2327E45F" w14:textId="77777777" w:rsidR="00BE48EE" w:rsidRPr="00C73D06" w:rsidRDefault="00BE48EE" w:rsidP="00BE48EE">
      <w:pPr>
        <w:spacing w:after="0"/>
        <w:rPr>
          <w:rFonts w:cstheme="minorHAnsi"/>
          <w:szCs w:val="22"/>
        </w:rPr>
      </w:pPr>
      <w:r w:rsidRPr="00C73D06">
        <w:rPr>
          <w:rFonts w:cstheme="minorHAnsi"/>
          <w:szCs w:val="22"/>
        </w:rPr>
        <w:t>The scope and content of a family report is</w:t>
      </w:r>
      <w:r>
        <w:rPr>
          <w:rFonts w:cstheme="minorHAnsi"/>
          <w:szCs w:val="22"/>
        </w:rPr>
        <w:t xml:space="preserve"> also</w:t>
      </w:r>
      <w:r w:rsidRPr="00C73D06">
        <w:rPr>
          <w:rFonts w:cstheme="minorHAnsi"/>
          <w:szCs w:val="22"/>
        </w:rPr>
        <w:t xml:space="preserve"> not comprehensively prescribed in the Family Law Act. </w:t>
      </w:r>
      <w:r w:rsidRPr="00C73D06">
        <w:t xml:space="preserve">A range of legislation and official documents outline what needs to be included in a family report. </w:t>
      </w:r>
      <w:r w:rsidRPr="00C73D06">
        <w:rPr>
          <w:rFonts w:cstheme="minorHAnsi"/>
          <w:szCs w:val="22"/>
        </w:rPr>
        <w:t>Some of these requirements are repetitive across the documents, vary in specificity and detail</w:t>
      </w:r>
      <w:r w:rsidRPr="00C73D06">
        <w:t xml:space="preserve"> and do not </w:t>
      </w:r>
      <w:r w:rsidRPr="00C73D06">
        <w:rPr>
          <w:rFonts w:cstheme="minorHAnsi"/>
          <w:szCs w:val="22"/>
        </w:rPr>
        <w:t xml:space="preserve">apply </w:t>
      </w:r>
      <w:r w:rsidRPr="00C73D06">
        <w:t xml:space="preserve">consistently </w:t>
      </w:r>
      <w:r w:rsidRPr="00C73D06">
        <w:rPr>
          <w:rFonts w:cstheme="minorHAnsi"/>
          <w:szCs w:val="22"/>
        </w:rPr>
        <w:t>to the different cohorts of family report writers (in-house, regulation 7 appointments and single expert witnesses)</w:t>
      </w:r>
      <w:r w:rsidRPr="00C73D06">
        <w:t xml:space="preserve">. </w:t>
      </w:r>
      <w:r w:rsidRPr="00C73D06">
        <w:rPr>
          <w:rFonts w:cstheme="minorHAnsi"/>
          <w:szCs w:val="22"/>
        </w:rPr>
        <w:t xml:space="preserve">What is required of a family report can be summarised as follows: </w:t>
      </w:r>
    </w:p>
    <w:p w14:paraId="4C70DC44" w14:textId="77777777" w:rsidR="00BE48EE" w:rsidRPr="00C73D06" w:rsidRDefault="00BE48EE" w:rsidP="00BE48EE">
      <w:pPr>
        <w:pStyle w:val="ListParagraph"/>
        <w:numPr>
          <w:ilvl w:val="0"/>
          <w:numId w:val="5"/>
        </w:numPr>
        <w:tabs>
          <w:tab w:val="left" w:pos="1985"/>
        </w:tabs>
        <w:rPr>
          <w:rFonts w:cstheme="minorHAnsi"/>
          <w:szCs w:val="22"/>
        </w:rPr>
      </w:pPr>
      <w:r w:rsidRPr="00C73D06">
        <w:rPr>
          <w:rFonts w:cstheme="minorHAnsi"/>
          <w:szCs w:val="22"/>
        </w:rPr>
        <w:lastRenderedPageBreak/>
        <w:t xml:space="preserve">The </w:t>
      </w:r>
      <w:r w:rsidRPr="00C73D06">
        <w:rPr>
          <w:rFonts w:cstheme="minorHAnsi"/>
          <w:b/>
          <w:i/>
          <w:szCs w:val="22"/>
        </w:rPr>
        <w:t>Family Law Act 1975</w:t>
      </w:r>
      <w:r w:rsidRPr="00C73D06">
        <w:rPr>
          <w:rFonts w:cstheme="minorHAnsi"/>
          <w:szCs w:val="22"/>
        </w:rPr>
        <w:t xml:space="preserve"> requirements apply to family consultants only and provide that a report must establish what is in the best interests of the child, include the views of the child, and any other matters concerning their care, welfare and development.</w:t>
      </w:r>
      <w:r w:rsidRPr="00C73D06">
        <w:rPr>
          <w:rStyle w:val="FootnoteReference"/>
          <w:rFonts w:cstheme="minorHAnsi"/>
          <w:szCs w:val="22"/>
        </w:rPr>
        <w:footnoteReference w:id="17"/>
      </w:r>
    </w:p>
    <w:p w14:paraId="20BEE8AF" w14:textId="77777777" w:rsidR="00BE48EE" w:rsidRPr="00C73D06" w:rsidRDefault="00BE48EE" w:rsidP="00BE48EE">
      <w:pPr>
        <w:pStyle w:val="ListParagraph"/>
        <w:numPr>
          <w:ilvl w:val="0"/>
          <w:numId w:val="5"/>
        </w:numPr>
        <w:rPr>
          <w:rFonts w:cstheme="minorHAnsi"/>
          <w:szCs w:val="22"/>
        </w:rPr>
      </w:pPr>
      <w:r w:rsidRPr="00C73D06">
        <w:rPr>
          <w:rFonts w:cstheme="minorHAnsi"/>
          <w:szCs w:val="22"/>
        </w:rPr>
        <w:t xml:space="preserve">The </w:t>
      </w:r>
      <w:r w:rsidRPr="00216E10">
        <w:rPr>
          <w:b/>
          <w:i/>
          <w:szCs w:val="18"/>
        </w:rPr>
        <w:t>Federal Circuit and Family Court of Australia (Family Law) Rules 2021</w:t>
      </w:r>
      <w:r w:rsidRPr="00216E10">
        <w:rPr>
          <w:i/>
          <w:szCs w:val="18"/>
        </w:rPr>
        <w:t xml:space="preserve"> </w:t>
      </w:r>
      <w:r w:rsidRPr="00C73D06">
        <w:rPr>
          <w:rFonts w:cstheme="minorHAnsi"/>
          <w:szCs w:val="22"/>
        </w:rPr>
        <w:t xml:space="preserve">define </w:t>
      </w:r>
      <w:r>
        <w:rPr>
          <w:rFonts w:cstheme="minorHAnsi"/>
          <w:szCs w:val="22"/>
        </w:rPr>
        <w:t xml:space="preserve">a </w:t>
      </w:r>
      <w:r w:rsidRPr="00C73D06">
        <w:rPr>
          <w:rFonts w:cstheme="minorHAnsi"/>
          <w:szCs w:val="22"/>
        </w:rPr>
        <w:t xml:space="preserve">family </w:t>
      </w:r>
      <w:r>
        <w:rPr>
          <w:rFonts w:cstheme="minorHAnsi"/>
          <w:szCs w:val="22"/>
        </w:rPr>
        <w:t xml:space="preserve">consultant’s </w:t>
      </w:r>
      <w:r w:rsidRPr="00C73D06">
        <w:rPr>
          <w:rFonts w:cstheme="minorHAnsi"/>
          <w:szCs w:val="22"/>
        </w:rPr>
        <w:t xml:space="preserve">report as a </w:t>
      </w:r>
      <w:r w:rsidRPr="00C73D06">
        <w:rPr>
          <w:rFonts w:cstheme="minorHAnsi"/>
          <w:szCs w:val="18"/>
          <w:lang w:val="en-US"/>
        </w:rPr>
        <w:t>report concerning the best interests of a child,</w:t>
      </w:r>
      <w:r w:rsidRPr="00C73D06">
        <w:rPr>
          <w:rStyle w:val="FootnoteReference"/>
          <w:rFonts w:cstheme="minorHAnsi"/>
          <w:szCs w:val="18"/>
          <w:lang w:val="en-US"/>
        </w:rPr>
        <w:footnoteReference w:id="18"/>
      </w:r>
      <w:r w:rsidRPr="00C73D06">
        <w:rPr>
          <w:rFonts w:cstheme="minorHAnsi"/>
          <w:sz w:val="28"/>
          <w:szCs w:val="22"/>
        </w:rPr>
        <w:t xml:space="preserve"> </w:t>
      </w:r>
      <w:r w:rsidRPr="00C73D06">
        <w:rPr>
          <w:rFonts w:cstheme="minorHAnsi"/>
          <w:szCs w:val="22"/>
        </w:rPr>
        <w:t xml:space="preserve">provide that the court must identify the issues to be addressed in a </w:t>
      </w:r>
      <w:r>
        <w:rPr>
          <w:rFonts w:cstheme="minorHAnsi"/>
          <w:szCs w:val="22"/>
        </w:rPr>
        <w:t>family consultant’s</w:t>
      </w:r>
      <w:r w:rsidRPr="00C73D06">
        <w:rPr>
          <w:rFonts w:cstheme="minorHAnsi"/>
          <w:szCs w:val="22"/>
        </w:rPr>
        <w:t xml:space="preserve"> report</w:t>
      </w:r>
      <w:r>
        <w:rPr>
          <w:rFonts w:cstheme="minorHAnsi"/>
          <w:szCs w:val="22"/>
        </w:rPr>
        <w:t>,</w:t>
      </w:r>
      <w:r>
        <w:rPr>
          <w:rStyle w:val="FootnoteReference"/>
          <w:rFonts w:cstheme="minorHAnsi"/>
          <w:szCs w:val="22"/>
        </w:rPr>
        <w:footnoteReference w:id="19"/>
      </w:r>
      <w:r w:rsidRPr="00C73D06" w:rsidDel="00216E10">
        <w:rPr>
          <w:rFonts w:cstheme="minorHAnsi"/>
          <w:szCs w:val="22"/>
        </w:rPr>
        <w:t xml:space="preserve"> </w:t>
      </w:r>
      <w:r w:rsidRPr="00C73D06">
        <w:rPr>
          <w:rFonts w:cstheme="minorHAnsi"/>
          <w:szCs w:val="22"/>
        </w:rPr>
        <w:t>and provide that</w:t>
      </w:r>
      <w:r>
        <w:rPr>
          <w:rFonts w:cstheme="minorHAnsi"/>
          <w:szCs w:val="22"/>
        </w:rPr>
        <w:t xml:space="preserve"> a</w:t>
      </w:r>
      <w:r w:rsidRPr="00C73D06">
        <w:rPr>
          <w:rFonts w:cstheme="minorHAnsi"/>
          <w:szCs w:val="22"/>
        </w:rPr>
        <w:t xml:space="preserve"> single expert </w:t>
      </w:r>
      <w:r>
        <w:rPr>
          <w:rFonts w:cstheme="minorHAnsi"/>
          <w:szCs w:val="22"/>
        </w:rPr>
        <w:t>must receive instructions on the issues about which their opinion is sought</w:t>
      </w:r>
      <w:r w:rsidRPr="00C73D06">
        <w:rPr>
          <w:rFonts w:cstheme="minorHAnsi"/>
          <w:szCs w:val="22"/>
        </w:rPr>
        <w:t>.</w:t>
      </w:r>
      <w:r w:rsidRPr="00C73D06">
        <w:rPr>
          <w:rStyle w:val="FootnoteReference"/>
          <w:rFonts w:cstheme="minorHAnsi"/>
          <w:szCs w:val="18"/>
          <w:lang w:val="en-US"/>
        </w:rPr>
        <w:footnoteReference w:id="20"/>
      </w:r>
    </w:p>
    <w:p w14:paraId="56F13C18" w14:textId="77777777" w:rsidR="00BE48EE" w:rsidRPr="00C73D06" w:rsidRDefault="00BE48EE" w:rsidP="00BE48EE">
      <w:pPr>
        <w:pStyle w:val="ListParagraph"/>
        <w:numPr>
          <w:ilvl w:val="0"/>
          <w:numId w:val="5"/>
        </w:numPr>
        <w:rPr>
          <w:rFonts w:cstheme="minorHAnsi"/>
          <w:szCs w:val="22"/>
        </w:rPr>
      </w:pPr>
      <w:r w:rsidRPr="00C73D06">
        <w:rPr>
          <w:rFonts w:cstheme="minorHAnsi"/>
          <w:szCs w:val="22"/>
        </w:rPr>
        <w:t xml:space="preserve">The </w:t>
      </w:r>
      <w:r w:rsidRPr="00C73D06">
        <w:rPr>
          <w:rFonts w:cstheme="minorHAnsi"/>
          <w:b/>
          <w:i/>
          <w:szCs w:val="22"/>
        </w:rPr>
        <w:t xml:space="preserve">Australian Standards of Practice for Family Assessments and Reporting </w:t>
      </w:r>
      <w:r w:rsidRPr="00C73D06">
        <w:rPr>
          <w:rFonts w:cstheme="minorHAnsi"/>
          <w:szCs w:val="22"/>
        </w:rPr>
        <w:t>(the Standards),</w:t>
      </w:r>
      <w:r w:rsidRPr="00C73D06">
        <w:rPr>
          <w:rStyle w:val="FootnoteReference"/>
          <w:rFonts w:cstheme="minorHAnsi"/>
          <w:szCs w:val="22"/>
        </w:rPr>
        <w:footnoteReference w:id="21"/>
      </w:r>
      <w:r w:rsidRPr="00C73D06">
        <w:rPr>
          <w:rFonts w:cstheme="minorHAnsi"/>
          <w:szCs w:val="22"/>
        </w:rPr>
        <w:t xml:space="preserve"> developed by the Family Court</w:t>
      </w:r>
      <w:r>
        <w:rPr>
          <w:rFonts w:cstheme="minorHAnsi"/>
          <w:szCs w:val="22"/>
        </w:rPr>
        <w:t xml:space="preserve"> of Australia</w:t>
      </w:r>
      <w:r w:rsidRPr="00C73D06">
        <w:rPr>
          <w:rFonts w:cstheme="minorHAnsi"/>
          <w:szCs w:val="22"/>
        </w:rPr>
        <w:t>, Federal Circuit Court and the Family Court of Western Australia, apply to all family report writers including single expert witnesses. The Standards comprehensively outline what the family report should cover, including the views of the child, the child’s relationship to their parents, risk assessments, cultural issues and recommendations on parenting arrangements. The Standards a</w:t>
      </w:r>
      <w:r w:rsidRPr="00C73D06">
        <w:rPr>
          <w:szCs w:val="22"/>
        </w:rPr>
        <w:t xml:space="preserve">lso prescribe the methodology and approach that should be taken by the report writer. The Standards are not legally binding. </w:t>
      </w:r>
    </w:p>
    <w:p w14:paraId="7F9B393C" w14:textId="77777777" w:rsidR="00BE48EE" w:rsidRPr="00C73D06" w:rsidRDefault="00BE48EE" w:rsidP="00BE48EE">
      <w:pPr>
        <w:pStyle w:val="ListParagraph"/>
        <w:numPr>
          <w:ilvl w:val="0"/>
          <w:numId w:val="5"/>
        </w:numPr>
      </w:pPr>
      <w:r w:rsidRPr="00C73D06">
        <w:rPr>
          <w:rFonts w:cstheme="minorHAnsi"/>
          <w:szCs w:val="22"/>
        </w:rPr>
        <w:t xml:space="preserve">Various </w:t>
      </w:r>
      <w:r w:rsidRPr="00C73D06">
        <w:rPr>
          <w:rFonts w:cstheme="minorHAnsi"/>
          <w:b/>
          <w:szCs w:val="22"/>
        </w:rPr>
        <w:t>Practice Guidelines,</w:t>
      </w:r>
      <w:r w:rsidRPr="00C73D06">
        <w:rPr>
          <w:rFonts w:cstheme="minorHAnsi"/>
          <w:szCs w:val="22"/>
        </w:rPr>
        <w:t xml:space="preserve"> </w:t>
      </w:r>
      <w:r w:rsidRPr="00C73D06">
        <w:rPr>
          <w:rFonts w:cstheme="minorHAnsi"/>
          <w:b/>
          <w:szCs w:val="22"/>
        </w:rPr>
        <w:t>Professional Directions</w:t>
      </w:r>
      <w:r w:rsidRPr="00C73D06">
        <w:rPr>
          <w:rFonts w:cstheme="minorHAnsi"/>
          <w:szCs w:val="22"/>
        </w:rPr>
        <w:t xml:space="preserve"> and </w:t>
      </w:r>
      <w:r w:rsidRPr="00C73D06">
        <w:rPr>
          <w:rFonts w:cstheme="minorHAnsi"/>
          <w:b/>
          <w:szCs w:val="22"/>
        </w:rPr>
        <w:t>supporting documents</w:t>
      </w:r>
      <w:r w:rsidRPr="00C73D06">
        <w:rPr>
          <w:rFonts w:cstheme="minorHAnsi"/>
          <w:szCs w:val="22"/>
        </w:rPr>
        <w:t xml:space="preserve"> are produced by </w:t>
      </w:r>
      <w:r>
        <w:rPr>
          <w:rFonts w:cstheme="minorHAnsi"/>
          <w:szCs w:val="22"/>
        </w:rPr>
        <w:t>CCS</w:t>
      </w:r>
      <w:r w:rsidRPr="00C73D06">
        <w:rPr>
          <w:rFonts w:cstheme="minorHAnsi"/>
          <w:szCs w:val="22"/>
        </w:rPr>
        <w:t xml:space="preserve"> and </w:t>
      </w:r>
      <w:r w:rsidRPr="00721D65">
        <w:rPr>
          <w:rFonts w:cstheme="minorHAnsi"/>
          <w:szCs w:val="22"/>
        </w:rPr>
        <w:t xml:space="preserve">apply to family consultants (both in-house and regulation 7). FCCCS also has their own practice guidelines. For both </w:t>
      </w:r>
      <w:r>
        <w:rPr>
          <w:rFonts w:cstheme="minorHAnsi"/>
          <w:szCs w:val="22"/>
        </w:rPr>
        <w:t>CCS</w:t>
      </w:r>
      <w:r w:rsidRPr="00721D65">
        <w:rPr>
          <w:rFonts w:cstheme="minorHAnsi"/>
          <w:szCs w:val="22"/>
        </w:rPr>
        <w:t xml:space="preserve"> and FCCCS, these internal governance documents are consistent with the Standards.</w:t>
      </w:r>
      <w:r w:rsidRPr="00C73D06">
        <w:rPr>
          <w:rFonts w:cstheme="minorHAnsi"/>
          <w:szCs w:val="22"/>
        </w:rPr>
        <w:t xml:space="preserve"> </w:t>
      </w:r>
    </w:p>
    <w:p w14:paraId="00EFAECF" w14:textId="77777777" w:rsidR="00BE48EE" w:rsidRPr="00C73D06" w:rsidRDefault="00BE48EE" w:rsidP="00BE48EE">
      <w:pPr>
        <w:spacing w:after="0"/>
      </w:pPr>
      <w:r w:rsidRPr="00C73D06">
        <w:t xml:space="preserve">The Practice Guidelines and Professional Directions for family consultants include a clear structure for family reports and ensure that reports cover the following key issues and risks at a minimum: </w:t>
      </w:r>
    </w:p>
    <w:p w14:paraId="0611DFFE" w14:textId="77777777" w:rsidR="00BE48EE" w:rsidRPr="00C73D06" w:rsidRDefault="00BE48EE" w:rsidP="00BE48EE">
      <w:pPr>
        <w:pStyle w:val="ListParagraph"/>
        <w:numPr>
          <w:ilvl w:val="0"/>
          <w:numId w:val="17"/>
        </w:numPr>
      </w:pPr>
      <w:r w:rsidRPr="00C73D06">
        <w:t>current parenting arrangements</w:t>
      </w:r>
    </w:p>
    <w:p w14:paraId="76CACDDE" w14:textId="77777777" w:rsidR="00BE48EE" w:rsidRPr="00C73D06" w:rsidRDefault="00BE48EE" w:rsidP="00BE48EE">
      <w:pPr>
        <w:pStyle w:val="ListParagraph"/>
        <w:numPr>
          <w:ilvl w:val="0"/>
          <w:numId w:val="17"/>
        </w:numPr>
      </w:pPr>
      <w:r w:rsidRPr="00C73D06">
        <w:t>the history of the relationship and the dispute</w:t>
      </w:r>
    </w:p>
    <w:p w14:paraId="5D48A4A2" w14:textId="77777777" w:rsidR="00BE48EE" w:rsidRPr="00C73D06" w:rsidRDefault="00BE48EE" w:rsidP="00BE48EE">
      <w:pPr>
        <w:pStyle w:val="ListParagraph"/>
        <w:numPr>
          <w:ilvl w:val="0"/>
          <w:numId w:val="17"/>
        </w:numPr>
      </w:pPr>
      <w:r w:rsidRPr="00C73D06">
        <w:t>child abuse and the involvement of child protection</w:t>
      </w:r>
    </w:p>
    <w:p w14:paraId="46E0B37E" w14:textId="77777777" w:rsidR="00BE48EE" w:rsidRPr="00C73D06" w:rsidRDefault="00BE48EE" w:rsidP="00BE48EE">
      <w:pPr>
        <w:pStyle w:val="ListParagraph"/>
        <w:numPr>
          <w:ilvl w:val="0"/>
          <w:numId w:val="17"/>
        </w:numPr>
      </w:pPr>
      <w:r w:rsidRPr="00C73D06">
        <w:t>family violence</w:t>
      </w:r>
    </w:p>
    <w:p w14:paraId="3552BE0B" w14:textId="77777777" w:rsidR="00BE48EE" w:rsidRPr="00C73D06" w:rsidRDefault="00BE48EE" w:rsidP="00BE48EE">
      <w:pPr>
        <w:pStyle w:val="ListParagraph"/>
        <w:numPr>
          <w:ilvl w:val="0"/>
          <w:numId w:val="17"/>
        </w:numPr>
      </w:pPr>
      <w:r w:rsidRPr="00C73D06">
        <w:t>mental health</w:t>
      </w:r>
    </w:p>
    <w:p w14:paraId="42517A99" w14:textId="77777777" w:rsidR="00BE48EE" w:rsidRPr="00C73D06" w:rsidRDefault="00BE48EE" w:rsidP="00BE48EE">
      <w:pPr>
        <w:pStyle w:val="ListParagraph"/>
        <w:numPr>
          <w:ilvl w:val="0"/>
          <w:numId w:val="17"/>
        </w:numPr>
      </w:pPr>
      <w:r w:rsidRPr="00C73D06">
        <w:t xml:space="preserve">drugs and alcohol </w:t>
      </w:r>
    </w:p>
    <w:p w14:paraId="4AD907D0" w14:textId="77777777" w:rsidR="00BE48EE" w:rsidRPr="00C73D06" w:rsidRDefault="00BE48EE" w:rsidP="00BE48EE">
      <w:pPr>
        <w:pStyle w:val="ListParagraph"/>
        <w:numPr>
          <w:ilvl w:val="0"/>
          <w:numId w:val="17"/>
        </w:numPr>
      </w:pPr>
      <w:r w:rsidRPr="00C73D06">
        <w:t>the child’s and each parent’s views</w:t>
      </w:r>
    </w:p>
    <w:p w14:paraId="030D944D" w14:textId="77777777" w:rsidR="00BE48EE" w:rsidRPr="00C73D06" w:rsidRDefault="00BE48EE" w:rsidP="00BE48EE">
      <w:pPr>
        <w:pStyle w:val="ListParagraph"/>
        <w:numPr>
          <w:ilvl w:val="0"/>
          <w:numId w:val="17"/>
        </w:numPr>
      </w:pPr>
      <w:r w:rsidRPr="00C73D06">
        <w:rPr>
          <w:rFonts w:cstheme="minorHAnsi"/>
          <w:szCs w:val="22"/>
        </w:rPr>
        <w:t>cultural issues, particularly for individuals of Aboriginal or Torres Strait Islander background</w:t>
      </w:r>
    </w:p>
    <w:p w14:paraId="3AFF0A5E" w14:textId="77777777" w:rsidR="00BE48EE" w:rsidRPr="00C73D06" w:rsidRDefault="00BE48EE" w:rsidP="00BE48EE">
      <w:r w:rsidRPr="00C73D06">
        <w:t>These guidelines</w:t>
      </w:r>
      <w:r>
        <w:t xml:space="preserve"> and directions</w:t>
      </w:r>
      <w:r w:rsidRPr="00C73D06">
        <w:t xml:space="preserve"> are helpful in ensuring that family consultants produce comprehensive and consistent reports. However, these guidelines are not binding on, nor available to, single expert witnesses.</w:t>
      </w:r>
    </w:p>
    <w:p w14:paraId="653D7B0F" w14:textId="77777777" w:rsidR="00BE48EE" w:rsidRPr="00C73D06" w:rsidRDefault="00BE48EE" w:rsidP="00BE48EE">
      <w:pPr>
        <w:rPr>
          <w:rFonts w:cstheme="minorHAnsi"/>
          <w:szCs w:val="22"/>
          <w:lang w:val="en-GB"/>
        </w:rPr>
      </w:pPr>
      <w:r w:rsidRPr="00C73D06">
        <w:rPr>
          <w:rFonts w:cstheme="minorHAnsi"/>
          <w:szCs w:val="22"/>
        </w:rPr>
        <w:t xml:space="preserve">Stakeholders have reported concerns that family reports are too general in nature and </w:t>
      </w:r>
      <w:r w:rsidRPr="00C73D06">
        <w:rPr>
          <w:rFonts w:cstheme="minorHAnsi"/>
          <w:szCs w:val="22"/>
          <w:lang w:val="en-GB"/>
        </w:rPr>
        <w:t xml:space="preserve">lack focus on, minimise, or </w:t>
      </w:r>
      <w:r>
        <w:rPr>
          <w:rFonts w:cstheme="minorHAnsi"/>
          <w:szCs w:val="22"/>
          <w:lang w:val="en-GB"/>
        </w:rPr>
        <w:t xml:space="preserve">do </w:t>
      </w:r>
      <w:r w:rsidRPr="00C73D06">
        <w:rPr>
          <w:rFonts w:cstheme="minorHAnsi"/>
          <w:szCs w:val="22"/>
          <w:lang w:val="en-GB"/>
        </w:rPr>
        <w:t>not adequately address issues like family violence, child abuse or cultural needs.</w:t>
      </w:r>
      <w:r w:rsidRPr="00C73D06">
        <w:rPr>
          <w:rStyle w:val="FootnoteReference"/>
          <w:rFonts w:cstheme="minorHAnsi"/>
          <w:szCs w:val="22"/>
          <w:lang w:val="en-GB"/>
        </w:rPr>
        <w:footnoteReference w:id="22"/>
      </w:r>
      <w:r w:rsidRPr="00C73D06">
        <w:rPr>
          <w:rFonts w:cstheme="minorHAnsi"/>
          <w:szCs w:val="22"/>
          <w:lang w:val="en-GB"/>
        </w:rPr>
        <w:t xml:space="preserve"> Stakeholders have called for greater clarity about the main issues to be included in family reports.</w:t>
      </w:r>
      <w:r w:rsidRPr="00C73D06">
        <w:rPr>
          <w:rStyle w:val="FootnoteReference"/>
          <w:rFonts w:cstheme="minorHAnsi"/>
          <w:szCs w:val="22"/>
          <w:lang w:val="en-GB"/>
        </w:rPr>
        <w:footnoteReference w:id="23"/>
      </w:r>
    </w:p>
    <w:p w14:paraId="02A6E72A" w14:textId="77777777" w:rsidR="00BE48EE" w:rsidRPr="00C73D06" w:rsidRDefault="00BE48EE" w:rsidP="00BE48EE">
      <w:pPr>
        <w:rPr>
          <w:rFonts w:cstheme="minorHAnsi"/>
          <w:szCs w:val="22"/>
        </w:rPr>
      </w:pPr>
      <w:r w:rsidRPr="00C73D06">
        <w:rPr>
          <w:rFonts w:cstheme="minorHAnsi"/>
          <w:szCs w:val="22"/>
        </w:rPr>
        <w:lastRenderedPageBreak/>
        <w:t>See Appendix A for a more detailed breakdown of the requirements of a family report.</w:t>
      </w:r>
    </w:p>
    <w:p w14:paraId="57FEDB45" w14:textId="77777777" w:rsidR="00BE48EE" w:rsidRPr="00C73D06" w:rsidRDefault="00BE48EE" w:rsidP="004C5C6E">
      <w:pPr>
        <w:keepNext/>
        <w:pBdr>
          <w:top w:val="single" w:sz="4" w:space="1" w:color="auto"/>
          <w:left w:val="single" w:sz="4" w:space="4" w:color="auto"/>
          <w:bottom w:val="single" w:sz="4" w:space="0" w:color="auto"/>
          <w:right w:val="single" w:sz="4" w:space="4" w:color="auto"/>
        </w:pBdr>
        <w:shd w:val="clear" w:color="auto" w:fill="ECF1F4"/>
        <w:spacing w:after="0"/>
        <w:rPr>
          <w:rStyle w:val="Strong"/>
          <w:szCs w:val="28"/>
        </w:rPr>
      </w:pPr>
      <w:bookmarkStart w:id="17" w:name="_Toc73542602"/>
      <w:r w:rsidRPr="00C73D06">
        <w:rPr>
          <w:rStyle w:val="Strong"/>
          <w:szCs w:val="28"/>
        </w:rPr>
        <w:t>Question 1: Definition of family report</w:t>
      </w:r>
      <w:bookmarkEnd w:id="17"/>
      <w:r>
        <w:rPr>
          <w:rStyle w:val="Strong"/>
          <w:szCs w:val="28"/>
        </w:rPr>
        <w:t xml:space="preserve"> and family report writer</w:t>
      </w:r>
    </w:p>
    <w:p w14:paraId="672EDBEE" w14:textId="77777777" w:rsidR="00BE48EE" w:rsidRPr="004C5C6E" w:rsidRDefault="00BE48EE" w:rsidP="004C5C6E">
      <w:pPr>
        <w:pStyle w:val="ListParagraph"/>
        <w:keepNext/>
        <w:numPr>
          <w:ilvl w:val="0"/>
          <w:numId w:val="47"/>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bookmarkStart w:id="18" w:name="_Toc73542603"/>
      <w:r w:rsidRPr="004C5C6E">
        <w:rPr>
          <w:sz w:val="28"/>
          <w:szCs w:val="28"/>
        </w:rPr>
        <w:t>Should the terms ‘family report’ and ‘family report writer’ be defined in legislation to better clarify their purpose and application?</w:t>
      </w:r>
      <w:bookmarkStart w:id="19" w:name="_Toc73542604"/>
      <w:bookmarkEnd w:id="18"/>
      <w:r w:rsidRPr="004C5C6E">
        <w:rPr>
          <w:sz w:val="28"/>
          <w:szCs w:val="28"/>
        </w:rPr>
        <w:t xml:space="preserve"> What issues would need to be considered in defining these terms?</w:t>
      </w:r>
    </w:p>
    <w:p w14:paraId="0BB81F97" w14:textId="77777777" w:rsidR="00BE48EE" w:rsidRPr="004C5C6E" w:rsidRDefault="00BE48EE" w:rsidP="004C5C6E">
      <w:pPr>
        <w:pStyle w:val="ListParagraph"/>
        <w:numPr>
          <w:ilvl w:val="0"/>
          <w:numId w:val="47"/>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Should a legal definition of family report and family report writer apply to all cohorts of report writers (in-house and regulation 7 family consultants, and single expert witnesses) who undertake family and child assessments and reports?</w:t>
      </w:r>
      <w:bookmarkStart w:id="20" w:name="_Toc73542605"/>
      <w:bookmarkEnd w:id="19"/>
      <w:r w:rsidRPr="004C5C6E">
        <w:rPr>
          <w:sz w:val="28"/>
          <w:szCs w:val="28"/>
        </w:rPr>
        <w:t xml:space="preserve"> </w:t>
      </w:r>
    </w:p>
    <w:p w14:paraId="31A0AD70" w14:textId="77777777" w:rsidR="00BE48EE" w:rsidRPr="004C5C6E" w:rsidRDefault="00BE48EE" w:rsidP="004C5C6E">
      <w:pPr>
        <w:pStyle w:val="ListParagraph"/>
        <w:numPr>
          <w:ilvl w:val="0"/>
          <w:numId w:val="47"/>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Should a legal definition of family report writer specify which social science professionals may prepare a family report?</w:t>
      </w:r>
      <w:bookmarkEnd w:id="20"/>
      <w:r w:rsidRPr="004C5C6E">
        <w:rPr>
          <w:sz w:val="28"/>
          <w:szCs w:val="28"/>
        </w:rPr>
        <w:t xml:space="preserve"> </w:t>
      </w:r>
    </w:p>
    <w:p w14:paraId="7C2A6365" w14:textId="77777777" w:rsidR="00BE48EE" w:rsidRPr="004C5C6E" w:rsidRDefault="00BE48EE" w:rsidP="004C5C6E">
      <w:pPr>
        <w:pStyle w:val="ListParagraph"/>
        <w:numPr>
          <w:ilvl w:val="0"/>
          <w:numId w:val="47"/>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 xml:space="preserve">Should a legal definition of family report include all reports prepared by family consultants under s 62G of the </w:t>
      </w:r>
      <w:r w:rsidRPr="004C5C6E">
        <w:rPr>
          <w:i/>
          <w:sz w:val="28"/>
          <w:szCs w:val="28"/>
        </w:rPr>
        <w:t>Family Law Act 1975</w:t>
      </w:r>
      <w:r w:rsidRPr="004C5C6E">
        <w:rPr>
          <w:sz w:val="28"/>
          <w:szCs w:val="28"/>
        </w:rPr>
        <w:t>, including child impact reports and specific issues reports?</w:t>
      </w:r>
    </w:p>
    <w:p w14:paraId="0134255D" w14:textId="77777777" w:rsidR="00BE48EE" w:rsidRPr="004C5C6E" w:rsidRDefault="00BE48EE" w:rsidP="004C5C6E">
      <w:pPr>
        <w:pStyle w:val="ListParagraph"/>
        <w:numPr>
          <w:ilvl w:val="0"/>
          <w:numId w:val="47"/>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 xml:space="preserve">Is it appropriate to exclude specialised reports on specific issues by single expert witnesses? Is there a way to clearly differentiate between a specialised report and family report? </w:t>
      </w:r>
    </w:p>
    <w:p w14:paraId="488A0414" w14:textId="77777777" w:rsidR="00BE48EE" w:rsidRPr="00C73D06" w:rsidRDefault="00BE48EE" w:rsidP="004C5C6E">
      <w:pPr>
        <w:pBdr>
          <w:top w:val="single" w:sz="4" w:space="1" w:color="auto"/>
          <w:left w:val="single" w:sz="4" w:space="4" w:color="auto"/>
          <w:bottom w:val="single" w:sz="4" w:space="0" w:color="auto"/>
          <w:right w:val="single" w:sz="4" w:space="4" w:color="auto"/>
        </w:pBdr>
        <w:shd w:val="clear" w:color="auto" w:fill="ECF1F4"/>
        <w:spacing w:before="80" w:after="0"/>
        <w:ind w:left="426" w:hanging="426"/>
        <w:rPr>
          <w:b/>
          <w:color w:val="C87200"/>
          <w:sz w:val="28"/>
          <w:szCs w:val="28"/>
        </w:rPr>
      </w:pPr>
      <w:bookmarkStart w:id="21" w:name="_Toc73542606"/>
      <w:r w:rsidRPr="00C73D06">
        <w:rPr>
          <w:b/>
          <w:color w:val="C87200"/>
          <w:sz w:val="28"/>
          <w:szCs w:val="28"/>
        </w:rPr>
        <w:t>Question 2: Content of a family report</w:t>
      </w:r>
      <w:bookmarkEnd w:id="21"/>
    </w:p>
    <w:p w14:paraId="71CB3BF2" w14:textId="77777777" w:rsidR="00BE48EE" w:rsidRPr="004C5C6E" w:rsidRDefault="00BE48EE" w:rsidP="004C5C6E">
      <w:pPr>
        <w:pStyle w:val="ListParagraph"/>
        <w:numPr>
          <w:ilvl w:val="0"/>
          <w:numId w:val="52"/>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What minimum content should a family report require?</w:t>
      </w:r>
    </w:p>
    <w:p w14:paraId="1CC79F90" w14:textId="77777777" w:rsidR="00BE48EE" w:rsidRPr="004C5C6E" w:rsidRDefault="00BE48EE" w:rsidP="004C5C6E">
      <w:pPr>
        <w:pStyle w:val="ListParagraph"/>
        <w:numPr>
          <w:ilvl w:val="0"/>
          <w:numId w:val="52"/>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Should minimum content requirements be legislated or otherwise made mandatory?</w:t>
      </w:r>
    </w:p>
    <w:p w14:paraId="3141197A" w14:textId="77777777" w:rsidR="00BE48EE" w:rsidRPr="00C73D06" w:rsidRDefault="00BE48EE" w:rsidP="004C5C6E">
      <w:pPr>
        <w:pBdr>
          <w:top w:val="single" w:sz="4" w:space="1" w:color="auto"/>
          <w:left w:val="single" w:sz="4" w:space="4" w:color="auto"/>
          <w:bottom w:val="single" w:sz="4" w:space="0" w:color="auto"/>
          <w:right w:val="single" w:sz="4" w:space="4" w:color="auto"/>
        </w:pBdr>
        <w:shd w:val="clear" w:color="auto" w:fill="ECF1F4"/>
        <w:spacing w:before="80" w:after="0"/>
        <w:ind w:left="426" w:hanging="426"/>
        <w:rPr>
          <w:b/>
          <w:color w:val="C87200"/>
          <w:sz w:val="28"/>
          <w:szCs w:val="28"/>
        </w:rPr>
      </w:pPr>
      <w:bookmarkStart w:id="22" w:name="_Toc73542608"/>
      <w:r w:rsidRPr="00C73D06">
        <w:rPr>
          <w:b/>
          <w:color w:val="C87200"/>
          <w:sz w:val="28"/>
          <w:szCs w:val="28"/>
        </w:rPr>
        <w:t>Question 3: Data on single expert witnesses</w:t>
      </w:r>
      <w:bookmarkEnd w:id="22"/>
    </w:p>
    <w:p w14:paraId="297B1FB5" w14:textId="77777777" w:rsidR="00BE48EE" w:rsidRPr="004C5C6E" w:rsidRDefault="00BE48EE" w:rsidP="004C5C6E">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What is a reasonable estimate as to the number of family reports prepared by single expert witnesses each year?</w:t>
      </w:r>
    </w:p>
    <w:p w14:paraId="737C3A0B" w14:textId="77777777" w:rsidR="00BE48EE" w:rsidRPr="004C5C6E" w:rsidRDefault="00BE48EE" w:rsidP="004C5C6E">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What is a reasonable estimate as to how many social workers, psychologists and psychiatrists prepare family reports in the capacity of a single expert witness each year?</w:t>
      </w:r>
    </w:p>
    <w:p w14:paraId="7FCBA949" w14:textId="77777777" w:rsidR="00BE48EE" w:rsidRPr="004C5C6E" w:rsidRDefault="00BE48EE" w:rsidP="004C5C6E">
      <w:pPr>
        <w:pStyle w:val="ListParagraph"/>
        <w:numPr>
          <w:ilvl w:val="0"/>
          <w:numId w:val="48"/>
        </w:numPr>
        <w:pBdr>
          <w:top w:val="single" w:sz="4" w:space="1" w:color="auto"/>
          <w:left w:val="single" w:sz="4" w:space="4" w:color="auto"/>
          <w:bottom w:val="single" w:sz="4" w:space="0" w:color="auto"/>
          <w:right w:val="single" w:sz="4" w:space="4" w:color="auto"/>
        </w:pBdr>
        <w:shd w:val="clear" w:color="auto" w:fill="ECF1F4"/>
        <w:spacing w:after="0"/>
        <w:ind w:left="426" w:hanging="426"/>
        <w:rPr>
          <w:sz w:val="28"/>
          <w:szCs w:val="28"/>
        </w:rPr>
      </w:pPr>
      <w:r w:rsidRPr="004C5C6E">
        <w:rPr>
          <w:sz w:val="28"/>
          <w:szCs w:val="28"/>
        </w:rPr>
        <w:t>How could data on the number of single expert witnesses who prepare family reports be sourced?</w:t>
      </w:r>
    </w:p>
    <w:p w14:paraId="432A47EF" w14:textId="77777777" w:rsidR="00BE48EE" w:rsidRPr="00C73D06" w:rsidRDefault="00BE48EE" w:rsidP="00BE48EE"/>
    <w:p w14:paraId="481683C0" w14:textId="77777777" w:rsidR="00BE48EE" w:rsidRPr="00C73D06" w:rsidRDefault="00BE48EE" w:rsidP="00BE48EE">
      <w:pPr>
        <w:spacing w:line="300" w:lineRule="auto"/>
        <w:rPr>
          <w:rFonts w:asciiTheme="majorHAnsi" w:eastAsiaTheme="majorEastAsia" w:hAnsiTheme="majorHAnsi" w:cstheme="majorBidi"/>
          <w:color w:val="365F91" w:themeColor="accent1" w:themeShade="BF"/>
          <w:sz w:val="40"/>
          <w:szCs w:val="40"/>
        </w:rPr>
      </w:pPr>
      <w:r w:rsidRPr="00C73D06">
        <w:br w:type="page"/>
      </w:r>
    </w:p>
    <w:p w14:paraId="22C9341E" w14:textId="77777777" w:rsidR="00BE48EE" w:rsidRPr="00C73D06" w:rsidRDefault="00BE48EE" w:rsidP="00BE48EE">
      <w:pPr>
        <w:pStyle w:val="Heading1"/>
        <w:spacing w:before="240"/>
      </w:pPr>
      <w:bookmarkStart w:id="23" w:name="_Toc67657890"/>
      <w:bookmarkStart w:id="24" w:name="_Toc73542501"/>
      <w:r w:rsidRPr="00C2775F">
        <w:lastRenderedPageBreak/>
        <w:t>Part</w:t>
      </w:r>
      <w:r w:rsidRPr="00C73D06">
        <w:t xml:space="preserve"> II – Competency and Quality</w:t>
      </w:r>
      <w:bookmarkEnd w:id="23"/>
      <w:bookmarkEnd w:id="24"/>
      <w:r w:rsidRPr="00C73D06">
        <w:t xml:space="preserve"> </w:t>
      </w:r>
    </w:p>
    <w:p w14:paraId="1BE134CC" w14:textId="77777777" w:rsidR="00BE48EE" w:rsidRPr="00C73D06" w:rsidRDefault="00BE48EE" w:rsidP="00BE48EE">
      <w:r w:rsidRPr="00C73D06">
        <w:t xml:space="preserve">The department has identified four key areas where the skills and suitability of family report writers and quality of family reports could be improved: competency, screening, quality assurance, and increased transparency. Options for mechanisms implementing these improvements are outlined at the end of this part. </w:t>
      </w:r>
    </w:p>
    <w:p w14:paraId="29B33E0B" w14:textId="77777777" w:rsidR="00BE48EE" w:rsidRPr="00C73D06" w:rsidRDefault="00BE48EE" w:rsidP="00BE48EE">
      <w:pPr>
        <w:pStyle w:val="Heading2"/>
        <w:spacing w:before="240"/>
      </w:pPr>
      <w:bookmarkStart w:id="25" w:name="_Toc67657891"/>
      <w:bookmarkStart w:id="26" w:name="_Toc73542502"/>
      <w:r w:rsidRPr="00C73D06">
        <w:t>Competency of family report writers</w:t>
      </w:r>
      <w:bookmarkEnd w:id="25"/>
      <w:bookmarkEnd w:id="26"/>
    </w:p>
    <w:p w14:paraId="5C5FEDDB" w14:textId="77777777" w:rsidR="00BE48EE" w:rsidRPr="00C73D06" w:rsidRDefault="00BE48EE" w:rsidP="00BE48EE">
      <w:pPr>
        <w:pStyle w:val="Heading3"/>
        <w:spacing w:before="240"/>
        <w:rPr>
          <w:rFonts w:eastAsia="Times New Roman" w:cstheme="minorHAnsi"/>
          <w:color w:val="000000"/>
        </w:rPr>
      </w:pPr>
      <w:bookmarkStart w:id="27" w:name="_Toc67657892"/>
      <w:r w:rsidRPr="00C73D06">
        <w:t>Specific skills for family report writing</w:t>
      </w:r>
      <w:bookmarkEnd w:id="27"/>
    </w:p>
    <w:p w14:paraId="6734DDCC" w14:textId="77777777" w:rsidR="00BE48EE" w:rsidRPr="00C73D06" w:rsidRDefault="00BE48EE" w:rsidP="00BE48EE">
      <w:pPr>
        <w:spacing w:after="0"/>
        <w:rPr>
          <w:szCs w:val="22"/>
        </w:rPr>
      </w:pPr>
      <w:r w:rsidRPr="00C73D06">
        <w:rPr>
          <w:szCs w:val="22"/>
        </w:rPr>
        <w:t>Family report writers need to advise the courts</w:t>
      </w:r>
      <w:r>
        <w:rPr>
          <w:szCs w:val="22"/>
        </w:rPr>
        <w:t xml:space="preserve"> on</w:t>
      </w:r>
      <w:r w:rsidRPr="00C73D06">
        <w:rPr>
          <w:szCs w:val="22"/>
        </w:rPr>
        <w:t xml:space="preserve"> what parenting arrangements they consider to be in the child’s best interest. According to the Standards, family report writers should </w:t>
      </w:r>
      <w:r w:rsidRPr="00C73D06">
        <w:rPr>
          <w:rFonts w:eastAsia="Times New Roman" w:cstheme="minorHAnsi"/>
          <w:color w:val="000000"/>
          <w:szCs w:val="22"/>
        </w:rPr>
        <w:t>have appropriate training, qualifications and experience to:</w:t>
      </w:r>
      <w:r w:rsidRPr="00C73D06">
        <w:rPr>
          <w:rStyle w:val="FootnoteReference"/>
          <w:szCs w:val="22"/>
        </w:rPr>
        <w:footnoteReference w:id="24"/>
      </w:r>
    </w:p>
    <w:p w14:paraId="722DC2E2" w14:textId="77777777" w:rsidR="00BE48EE" w:rsidRPr="00C73D06" w:rsidRDefault="00BE48EE" w:rsidP="00BE48EE">
      <w:pPr>
        <w:pStyle w:val="ListParagraph"/>
        <w:numPr>
          <w:ilvl w:val="0"/>
          <w:numId w:val="3"/>
        </w:numPr>
        <w:spacing w:after="0"/>
        <w:contextualSpacing w:val="0"/>
        <w:rPr>
          <w:szCs w:val="22"/>
        </w:rPr>
      </w:pPr>
      <w:r>
        <w:rPr>
          <w:szCs w:val="22"/>
        </w:rPr>
        <w:t>F</w:t>
      </w:r>
      <w:r w:rsidRPr="00C73D06">
        <w:rPr>
          <w:szCs w:val="22"/>
        </w:rPr>
        <w:t xml:space="preserve">orm views about the parenting capacity of parents, children’s relationships </w:t>
      </w:r>
      <w:r>
        <w:rPr>
          <w:szCs w:val="22"/>
        </w:rPr>
        <w:t xml:space="preserve">with their parents, </w:t>
      </w:r>
      <w:r w:rsidRPr="00C73D06">
        <w:rPr>
          <w:szCs w:val="22"/>
        </w:rPr>
        <w:t>and general family relationship dynamics</w:t>
      </w:r>
      <w:r>
        <w:rPr>
          <w:szCs w:val="22"/>
        </w:rPr>
        <w:t>.</w:t>
      </w:r>
    </w:p>
    <w:p w14:paraId="609A47E5" w14:textId="77777777" w:rsidR="00BE48EE" w:rsidRPr="00C73D06" w:rsidRDefault="00BE48EE" w:rsidP="00BE48EE">
      <w:pPr>
        <w:pStyle w:val="ListParagraph"/>
        <w:numPr>
          <w:ilvl w:val="0"/>
          <w:numId w:val="3"/>
        </w:numPr>
        <w:rPr>
          <w:szCs w:val="22"/>
        </w:rPr>
      </w:pPr>
      <w:r>
        <w:rPr>
          <w:szCs w:val="22"/>
        </w:rPr>
        <w:t>A</w:t>
      </w:r>
      <w:r w:rsidRPr="00C73D06">
        <w:rPr>
          <w:szCs w:val="22"/>
        </w:rPr>
        <w:t>ssess the maturity of the child and the weight to be given to their views</w:t>
      </w:r>
      <w:r>
        <w:rPr>
          <w:szCs w:val="22"/>
        </w:rPr>
        <w:t>.</w:t>
      </w:r>
    </w:p>
    <w:p w14:paraId="19C4F655" w14:textId="77777777" w:rsidR="00BE48EE" w:rsidRPr="00C73D06" w:rsidRDefault="00BE48EE" w:rsidP="00BE48EE">
      <w:pPr>
        <w:pStyle w:val="ListParagraph"/>
        <w:numPr>
          <w:ilvl w:val="0"/>
          <w:numId w:val="3"/>
        </w:numPr>
        <w:rPr>
          <w:szCs w:val="22"/>
        </w:rPr>
      </w:pPr>
      <w:r>
        <w:rPr>
          <w:szCs w:val="22"/>
        </w:rPr>
        <w:t>A</w:t>
      </w:r>
      <w:r w:rsidRPr="00C73D06">
        <w:rPr>
          <w:szCs w:val="22"/>
        </w:rPr>
        <w:t>ssess risk, especially for family violence, child abuse and neglect, and substance abuse</w:t>
      </w:r>
      <w:r>
        <w:rPr>
          <w:szCs w:val="22"/>
        </w:rPr>
        <w:t>.</w:t>
      </w:r>
    </w:p>
    <w:p w14:paraId="342AE210" w14:textId="77777777" w:rsidR="00BE48EE" w:rsidRDefault="00BE48EE" w:rsidP="00BE48EE">
      <w:pPr>
        <w:pStyle w:val="ListParagraph"/>
        <w:numPr>
          <w:ilvl w:val="0"/>
          <w:numId w:val="3"/>
        </w:numPr>
        <w:rPr>
          <w:szCs w:val="22"/>
        </w:rPr>
      </w:pPr>
      <w:r>
        <w:rPr>
          <w:szCs w:val="22"/>
        </w:rPr>
        <w:t>O</w:t>
      </w:r>
      <w:r w:rsidRPr="00C73D06">
        <w:rPr>
          <w:szCs w:val="22"/>
        </w:rPr>
        <w:t>bserve family interactions and form assessments with an understanding of the impact of trauma</w:t>
      </w:r>
      <w:r>
        <w:rPr>
          <w:szCs w:val="22"/>
        </w:rPr>
        <w:t>.</w:t>
      </w:r>
    </w:p>
    <w:p w14:paraId="6C2F48B7" w14:textId="77777777" w:rsidR="00BE48EE" w:rsidRPr="00C73D06" w:rsidRDefault="00BE48EE" w:rsidP="00BE48EE">
      <w:pPr>
        <w:pStyle w:val="ListParagraph"/>
        <w:numPr>
          <w:ilvl w:val="0"/>
          <w:numId w:val="3"/>
        </w:numPr>
        <w:rPr>
          <w:szCs w:val="22"/>
        </w:rPr>
      </w:pPr>
      <w:r>
        <w:rPr>
          <w:szCs w:val="22"/>
        </w:rPr>
        <w:t>E</w:t>
      </w:r>
      <w:r w:rsidRPr="00C73D06">
        <w:rPr>
          <w:szCs w:val="22"/>
        </w:rPr>
        <w:t>ngage with children in a developmentally appropriate manner to obtain and accurately represent their views</w:t>
      </w:r>
      <w:r>
        <w:rPr>
          <w:szCs w:val="22"/>
        </w:rPr>
        <w:t>.</w:t>
      </w:r>
    </w:p>
    <w:p w14:paraId="6D058A91" w14:textId="77777777" w:rsidR="00BE48EE" w:rsidRPr="002B2DC5" w:rsidRDefault="00BE48EE" w:rsidP="00BE48EE">
      <w:pPr>
        <w:pStyle w:val="ListParagraph"/>
        <w:numPr>
          <w:ilvl w:val="0"/>
          <w:numId w:val="3"/>
        </w:numPr>
        <w:rPr>
          <w:szCs w:val="22"/>
        </w:rPr>
      </w:pPr>
      <w:r>
        <w:rPr>
          <w:szCs w:val="22"/>
        </w:rPr>
        <w:t>I</w:t>
      </w:r>
      <w:r w:rsidRPr="00C73D06">
        <w:rPr>
          <w:szCs w:val="22"/>
        </w:rPr>
        <w:t>nterview parents about sensitive and emotional family issues in a trauma informed way</w:t>
      </w:r>
      <w:r>
        <w:rPr>
          <w:szCs w:val="22"/>
        </w:rPr>
        <w:t>.</w:t>
      </w:r>
    </w:p>
    <w:p w14:paraId="08A1C0B5" w14:textId="77777777" w:rsidR="00BE48EE" w:rsidRPr="00C73D06" w:rsidRDefault="00BE48EE" w:rsidP="00BE48EE">
      <w:pPr>
        <w:pStyle w:val="ListParagraph"/>
        <w:numPr>
          <w:ilvl w:val="0"/>
          <w:numId w:val="3"/>
        </w:numPr>
        <w:spacing w:after="0"/>
        <w:contextualSpacing w:val="0"/>
        <w:rPr>
          <w:szCs w:val="22"/>
        </w:rPr>
      </w:pPr>
      <w:r>
        <w:rPr>
          <w:szCs w:val="22"/>
        </w:rPr>
        <w:t>U</w:t>
      </w:r>
      <w:r w:rsidRPr="00C73D06">
        <w:rPr>
          <w:szCs w:val="22"/>
        </w:rPr>
        <w:t>nderstand and be sensitive to gender identity, sexual preferences, mental and physical abilities, and cultural identity</w:t>
      </w:r>
      <w:r>
        <w:rPr>
          <w:szCs w:val="22"/>
        </w:rPr>
        <w:t>.</w:t>
      </w:r>
    </w:p>
    <w:p w14:paraId="406AA61D" w14:textId="77777777" w:rsidR="00BE48EE" w:rsidRPr="00C73D06" w:rsidRDefault="00BE48EE" w:rsidP="00BE48EE">
      <w:pPr>
        <w:pStyle w:val="ListParagraph"/>
        <w:numPr>
          <w:ilvl w:val="0"/>
          <w:numId w:val="3"/>
        </w:numPr>
      </w:pPr>
      <w:r>
        <w:t>U</w:t>
      </w:r>
      <w:r w:rsidRPr="00C73D06">
        <w:t>nderstand and assess the importance of cultural factors when working with Aboriginal and Torres Strait Islander families, including:</w:t>
      </w:r>
    </w:p>
    <w:p w14:paraId="56736F84" w14:textId="77777777" w:rsidR="00BE48EE" w:rsidRPr="00C73D06" w:rsidRDefault="00BE48EE" w:rsidP="00BE48EE">
      <w:pPr>
        <w:pStyle w:val="ListParagraph"/>
        <w:numPr>
          <w:ilvl w:val="1"/>
          <w:numId w:val="3"/>
        </w:numPr>
      </w:pPr>
      <w:r w:rsidRPr="00C73D06">
        <w:t>connection to community and extended family, and</w:t>
      </w:r>
    </w:p>
    <w:p w14:paraId="2589F1A6" w14:textId="77777777" w:rsidR="00BE48EE" w:rsidRPr="00C73D06" w:rsidRDefault="00BE48EE" w:rsidP="00BE48EE">
      <w:pPr>
        <w:pStyle w:val="ListParagraph"/>
        <w:numPr>
          <w:ilvl w:val="1"/>
          <w:numId w:val="3"/>
        </w:numPr>
      </w:pPr>
      <w:r w:rsidRPr="00C73D06">
        <w:t>the capacity of both parents to provide the support and opportunity for the child to explore the full extent of their cultural heritage</w:t>
      </w:r>
      <w:r>
        <w:t>.</w:t>
      </w:r>
    </w:p>
    <w:p w14:paraId="380826DA" w14:textId="77777777" w:rsidR="00BE48EE" w:rsidRPr="00C73D06" w:rsidRDefault="00BE48EE" w:rsidP="00BE48EE">
      <w:pPr>
        <w:pStyle w:val="ListParagraph"/>
        <w:numPr>
          <w:ilvl w:val="0"/>
          <w:numId w:val="3"/>
        </w:numPr>
      </w:pPr>
      <w:r>
        <w:rPr>
          <w:szCs w:val="22"/>
        </w:rPr>
        <w:t>A</w:t>
      </w:r>
      <w:r w:rsidRPr="00C73D06">
        <w:rPr>
          <w:szCs w:val="22"/>
        </w:rPr>
        <w:t>ssess court documents such as affidavits and other documents filed in proceedings</w:t>
      </w:r>
      <w:r>
        <w:rPr>
          <w:szCs w:val="22"/>
        </w:rPr>
        <w:t>.</w:t>
      </w:r>
    </w:p>
    <w:p w14:paraId="2BC73FDB" w14:textId="77777777" w:rsidR="00BE48EE" w:rsidRPr="00C73D06" w:rsidRDefault="00BE48EE" w:rsidP="00BE48EE">
      <w:pPr>
        <w:pStyle w:val="ListParagraph"/>
        <w:numPr>
          <w:ilvl w:val="0"/>
          <w:numId w:val="3"/>
        </w:numPr>
        <w:rPr>
          <w:szCs w:val="22"/>
        </w:rPr>
      </w:pPr>
      <w:r>
        <w:rPr>
          <w:szCs w:val="22"/>
        </w:rPr>
        <w:t>W</w:t>
      </w:r>
      <w:r w:rsidRPr="00C73D06">
        <w:rPr>
          <w:szCs w:val="22"/>
        </w:rPr>
        <w:t>rite reports to meet the requirements of the judge and Family Law Act</w:t>
      </w:r>
      <w:r>
        <w:rPr>
          <w:szCs w:val="22"/>
        </w:rPr>
        <w:t>.</w:t>
      </w:r>
    </w:p>
    <w:p w14:paraId="15E9730D" w14:textId="77777777" w:rsidR="00BE48EE" w:rsidRPr="00C73D06" w:rsidRDefault="00BE48EE" w:rsidP="00BE48EE">
      <w:pPr>
        <w:pStyle w:val="ListParagraph"/>
        <w:numPr>
          <w:ilvl w:val="0"/>
          <w:numId w:val="3"/>
        </w:numPr>
        <w:rPr>
          <w:szCs w:val="22"/>
        </w:rPr>
      </w:pPr>
      <w:r>
        <w:rPr>
          <w:szCs w:val="22"/>
        </w:rPr>
        <w:t>A</w:t>
      </w:r>
      <w:r w:rsidRPr="00C73D06">
        <w:rPr>
          <w:szCs w:val="22"/>
        </w:rPr>
        <w:t>ppear as witnesses under cross</w:t>
      </w:r>
      <w:r>
        <w:rPr>
          <w:szCs w:val="22"/>
        </w:rPr>
        <w:t>-</w:t>
      </w:r>
      <w:r w:rsidRPr="00C73D06">
        <w:rPr>
          <w:szCs w:val="22"/>
        </w:rPr>
        <w:t>examination.</w:t>
      </w:r>
    </w:p>
    <w:p w14:paraId="37EF7FEE" w14:textId="77777777" w:rsidR="00BE48EE" w:rsidRPr="00C73D06" w:rsidRDefault="00BE48EE" w:rsidP="00BE48EE">
      <w:pPr>
        <w:spacing w:after="0"/>
        <w:rPr>
          <w:rFonts w:eastAsia="Times New Roman" w:cstheme="minorHAnsi"/>
          <w:color w:val="000000"/>
          <w:szCs w:val="22"/>
        </w:rPr>
      </w:pPr>
      <w:r w:rsidRPr="00C73D06">
        <w:rPr>
          <w:rFonts w:eastAsia="Times New Roman" w:cstheme="minorHAnsi"/>
          <w:color w:val="000000"/>
          <w:szCs w:val="22"/>
        </w:rPr>
        <w:t>Stakeholders identified the need for improved professional competency in a number of key areas in submissions to the 2019 ALRC report.</w:t>
      </w:r>
      <w:r w:rsidRPr="00C73D06">
        <w:rPr>
          <w:rStyle w:val="FootnoteReference"/>
          <w:rFonts w:cstheme="minorHAnsi"/>
          <w:szCs w:val="22"/>
        </w:rPr>
        <w:footnoteReference w:id="25"/>
      </w:r>
      <w:r w:rsidRPr="00C73D06">
        <w:rPr>
          <w:rFonts w:eastAsia="Times New Roman" w:cstheme="minorHAnsi"/>
          <w:color w:val="000000"/>
          <w:szCs w:val="22"/>
        </w:rPr>
        <w:t xml:space="preserve"> </w:t>
      </w:r>
    </w:p>
    <w:p w14:paraId="7A0BAEDD" w14:textId="77777777" w:rsidR="00BE48EE" w:rsidRPr="00C73D06" w:rsidRDefault="00BE48EE" w:rsidP="00BE48EE">
      <w:pPr>
        <w:pStyle w:val="ListParagraph"/>
        <w:numPr>
          <w:ilvl w:val="0"/>
          <w:numId w:val="40"/>
        </w:numPr>
        <w:rPr>
          <w:lang w:val="en-GB"/>
        </w:rPr>
      </w:pPr>
      <w:r w:rsidRPr="00C73D06">
        <w:rPr>
          <w:b/>
        </w:rPr>
        <w:t>Family violence:</w:t>
      </w:r>
      <w:r w:rsidRPr="00C73D06">
        <w:t xml:space="preserve"> </w:t>
      </w:r>
      <w:r w:rsidRPr="00C73D06">
        <w:rPr>
          <w:lang w:val="en-GB"/>
        </w:rPr>
        <w:t xml:space="preserve">Training should include the nature and dynamics of family violence, how to work with vulnerable clients, and the impact of family violence on children. </w:t>
      </w:r>
    </w:p>
    <w:p w14:paraId="2D405996" w14:textId="77777777" w:rsidR="00BE48EE" w:rsidRPr="00C73D06" w:rsidRDefault="00BE48EE" w:rsidP="00BE48EE">
      <w:pPr>
        <w:pStyle w:val="ListParagraph"/>
        <w:numPr>
          <w:ilvl w:val="0"/>
          <w:numId w:val="6"/>
        </w:numPr>
        <w:autoSpaceDE w:val="0"/>
        <w:autoSpaceDN w:val="0"/>
        <w:adjustRightInd w:val="0"/>
        <w:spacing w:after="0"/>
        <w:rPr>
          <w:rFonts w:cstheme="minorHAnsi"/>
          <w:szCs w:val="22"/>
          <w:lang w:val="en-GB"/>
        </w:rPr>
      </w:pPr>
      <w:r w:rsidRPr="00C73D06">
        <w:rPr>
          <w:rFonts w:cstheme="minorHAnsi"/>
          <w:b/>
          <w:szCs w:val="22"/>
        </w:rPr>
        <w:t xml:space="preserve">Responding to risk: </w:t>
      </w:r>
      <w:r w:rsidRPr="00C73D06">
        <w:rPr>
          <w:rFonts w:cstheme="minorHAnsi"/>
          <w:szCs w:val="22"/>
          <w:lang w:val="en-GB"/>
        </w:rPr>
        <w:t xml:space="preserve">Professionals should be able to identify and respond to a broad range of risks, including the risk of suicide and family violence. </w:t>
      </w:r>
    </w:p>
    <w:p w14:paraId="18B9885E" w14:textId="77777777" w:rsidR="00BE48EE" w:rsidRPr="00C73D06" w:rsidRDefault="00BE48EE" w:rsidP="00BE48EE">
      <w:pPr>
        <w:pStyle w:val="ListParagraph"/>
        <w:numPr>
          <w:ilvl w:val="0"/>
          <w:numId w:val="6"/>
        </w:numPr>
        <w:autoSpaceDE w:val="0"/>
        <w:autoSpaceDN w:val="0"/>
        <w:adjustRightInd w:val="0"/>
        <w:spacing w:after="0"/>
        <w:rPr>
          <w:rFonts w:cstheme="minorHAnsi"/>
          <w:szCs w:val="22"/>
          <w:lang w:val="en-GB"/>
        </w:rPr>
      </w:pPr>
      <w:r w:rsidRPr="00C73D06">
        <w:rPr>
          <w:rFonts w:cstheme="minorHAnsi"/>
          <w:b/>
          <w:szCs w:val="22"/>
          <w:lang w:val="en-GB"/>
        </w:rPr>
        <w:lastRenderedPageBreak/>
        <w:t>Trauma-informed practice:</w:t>
      </w:r>
      <w:r w:rsidRPr="00C73D06">
        <w:rPr>
          <w:rFonts w:cstheme="minorHAnsi"/>
          <w:szCs w:val="22"/>
          <w:lang w:val="en-GB"/>
        </w:rPr>
        <w:t xml:space="preserve"> All professionals should understand the impact of trauma on adults and children. The Australian Human Rights Commission stressed the importance of family law professionals understanding the impact of trauma on children’s attachment and development and suggested that training and resources on trauma-informed practice should include the impact of intergenerational trauma on Aboriginal and Torres Strait Islander people.</w:t>
      </w:r>
      <w:r w:rsidRPr="00C73D06">
        <w:rPr>
          <w:rStyle w:val="FootnoteReference"/>
          <w:rFonts w:cstheme="minorHAnsi"/>
          <w:szCs w:val="22"/>
          <w:lang w:val="en-GB"/>
        </w:rPr>
        <w:footnoteReference w:id="26"/>
      </w:r>
    </w:p>
    <w:p w14:paraId="20B12C75" w14:textId="77777777" w:rsidR="00BE48EE" w:rsidRPr="00C73D06" w:rsidRDefault="00BE48EE" w:rsidP="00BE48EE">
      <w:pPr>
        <w:pStyle w:val="ListParagraph"/>
        <w:numPr>
          <w:ilvl w:val="0"/>
          <w:numId w:val="6"/>
        </w:numPr>
        <w:autoSpaceDE w:val="0"/>
        <w:autoSpaceDN w:val="0"/>
        <w:adjustRightInd w:val="0"/>
        <w:spacing w:after="0"/>
        <w:rPr>
          <w:rFonts w:cstheme="minorHAnsi"/>
          <w:szCs w:val="22"/>
          <w:lang w:val="en-GB"/>
        </w:rPr>
      </w:pPr>
      <w:r w:rsidRPr="00C73D06">
        <w:rPr>
          <w:rFonts w:cstheme="minorHAnsi"/>
          <w:b/>
          <w:szCs w:val="22"/>
          <w:lang w:val="en-GB"/>
        </w:rPr>
        <w:t xml:space="preserve">Child abuse: </w:t>
      </w:r>
      <w:r w:rsidRPr="00C73D06">
        <w:rPr>
          <w:rFonts w:cstheme="minorHAnsi"/>
          <w:szCs w:val="22"/>
          <w:lang w:val="en-GB"/>
        </w:rPr>
        <w:t>Professionals should understand the impact of child abuse, including child sexual abuse and neglect.</w:t>
      </w:r>
    </w:p>
    <w:p w14:paraId="480341B8" w14:textId="77777777" w:rsidR="00BE48EE" w:rsidRPr="00C73D06" w:rsidRDefault="00BE48EE" w:rsidP="00BE48EE">
      <w:pPr>
        <w:pStyle w:val="ListParagraph"/>
        <w:numPr>
          <w:ilvl w:val="0"/>
          <w:numId w:val="6"/>
        </w:numPr>
        <w:autoSpaceDE w:val="0"/>
        <w:autoSpaceDN w:val="0"/>
        <w:adjustRightInd w:val="0"/>
        <w:spacing w:after="0"/>
        <w:rPr>
          <w:rFonts w:cstheme="minorHAnsi"/>
          <w:szCs w:val="22"/>
          <w:lang w:val="en-GB"/>
        </w:rPr>
      </w:pPr>
      <w:r w:rsidRPr="00C73D06">
        <w:rPr>
          <w:rFonts w:cstheme="minorHAnsi"/>
          <w:b/>
          <w:szCs w:val="22"/>
          <w:lang w:val="en-GB"/>
        </w:rPr>
        <w:t xml:space="preserve">Parental conflict: </w:t>
      </w:r>
      <w:r w:rsidRPr="00C73D06">
        <w:rPr>
          <w:rFonts w:cstheme="minorHAnsi"/>
          <w:szCs w:val="22"/>
          <w:lang w:val="en-GB"/>
        </w:rPr>
        <w:t>Professionals should understand</w:t>
      </w:r>
      <w:r w:rsidRPr="00C73D06">
        <w:rPr>
          <w:rFonts w:cstheme="minorHAnsi"/>
          <w:b/>
          <w:szCs w:val="22"/>
          <w:lang w:val="en-GB"/>
        </w:rPr>
        <w:t xml:space="preserve"> </w:t>
      </w:r>
      <w:r w:rsidRPr="00C73D06">
        <w:rPr>
          <w:rFonts w:cstheme="minorHAnsi"/>
          <w:szCs w:val="22"/>
          <w:lang w:val="en-GB"/>
        </w:rPr>
        <w:t xml:space="preserve">the impact of high and continuing conflict on children. </w:t>
      </w:r>
    </w:p>
    <w:p w14:paraId="3FFD190B" w14:textId="77777777" w:rsidR="00BE48EE" w:rsidRPr="00C73D06" w:rsidRDefault="00BE48EE" w:rsidP="00BE48EE">
      <w:pPr>
        <w:pStyle w:val="ListParagraph"/>
        <w:numPr>
          <w:ilvl w:val="0"/>
          <w:numId w:val="6"/>
        </w:numPr>
      </w:pPr>
      <w:r w:rsidRPr="00C73D06">
        <w:rPr>
          <w:b/>
        </w:rPr>
        <w:t>Diversity and cultural competency</w:t>
      </w:r>
      <w:r w:rsidRPr="00C73D06">
        <w:t>: Professionals should have an understanding of the specific family dynamics in culturally and linguistically diverse and LGBTQI+ families, and the unique challenges these families face when interacting with the family law system.</w:t>
      </w:r>
      <w:r w:rsidRPr="00C73D06">
        <w:rPr>
          <w:rStyle w:val="FootnoteReference"/>
        </w:rPr>
        <w:footnoteReference w:id="27"/>
      </w:r>
      <w:r w:rsidRPr="00C73D06">
        <w:t xml:space="preserve"> </w:t>
      </w:r>
    </w:p>
    <w:p w14:paraId="6BB695BB" w14:textId="77777777" w:rsidR="00BE48EE" w:rsidRPr="00C73D06" w:rsidRDefault="00BE48EE" w:rsidP="00BE48EE">
      <w:pPr>
        <w:pStyle w:val="ListParagraph"/>
        <w:numPr>
          <w:ilvl w:val="0"/>
          <w:numId w:val="6"/>
        </w:numPr>
        <w:autoSpaceDE w:val="0"/>
        <w:autoSpaceDN w:val="0"/>
        <w:adjustRightInd w:val="0"/>
        <w:spacing w:after="0"/>
      </w:pPr>
      <w:r w:rsidRPr="00C73D06">
        <w:rPr>
          <w:rFonts w:cstheme="minorHAnsi"/>
          <w:b/>
          <w:szCs w:val="22"/>
          <w:lang w:val="en-GB"/>
        </w:rPr>
        <w:t xml:space="preserve">Aboriginal and Torres Strait Islander families: </w:t>
      </w:r>
      <w:r w:rsidRPr="00C73D06">
        <w:t>Family report writers working with Aboriginal and Torres Strait Islander families should be culturally competent in their interactions, and able to assess how a child’s connection to kinship networks and country might be maintained. Some stakeholders have proposed that to ensure that this is properly understood and considered, family reports should be prepared by Aboriginal or Torres Strait Islander family report writers, and/or cultural reports</w:t>
      </w:r>
      <w:r>
        <w:t xml:space="preserve"> should be</w:t>
      </w:r>
      <w:r w:rsidRPr="00C73D06">
        <w:t xml:space="preserve"> prepared.</w:t>
      </w:r>
      <w:r w:rsidRPr="00C73D06">
        <w:rPr>
          <w:rStyle w:val="FootnoteReference"/>
        </w:rPr>
        <w:footnoteReference w:id="28"/>
      </w:r>
      <w:r w:rsidRPr="00C73D06">
        <w:t xml:space="preserve"> A cultural report would include information about the child’s connection to family, culture, community and country.</w:t>
      </w:r>
      <w:r w:rsidRPr="00C73D06">
        <w:rPr>
          <w:rStyle w:val="FootnoteReference"/>
        </w:rPr>
        <w:footnoteReference w:id="29"/>
      </w:r>
      <w:r w:rsidRPr="00C73D06">
        <w:t xml:space="preserve"> </w:t>
      </w:r>
    </w:p>
    <w:p w14:paraId="569B25DC" w14:textId="77777777" w:rsidR="00BE48EE" w:rsidRPr="00C73D06" w:rsidRDefault="00BE48EE" w:rsidP="00BE48EE">
      <w:pPr>
        <w:pStyle w:val="ListParagraph"/>
        <w:numPr>
          <w:ilvl w:val="0"/>
          <w:numId w:val="6"/>
        </w:numPr>
        <w:autoSpaceDE w:val="0"/>
        <w:autoSpaceDN w:val="0"/>
        <w:adjustRightInd w:val="0"/>
        <w:spacing w:before="100" w:beforeAutospacing="1"/>
        <w:rPr>
          <w:rFonts w:cstheme="minorHAnsi"/>
          <w:szCs w:val="22"/>
          <w:lang w:val="en-GB"/>
        </w:rPr>
      </w:pPr>
      <w:r w:rsidRPr="00C73D06">
        <w:rPr>
          <w:rFonts w:cstheme="minorHAnsi"/>
          <w:b/>
          <w:szCs w:val="22"/>
          <w:lang w:val="en-GB"/>
        </w:rPr>
        <w:t>Disability</w:t>
      </w:r>
      <w:r w:rsidRPr="00C73D06">
        <w:rPr>
          <w:rFonts w:cstheme="minorHAnsi"/>
          <w:szCs w:val="22"/>
          <w:lang w:val="en-GB"/>
        </w:rPr>
        <w:t>: A number of training needs relating to work</w:t>
      </w:r>
      <w:r>
        <w:rPr>
          <w:rFonts w:cstheme="minorHAnsi"/>
          <w:szCs w:val="22"/>
          <w:lang w:val="en-GB"/>
        </w:rPr>
        <w:t>ing</w:t>
      </w:r>
      <w:r w:rsidRPr="00C73D06">
        <w:rPr>
          <w:rFonts w:cstheme="minorHAnsi"/>
          <w:szCs w:val="22"/>
          <w:lang w:val="en-GB"/>
        </w:rPr>
        <w:t xml:space="preserve"> with people with</w:t>
      </w:r>
      <w:r>
        <w:rPr>
          <w:rFonts w:cstheme="minorHAnsi"/>
          <w:szCs w:val="22"/>
          <w:lang w:val="en-GB"/>
        </w:rPr>
        <w:t xml:space="preserve"> a</w:t>
      </w:r>
      <w:r w:rsidRPr="00C73D06">
        <w:rPr>
          <w:rFonts w:cstheme="minorHAnsi"/>
          <w:szCs w:val="22"/>
          <w:lang w:val="en-GB"/>
        </w:rPr>
        <w:t xml:space="preserve"> disability were identified, including disability awareness and human rights; intersectional discrimination; the nature and impacts of violence against people with disability; and the barriers to accessing justice faced by people with disability.</w:t>
      </w:r>
      <w:r w:rsidRPr="00C73D06">
        <w:rPr>
          <w:rStyle w:val="FootnoteReference"/>
          <w:rFonts w:cstheme="minorHAnsi"/>
          <w:szCs w:val="22"/>
          <w:lang w:val="en-GB"/>
        </w:rPr>
        <w:footnoteReference w:id="30"/>
      </w:r>
    </w:p>
    <w:p w14:paraId="19085DBD" w14:textId="77777777" w:rsidR="00BE48EE" w:rsidRPr="00C73D06" w:rsidRDefault="00BE48EE" w:rsidP="00BE48EE">
      <w:pPr>
        <w:autoSpaceDE w:val="0"/>
        <w:autoSpaceDN w:val="0"/>
        <w:adjustRightInd w:val="0"/>
        <w:rPr>
          <w:rFonts w:cstheme="minorHAnsi"/>
          <w:szCs w:val="22"/>
          <w:lang w:val="en-GB"/>
        </w:rPr>
      </w:pPr>
      <w:r w:rsidRPr="00C73D06">
        <w:rPr>
          <w:rFonts w:cstheme="minorHAnsi"/>
          <w:b/>
          <w:szCs w:val="22"/>
        </w:rPr>
        <w:t>Table 1</w:t>
      </w:r>
      <w:r w:rsidRPr="00C73D06">
        <w:rPr>
          <w:rFonts w:cstheme="minorHAnsi"/>
          <w:szCs w:val="22"/>
        </w:rPr>
        <w:t xml:space="preserve"> sets out a range of skills and competencies </w:t>
      </w:r>
      <w:r w:rsidRPr="00C73D06">
        <w:rPr>
          <w:szCs w:val="22"/>
        </w:rPr>
        <w:t xml:space="preserve">relevant to the role of writing family reports, as identified by stakeholders in submissions to the ALRC family law report and the JSC inquiry. </w:t>
      </w:r>
    </w:p>
    <w:p w14:paraId="7100D5F4" w14:textId="77777777" w:rsidR="00BE48EE" w:rsidRPr="00C73D06" w:rsidRDefault="00BE48EE" w:rsidP="00BE48EE">
      <w:pPr>
        <w:spacing w:after="0"/>
        <w:rPr>
          <w:b/>
          <w:szCs w:val="22"/>
        </w:rPr>
      </w:pPr>
      <w:r w:rsidRPr="00C73D06">
        <w:rPr>
          <w:b/>
          <w:szCs w:val="22"/>
        </w:rPr>
        <w:br w:type="page"/>
      </w:r>
    </w:p>
    <w:p w14:paraId="481CD79E" w14:textId="77777777" w:rsidR="00BE48EE" w:rsidRPr="00C73D06" w:rsidRDefault="00BE48EE" w:rsidP="00BE48EE">
      <w:pPr>
        <w:spacing w:after="0"/>
        <w:rPr>
          <w:b/>
          <w:szCs w:val="22"/>
        </w:rPr>
      </w:pPr>
      <w:r w:rsidRPr="00C73D06">
        <w:rPr>
          <w:b/>
          <w:szCs w:val="22"/>
        </w:rPr>
        <w:lastRenderedPageBreak/>
        <w:t>Table 1: Competencies identified by stakeholders as essential to family report writing.</w:t>
      </w:r>
    </w:p>
    <w:tbl>
      <w:tblPr>
        <w:tblStyle w:val="TableGrid"/>
        <w:tblW w:w="10201" w:type="dxa"/>
        <w:tblLook w:val="04A0" w:firstRow="1" w:lastRow="0" w:firstColumn="1" w:lastColumn="0" w:noHBand="0" w:noVBand="1"/>
        <w:tblCaption w:val="Competencies identified by stakeholders as essential to the role of family report writing."/>
        <w:tblDescription w:val="Table listing competencies grouped into four types - children, complex issues, working with diverse groups, and courts and report writing. "/>
      </w:tblPr>
      <w:tblGrid>
        <w:gridCol w:w="2405"/>
        <w:gridCol w:w="2693"/>
        <w:gridCol w:w="3119"/>
        <w:gridCol w:w="1984"/>
      </w:tblGrid>
      <w:tr w:rsidR="00BE48EE" w:rsidRPr="00C73D06" w14:paraId="2563D817" w14:textId="77777777" w:rsidTr="00BE48EE">
        <w:trPr>
          <w:trHeight w:val="604"/>
          <w:tblHeader/>
        </w:trPr>
        <w:tc>
          <w:tcPr>
            <w:tcW w:w="2405" w:type="dxa"/>
            <w:shd w:val="clear" w:color="auto" w:fill="4D738A"/>
            <w:vAlign w:val="center"/>
          </w:tcPr>
          <w:p w14:paraId="1588AA7C" w14:textId="77777777" w:rsidR="00BE48EE" w:rsidRPr="00C73D06" w:rsidRDefault="00BE48EE" w:rsidP="00BE48EE">
            <w:pPr>
              <w:spacing w:before="40" w:after="40"/>
              <w:ind w:left="29"/>
              <w:jc w:val="center"/>
              <w:rPr>
                <w:b/>
                <w:noProof/>
                <w:color w:val="FFFFFF" w:themeColor="background1"/>
                <w:sz w:val="24"/>
                <w:lang w:eastAsia="en-GB"/>
              </w:rPr>
            </w:pPr>
            <w:r w:rsidRPr="00C73D06">
              <w:rPr>
                <w:b/>
                <w:noProof/>
                <w:color w:val="FFFFFF" w:themeColor="background1"/>
                <w:sz w:val="24"/>
                <w:lang w:eastAsia="en-GB"/>
              </w:rPr>
              <w:t>Children</w:t>
            </w:r>
          </w:p>
        </w:tc>
        <w:tc>
          <w:tcPr>
            <w:tcW w:w="2693" w:type="dxa"/>
            <w:shd w:val="clear" w:color="auto" w:fill="4D738A"/>
            <w:vAlign w:val="center"/>
          </w:tcPr>
          <w:p w14:paraId="3701019B" w14:textId="77777777" w:rsidR="00BE48EE" w:rsidRPr="00C73D06" w:rsidRDefault="00BE48EE" w:rsidP="00BE48EE">
            <w:pPr>
              <w:spacing w:before="40" w:after="40"/>
              <w:jc w:val="center"/>
              <w:rPr>
                <w:b/>
                <w:noProof/>
                <w:color w:val="FFFFFF" w:themeColor="background1"/>
                <w:sz w:val="24"/>
                <w:lang w:eastAsia="en-GB"/>
              </w:rPr>
            </w:pPr>
            <w:r w:rsidRPr="00C73D06">
              <w:rPr>
                <w:b/>
                <w:noProof/>
                <w:color w:val="FFFFFF" w:themeColor="background1"/>
                <w:sz w:val="24"/>
                <w:lang w:eastAsia="en-GB"/>
              </w:rPr>
              <w:t>Complex issues</w:t>
            </w:r>
          </w:p>
        </w:tc>
        <w:tc>
          <w:tcPr>
            <w:tcW w:w="3119" w:type="dxa"/>
            <w:shd w:val="clear" w:color="auto" w:fill="4D738A"/>
            <w:vAlign w:val="center"/>
          </w:tcPr>
          <w:p w14:paraId="3CA777BE" w14:textId="77777777" w:rsidR="00BE48EE" w:rsidRPr="00C73D06" w:rsidRDefault="00BE48EE" w:rsidP="00BE48EE">
            <w:pPr>
              <w:spacing w:before="40" w:after="40"/>
              <w:jc w:val="center"/>
              <w:rPr>
                <w:b/>
                <w:noProof/>
                <w:color w:val="FFFFFF" w:themeColor="background1"/>
                <w:sz w:val="24"/>
                <w:lang w:eastAsia="en-GB"/>
              </w:rPr>
            </w:pPr>
            <w:r w:rsidRPr="00C73D06">
              <w:rPr>
                <w:b/>
                <w:noProof/>
                <w:color w:val="FFFFFF" w:themeColor="background1"/>
                <w:sz w:val="24"/>
                <w:lang w:eastAsia="en-GB"/>
              </w:rPr>
              <w:t>Working with diverse groups</w:t>
            </w:r>
          </w:p>
        </w:tc>
        <w:tc>
          <w:tcPr>
            <w:tcW w:w="1984" w:type="dxa"/>
            <w:shd w:val="clear" w:color="auto" w:fill="4D738A"/>
          </w:tcPr>
          <w:p w14:paraId="7FA98518" w14:textId="77777777" w:rsidR="00BE48EE" w:rsidRPr="00C73D06" w:rsidRDefault="00BE48EE" w:rsidP="00BE48EE">
            <w:pPr>
              <w:keepNext/>
              <w:spacing w:before="40" w:after="40"/>
              <w:jc w:val="center"/>
              <w:rPr>
                <w:b/>
                <w:noProof/>
                <w:color w:val="FFFFFF" w:themeColor="background1"/>
                <w:sz w:val="24"/>
                <w:lang w:eastAsia="en-GB"/>
              </w:rPr>
            </w:pPr>
            <w:r w:rsidRPr="00C73D06">
              <w:rPr>
                <w:b/>
                <w:noProof/>
                <w:color w:val="FFFFFF" w:themeColor="background1"/>
                <w:lang w:eastAsia="en-GB"/>
              </w:rPr>
              <w:t xml:space="preserve">Courts and report writing </w:t>
            </w:r>
          </w:p>
        </w:tc>
      </w:tr>
      <w:tr w:rsidR="00BE48EE" w:rsidRPr="00C73D06" w14:paraId="3DFA89CA" w14:textId="77777777" w:rsidTr="00BE48EE">
        <w:trPr>
          <w:trHeight w:val="6816"/>
        </w:trPr>
        <w:tc>
          <w:tcPr>
            <w:tcW w:w="2405" w:type="dxa"/>
            <w:tcBorders>
              <w:bottom w:val="single" w:sz="4" w:space="0" w:color="auto"/>
            </w:tcBorders>
            <w:shd w:val="clear" w:color="auto" w:fill="D5E0E7"/>
          </w:tcPr>
          <w:p w14:paraId="0265B344" w14:textId="77777777" w:rsidR="00BE48EE" w:rsidRPr="00C73D06" w:rsidRDefault="00BE48EE" w:rsidP="00BE48EE">
            <w:pPr>
              <w:pStyle w:val="ListParagraph"/>
              <w:numPr>
                <w:ilvl w:val="0"/>
                <w:numId w:val="21"/>
              </w:numPr>
              <w:spacing w:before="40" w:after="40"/>
              <w:ind w:left="313"/>
              <w:jc w:val="left"/>
              <w:rPr>
                <w:lang w:val="en-AU"/>
              </w:rPr>
            </w:pPr>
            <w:r w:rsidRPr="00C73D06">
              <w:t>Engaging with children and child inclusive practice</w:t>
            </w:r>
          </w:p>
          <w:p w14:paraId="129AE111" w14:textId="77777777" w:rsidR="00BE48EE" w:rsidRPr="00C73D06" w:rsidRDefault="00BE48EE" w:rsidP="00BE48EE">
            <w:pPr>
              <w:pStyle w:val="ListParagraph"/>
              <w:numPr>
                <w:ilvl w:val="0"/>
                <w:numId w:val="21"/>
              </w:numPr>
              <w:spacing w:before="40" w:after="40"/>
              <w:ind w:left="313"/>
              <w:jc w:val="left"/>
              <w:rPr>
                <w:lang w:val="en-AU"/>
              </w:rPr>
            </w:pPr>
            <w:r w:rsidRPr="00C73D06">
              <w:t xml:space="preserve">Child developmental stages and understanding of attachment </w:t>
            </w:r>
          </w:p>
          <w:p w14:paraId="5AB906D8" w14:textId="77777777" w:rsidR="00BE48EE" w:rsidRPr="00C73D06" w:rsidRDefault="00BE48EE" w:rsidP="00BE48EE">
            <w:pPr>
              <w:pStyle w:val="ListParagraph"/>
              <w:numPr>
                <w:ilvl w:val="0"/>
                <w:numId w:val="21"/>
              </w:numPr>
              <w:spacing w:before="40" w:after="40"/>
              <w:ind w:left="313"/>
              <w:jc w:val="left"/>
              <w:rPr>
                <w:lang w:val="en-AU"/>
              </w:rPr>
            </w:pPr>
            <w:r w:rsidRPr="00C73D06">
              <w:t xml:space="preserve">Impacts of parental separation </w:t>
            </w:r>
          </w:p>
          <w:p w14:paraId="074869C2" w14:textId="77777777" w:rsidR="00BE48EE" w:rsidRPr="00C73D06" w:rsidRDefault="00BE48EE" w:rsidP="00BE48EE">
            <w:pPr>
              <w:pStyle w:val="ListParagraph"/>
              <w:numPr>
                <w:ilvl w:val="0"/>
                <w:numId w:val="21"/>
              </w:numPr>
              <w:spacing w:before="40" w:after="40"/>
              <w:ind w:left="313"/>
              <w:jc w:val="left"/>
              <w:rPr>
                <w:lang w:val="en-AU"/>
              </w:rPr>
            </w:pPr>
            <w:r w:rsidRPr="00C73D06">
              <w:t xml:space="preserve">Impacts of exposure to high conflict </w:t>
            </w:r>
          </w:p>
          <w:p w14:paraId="000DF06D" w14:textId="77777777" w:rsidR="00BE48EE" w:rsidRPr="00C73D06" w:rsidRDefault="00BE48EE" w:rsidP="00BE48EE">
            <w:pPr>
              <w:pStyle w:val="ListParagraph"/>
              <w:numPr>
                <w:ilvl w:val="0"/>
                <w:numId w:val="21"/>
              </w:numPr>
              <w:spacing w:before="40" w:after="40"/>
              <w:ind w:left="313"/>
              <w:jc w:val="left"/>
              <w:rPr>
                <w:lang w:val="en-AU"/>
              </w:rPr>
            </w:pPr>
            <w:r w:rsidRPr="00C73D06">
              <w:t>Importance of children’s relationships with their families, kinship families and grandparents</w:t>
            </w:r>
          </w:p>
          <w:p w14:paraId="31CD3ADF" w14:textId="77777777" w:rsidR="00BE48EE" w:rsidRPr="00C73D06" w:rsidRDefault="00BE48EE" w:rsidP="00BE48EE">
            <w:pPr>
              <w:pStyle w:val="ListParagraph"/>
              <w:numPr>
                <w:ilvl w:val="0"/>
                <w:numId w:val="21"/>
              </w:numPr>
              <w:spacing w:before="40" w:after="40"/>
              <w:ind w:left="313"/>
              <w:jc w:val="left"/>
              <w:rPr>
                <w:lang w:val="en-AU"/>
              </w:rPr>
            </w:pPr>
            <w:r w:rsidRPr="00C73D06">
              <w:t>Assessing parents</w:t>
            </w:r>
            <w:r>
              <w:t>’</w:t>
            </w:r>
            <w:r w:rsidRPr="00C73D06">
              <w:t xml:space="preserve"> capacity and willingness to care for their children</w:t>
            </w:r>
          </w:p>
        </w:tc>
        <w:tc>
          <w:tcPr>
            <w:tcW w:w="2693" w:type="dxa"/>
            <w:shd w:val="clear" w:color="auto" w:fill="D5E0E7"/>
          </w:tcPr>
          <w:p w14:paraId="29585C79" w14:textId="77777777" w:rsidR="00BE48EE" w:rsidRPr="00C73D06" w:rsidRDefault="00BE48EE" w:rsidP="00BE48EE">
            <w:pPr>
              <w:pStyle w:val="ListParagraph"/>
              <w:numPr>
                <w:ilvl w:val="0"/>
                <w:numId w:val="22"/>
              </w:numPr>
              <w:spacing w:before="40" w:after="40"/>
              <w:ind w:left="360"/>
              <w:jc w:val="left"/>
              <w:rPr>
                <w:lang w:val="en-AU"/>
              </w:rPr>
            </w:pPr>
            <w:r w:rsidRPr="00C73D06">
              <w:t>Identifying and assessing family and domestic violence, including coercive control</w:t>
            </w:r>
          </w:p>
          <w:p w14:paraId="3DE05ECE" w14:textId="77777777" w:rsidR="00BE48EE" w:rsidRPr="00C73D06" w:rsidRDefault="00BE48EE" w:rsidP="00BE48EE">
            <w:pPr>
              <w:pStyle w:val="ListParagraph"/>
              <w:numPr>
                <w:ilvl w:val="0"/>
                <w:numId w:val="22"/>
              </w:numPr>
              <w:spacing w:before="40" w:after="40"/>
              <w:ind w:left="360"/>
              <w:jc w:val="left"/>
              <w:rPr>
                <w:lang w:val="en-AU"/>
              </w:rPr>
            </w:pPr>
            <w:r w:rsidRPr="00C73D06">
              <w:rPr>
                <w:noProof/>
                <w:lang w:eastAsia="en-GB"/>
              </w:rPr>
              <w:t>Child abuse including impact of child sexual abuse and neglect</w:t>
            </w:r>
          </w:p>
          <w:p w14:paraId="63A1DE4C" w14:textId="77777777" w:rsidR="00BE48EE" w:rsidRPr="00C73D06" w:rsidRDefault="00BE48EE" w:rsidP="00BE48EE">
            <w:pPr>
              <w:pStyle w:val="ListParagraph"/>
              <w:numPr>
                <w:ilvl w:val="0"/>
                <w:numId w:val="22"/>
              </w:numPr>
              <w:spacing w:before="40" w:after="40"/>
              <w:ind w:left="360"/>
              <w:jc w:val="left"/>
              <w:rPr>
                <w:lang w:val="en-AU"/>
              </w:rPr>
            </w:pPr>
            <w:r w:rsidRPr="00C73D06">
              <w:t xml:space="preserve">Understanding the intersection of family violence, </w:t>
            </w:r>
            <w:r>
              <w:t>child protection and family law</w:t>
            </w:r>
            <w:r w:rsidRPr="00C73D06" w:rsidDel="00082100">
              <w:t xml:space="preserve"> </w:t>
            </w:r>
          </w:p>
          <w:p w14:paraId="53DA052A" w14:textId="77777777" w:rsidR="00BE48EE" w:rsidRPr="00C73D06" w:rsidRDefault="00BE48EE" w:rsidP="00BE48EE">
            <w:pPr>
              <w:pStyle w:val="ListParagraph"/>
              <w:numPr>
                <w:ilvl w:val="0"/>
                <w:numId w:val="22"/>
              </w:numPr>
              <w:spacing w:before="40" w:after="40"/>
              <w:ind w:left="360"/>
              <w:jc w:val="left"/>
              <w:rPr>
                <w:lang w:val="en-AU"/>
              </w:rPr>
            </w:pPr>
            <w:r w:rsidRPr="00C73D06">
              <w:t>Impact of substance abuse and mental health on parenting</w:t>
            </w:r>
          </w:p>
          <w:p w14:paraId="6E050A40" w14:textId="77777777" w:rsidR="00BE48EE" w:rsidRPr="00C73D06" w:rsidRDefault="00BE48EE" w:rsidP="00BE48EE">
            <w:pPr>
              <w:pStyle w:val="ListParagraph"/>
              <w:numPr>
                <w:ilvl w:val="0"/>
                <w:numId w:val="22"/>
              </w:numPr>
              <w:spacing w:before="40" w:after="40"/>
              <w:ind w:left="360"/>
              <w:jc w:val="left"/>
              <w:rPr>
                <w:lang w:val="en-AU"/>
              </w:rPr>
            </w:pPr>
            <w:r w:rsidRPr="00C73D06">
              <w:t>Trauma informed practice and impacts of trauma on adults and children</w:t>
            </w:r>
          </w:p>
          <w:p w14:paraId="52672BF7" w14:textId="77777777" w:rsidR="00BE48EE" w:rsidRPr="00C73D06" w:rsidRDefault="00BE48EE" w:rsidP="00BE48EE">
            <w:pPr>
              <w:pStyle w:val="ListParagraph"/>
              <w:numPr>
                <w:ilvl w:val="0"/>
                <w:numId w:val="22"/>
              </w:numPr>
              <w:spacing w:before="40" w:after="40"/>
              <w:ind w:left="360"/>
              <w:jc w:val="left"/>
              <w:rPr>
                <w:lang w:val="en-AU"/>
              </w:rPr>
            </w:pPr>
            <w:r w:rsidRPr="00C73D06">
              <w:t>Minimising risks of systems abuse</w:t>
            </w:r>
          </w:p>
        </w:tc>
        <w:tc>
          <w:tcPr>
            <w:tcW w:w="3119" w:type="dxa"/>
            <w:shd w:val="clear" w:color="auto" w:fill="D5E0E7"/>
          </w:tcPr>
          <w:p w14:paraId="5B0E802A" w14:textId="77777777" w:rsidR="00BE48EE" w:rsidRPr="00C73D06" w:rsidRDefault="00BE48EE" w:rsidP="00BE48EE">
            <w:pPr>
              <w:pStyle w:val="ListParagraph"/>
              <w:numPr>
                <w:ilvl w:val="0"/>
                <w:numId w:val="23"/>
              </w:numPr>
              <w:spacing w:before="40" w:after="40"/>
              <w:jc w:val="left"/>
              <w:rPr>
                <w:lang w:val="en-AU"/>
              </w:rPr>
            </w:pPr>
            <w:r w:rsidRPr="00C73D06">
              <w:t>Understanding disability</w:t>
            </w:r>
          </w:p>
          <w:p w14:paraId="5657B881" w14:textId="77777777" w:rsidR="00BE48EE" w:rsidRPr="00C73D06" w:rsidRDefault="00BE48EE" w:rsidP="00BE48EE">
            <w:pPr>
              <w:pStyle w:val="ListParagraph"/>
              <w:numPr>
                <w:ilvl w:val="0"/>
                <w:numId w:val="14"/>
              </w:numPr>
              <w:spacing w:before="40" w:after="40"/>
              <w:ind w:left="425" w:hanging="142"/>
              <w:jc w:val="left"/>
              <w:rPr>
                <w:lang w:val="en-AU"/>
              </w:rPr>
            </w:pPr>
            <w:r w:rsidRPr="00C73D06">
              <w:t>human rights based approach</w:t>
            </w:r>
          </w:p>
          <w:p w14:paraId="7E4E0041" w14:textId="77777777" w:rsidR="00BE48EE" w:rsidRPr="00C73D06" w:rsidRDefault="00BE48EE" w:rsidP="00BE48EE">
            <w:pPr>
              <w:pStyle w:val="ListParagraph"/>
              <w:numPr>
                <w:ilvl w:val="0"/>
                <w:numId w:val="14"/>
              </w:numPr>
              <w:spacing w:before="40" w:after="40"/>
              <w:ind w:left="425" w:hanging="142"/>
              <w:jc w:val="left"/>
              <w:rPr>
                <w:lang w:val="en-AU"/>
              </w:rPr>
            </w:pPr>
            <w:r w:rsidRPr="00C73D06">
              <w:t>intersectional discrimination</w:t>
            </w:r>
          </w:p>
          <w:p w14:paraId="116CC430" w14:textId="77777777" w:rsidR="00BE48EE" w:rsidRPr="00C73D06" w:rsidRDefault="00BE48EE" w:rsidP="00BE48EE">
            <w:pPr>
              <w:pStyle w:val="ListParagraph"/>
              <w:numPr>
                <w:ilvl w:val="0"/>
                <w:numId w:val="14"/>
              </w:numPr>
              <w:spacing w:before="40" w:after="40"/>
              <w:ind w:left="425" w:hanging="142"/>
              <w:jc w:val="left"/>
              <w:rPr>
                <w:lang w:val="en-AU"/>
              </w:rPr>
            </w:pPr>
            <w:r w:rsidRPr="00C73D06">
              <w:t>access to justice barriers</w:t>
            </w:r>
          </w:p>
          <w:p w14:paraId="14AF219C" w14:textId="77777777" w:rsidR="00BE48EE" w:rsidRPr="00C73D06" w:rsidRDefault="00BE48EE" w:rsidP="00BE48EE">
            <w:pPr>
              <w:pStyle w:val="ListParagraph"/>
              <w:numPr>
                <w:ilvl w:val="0"/>
                <w:numId w:val="14"/>
              </w:numPr>
              <w:spacing w:before="40" w:after="40"/>
              <w:ind w:left="425" w:hanging="142"/>
              <w:jc w:val="left"/>
              <w:rPr>
                <w:lang w:val="en-AU"/>
              </w:rPr>
            </w:pPr>
            <w:r w:rsidRPr="00C73D06">
              <w:t>family and domestic violence against people with disabilities</w:t>
            </w:r>
          </w:p>
          <w:p w14:paraId="1DA90BAE" w14:textId="77777777" w:rsidR="00BE48EE" w:rsidRPr="00C73D06" w:rsidRDefault="00BE48EE" w:rsidP="00BE48EE">
            <w:pPr>
              <w:pStyle w:val="ListParagraph"/>
              <w:numPr>
                <w:ilvl w:val="0"/>
                <w:numId w:val="23"/>
              </w:numPr>
              <w:spacing w:before="40" w:after="40"/>
              <w:jc w:val="left"/>
              <w:rPr>
                <w:lang w:val="en-AU"/>
              </w:rPr>
            </w:pPr>
            <w:r w:rsidRPr="00C73D06">
              <w:t>Aboriginal and Torres Strait Islander families</w:t>
            </w:r>
          </w:p>
          <w:p w14:paraId="7931D9EA" w14:textId="77777777" w:rsidR="00BE48EE" w:rsidRPr="00C73D06" w:rsidRDefault="00BE48EE" w:rsidP="00BE48EE">
            <w:pPr>
              <w:pStyle w:val="ListParagraph"/>
              <w:numPr>
                <w:ilvl w:val="0"/>
                <w:numId w:val="15"/>
              </w:numPr>
              <w:spacing w:before="40" w:after="40"/>
              <w:ind w:left="374" w:hanging="91"/>
              <w:jc w:val="left"/>
              <w:rPr>
                <w:lang w:val="en-AU"/>
              </w:rPr>
            </w:pPr>
            <w:r w:rsidRPr="00C73D06">
              <w:t>connections to family, community, culture and country</w:t>
            </w:r>
          </w:p>
          <w:p w14:paraId="0881DFB2" w14:textId="77777777" w:rsidR="00BE48EE" w:rsidRPr="00C73D06" w:rsidRDefault="00BE48EE" w:rsidP="00BE48EE">
            <w:pPr>
              <w:pStyle w:val="ListParagraph"/>
              <w:numPr>
                <w:ilvl w:val="0"/>
                <w:numId w:val="15"/>
              </w:numPr>
              <w:spacing w:before="40" w:after="40"/>
              <w:ind w:left="374" w:hanging="91"/>
              <w:jc w:val="left"/>
              <w:rPr>
                <w:lang w:val="en-AU"/>
              </w:rPr>
            </w:pPr>
            <w:r w:rsidRPr="00C73D06">
              <w:t>intergenerational trauma</w:t>
            </w:r>
          </w:p>
          <w:p w14:paraId="796F628A" w14:textId="77777777" w:rsidR="00BE48EE" w:rsidRPr="00C73D06" w:rsidRDefault="00BE48EE" w:rsidP="00BE48EE">
            <w:pPr>
              <w:pStyle w:val="ListParagraph"/>
              <w:numPr>
                <w:ilvl w:val="0"/>
                <w:numId w:val="15"/>
              </w:numPr>
              <w:spacing w:before="40" w:after="40"/>
              <w:ind w:left="374" w:hanging="91"/>
              <w:jc w:val="left"/>
              <w:rPr>
                <w:lang w:val="en-AU"/>
              </w:rPr>
            </w:pPr>
            <w:r w:rsidRPr="00C73D06">
              <w:t>intersections of family violence and cultural competency</w:t>
            </w:r>
          </w:p>
          <w:p w14:paraId="41242EC9" w14:textId="77777777" w:rsidR="00BE48EE" w:rsidRPr="00C73D06" w:rsidRDefault="00BE48EE" w:rsidP="00BE48EE">
            <w:pPr>
              <w:pStyle w:val="ListParagraph"/>
              <w:numPr>
                <w:ilvl w:val="0"/>
                <w:numId w:val="23"/>
              </w:numPr>
              <w:spacing w:before="40" w:after="40"/>
              <w:jc w:val="left"/>
              <w:rPr>
                <w:lang w:val="en-AU"/>
              </w:rPr>
            </w:pPr>
            <w:r w:rsidRPr="00C73D06">
              <w:t>Cultural competency</w:t>
            </w:r>
          </w:p>
          <w:p w14:paraId="2423A92B" w14:textId="77777777" w:rsidR="00BE48EE" w:rsidRPr="00C73D06" w:rsidRDefault="00BE48EE" w:rsidP="00BE48EE">
            <w:pPr>
              <w:pStyle w:val="ListParagraph"/>
              <w:numPr>
                <w:ilvl w:val="0"/>
                <w:numId w:val="23"/>
              </w:numPr>
              <w:spacing w:before="40" w:after="40"/>
              <w:jc w:val="left"/>
              <w:rPr>
                <w:lang w:val="en-AU"/>
              </w:rPr>
            </w:pPr>
            <w:r w:rsidRPr="00C73D06">
              <w:t>LGBTIQ+ identity and family dynamics</w:t>
            </w:r>
          </w:p>
        </w:tc>
        <w:tc>
          <w:tcPr>
            <w:tcW w:w="1984" w:type="dxa"/>
            <w:shd w:val="clear" w:color="auto" w:fill="D5E0E7"/>
          </w:tcPr>
          <w:p w14:paraId="071D896D" w14:textId="77777777" w:rsidR="00BE48EE" w:rsidRPr="00C73D06" w:rsidRDefault="00BE48EE" w:rsidP="00BE48EE">
            <w:pPr>
              <w:pStyle w:val="ListParagraph"/>
              <w:numPr>
                <w:ilvl w:val="0"/>
                <w:numId w:val="21"/>
              </w:numPr>
              <w:spacing w:before="40" w:after="40"/>
              <w:ind w:left="307"/>
              <w:jc w:val="left"/>
              <w:rPr>
                <w:lang w:val="en-AU"/>
              </w:rPr>
            </w:pPr>
            <w:r w:rsidRPr="00C73D06">
              <w:t>Rules of evidence</w:t>
            </w:r>
            <w:r>
              <w:t>, acting as a witness and cross-</w:t>
            </w:r>
            <w:r w:rsidRPr="00C73D06">
              <w:t xml:space="preserve">examination </w:t>
            </w:r>
          </w:p>
          <w:p w14:paraId="132DD3EC" w14:textId="77777777" w:rsidR="00BE48EE" w:rsidRPr="00C73D06" w:rsidRDefault="00BE48EE" w:rsidP="00BE48EE">
            <w:pPr>
              <w:pStyle w:val="ListParagraph"/>
              <w:numPr>
                <w:ilvl w:val="0"/>
                <w:numId w:val="21"/>
              </w:numPr>
              <w:spacing w:before="40" w:after="40"/>
              <w:ind w:left="307"/>
              <w:jc w:val="left"/>
              <w:rPr>
                <w:lang w:val="en-AU"/>
              </w:rPr>
            </w:pPr>
            <w:r w:rsidRPr="00C73D06">
              <w:t>Duty to help the court</w:t>
            </w:r>
          </w:p>
          <w:p w14:paraId="6027B67C" w14:textId="77777777" w:rsidR="00BE48EE" w:rsidRPr="00C73D06" w:rsidRDefault="00BE48EE" w:rsidP="00BE48EE">
            <w:pPr>
              <w:pStyle w:val="ListParagraph"/>
              <w:numPr>
                <w:ilvl w:val="0"/>
                <w:numId w:val="21"/>
              </w:numPr>
              <w:spacing w:before="40" w:after="40"/>
              <w:ind w:left="307"/>
              <w:jc w:val="left"/>
              <w:rPr>
                <w:lang w:val="en-AU"/>
              </w:rPr>
            </w:pPr>
            <w:r w:rsidRPr="00C73D06">
              <w:t>Understanding of bias and unconscious bias in relation to diverse groups and family violence</w:t>
            </w:r>
          </w:p>
          <w:p w14:paraId="6E90A443" w14:textId="77777777" w:rsidR="00BE48EE" w:rsidRPr="00C73D06" w:rsidRDefault="00BE48EE" w:rsidP="00BE48EE">
            <w:pPr>
              <w:pStyle w:val="ListParagraph"/>
              <w:numPr>
                <w:ilvl w:val="0"/>
                <w:numId w:val="23"/>
              </w:numPr>
              <w:spacing w:before="40" w:after="40"/>
              <w:ind w:left="317"/>
              <w:jc w:val="left"/>
            </w:pPr>
            <w:r w:rsidRPr="00C73D06">
              <w:t>Ability to write comprehensive and clear reports</w:t>
            </w:r>
          </w:p>
        </w:tc>
      </w:tr>
    </w:tbl>
    <w:p w14:paraId="4F84D024" w14:textId="77777777" w:rsidR="00BE48EE" w:rsidRPr="00C73D06" w:rsidRDefault="00BE48EE" w:rsidP="00BE48EE">
      <w:bookmarkStart w:id="28" w:name="_Toc73542609"/>
    </w:p>
    <w:p w14:paraId="3531D30A" w14:textId="77777777" w:rsidR="00BE48EE" w:rsidRPr="00C73D06" w:rsidRDefault="00BE48EE" w:rsidP="004C5C6E">
      <w:pPr>
        <w:pBdr>
          <w:top w:val="single" w:sz="4" w:space="1" w:color="auto"/>
          <w:left w:val="single" w:sz="4" w:space="4" w:color="auto"/>
          <w:bottom w:val="single" w:sz="4" w:space="1" w:color="auto"/>
          <w:right w:val="single" w:sz="4" w:space="4" w:color="auto"/>
        </w:pBdr>
        <w:shd w:val="clear" w:color="auto" w:fill="ECF1F4"/>
        <w:spacing w:before="160" w:after="0"/>
        <w:rPr>
          <w:b/>
          <w:color w:val="C87200"/>
          <w:sz w:val="28"/>
        </w:rPr>
      </w:pPr>
      <w:r w:rsidRPr="00C73D06">
        <w:rPr>
          <w:b/>
          <w:color w:val="C87200"/>
          <w:sz w:val="28"/>
        </w:rPr>
        <w:t>Question 4: Competencies and skills</w:t>
      </w:r>
      <w:bookmarkEnd w:id="28"/>
    </w:p>
    <w:p w14:paraId="5379F7EE" w14:textId="77777777" w:rsidR="00BE48EE" w:rsidRPr="004C5C6E" w:rsidRDefault="00BE48EE" w:rsidP="004C5C6E">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ECF1F4"/>
        <w:spacing w:after="0"/>
        <w:rPr>
          <w:sz w:val="28"/>
          <w:szCs w:val="28"/>
        </w:rPr>
      </w:pPr>
      <w:r w:rsidRPr="004C5C6E">
        <w:rPr>
          <w:sz w:val="28"/>
          <w:szCs w:val="28"/>
        </w:rPr>
        <w:t>What skills and competencies should family report writers have? Please provide specific details about the skill/competency.</w:t>
      </w:r>
      <w:r w:rsidRPr="004C5C6E">
        <w:rPr>
          <w:sz w:val="28"/>
          <w:szCs w:val="28"/>
          <w:vertAlign w:val="superscript"/>
        </w:rPr>
        <w:footnoteReference w:id="31"/>
      </w:r>
      <w:r w:rsidRPr="004C5C6E">
        <w:rPr>
          <w:sz w:val="28"/>
          <w:szCs w:val="28"/>
          <w:vertAlign w:val="superscript"/>
        </w:rPr>
        <w:t xml:space="preserve"> </w:t>
      </w:r>
    </w:p>
    <w:p w14:paraId="09294260" w14:textId="77777777" w:rsidR="00BE48EE" w:rsidRPr="004C5C6E" w:rsidRDefault="00BE48EE" w:rsidP="004C5C6E">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ECF1F4"/>
        <w:spacing w:after="0"/>
        <w:rPr>
          <w:sz w:val="28"/>
          <w:szCs w:val="28"/>
        </w:rPr>
      </w:pPr>
      <w:r w:rsidRPr="004C5C6E">
        <w:rPr>
          <w:sz w:val="28"/>
          <w:szCs w:val="28"/>
        </w:rPr>
        <w:t xml:space="preserve">Which should be considered essential or core competencies? </w:t>
      </w:r>
    </w:p>
    <w:p w14:paraId="0EE41958" w14:textId="77777777" w:rsidR="00BE48EE" w:rsidRPr="004C5C6E" w:rsidRDefault="00BE48EE" w:rsidP="004C5C6E">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ECF1F4"/>
        <w:spacing w:after="0"/>
        <w:rPr>
          <w:sz w:val="28"/>
          <w:szCs w:val="28"/>
        </w:rPr>
      </w:pPr>
      <w:r w:rsidRPr="004C5C6E">
        <w:rPr>
          <w:sz w:val="28"/>
          <w:szCs w:val="28"/>
        </w:rPr>
        <w:t>Which should be considered desirable or specialised (not essential) competencies?</w:t>
      </w:r>
    </w:p>
    <w:p w14:paraId="5FAD0ED9" w14:textId="77777777" w:rsidR="00BE48EE" w:rsidRPr="00C73D06" w:rsidRDefault="00BE48EE" w:rsidP="00BE48EE">
      <w:pPr>
        <w:rPr>
          <w:b/>
        </w:rPr>
      </w:pPr>
    </w:p>
    <w:p w14:paraId="0D1F786C" w14:textId="77777777" w:rsidR="00BE48EE" w:rsidRPr="00C73D06" w:rsidRDefault="00BE48EE" w:rsidP="00BE48EE">
      <w:pPr>
        <w:pStyle w:val="Heading3"/>
        <w:spacing w:before="240"/>
      </w:pPr>
      <w:bookmarkStart w:id="29" w:name="_Toc67657894"/>
      <w:r w:rsidRPr="00C73D06">
        <w:lastRenderedPageBreak/>
        <w:t xml:space="preserve">Training in skills and competencies relevant to family report writing </w:t>
      </w:r>
      <w:bookmarkEnd w:id="29"/>
    </w:p>
    <w:p w14:paraId="0B5B75B2" w14:textId="77777777" w:rsidR="00BE48EE" w:rsidRPr="00C73D06" w:rsidRDefault="00BE48EE" w:rsidP="00BE48EE">
      <w:pPr>
        <w:pStyle w:val="Heading4"/>
        <w:rPr>
          <w:lang w:val="en-GB"/>
        </w:rPr>
      </w:pPr>
      <w:r>
        <w:rPr>
          <w:lang w:val="en-GB"/>
        </w:rPr>
        <w:t>CCS</w:t>
      </w:r>
      <w:r w:rsidRPr="00C73D06">
        <w:rPr>
          <w:lang w:val="en-GB"/>
        </w:rPr>
        <w:t xml:space="preserve"> training</w:t>
      </w:r>
    </w:p>
    <w:p w14:paraId="4EBED274" w14:textId="77777777" w:rsidR="00BE48EE" w:rsidRDefault="00BE48EE" w:rsidP="00BE48EE">
      <w:pPr>
        <w:autoSpaceDE w:val="0"/>
        <w:autoSpaceDN w:val="0"/>
        <w:adjustRightInd w:val="0"/>
        <w:rPr>
          <w:rFonts w:cstheme="minorHAnsi"/>
          <w:szCs w:val="22"/>
          <w:lang w:val="en-GB"/>
        </w:rPr>
      </w:pPr>
      <w:r>
        <w:rPr>
          <w:rFonts w:cstheme="minorHAnsi"/>
          <w:szCs w:val="22"/>
          <w:lang w:val="en-GB"/>
        </w:rPr>
        <w:t>CCS</w:t>
      </w:r>
      <w:r w:rsidRPr="00084240">
        <w:rPr>
          <w:rFonts w:cstheme="minorHAnsi"/>
          <w:szCs w:val="22"/>
          <w:lang w:val="en-GB"/>
        </w:rPr>
        <w:t xml:space="preserve"> has identified competencies needed for family report writing and provides</w:t>
      </w:r>
      <w:r>
        <w:rPr>
          <w:rFonts w:cstheme="minorHAnsi"/>
          <w:szCs w:val="22"/>
          <w:lang w:val="en-GB"/>
        </w:rPr>
        <w:t xml:space="preserve"> relevant</w:t>
      </w:r>
      <w:r w:rsidRPr="00084240">
        <w:rPr>
          <w:rFonts w:cstheme="minorHAnsi"/>
          <w:szCs w:val="22"/>
          <w:lang w:val="en-GB"/>
        </w:rPr>
        <w:t xml:space="preserve"> training to both in-house and regulation 7 family consultants. </w:t>
      </w:r>
      <w:r>
        <w:rPr>
          <w:rFonts w:cstheme="minorHAnsi"/>
          <w:szCs w:val="22"/>
          <w:lang w:val="en-GB"/>
        </w:rPr>
        <w:t>This training</w:t>
      </w:r>
      <w:r w:rsidRPr="00084240">
        <w:rPr>
          <w:rFonts w:cstheme="minorHAnsi"/>
          <w:szCs w:val="22"/>
          <w:lang w:val="en-GB"/>
        </w:rPr>
        <w:t xml:space="preserve"> is not available to single expert witnesses.</w:t>
      </w:r>
    </w:p>
    <w:p w14:paraId="099C8D1A" w14:textId="77777777" w:rsidR="00BE48EE" w:rsidRPr="00EA378C" w:rsidRDefault="00BE48EE" w:rsidP="00BE48EE">
      <w:pPr>
        <w:spacing w:after="0"/>
        <w:rPr>
          <w:rFonts w:cstheme="minorHAnsi"/>
          <w:szCs w:val="22"/>
          <w:lang w:val="en-GB"/>
        </w:rPr>
      </w:pPr>
      <w:r w:rsidRPr="00EA378C">
        <w:rPr>
          <w:rFonts w:cstheme="minorHAnsi"/>
          <w:szCs w:val="22"/>
          <w:lang w:val="en-GB"/>
        </w:rPr>
        <w:t xml:space="preserve">In-house family consultants are required to complete a mandatory induction program. This program involves a raft of activities including face-to-face instruction, observing experienced family consultants and undertaking online modules. Induction program activities occur over </w:t>
      </w:r>
      <w:r>
        <w:rPr>
          <w:rFonts w:cstheme="minorHAnsi"/>
          <w:szCs w:val="22"/>
          <w:lang w:val="en-GB"/>
        </w:rPr>
        <w:t xml:space="preserve">the family consultant’s first 6 to </w:t>
      </w:r>
      <w:r w:rsidRPr="00EA378C">
        <w:rPr>
          <w:rFonts w:cstheme="minorHAnsi"/>
          <w:szCs w:val="22"/>
          <w:lang w:val="en-GB"/>
        </w:rPr>
        <w:t xml:space="preserve">9 months in the role. The program covers </w:t>
      </w:r>
      <w:r>
        <w:rPr>
          <w:rFonts w:cstheme="minorHAnsi"/>
          <w:szCs w:val="22"/>
          <w:lang w:val="en-GB"/>
        </w:rPr>
        <w:t>topics including:</w:t>
      </w:r>
    </w:p>
    <w:p w14:paraId="55DDD392" w14:textId="77777777" w:rsidR="00BE48EE" w:rsidRPr="00EC6968" w:rsidRDefault="00BE48EE" w:rsidP="00BE48EE">
      <w:pPr>
        <w:pStyle w:val="ListParagraph"/>
        <w:numPr>
          <w:ilvl w:val="0"/>
          <w:numId w:val="57"/>
        </w:numPr>
        <w:spacing w:after="0"/>
      </w:pPr>
      <w:r w:rsidRPr="00EC6968">
        <w:t xml:space="preserve">family law and family </w:t>
      </w:r>
      <w:r w:rsidRPr="001D1A36">
        <w:t>law</w:t>
      </w:r>
      <w:r w:rsidRPr="00EC6968">
        <w:t xml:space="preserve"> court </w:t>
      </w:r>
      <w:r>
        <w:t>legislation</w:t>
      </w:r>
    </w:p>
    <w:p w14:paraId="3A0A5990" w14:textId="77777777" w:rsidR="00BE48EE" w:rsidRPr="00084240" w:rsidRDefault="00BE48EE" w:rsidP="00BE48EE">
      <w:pPr>
        <w:pStyle w:val="NoSpacing"/>
        <w:numPr>
          <w:ilvl w:val="0"/>
          <w:numId w:val="55"/>
        </w:numPr>
        <w:spacing w:line="259" w:lineRule="auto"/>
        <w:jc w:val="both"/>
        <w:rPr>
          <w:rFonts w:ascii="Calibri" w:hAnsi="Calibri" w:cs="Calibri"/>
          <w:sz w:val="22"/>
          <w:szCs w:val="22"/>
        </w:rPr>
      </w:pPr>
      <w:r w:rsidRPr="00084240">
        <w:rPr>
          <w:rFonts w:ascii="Calibri" w:hAnsi="Calibri" w:cs="Calibri"/>
          <w:sz w:val="22"/>
          <w:szCs w:val="22"/>
        </w:rPr>
        <w:t xml:space="preserve">the </w:t>
      </w:r>
      <w:r>
        <w:rPr>
          <w:rFonts w:ascii="Calibri" w:hAnsi="Calibri" w:cs="Calibri"/>
          <w:sz w:val="22"/>
          <w:szCs w:val="22"/>
        </w:rPr>
        <w:t>CCS clinical governance framework</w:t>
      </w:r>
    </w:p>
    <w:p w14:paraId="3A1AB4C4" w14:textId="77777777" w:rsidR="00BE48EE" w:rsidRPr="00084240" w:rsidRDefault="00BE48EE" w:rsidP="00BE48EE">
      <w:pPr>
        <w:pStyle w:val="NoSpacing"/>
        <w:numPr>
          <w:ilvl w:val="0"/>
          <w:numId w:val="55"/>
        </w:numPr>
        <w:spacing w:line="259" w:lineRule="auto"/>
        <w:jc w:val="both"/>
        <w:rPr>
          <w:rFonts w:ascii="Calibri" w:hAnsi="Calibri" w:cs="Calibri"/>
          <w:sz w:val="22"/>
          <w:szCs w:val="22"/>
        </w:rPr>
      </w:pPr>
      <w:r w:rsidRPr="00084240">
        <w:rPr>
          <w:rFonts w:ascii="Calibri" w:hAnsi="Calibri" w:cs="Calibri"/>
          <w:sz w:val="22"/>
          <w:szCs w:val="22"/>
        </w:rPr>
        <w:t xml:space="preserve">case management and records </w:t>
      </w:r>
      <w:r>
        <w:rPr>
          <w:rFonts w:ascii="Calibri" w:hAnsi="Calibri" w:cs="Calibri"/>
          <w:sz w:val="22"/>
          <w:szCs w:val="22"/>
        </w:rPr>
        <w:t>processes</w:t>
      </w:r>
    </w:p>
    <w:p w14:paraId="2D9599AC" w14:textId="77777777" w:rsidR="00BE48EE" w:rsidRPr="00084240" w:rsidRDefault="00BE48EE" w:rsidP="00BE48EE">
      <w:pPr>
        <w:pStyle w:val="NoSpacing"/>
        <w:numPr>
          <w:ilvl w:val="0"/>
          <w:numId w:val="55"/>
        </w:numPr>
        <w:spacing w:line="259" w:lineRule="auto"/>
        <w:jc w:val="both"/>
        <w:rPr>
          <w:rFonts w:ascii="Calibri" w:hAnsi="Calibri" w:cs="Calibri"/>
          <w:sz w:val="22"/>
          <w:szCs w:val="22"/>
        </w:rPr>
      </w:pPr>
      <w:r w:rsidRPr="00084240">
        <w:rPr>
          <w:rFonts w:ascii="Calibri" w:hAnsi="Calibri" w:cs="Calibri"/>
          <w:sz w:val="22"/>
          <w:szCs w:val="22"/>
        </w:rPr>
        <w:t>cross</w:t>
      </w:r>
      <w:r>
        <w:rPr>
          <w:rFonts w:ascii="Calibri" w:hAnsi="Calibri" w:cs="Calibri"/>
          <w:sz w:val="22"/>
          <w:szCs w:val="22"/>
        </w:rPr>
        <w:t>-</w:t>
      </w:r>
      <w:r w:rsidRPr="00084240">
        <w:rPr>
          <w:rFonts w:ascii="Calibri" w:hAnsi="Calibri" w:cs="Calibri"/>
          <w:sz w:val="22"/>
          <w:szCs w:val="22"/>
        </w:rPr>
        <w:t>examination</w:t>
      </w:r>
    </w:p>
    <w:p w14:paraId="5F35267C" w14:textId="77777777" w:rsidR="00BE48EE" w:rsidRPr="00084240" w:rsidRDefault="00BE48EE" w:rsidP="00BE48EE">
      <w:pPr>
        <w:pStyle w:val="NoSpacing"/>
        <w:numPr>
          <w:ilvl w:val="0"/>
          <w:numId w:val="55"/>
        </w:numPr>
        <w:autoSpaceDE w:val="0"/>
        <w:autoSpaceDN w:val="0"/>
        <w:adjustRightInd w:val="0"/>
        <w:spacing w:line="259" w:lineRule="auto"/>
        <w:jc w:val="both"/>
        <w:rPr>
          <w:rFonts w:ascii="Calibri" w:hAnsi="Calibri" w:cs="Calibri"/>
          <w:sz w:val="22"/>
          <w:szCs w:val="22"/>
        </w:rPr>
      </w:pPr>
      <w:r>
        <w:rPr>
          <w:rFonts w:ascii="Calibri" w:hAnsi="Calibri" w:cs="Calibri"/>
          <w:sz w:val="22"/>
          <w:szCs w:val="22"/>
        </w:rPr>
        <w:t>family violence training</w:t>
      </w:r>
      <w:r w:rsidRPr="00084240">
        <w:rPr>
          <w:rStyle w:val="FootnoteReference"/>
          <w:rFonts w:ascii="Calibri" w:hAnsi="Calibri" w:cs="Calibri"/>
          <w:sz w:val="22"/>
          <w:szCs w:val="22"/>
        </w:rPr>
        <w:footnoteReference w:id="32"/>
      </w:r>
      <w:r w:rsidRPr="00084240">
        <w:rPr>
          <w:rFonts w:ascii="Calibri" w:hAnsi="Calibri" w:cs="Calibri"/>
          <w:sz w:val="22"/>
          <w:szCs w:val="22"/>
        </w:rPr>
        <w:t xml:space="preserve"> </w:t>
      </w:r>
    </w:p>
    <w:p w14:paraId="15125C6F" w14:textId="77777777" w:rsidR="00BE48EE" w:rsidRPr="00084240" w:rsidRDefault="00BE48EE" w:rsidP="00BE48EE">
      <w:pPr>
        <w:pStyle w:val="NoSpacing"/>
        <w:autoSpaceDE w:val="0"/>
        <w:autoSpaceDN w:val="0"/>
        <w:adjustRightInd w:val="0"/>
        <w:spacing w:before="160" w:line="259" w:lineRule="auto"/>
        <w:jc w:val="both"/>
        <w:rPr>
          <w:rFonts w:ascii="Calibri" w:hAnsi="Calibri" w:cs="Calibri"/>
          <w:sz w:val="22"/>
          <w:szCs w:val="22"/>
        </w:rPr>
      </w:pPr>
      <w:r w:rsidRPr="00084240">
        <w:rPr>
          <w:rFonts w:ascii="Calibri" w:hAnsi="Calibri" w:cs="Calibri"/>
          <w:sz w:val="22"/>
          <w:szCs w:val="22"/>
        </w:rPr>
        <w:t xml:space="preserve">Regulation 7 family consultants are required to complete </w:t>
      </w:r>
      <w:r>
        <w:rPr>
          <w:rFonts w:ascii="Calibri" w:hAnsi="Calibri" w:cs="Calibri"/>
          <w:sz w:val="22"/>
          <w:szCs w:val="22"/>
        </w:rPr>
        <w:t>an orientation program of 4 to 6 hours</w:t>
      </w:r>
      <w:r w:rsidRPr="00084240">
        <w:rPr>
          <w:rFonts w:ascii="Calibri" w:hAnsi="Calibri" w:cs="Calibri"/>
          <w:sz w:val="22"/>
          <w:szCs w:val="22"/>
        </w:rPr>
        <w:t xml:space="preserve">. </w:t>
      </w:r>
    </w:p>
    <w:p w14:paraId="7C70CBB0" w14:textId="77777777" w:rsidR="00BE48EE" w:rsidRDefault="00BE48EE" w:rsidP="00BE48EE">
      <w:pPr>
        <w:pStyle w:val="NoSpacing"/>
        <w:autoSpaceDE w:val="0"/>
        <w:autoSpaceDN w:val="0"/>
        <w:adjustRightInd w:val="0"/>
        <w:spacing w:before="160" w:line="259" w:lineRule="auto"/>
        <w:jc w:val="both"/>
        <w:rPr>
          <w:rFonts w:cstheme="minorHAnsi"/>
          <w:sz w:val="22"/>
          <w:szCs w:val="22"/>
          <w:lang w:val="en-GB"/>
        </w:rPr>
      </w:pPr>
      <w:r>
        <w:rPr>
          <w:rFonts w:cstheme="minorHAnsi"/>
          <w:sz w:val="22"/>
          <w:szCs w:val="22"/>
          <w:lang w:val="en-GB"/>
        </w:rPr>
        <w:t>Additional training is also available to all family consultants, and is mandatory for in-house family consultants. This training includes:</w:t>
      </w:r>
    </w:p>
    <w:p w14:paraId="0E431614" w14:textId="77777777" w:rsidR="00BE48EE" w:rsidRDefault="00BE48EE" w:rsidP="00BE48EE">
      <w:pPr>
        <w:pStyle w:val="NoSpacing"/>
        <w:numPr>
          <w:ilvl w:val="0"/>
          <w:numId w:val="56"/>
        </w:numPr>
        <w:autoSpaceDE w:val="0"/>
        <w:autoSpaceDN w:val="0"/>
        <w:adjustRightInd w:val="0"/>
        <w:spacing w:line="259" w:lineRule="auto"/>
        <w:jc w:val="both"/>
        <w:rPr>
          <w:rFonts w:cstheme="minorHAnsi"/>
          <w:sz w:val="22"/>
          <w:szCs w:val="22"/>
          <w:lang w:val="en-GB"/>
        </w:rPr>
      </w:pPr>
      <w:r>
        <w:rPr>
          <w:rFonts w:cstheme="minorHAnsi"/>
          <w:b/>
          <w:sz w:val="22"/>
          <w:szCs w:val="22"/>
          <w:lang w:val="en-GB"/>
        </w:rPr>
        <w:t xml:space="preserve">The </w:t>
      </w:r>
      <w:r w:rsidRPr="00DE11CB">
        <w:rPr>
          <w:rFonts w:cstheme="minorHAnsi"/>
          <w:b/>
          <w:sz w:val="22"/>
          <w:szCs w:val="22"/>
          <w:lang w:val="en-GB"/>
        </w:rPr>
        <w:t>Family Violence Training Package</w:t>
      </w:r>
      <w:r>
        <w:rPr>
          <w:rFonts w:cstheme="minorHAnsi"/>
          <w:b/>
          <w:sz w:val="22"/>
          <w:szCs w:val="22"/>
          <w:lang w:val="en-GB"/>
        </w:rPr>
        <w:t xml:space="preserve">. </w:t>
      </w:r>
      <w:r w:rsidRPr="00DE11CB">
        <w:rPr>
          <w:rFonts w:cstheme="minorHAnsi"/>
          <w:sz w:val="22"/>
          <w:szCs w:val="22"/>
          <w:lang w:val="en-GB"/>
        </w:rPr>
        <w:t>This is</w:t>
      </w:r>
      <w:r>
        <w:rPr>
          <w:rFonts w:cstheme="minorHAnsi"/>
          <w:b/>
          <w:sz w:val="22"/>
          <w:szCs w:val="22"/>
          <w:lang w:val="en-GB"/>
        </w:rPr>
        <w:t xml:space="preserve"> </w:t>
      </w:r>
      <w:r w:rsidRPr="00084240">
        <w:rPr>
          <w:rFonts w:cstheme="minorHAnsi"/>
          <w:sz w:val="22"/>
          <w:szCs w:val="22"/>
          <w:lang w:val="en-GB"/>
        </w:rPr>
        <w:t xml:space="preserve">a 12-hour </w:t>
      </w:r>
      <w:r>
        <w:rPr>
          <w:rFonts w:cstheme="minorHAnsi"/>
          <w:sz w:val="22"/>
          <w:szCs w:val="22"/>
          <w:lang w:val="en-GB"/>
        </w:rPr>
        <w:t>online package released in</w:t>
      </w:r>
      <w:r w:rsidRPr="00084240">
        <w:rPr>
          <w:rFonts w:cstheme="minorHAnsi"/>
          <w:sz w:val="22"/>
          <w:szCs w:val="22"/>
          <w:lang w:val="en-GB"/>
        </w:rPr>
        <w:t xml:space="preserve"> 2019 </w:t>
      </w:r>
      <w:r>
        <w:rPr>
          <w:rFonts w:cstheme="minorHAnsi"/>
          <w:sz w:val="22"/>
          <w:szCs w:val="22"/>
          <w:lang w:val="en-GB"/>
        </w:rPr>
        <w:t>which</w:t>
      </w:r>
      <w:r w:rsidRPr="00084240">
        <w:rPr>
          <w:rFonts w:cstheme="minorHAnsi"/>
          <w:sz w:val="22"/>
          <w:szCs w:val="22"/>
          <w:lang w:val="en-GB"/>
        </w:rPr>
        <w:t xml:space="preserve"> includes family violence screening and assessment, the impact of family violence, reflective and trauma informed practice, and work with vulnerable groups.</w:t>
      </w:r>
      <w:r w:rsidRPr="00084240">
        <w:rPr>
          <w:rStyle w:val="FootnoteReference"/>
          <w:rFonts w:cstheme="minorHAnsi"/>
          <w:sz w:val="22"/>
          <w:szCs w:val="22"/>
          <w:lang w:val="en-GB"/>
        </w:rPr>
        <w:footnoteReference w:id="33"/>
      </w:r>
      <w:r w:rsidRPr="00084240">
        <w:rPr>
          <w:rFonts w:cstheme="minorHAnsi"/>
          <w:sz w:val="22"/>
          <w:szCs w:val="22"/>
          <w:lang w:val="en-GB"/>
        </w:rPr>
        <w:t xml:space="preserve"> The JSC noted that this training package and the induction could be used to inform </w:t>
      </w:r>
      <w:r w:rsidRPr="00084240">
        <w:rPr>
          <w:sz w:val="22"/>
          <w:szCs w:val="22"/>
        </w:rPr>
        <w:t>and develop an accreditation scheme for family report writers</w:t>
      </w:r>
      <w:r w:rsidRPr="00084240">
        <w:rPr>
          <w:rFonts w:cstheme="minorHAnsi"/>
          <w:sz w:val="22"/>
          <w:szCs w:val="22"/>
          <w:lang w:val="en-GB"/>
        </w:rPr>
        <w:t>.</w:t>
      </w:r>
      <w:r w:rsidRPr="00084240">
        <w:rPr>
          <w:rStyle w:val="FootnoteReference"/>
          <w:rFonts w:cstheme="minorHAnsi"/>
          <w:sz w:val="22"/>
          <w:szCs w:val="22"/>
          <w:lang w:val="en-GB"/>
        </w:rPr>
        <w:footnoteReference w:id="34"/>
      </w:r>
    </w:p>
    <w:p w14:paraId="3EB2A98C" w14:textId="77777777" w:rsidR="00BE48EE" w:rsidRPr="00C73D06" w:rsidRDefault="00BE48EE" w:rsidP="00BE48EE">
      <w:pPr>
        <w:pStyle w:val="ListParagraph"/>
        <w:numPr>
          <w:ilvl w:val="0"/>
          <w:numId w:val="46"/>
        </w:numPr>
        <w:spacing w:after="0" w:line="240" w:lineRule="auto"/>
        <w:contextualSpacing w:val="0"/>
        <w:rPr>
          <w:szCs w:val="22"/>
        </w:rPr>
      </w:pPr>
      <w:r w:rsidRPr="00DE11CB">
        <w:rPr>
          <w:rFonts w:cstheme="minorHAnsi"/>
          <w:b/>
          <w:szCs w:val="22"/>
          <w:lang w:val="en-GB"/>
        </w:rPr>
        <w:t>Safe &amp; Together</w:t>
      </w:r>
      <w:r>
        <w:rPr>
          <w:rFonts w:cstheme="minorHAnsi"/>
          <w:b/>
          <w:szCs w:val="22"/>
          <w:lang w:val="en-GB"/>
        </w:rPr>
        <w:t xml:space="preserve"> Model training.</w:t>
      </w:r>
      <w:r w:rsidRPr="00C73D06">
        <w:rPr>
          <w:rFonts w:cstheme="minorHAnsi"/>
          <w:szCs w:val="22"/>
          <w:lang w:val="en-GB"/>
        </w:rPr>
        <w:t xml:space="preserve"> The Safe &amp; Together Model is a </w:t>
      </w:r>
      <w:r w:rsidRPr="00C73D06">
        <w:t xml:space="preserve">child-centred model that assists professionals to recognise patterns of coercive controlling violence by perpetrators of abuse and protective efforts by victims of abuse. </w:t>
      </w:r>
      <w:r>
        <w:t xml:space="preserve">This training runs for approximately </w:t>
      </w:r>
      <w:r>
        <w:rPr>
          <w:rFonts w:cstheme="minorHAnsi"/>
          <w:szCs w:val="22"/>
          <w:lang w:val="en-GB"/>
        </w:rPr>
        <w:t>20 hours online.</w:t>
      </w:r>
    </w:p>
    <w:p w14:paraId="671F471C" w14:textId="77777777" w:rsidR="00BE48EE" w:rsidRPr="00C73D06" w:rsidRDefault="00BE48EE" w:rsidP="00BE48EE">
      <w:pPr>
        <w:pStyle w:val="ListParagraph"/>
        <w:numPr>
          <w:ilvl w:val="0"/>
          <w:numId w:val="46"/>
        </w:numPr>
        <w:spacing w:after="0" w:line="240" w:lineRule="auto"/>
        <w:contextualSpacing w:val="0"/>
        <w:rPr>
          <w:szCs w:val="22"/>
        </w:rPr>
      </w:pPr>
      <w:r w:rsidRPr="00DE11CB">
        <w:rPr>
          <w:b/>
          <w:szCs w:val="22"/>
        </w:rPr>
        <w:t>Professional development seminars</w:t>
      </w:r>
      <w:r>
        <w:rPr>
          <w:b/>
          <w:szCs w:val="22"/>
        </w:rPr>
        <w:t>.</w:t>
      </w:r>
      <w:r w:rsidRPr="00C73D06">
        <w:rPr>
          <w:szCs w:val="22"/>
        </w:rPr>
        <w:t xml:space="preserve"> </w:t>
      </w:r>
      <w:r>
        <w:rPr>
          <w:szCs w:val="22"/>
        </w:rPr>
        <w:t>These m</w:t>
      </w:r>
      <w:r w:rsidRPr="00C73D06">
        <w:rPr>
          <w:szCs w:val="22"/>
        </w:rPr>
        <w:t>onthly online</w:t>
      </w:r>
      <w:r>
        <w:rPr>
          <w:szCs w:val="22"/>
        </w:rPr>
        <w:t xml:space="preserve"> sessions</w:t>
      </w:r>
      <w:r w:rsidRPr="00C73D06">
        <w:rPr>
          <w:szCs w:val="22"/>
        </w:rPr>
        <w:t xml:space="preserve"> </w:t>
      </w:r>
      <w:r>
        <w:rPr>
          <w:szCs w:val="22"/>
        </w:rPr>
        <w:t xml:space="preserve">cover </w:t>
      </w:r>
      <w:r w:rsidRPr="00C73D06">
        <w:rPr>
          <w:szCs w:val="22"/>
        </w:rPr>
        <w:t xml:space="preserve">a range of topics </w:t>
      </w:r>
      <w:r>
        <w:rPr>
          <w:szCs w:val="22"/>
        </w:rPr>
        <w:t>relevant to</w:t>
      </w:r>
      <w:r w:rsidRPr="00C73D06">
        <w:rPr>
          <w:szCs w:val="22"/>
        </w:rPr>
        <w:t xml:space="preserve"> family </w:t>
      </w:r>
      <w:r>
        <w:rPr>
          <w:szCs w:val="22"/>
        </w:rPr>
        <w:t>report writing</w:t>
      </w:r>
      <w:r w:rsidRPr="00C73D06">
        <w:rPr>
          <w:szCs w:val="22"/>
        </w:rPr>
        <w:t xml:space="preserve">. </w:t>
      </w:r>
      <w:r>
        <w:rPr>
          <w:szCs w:val="22"/>
        </w:rPr>
        <w:t xml:space="preserve">Topics have included intimate partner violence in refugee and migrant communities, assessing children with special needs, interviewing children living with family violence, technology facilitated abuse, coercive control, and conducting family assessments with Indigenous families. </w:t>
      </w:r>
    </w:p>
    <w:p w14:paraId="35F7E28D" w14:textId="77777777" w:rsidR="00BE48EE" w:rsidRPr="00C73D06" w:rsidRDefault="00BE48EE" w:rsidP="00BE48EE">
      <w:pPr>
        <w:spacing w:before="160" w:after="0"/>
        <w:rPr>
          <w:rFonts w:cstheme="minorHAnsi"/>
          <w:szCs w:val="22"/>
          <w:lang w:val="en-GB"/>
        </w:rPr>
      </w:pPr>
      <w:r>
        <w:rPr>
          <w:rFonts w:cstheme="minorHAnsi"/>
          <w:szCs w:val="22"/>
          <w:lang w:val="en-GB"/>
        </w:rPr>
        <w:t>CCS’s</w:t>
      </w:r>
      <w:r w:rsidRPr="00C73D06">
        <w:rPr>
          <w:rFonts w:cstheme="minorHAnsi"/>
          <w:szCs w:val="22"/>
          <w:lang w:val="en-GB"/>
        </w:rPr>
        <w:t xml:space="preserve"> Practice Guidelines and Professional Directions</w:t>
      </w:r>
      <w:r>
        <w:rPr>
          <w:rFonts w:cstheme="minorHAnsi"/>
          <w:szCs w:val="22"/>
          <w:lang w:val="en-GB"/>
        </w:rPr>
        <w:t>,</w:t>
      </w:r>
      <w:r w:rsidRPr="00C73D06">
        <w:rPr>
          <w:rFonts w:cstheme="minorHAnsi"/>
          <w:szCs w:val="22"/>
          <w:lang w:val="en-GB"/>
        </w:rPr>
        <w:t xml:space="preserve"> available to</w:t>
      </w:r>
      <w:r>
        <w:rPr>
          <w:rFonts w:cstheme="minorHAnsi"/>
          <w:szCs w:val="22"/>
          <w:lang w:val="en-GB"/>
        </w:rPr>
        <w:t xml:space="preserve"> both</w:t>
      </w:r>
      <w:r w:rsidRPr="00C73D06">
        <w:rPr>
          <w:rFonts w:cstheme="minorHAnsi"/>
          <w:szCs w:val="22"/>
          <w:lang w:val="en-GB"/>
        </w:rPr>
        <w:t xml:space="preserve"> in-house and regulation 7 family consultants</w:t>
      </w:r>
      <w:r>
        <w:rPr>
          <w:rFonts w:cstheme="minorHAnsi"/>
          <w:szCs w:val="22"/>
          <w:lang w:val="en-GB"/>
        </w:rPr>
        <w:t xml:space="preserve">, also aim to ensure a consistent level of competency in key areas </w:t>
      </w:r>
      <w:r w:rsidRPr="00C73D06">
        <w:rPr>
          <w:rFonts w:cstheme="minorHAnsi"/>
          <w:szCs w:val="22"/>
          <w:lang w:val="en-GB"/>
        </w:rPr>
        <w:t>including:</w:t>
      </w:r>
    </w:p>
    <w:p w14:paraId="01BB0BDA" w14:textId="77777777" w:rsidR="00BE48EE" w:rsidRPr="00C73D06" w:rsidRDefault="00BE48EE" w:rsidP="00BE48EE">
      <w:pPr>
        <w:pStyle w:val="NoSpacing"/>
        <w:numPr>
          <w:ilvl w:val="0"/>
          <w:numId w:val="12"/>
        </w:numPr>
        <w:spacing w:line="259" w:lineRule="auto"/>
        <w:rPr>
          <w:rFonts w:ascii="Calibri" w:hAnsi="Calibri" w:cs="Calibri"/>
          <w:sz w:val="22"/>
          <w:szCs w:val="22"/>
        </w:rPr>
      </w:pPr>
      <w:r>
        <w:rPr>
          <w:rFonts w:ascii="Calibri" w:hAnsi="Calibri" w:cs="Calibri"/>
          <w:sz w:val="22"/>
          <w:szCs w:val="22"/>
        </w:rPr>
        <w:t>family v</w:t>
      </w:r>
      <w:r w:rsidRPr="00C73D06">
        <w:rPr>
          <w:rFonts w:ascii="Calibri" w:hAnsi="Calibri" w:cs="Calibri"/>
          <w:sz w:val="22"/>
          <w:szCs w:val="22"/>
        </w:rPr>
        <w:t xml:space="preserve">iolence </w:t>
      </w:r>
      <w:r>
        <w:rPr>
          <w:rFonts w:ascii="Calibri" w:hAnsi="Calibri" w:cs="Calibri"/>
          <w:sz w:val="22"/>
          <w:szCs w:val="22"/>
        </w:rPr>
        <w:t>screening and assessment</w:t>
      </w:r>
    </w:p>
    <w:p w14:paraId="7FC24863" w14:textId="77777777" w:rsidR="00BE48EE" w:rsidRPr="00C73D06" w:rsidRDefault="00BE48EE" w:rsidP="00BE48EE">
      <w:pPr>
        <w:pStyle w:val="NoSpacing"/>
        <w:numPr>
          <w:ilvl w:val="0"/>
          <w:numId w:val="12"/>
        </w:numPr>
        <w:spacing w:line="259" w:lineRule="auto"/>
        <w:jc w:val="both"/>
        <w:rPr>
          <w:rFonts w:ascii="Calibri" w:hAnsi="Calibri" w:cs="Calibri"/>
          <w:sz w:val="22"/>
          <w:szCs w:val="22"/>
        </w:rPr>
      </w:pPr>
      <w:r>
        <w:rPr>
          <w:rFonts w:ascii="Calibri" w:hAnsi="Calibri" w:cs="Calibri"/>
          <w:sz w:val="22"/>
          <w:szCs w:val="22"/>
        </w:rPr>
        <w:t>c</w:t>
      </w:r>
      <w:r w:rsidRPr="00C73D06">
        <w:rPr>
          <w:rFonts w:ascii="Calibri" w:hAnsi="Calibri" w:cs="Calibri"/>
          <w:sz w:val="22"/>
          <w:szCs w:val="22"/>
        </w:rPr>
        <w:t xml:space="preserve">ulture and </w:t>
      </w:r>
      <w:r>
        <w:rPr>
          <w:rFonts w:ascii="Calibri" w:hAnsi="Calibri" w:cs="Calibri"/>
          <w:sz w:val="22"/>
          <w:szCs w:val="22"/>
        </w:rPr>
        <w:t>diversity</w:t>
      </w:r>
    </w:p>
    <w:p w14:paraId="5B6005E3" w14:textId="77777777" w:rsidR="00BE48EE" w:rsidRPr="00C73D06" w:rsidRDefault="00BE48EE" w:rsidP="00BE48EE">
      <w:pPr>
        <w:pStyle w:val="NoSpacing"/>
        <w:numPr>
          <w:ilvl w:val="0"/>
          <w:numId w:val="12"/>
        </w:numPr>
        <w:spacing w:line="259" w:lineRule="auto"/>
        <w:jc w:val="both"/>
        <w:rPr>
          <w:rFonts w:ascii="Calibri" w:hAnsi="Calibri" w:cs="Calibri"/>
          <w:sz w:val="22"/>
          <w:szCs w:val="22"/>
        </w:rPr>
      </w:pPr>
      <w:r>
        <w:rPr>
          <w:rFonts w:ascii="Calibri" w:hAnsi="Calibri" w:cs="Calibri"/>
          <w:sz w:val="22"/>
          <w:szCs w:val="22"/>
        </w:rPr>
        <w:t>w</w:t>
      </w:r>
      <w:r w:rsidRPr="00C73D06">
        <w:rPr>
          <w:rFonts w:ascii="Calibri" w:hAnsi="Calibri" w:cs="Calibri"/>
          <w:sz w:val="22"/>
          <w:szCs w:val="22"/>
        </w:rPr>
        <w:t>orking with</w:t>
      </w:r>
      <w:r>
        <w:rPr>
          <w:rFonts w:ascii="Calibri" w:hAnsi="Calibri" w:cs="Calibri"/>
          <w:sz w:val="22"/>
          <w:szCs w:val="22"/>
        </w:rPr>
        <w:t xml:space="preserve"> Australia’s Indigenous peoples</w:t>
      </w:r>
    </w:p>
    <w:p w14:paraId="0DCEB30E" w14:textId="77777777" w:rsidR="00BE48EE" w:rsidRPr="00C73D06" w:rsidRDefault="00BE48EE" w:rsidP="00BE48EE">
      <w:pPr>
        <w:pStyle w:val="NoSpacing"/>
        <w:numPr>
          <w:ilvl w:val="0"/>
          <w:numId w:val="12"/>
        </w:numPr>
        <w:spacing w:line="259" w:lineRule="auto"/>
        <w:rPr>
          <w:rFonts w:ascii="Calibri" w:hAnsi="Calibri" w:cs="Calibri"/>
          <w:sz w:val="22"/>
          <w:szCs w:val="22"/>
        </w:rPr>
      </w:pPr>
      <w:r>
        <w:rPr>
          <w:rFonts w:ascii="Calibri" w:hAnsi="Calibri" w:cs="Calibri"/>
          <w:sz w:val="22"/>
          <w:szCs w:val="22"/>
        </w:rPr>
        <w:t>risk management</w:t>
      </w:r>
    </w:p>
    <w:p w14:paraId="4DB7CE8A" w14:textId="77777777" w:rsidR="00BE48EE" w:rsidRPr="00C73D06" w:rsidRDefault="00BE48EE" w:rsidP="00BE48EE">
      <w:pPr>
        <w:pStyle w:val="NoSpacing"/>
        <w:numPr>
          <w:ilvl w:val="0"/>
          <w:numId w:val="12"/>
        </w:numPr>
        <w:spacing w:line="259" w:lineRule="auto"/>
        <w:rPr>
          <w:rFonts w:ascii="Calibri" w:hAnsi="Calibri" w:cs="Calibri"/>
          <w:sz w:val="22"/>
          <w:szCs w:val="22"/>
        </w:rPr>
      </w:pPr>
      <w:r>
        <w:rPr>
          <w:rFonts w:ascii="Calibri" w:hAnsi="Calibri" w:cs="Calibri"/>
          <w:sz w:val="22"/>
          <w:szCs w:val="22"/>
        </w:rPr>
        <w:t>i</w:t>
      </w:r>
      <w:r w:rsidRPr="00C73D06">
        <w:rPr>
          <w:rFonts w:ascii="Calibri" w:hAnsi="Calibri" w:cs="Calibri"/>
          <w:sz w:val="22"/>
          <w:szCs w:val="22"/>
        </w:rPr>
        <w:t xml:space="preserve">nterviewing </w:t>
      </w:r>
      <w:r>
        <w:rPr>
          <w:rFonts w:ascii="Calibri" w:hAnsi="Calibri" w:cs="Calibri"/>
          <w:sz w:val="22"/>
          <w:szCs w:val="22"/>
        </w:rPr>
        <w:t>c</w:t>
      </w:r>
      <w:r w:rsidRPr="00C73D06">
        <w:rPr>
          <w:rFonts w:ascii="Calibri" w:hAnsi="Calibri" w:cs="Calibri"/>
          <w:sz w:val="22"/>
          <w:szCs w:val="22"/>
        </w:rPr>
        <w:t xml:space="preserve">hildren </w:t>
      </w:r>
    </w:p>
    <w:p w14:paraId="1F7B75A7" w14:textId="77777777" w:rsidR="00BE48EE" w:rsidRPr="00C73D06" w:rsidRDefault="00BE48EE" w:rsidP="00BE48EE">
      <w:pPr>
        <w:pStyle w:val="NoSpacing"/>
        <w:numPr>
          <w:ilvl w:val="0"/>
          <w:numId w:val="12"/>
        </w:numPr>
        <w:spacing w:line="259" w:lineRule="auto"/>
        <w:rPr>
          <w:rFonts w:ascii="Calibri" w:hAnsi="Calibri" w:cs="Calibri"/>
          <w:sz w:val="22"/>
          <w:szCs w:val="22"/>
        </w:rPr>
      </w:pPr>
      <w:r>
        <w:rPr>
          <w:rFonts w:ascii="Calibri" w:hAnsi="Calibri" w:cs="Calibri"/>
          <w:sz w:val="22"/>
          <w:szCs w:val="22"/>
        </w:rPr>
        <w:t>c</w:t>
      </w:r>
      <w:r w:rsidRPr="00C73D06">
        <w:rPr>
          <w:rFonts w:ascii="Calibri" w:hAnsi="Calibri" w:cs="Calibri"/>
          <w:sz w:val="22"/>
          <w:szCs w:val="22"/>
        </w:rPr>
        <w:t>onducting parent-child observations</w:t>
      </w:r>
    </w:p>
    <w:p w14:paraId="5E5D4243" w14:textId="77777777" w:rsidR="00BE48EE" w:rsidRPr="00C73D06" w:rsidRDefault="00BE48EE" w:rsidP="00BE48EE">
      <w:pPr>
        <w:pStyle w:val="NoSpacing"/>
        <w:numPr>
          <w:ilvl w:val="0"/>
          <w:numId w:val="12"/>
        </w:numPr>
        <w:spacing w:line="259" w:lineRule="auto"/>
        <w:rPr>
          <w:rFonts w:ascii="Calibri" w:hAnsi="Calibri" w:cs="Calibri"/>
          <w:sz w:val="22"/>
          <w:szCs w:val="22"/>
        </w:rPr>
      </w:pPr>
      <w:r>
        <w:rPr>
          <w:rFonts w:ascii="Calibri" w:hAnsi="Calibri" w:cs="Calibri"/>
          <w:sz w:val="22"/>
          <w:szCs w:val="22"/>
        </w:rPr>
        <w:t>w</w:t>
      </w:r>
      <w:r w:rsidRPr="00C73D06">
        <w:rPr>
          <w:rFonts w:ascii="Calibri" w:hAnsi="Calibri" w:cs="Calibri"/>
          <w:sz w:val="22"/>
          <w:szCs w:val="22"/>
        </w:rPr>
        <w:t>riting for</w:t>
      </w:r>
      <w:r>
        <w:rPr>
          <w:rFonts w:ascii="Calibri" w:hAnsi="Calibri" w:cs="Calibri"/>
          <w:sz w:val="22"/>
          <w:szCs w:val="22"/>
        </w:rPr>
        <w:t xml:space="preserve"> the</w:t>
      </w:r>
      <w:r w:rsidRPr="00C73D06">
        <w:rPr>
          <w:rFonts w:ascii="Calibri" w:hAnsi="Calibri" w:cs="Calibri"/>
          <w:sz w:val="22"/>
          <w:szCs w:val="22"/>
        </w:rPr>
        <w:t xml:space="preserve"> </w:t>
      </w:r>
      <w:r>
        <w:rPr>
          <w:rFonts w:ascii="Calibri" w:hAnsi="Calibri" w:cs="Calibri"/>
          <w:sz w:val="22"/>
          <w:szCs w:val="22"/>
        </w:rPr>
        <w:t>family law courts</w:t>
      </w:r>
    </w:p>
    <w:p w14:paraId="3AC3DFD4" w14:textId="77777777" w:rsidR="00BE48EE" w:rsidRPr="00721D65" w:rsidRDefault="00BE48EE" w:rsidP="00BE48EE">
      <w:pPr>
        <w:pStyle w:val="Heading4"/>
      </w:pPr>
      <w:r w:rsidRPr="00721D65">
        <w:lastRenderedPageBreak/>
        <w:t xml:space="preserve">FCCCS Training </w:t>
      </w:r>
    </w:p>
    <w:p w14:paraId="076E998B" w14:textId="77777777" w:rsidR="00BE48EE" w:rsidRPr="00721D65" w:rsidRDefault="00BE48EE" w:rsidP="00BE48EE">
      <w:pPr>
        <w:rPr>
          <w:rFonts w:cstheme="minorHAnsi"/>
          <w:szCs w:val="22"/>
        </w:rPr>
      </w:pPr>
      <w:r w:rsidRPr="00721D65">
        <w:rPr>
          <w:rFonts w:cstheme="minorHAnsi"/>
          <w:szCs w:val="22"/>
        </w:rPr>
        <w:t xml:space="preserve">For FCCCS, most induction training is provided through one-on-one support and feedback. Family consultants also receive additional training on family violence, report writing, interviewing and risk assessment. </w:t>
      </w:r>
    </w:p>
    <w:p w14:paraId="39050E96" w14:textId="77777777" w:rsidR="00BE48EE" w:rsidRPr="00C73D06" w:rsidRDefault="00BE48EE" w:rsidP="00BE48EE">
      <w:pPr>
        <w:pStyle w:val="Heading4"/>
        <w:rPr>
          <w:rFonts w:ascii="Calibri" w:hAnsi="Calibri" w:cs="Calibri"/>
          <w:sz w:val="22"/>
          <w:szCs w:val="22"/>
        </w:rPr>
      </w:pPr>
      <w:r w:rsidRPr="00C73D06">
        <w:rPr>
          <w:lang w:val="en-GB"/>
        </w:rPr>
        <w:t>Association of Family and Conciliation Courts</w:t>
      </w:r>
    </w:p>
    <w:p w14:paraId="120D66F6" w14:textId="77777777" w:rsidR="00BE48EE" w:rsidRPr="00C73D06" w:rsidRDefault="00BE48EE" w:rsidP="00BE48EE">
      <w:pPr>
        <w:autoSpaceDE w:val="0"/>
        <w:autoSpaceDN w:val="0"/>
        <w:adjustRightInd w:val="0"/>
        <w:spacing w:after="0"/>
        <w:rPr>
          <w:rFonts w:cstheme="minorHAnsi"/>
          <w:szCs w:val="22"/>
          <w:lang w:val="en-GB"/>
        </w:rPr>
      </w:pPr>
      <w:r w:rsidRPr="00C73D06">
        <w:rPr>
          <w:rFonts w:cstheme="minorHAnsi"/>
          <w:szCs w:val="22"/>
          <w:lang w:val="en-GB"/>
        </w:rPr>
        <w:t>The Association of Family and Conciliation Courts Australian Chapter (AFCC), an association of professional practitioners, researchers, teachers and policymakers in family law dedicated to the resolution of family conflict,</w:t>
      </w:r>
      <w:r w:rsidRPr="00C73D06">
        <w:rPr>
          <w:rStyle w:val="FootnoteReference"/>
          <w:rFonts w:cstheme="minorHAnsi"/>
          <w:szCs w:val="22"/>
          <w:lang w:val="en-GB"/>
        </w:rPr>
        <w:footnoteReference w:id="35"/>
      </w:r>
      <w:r>
        <w:rPr>
          <w:rFonts w:cstheme="minorHAnsi"/>
          <w:szCs w:val="22"/>
          <w:lang w:val="en-GB"/>
        </w:rPr>
        <w:t xml:space="preserve"> also provide</w:t>
      </w:r>
      <w:r w:rsidRPr="00C73D06">
        <w:rPr>
          <w:rFonts w:cstheme="minorHAnsi"/>
          <w:szCs w:val="22"/>
          <w:lang w:val="en-GB"/>
        </w:rPr>
        <w:t xml:space="preserve"> a range of introductory modules both online and in-person specifically targeted at family report writers, including: </w:t>
      </w:r>
    </w:p>
    <w:p w14:paraId="2733B65F" w14:textId="77777777" w:rsidR="00BE48EE" w:rsidRPr="00C73D06" w:rsidRDefault="00BE48EE" w:rsidP="00BE48EE">
      <w:pPr>
        <w:pStyle w:val="ListParagraph"/>
        <w:numPr>
          <w:ilvl w:val="0"/>
          <w:numId w:val="9"/>
        </w:numPr>
        <w:rPr>
          <w:rFonts w:cstheme="minorHAnsi"/>
          <w:szCs w:val="22"/>
          <w:lang w:val="en-GB"/>
        </w:rPr>
      </w:pPr>
      <w:r w:rsidRPr="00C73D06">
        <w:rPr>
          <w:rFonts w:cstheme="minorHAnsi"/>
          <w:szCs w:val="22"/>
          <w:lang w:val="en-GB"/>
        </w:rPr>
        <w:t>I</w:t>
      </w:r>
      <w:r>
        <w:rPr>
          <w:rFonts w:cstheme="minorHAnsi"/>
          <w:szCs w:val="22"/>
          <w:lang w:val="en-GB"/>
        </w:rPr>
        <w:t>ntroduction to Family Law</w:t>
      </w:r>
    </w:p>
    <w:p w14:paraId="05E82D89" w14:textId="77777777" w:rsidR="00BE48EE" w:rsidRPr="00C73D06" w:rsidRDefault="00BE48EE" w:rsidP="00BE48EE">
      <w:pPr>
        <w:pStyle w:val="ListParagraph"/>
        <w:numPr>
          <w:ilvl w:val="0"/>
          <w:numId w:val="9"/>
        </w:numPr>
        <w:rPr>
          <w:rFonts w:cstheme="minorHAnsi"/>
          <w:szCs w:val="22"/>
          <w:lang w:val="en-GB"/>
        </w:rPr>
      </w:pPr>
      <w:r>
        <w:rPr>
          <w:rFonts w:cstheme="minorHAnsi"/>
          <w:szCs w:val="22"/>
          <w:lang w:val="en-GB"/>
        </w:rPr>
        <w:t>The Legal Interface</w:t>
      </w:r>
    </w:p>
    <w:p w14:paraId="37279E23" w14:textId="77777777" w:rsidR="00BE48EE" w:rsidRPr="00C73D06" w:rsidRDefault="00BE48EE" w:rsidP="00BE48EE">
      <w:pPr>
        <w:pStyle w:val="ListParagraph"/>
        <w:numPr>
          <w:ilvl w:val="0"/>
          <w:numId w:val="9"/>
        </w:numPr>
        <w:rPr>
          <w:rFonts w:cstheme="minorHAnsi"/>
          <w:szCs w:val="22"/>
          <w:lang w:val="en-GB"/>
        </w:rPr>
      </w:pPr>
      <w:r w:rsidRPr="00C73D06">
        <w:rPr>
          <w:rFonts w:cstheme="minorHAnsi"/>
          <w:szCs w:val="22"/>
          <w:lang w:val="en-GB"/>
        </w:rPr>
        <w:t>Assessment of Families</w:t>
      </w:r>
    </w:p>
    <w:p w14:paraId="05EA757E" w14:textId="77777777" w:rsidR="00BE48EE" w:rsidRPr="00C73D06" w:rsidRDefault="00BE48EE" w:rsidP="00BE48EE">
      <w:pPr>
        <w:pStyle w:val="ListParagraph"/>
        <w:numPr>
          <w:ilvl w:val="0"/>
          <w:numId w:val="9"/>
        </w:numPr>
        <w:rPr>
          <w:rFonts w:cstheme="minorHAnsi"/>
          <w:szCs w:val="22"/>
          <w:lang w:val="en-GB"/>
        </w:rPr>
      </w:pPr>
      <w:r w:rsidRPr="00C73D06">
        <w:rPr>
          <w:rFonts w:cstheme="minorHAnsi"/>
          <w:szCs w:val="22"/>
          <w:lang w:val="en-GB"/>
        </w:rPr>
        <w:t>Repo</w:t>
      </w:r>
      <w:r>
        <w:rPr>
          <w:rFonts w:cstheme="minorHAnsi"/>
          <w:szCs w:val="22"/>
          <w:lang w:val="en-GB"/>
        </w:rPr>
        <w:t>rt Writing and Risk Assessment</w:t>
      </w:r>
    </w:p>
    <w:p w14:paraId="0EAA0EE9" w14:textId="77777777" w:rsidR="00BE48EE" w:rsidRPr="00C73D06" w:rsidRDefault="00BE48EE" w:rsidP="00BE48EE">
      <w:pPr>
        <w:rPr>
          <w:rFonts w:cstheme="minorHAnsi"/>
          <w:szCs w:val="22"/>
          <w:lang w:val="en-GB"/>
        </w:rPr>
      </w:pPr>
      <w:r w:rsidRPr="00C73D06">
        <w:rPr>
          <w:rFonts w:cstheme="minorHAnsi"/>
          <w:szCs w:val="22"/>
          <w:lang w:val="en-GB"/>
        </w:rPr>
        <w:t>The AFCC also provide masterclass</w:t>
      </w:r>
      <w:r>
        <w:rPr>
          <w:rFonts w:cstheme="minorHAnsi"/>
          <w:szCs w:val="22"/>
          <w:lang w:val="en-GB"/>
        </w:rPr>
        <w:t>es</w:t>
      </w:r>
      <w:r w:rsidRPr="00C73D06">
        <w:rPr>
          <w:rFonts w:cstheme="minorHAnsi"/>
          <w:szCs w:val="22"/>
          <w:lang w:val="en-GB"/>
        </w:rPr>
        <w:t xml:space="preserve"> for family report writers in a range of subject areas, including: family violence; culturally and linguistically diverse clients; LGBTIQ+ populations; developmental considerations for child</w:t>
      </w:r>
      <w:r>
        <w:rPr>
          <w:rFonts w:cstheme="minorHAnsi"/>
          <w:szCs w:val="22"/>
          <w:lang w:val="en-GB"/>
        </w:rPr>
        <w:t>ren; alienation dynamics; cross-</w:t>
      </w:r>
      <w:r w:rsidRPr="00C73D06">
        <w:rPr>
          <w:rFonts w:cstheme="minorHAnsi"/>
          <w:szCs w:val="22"/>
          <w:lang w:val="en-GB"/>
        </w:rPr>
        <w:t>examination; and ethics in family law.</w:t>
      </w:r>
      <w:r w:rsidRPr="00C73D06">
        <w:rPr>
          <w:rStyle w:val="FootnoteReference"/>
          <w:rFonts w:cstheme="minorHAnsi"/>
          <w:szCs w:val="22"/>
          <w:lang w:val="en-GB"/>
        </w:rPr>
        <w:footnoteReference w:id="36"/>
      </w:r>
      <w:r w:rsidRPr="00C73D06">
        <w:rPr>
          <w:rFonts w:cstheme="minorHAnsi"/>
          <w:szCs w:val="22"/>
          <w:lang w:val="en-GB"/>
        </w:rPr>
        <w:t xml:space="preserve"> </w:t>
      </w:r>
    </w:p>
    <w:p w14:paraId="2D0AB399" w14:textId="77777777" w:rsidR="00BE48EE" w:rsidRPr="00C73D06" w:rsidRDefault="00BE48EE" w:rsidP="00BE48EE">
      <w:pPr>
        <w:spacing w:after="0"/>
        <w:rPr>
          <w:rFonts w:cstheme="minorHAnsi"/>
          <w:szCs w:val="22"/>
          <w:lang w:val="en-GB"/>
        </w:rPr>
      </w:pPr>
      <w:r w:rsidRPr="00C73D06">
        <w:rPr>
          <w:rFonts w:cstheme="minorHAnsi"/>
          <w:szCs w:val="22"/>
          <w:lang w:val="en-GB"/>
        </w:rPr>
        <w:t>The AFCC has an endorsement program for family report writers.</w:t>
      </w:r>
      <w:r w:rsidRPr="00C73D06">
        <w:rPr>
          <w:rStyle w:val="FootnoteReference"/>
          <w:rFonts w:cstheme="minorHAnsi"/>
          <w:szCs w:val="22"/>
          <w:lang w:val="en-GB"/>
        </w:rPr>
        <w:footnoteReference w:id="37"/>
      </w:r>
      <w:r w:rsidRPr="00C73D06">
        <w:rPr>
          <w:rFonts w:cstheme="minorHAnsi"/>
          <w:szCs w:val="22"/>
          <w:lang w:val="en-GB"/>
        </w:rPr>
        <w:t xml:space="preserve"> To be eligible, a person must: </w:t>
      </w:r>
    </w:p>
    <w:p w14:paraId="0E98BBD8" w14:textId="77777777" w:rsidR="00BE48EE" w:rsidRPr="00C73D06" w:rsidRDefault="00BE48EE" w:rsidP="00BE48EE">
      <w:pPr>
        <w:pStyle w:val="ListParagraph"/>
        <w:numPr>
          <w:ilvl w:val="0"/>
          <w:numId w:val="41"/>
        </w:numPr>
        <w:rPr>
          <w:rFonts w:cstheme="minorHAnsi"/>
          <w:szCs w:val="22"/>
          <w:lang w:val="en-GB"/>
        </w:rPr>
      </w:pPr>
      <w:r>
        <w:rPr>
          <w:rFonts w:cstheme="minorHAnsi"/>
          <w:szCs w:val="22"/>
          <w:lang w:val="en-GB"/>
        </w:rPr>
        <w:t>B</w:t>
      </w:r>
      <w:r w:rsidRPr="00C73D06">
        <w:rPr>
          <w:rFonts w:cstheme="minorHAnsi"/>
          <w:szCs w:val="22"/>
          <w:lang w:val="en-GB"/>
        </w:rPr>
        <w:t>e a member</w:t>
      </w:r>
      <w:r>
        <w:rPr>
          <w:rFonts w:cstheme="minorHAnsi"/>
          <w:szCs w:val="22"/>
          <w:lang w:val="en-GB"/>
        </w:rPr>
        <w:t xml:space="preserve"> of the AFCC Australian Chapter.</w:t>
      </w:r>
    </w:p>
    <w:p w14:paraId="146AF6FB" w14:textId="77777777" w:rsidR="00BE48EE" w:rsidRPr="00C73D06" w:rsidRDefault="00BE48EE" w:rsidP="00BE48EE">
      <w:pPr>
        <w:pStyle w:val="ListParagraph"/>
        <w:numPr>
          <w:ilvl w:val="0"/>
          <w:numId w:val="41"/>
        </w:numPr>
        <w:rPr>
          <w:rFonts w:cstheme="minorHAnsi"/>
          <w:szCs w:val="22"/>
          <w:lang w:val="en-GB"/>
        </w:rPr>
      </w:pPr>
      <w:r>
        <w:rPr>
          <w:rFonts w:cstheme="minorHAnsi"/>
          <w:szCs w:val="22"/>
          <w:lang w:val="en-GB"/>
        </w:rPr>
        <w:t>B</w:t>
      </w:r>
      <w:r w:rsidRPr="00C73D06">
        <w:rPr>
          <w:rFonts w:cstheme="minorHAnsi"/>
          <w:szCs w:val="22"/>
          <w:lang w:val="en-GB"/>
        </w:rPr>
        <w:t xml:space="preserve">e registered as a psychologist </w:t>
      </w:r>
      <w:r w:rsidRPr="005B3C40">
        <w:rPr>
          <w:rFonts w:cstheme="minorHAnsi"/>
          <w:szCs w:val="22"/>
          <w:u w:val="single"/>
          <w:lang w:val="en-GB"/>
        </w:rPr>
        <w:t>with</w:t>
      </w:r>
      <w:r w:rsidRPr="00C73D06">
        <w:rPr>
          <w:rFonts w:cstheme="minorHAnsi"/>
          <w:szCs w:val="22"/>
          <w:lang w:val="en-GB"/>
        </w:rPr>
        <w:t xml:space="preserve"> masters or doctoral level qualifications</w:t>
      </w:r>
      <w:r>
        <w:rPr>
          <w:rFonts w:cstheme="minorHAnsi"/>
          <w:szCs w:val="22"/>
          <w:lang w:val="en-GB"/>
        </w:rPr>
        <w:t xml:space="preserve"> (which would therefore not apply to many psychologists who prepare family reports, see qualifications section below)</w:t>
      </w:r>
      <w:r w:rsidRPr="00C73D06">
        <w:rPr>
          <w:rFonts w:cstheme="minorHAnsi"/>
          <w:szCs w:val="22"/>
          <w:lang w:val="en-GB"/>
        </w:rPr>
        <w:t>, or registered as a psychiatrist</w:t>
      </w:r>
      <w:r>
        <w:rPr>
          <w:rFonts w:cstheme="minorHAnsi"/>
          <w:szCs w:val="22"/>
          <w:lang w:val="en-GB"/>
        </w:rPr>
        <w:t>. S</w:t>
      </w:r>
      <w:r w:rsidRPr="00C73D06">
        <w:rPr>
          <w:rFonts w:cstheme="minorHAnsi"/>
          <w:szCs w:val="22"/>
          <w:lang w:val="en-GB"/>
        </w:rPr>
        <w:t>ocial workers are not eligible</w:t>
      </w:r>
      <w:r>
        <w:rPr>
          <w:rFonts w:cstheme="minorHAnsi"/>
          <w:szCs w:val="22"/>
          <w:lang w:val="en-GB"/>
        </w:rPr>
        <w:t>.</w:t>
      </w:r>
      <w:r w:rsidRPr="00C73D06">
        <w:rPr>
          <w:rFonts w:cstheme="minorHAnsi"/>
          <w:szCs w:val="22"/>
          <w:lang w:val="en-GB"/>
        </w:rPr>
        <w:t xml:space="preserve"> </w:t>
      </w:r>
    </w:p>
    <w:p w14:paraId="6691C6C9" w14:textId="77777777" w:rsidR="00BE48EE" w:rsidRPr="00C73D06" w:rsidRDefault="00BE48EE" w:rsidP="00BE48EE">
      <w:pPr>
        <w:pStyle w:val="ListParagraph"/>
        <w:numPr>
          <w:ilvl w:val="0"/>
          <w:numId w:val="41"/>
        </w:numPr>
        <w:rPr>
          <w:rFonts w:cstheme="minorHAnsi"/>
          <w:szCs w:val="22"/>
          <w:lang w:val="en-GB"/>
        </w:rPr>
      </w:pPr>
      <w:r>
        <w:rPr>
          <w:rFonts w:cstheme="minorHAnsi"/>
          <w:szCs w:val="22"/>
          <w:lang w:val="en-GB"/>
        </w:rPr>
        <w:t>H</w:t>
      </w:r>
      <w:r w:rsidRPr="00C73D06">
        <w:rPr>
          <w:rFonts w:cstheme="minorHAnsi"/>
          <w:szCs w:val="22"/>
          <w:lang w:val="en-GB"/>
        </w:rPr>
        <w:t>ave at least 5 years</w:t>
      </w:r>
      <w:r>
        <w:rPr>
          <w:rFonts w:cstheme="minorHAnsi"/>
          <w:szCs w:val="22"/>
          <w:lang w:val="en-GB"/>
        </w:rPr>
        <w:t>’</w:t>
      </w:r>
      <w:r w:rsidRPr="00C73D06">
        <w:rPr>
          <w:rFonts w:cstheme="minorHAnsi"/>
          <w:szCs w:val="22"/>
          <w:lang w:val="en-GB"/>
        </w:rPr>
        <w:t xml:space="preserve"> experien</w:t>
      </w:r>
      <w:r>
        <w:rPr>
          <w:rFonts w:cstheme="minorHAnsi"/>
          <w:szCs w:val="22"/>
          <w:lang w:val="en-GB"/>
        </w:rPr>
        <w:t>ce in preparing family reports.</w:t>
      </w:r>
    </w:p>
    <w:p w14:paraId="0183F16D" w14:textId="77777777" w:rsidR="00BE48EE" w:rsidRPr="00C73D06" w:rsidRDefault="00BE48EE" w:rsidP="00BE48EE">
      <w:pPr>
        <w:pStyle w:val="ListParagraph"/>
        <w:numPr>
          <w:ilvl w:val="0"/>
          <w:numId w:val="41"/>
        </w:numPr>
        <w:rPr>
          <w:rFonts w:cstheme="minorHAnsi"/>
          <w:szCs w:val="22"/>
          <w:lang w:val="en-GB"/>
        </w:rPr>
      </w:pPr>
      <w:r>
        <w:rPr>
          <w:rFonts w:cstheme="minorHAnsi"/>
          <w:szCs w:val="22"/>
          <w:lang w:val="en-GB"/>
        </w:rPr>
        <w:t>P</w:t>
      </w:r>
      <w:r w:rsidRPr="00C73D06">
        <w:rPr>
          <w:rFonts w:cstheme="minorHAnsi"/>
          <w:szCs w:val="22"/>
          <w:lang w:val="en-GB"/>
        </w:rPr>
        <w:t>rovide three references in support of their application</w:t>
      </w:r>
      <w:r>
        <w:rPr>
          <w:rFonts w:cstheme="minorHAnsi"/>
          <w:szCs w:val="22"/>
          <w:lang w:val="en-GB"/>
        </w:rPr>
        <w:t>.</w:t>
      </w:r>
    </w:p>
    <w:p w14:paraId="3DD1A55C" w14:textId="77777777" w:rsidR="00BE48EE" w:rsidRPr="00C73D06" w:rsidRDefault="00BE48EE" w:rsidP="00BE48EE">
      <w:pPr>
        <w:pStyle w:val="ListParagraph"/>
        <w:numPr>
          <w:ilvl w:val="0"/>
          <w:numId w:val="41"/>
        </w:numPr>
        <w:rPr>
          <w:rFonts w:cstheme="minorHAnsi"/>
          <w:szCs w:val="22"/>
          <w:lang w:val="en-GB"/>
        </w:rPr>
      </w:pPr>
      <w:r>
        <w:rPr>
          <w:rFonts w:cstheme="minorHAnsi"/>
          <w:szCs w:val="22"/>
          <w:lang w:val="en-GB"/>
        </w:rPr>
        <w:t>S</w:t>
      </w:r>
      <w:r w:rsidRPr="00C73D06">
        <w:rPr>
          <w:rFonts w:cstheme="minorHAnsi"/>
          <w:szCs w:val="22"/>
          <w:lang w:val="en-GB"/>
        </w:rPr>
        <w:t xml:space="preserve">uccessfully complete the AFCC assessment program, including a practice report and a panel interview. </w:t>
      </w:r>
    </w:p>
    <w:p w14:paraId="2EC18E32" w14:textId="77777777" w:rsidR="00BE48EE" w:rsidRPr="00C73D06" w:rsidRDefault="00BE48EE" w:rsidP="004C5C6E">
      <w:pPr>
        <w:pBdr>
          <w:top w:val="single" w:sz="4" w:space="1" w:color="auto"/>
          <w:left w:val="single" w:sz="4" w:space="4" w:color="auto"/>
          <w:bottom w:val="single" w:sz="4" w:space="1" w:color="auto"/>
          <w:right w:val="single" w:sz="4" w:space="4" w:color="auto"/>
        </w:pBdr>
        <w:shd w:val="clear" w:color="auto" w:fill="ECF1F4"/>
        <w:spacing w:after="0"/>
        <w:rPr>
          <w:b/>
          <w:color w:val="C87200"/>
          <w:sz w:val="28"/>
        </w:rPr>
      </w:pPr>
      <w:r w:rsidRPr="00C73D06">
        <w:rPr>
          <w:b/>
          <w:color w:val="C87200"/>
          <w:sz w:val="28"/>
        </w:rPr>
        <w:t>Question 5: Training to meet competency requirements</w:t>
      </w:r>
    </w:p>
    <w:p w14:paraId="5278D5F3" w14:textId="77777777" w:rsidR="00BE48EE" w:rsidRPr="004C5C6E" w:rsidRDefault="00BE48EE" w:rsidP="004C5C6E">
      <w:pPr>
        <w:pStyle w:val="ListParagraph"/>
        <w:numPr>
          <w:ilvl w:val="0"/>
          <w:numId w:val="50"/>
        </w:numPr>
        <w:pBdr>
          <w:top w:val="single" w:sz="4" w:space="1" w:color="auto"/>
          <w:left w:val="single" w:sz="4" w:space="4" w:color="auto"/>
          <w:bottom w:val="single" w:sz="4" w:space="1" w:color="auto"/>
          <w:right w:val="single" w:sz="4" w:space="4" w:color="auto"/>
        </w:pBdr>
        <w:shd w:val="clear" w:color="auto" w:fill="ECF1F4"/>
        <w:rPr>
          <w:sz w:val="28"/>
          <w:szCs w:val="28"/>
        </w:rPr>
      </w:pPr>
      <w:r w:rsidRPr="004C5C6E">
        <w:rPr>
          <w:sz w:val="28"/>
          <w:szCs w:val="28"/>
        </w:rPr>
        <w:t>What training courses are available that cover the skills and competencies in Table 1 or other identified skills and competencies? Please provide detail on the course name, provider, and what standards they comply with (for example do they meet the Australian Qualifications Framework?)</w:t>
      </w:r>
    </w:p>
    <w:p w14:paraId="00B4B78E" w14:textId="77777777" w:rsidR="00BE48EE" w:rsidRPr="004C5C6E" w:rsidRDefault="00BE48EE" w:rsidP="004C5C6E">
      <w:pPr>
        <w:pStyle w:val="ListParagraph"/>
        <w:numPr>
          <w:ilvl w:val="0"/>
          <w:numId w:val="50"/>
        </w:numPr>
        <w:pBdr>
          <w:top w:val="single" w:sz="4" w:space="1" w:color="auto"/>
          <w:left w:val="single" w:sz="4" w:space="4" w:color="auto"/>
          <w:bottom w:val="single" w:sz="4" w:space="1" w:color="auto"/>
          <w:right w:val="single" w:sz="4" w:space="4" w:color="auto"/>
        </w:pBdr>
        <w:shd w:val="clear" w:color="auto" w:fill="ECF1F4"/>
        <w:rPr>
          <w:sz w:val="28"/>
          <w:szCs w:val="28"/>
        </w:rPr>
      </w:pPr>
      <w:r w:rsidRPr="004C5C6E">
        <w:rPr>
          <w:sz w:val="28"/>
          <w:szCs w:val="28"/>
        </w:rPr>
        <w:t>Are there any gaps in available skills/competency training? If so, what training modules need to be specifically developed?</w:t>
      </w:r>
    </w:p>
    <w:p w14:paraId="2FF261C2" w14:textId="77777777" w:rsidR="00BE48EE" w:rsidRPr="00C73D06" w:rsidRDefault="00BE48EE" w:rsidP="00BE48EE">
      <w:pPr>
        <w:pStyle w:val="Heading3"/>
        <w:spacing w:before="240"/>
        <w:jc w:val="left"/>
        <w:rPr>
          <w:lang w:val="en-US"/>
        </w:rPr>
      </w:pPr>
      <w:bookmarkStart w:id="30" w:name="_Toc67657895"/>
      <w:r w:rsidRPr="00C73D06">
        <w:rPr>
          <w:lang w:val="en-US"/>
        </w:rPr>
        <w:lastRenderedPageBreak/>
        <w:t>Qualifications, professional registration and continuing professional development</w:t>
      </w:r>
      <w:bookmarkEnd w:id="30"/>
    </w:p>
    <w:p w14:paraId="009D1889" w14:textId="77777777" w:rsidR="00BE48EE" w:rsidRPr="00C73D06" w:rsidRDefault="00BE48EE" w:rsidP="00BE48EE">
      <w:pPr>
        <w:spacing w:after="0"/>
        <w:rPr>
          <w:szCs w:val="22"/>
        </w:rPr>
      </w:pPr>
      <w:r w:rsidRPr="00C73D06">
        <w:rPr>
          <w:rFonts w:cstheme="minorHAnsi"/>
          <w:szCs w:val="22"/>
          <w:lang w:val="en-US"/>
        </w:rPr>
        <w:t>Family report writers are from the professions of social work, psychology and psychiatry.</w:t>
      </w:r>
      <w:r w:rsidRPr="00C73D06">
        <w:rPr>
          <w:szCs w:val="22"/>
        </w:rPr>
        <w:t xml:space="preserve"> </w:t>
      </w:r>
      <w:r>
        <w:rPr>
          <w:szCs w:val="22"/>
        </w:rPr>
        <w:t xml:space="preserve">These occupations require a minimum qualification of: </w:t>
      </w:r>
    </w:p>
    <w:p w14:paraId="25C30292" w14:textId="77777777" w:rsidR="00BE48EE" w:rsidRPr="00C73D06" w:rsidRDefault="00BE48EE" w:rsidP="00BE48EE">
      <w:pPr>
        <w:pStyle w:val="ListParagraph"/>
        <w:numPr>
          <w:ilvl w:val="0"/>
          <w:numId w:val="18"/>
        </w:numPr>
        <w:rPr>
          <w:szCs w:val="22"/>
        </w:rPr>
      </w:pPr>
      <w:r>
        <w:rPr>
          <w:szCs w:val="22"/>
        </w:rPr>
        <w:t>F</w:t>
      </w:r>
      <w:r w:rsidRPr="00C73D06">
        <w:rPr>
          <w:szCs w:val="22"/>
        </w:rPr>
        <w:t>or social workers, a 4 year full-time tertiary degree, including 1000 hours of field education</w:t>
      </w:r>
      <w:r>
        <w:rPr>
          <w:szCs w:val="22"/>
        </w:rPr>
        <w:t>.</w:t>
      </w:r>
      <w:r w:rsidRPr="00C73D06">
        <w:rPr>
          <w:rStyle w:val="FootnoteReference"/>
          <w:szCs w:val="22"/>
        </w:rPr>
        <w:footnoteReference w:id="38"/>
      </w:r>
    </w:p>
    <w:p w14:paraId="45465F1D" w14:textId="77777777" w:rsidR="00BE48EE" w:rsidRPr="00C73D06" w:rsidRDefault="00BE48EE" w:rsidP="00BE48EE">
      <w:pPr>
        <w:pStyle w:val="ListParagraph"/>
        <w:numPr>
          <w:ilvl w:val="0"/>
          <w:numId w:val="18"/>
        </w:numPr>
        <w:rPr>
          <w:szCs w:val="22"/>
        </w:rPr>
      </w:pPr>
      <w:r>
        <w:rPr>
          <w:szCs w:val="22"/>
        </w:rPr>
        <w:t>F</w:t>
      </w:r>
      <w:r w:rsidRPr="00C73D06">
        <w:rPr>
          <w:szCs w:val="22"/>
        </w:rPr>
        <w:t xml:space="preserve">or psychologists, a 4 year full-time tertiary degree with 2 additional years of supervised practice </w:t>
      </w:r>
      <w:r>
        <w:rPr>
          <w:szCs w:val="22"/>
        </w:rPr>
        <w:t>(this pathway reflecting many family consultant psychologists)</w:t>
      </w:r>
      <w:r w:rsidRPr="00C73D06">
        <w:rPr>
          <w:szCs w:val="22"/>
        </w:rPr>
        <w:t>,</w:t>
      </w:r>
      <w:r w:rsidRPr="00C73D06">
        <w:rPr>
          <w:rStyle w:val="FootnoteReference"/>
          <w:szCs w:val="22"/>
        </w:rPr>
        <w:footnoteReference w:id="39"/>
      </w:r>
      <w:r>
        <w:rPr>
          <w:szCs w:val="22"/>
        </w:rPr>
        <w:t xml:space="preserve"> </w:t>
      </w:r>
      <w:r w:rsidRPr="00C73D06">
        <w:rPr>
          <w:szCs w:val="22"/>
        </w:rPr>
        <w:t xml:space="preserve">or a 5 year full-time tertiary degree with </w:t>
      </w:r>
      <w:r>
        <w:rPr>
          <w:szCs w:val="22"/>
        </w:rPr>
        <w:t>1</w:t>
      </w:r>
      <w:r w:rsidRPr="00C73D06">
        <w:rPr>
          <w:szCs w:val="22"/>
        </w:rPr>
        <w:t xml:space="preserve"> additional year of supervised practice, or a 6 </w:t>
      </w:r>
      <w:r>
        <w:rPr>
          <w:szCs w:val="22"/>
        </w:rPr>
        <w:t>year full-</w:t>
      </w:r>
      <w:r w:rsidRPr="00C73D06">
        <w:rPr>
          <w:szCs w:val="22"/>
        </w:rPr>
        <w:t>time tertiary degree including a 2 year masters</w:t>
      </w:r>
      <w:r>
        <w:rPr>
          <w:szCs w:val="22"/>
        </w:rPr>
        <w:t>.</w:t>
      </w:r>
      <w:r w:rsidRPr="00C73D06">
        <w:rPr>
          <w:rStyle w:val="FootnoteReference"/>
          <w:szCs w:val="22"/>
        </w:rPr>
        <w:footnoteReference w:id="40"/>
      </w:r>
      <w:r w:rsidRPr="00C73D06">
        <w:rPr>
          <w:szCs w:val="22"/>
        </w:rPr>
        <w:t xml:space="preserve"> </w:t>
      </w:r>
    </w:p>
    <w:p w14:paraId="37BBAE7B" w14:textId="77777777" w:rsidR="00BE48EE" w:rsidRPr="00C73D06" w:rsidRDefault="00BE48EE" w:rsidP="00BE48EE">
      <w:pPr>
        <w:pStyle w:val="ListParagraph"/>
        <w:numPr>
          <w:ilvl w:val="0"/>
          <w:numId w:val="18"/>
        </w:numPr>
        <w:rPr>
          <w:szCs w:val="22"/>
        </w:rPr>
      </w:pPr>
      <w:r>
        <w:rPr>
          <w:szCs w:val="22"/>
        </w:rPr>
        <w:t>F</w:t>
      </w:r>
      <w:r w:rsidRPr="00C73D06">
        <w:rPr>
          <w:szCs w:val="22"/>
        </w:rPr>
        <w:t xml:space="preserve">or psychiatrists, </w:t>
      </w:r>
      <w:r>
        <w:rPr>
          <w:szCs w:val="22"/>
        </w:rPr>
        <w:t xml:space="preserve">a 4 to </w:t>
      </w:r>
      <w:r w:rsidRPr="00C73D06">
        <w:rPr>
          <w:szCs w:val="22"/>
        </w:rPr>
        <w:t xml:space="preserve">6 year full-time </w:t>
      </w:r>
      <w:r>
        <w:rPr>
          <w:szCs w:val="22"/>
        </w:rPr>
        <w:t xml:space="preserve">medical </w:t>
      </w:r>
      <w:r w:rsidRPr="00C73D06">
        <w:rPr>
          <w:szCs w:val="22"/>
        </w:rPr>
        <w:t>degree, a 1 year internship, and a 5 year fellowship program.</w:t>
      </w:r>
      <w:r w:rsidRPr="00C73D06">
        <w:rPr>
          <w:rStyle w:val="FootnoteReference"/>
          <w:szCs w:val="22"/>
        </w:rPr>
        <w:footnoteReference w:id="41"/>
      </w:r>
      <w:r w:rsidRPr="00C73D06">
        <w:rPr>
          <w:szCs w:val="22"/>
        </w:rPr>
        <w:t xml:space="preserve"> </w:t>
      </w:r>
    </w:p>
    <w:p w14:paraId="36218172" w14:textId="77777777" w:rsidR="00BE48EE" w:rsidRPr="00C73D06" w:rsidRDefault="00BE48EE" w:rsidP="00BE48EE">
      <w:pPr>
        <w:pStyle w:val="Heading4"/>
      </w:pPr>
      <w:r w:rsidRPr="00C73D06">
        <w:t>Registration</w:t>
      </w:r>
    </w:p>
    <w:p w14:paraId="3E6FC74F" w14:textId="77777777" w:rsidR="00BE48EE" w:rsidRPr="00C73D06" w:rsidRDefault="00BE48EE" w:rsidP="00BE48EE">
      <w:pPr>
        <w:autoSpaceDE w:val="0"/>
        <w:autoSpaceDN w:val="0"/>
        <w:adjustRightInd w:val="0"/>
        <w:spacing w:after="0"/>
        <w:rPr>
          <w:szCs w:val="22"/>
        </w:rPr>
      </w:pPr>
      <w:r w:rsidRPr="00C73D06">
        <w:rPr>
          <w:szCs w:val="22"/>
        </w:rPr>
        <w:t xml:space="preserve">The titles ‘psychologist’ and ‘psychiatrist’ are protected titles under the </w:t>
      </w:r>
      <w:r w:rsidRPr="00C73D06">
        <w:rPr>
          <w:i/>
          <w:szCs w:val="22"/>
        </w:rPr>
        <w:t>Health Practitioner Regulation National Law 2009</w:t>
      </w:r>
      <w:r>
        <w:rPr>
          <w:i/>
          <w:szCs w:val="22"/>
        </w:rPr>
        <w:t xml:space="preserve"> </w:t>
      </w:r>
      <w:r>
        <w:rPr>
          <w:szCs w:val="22"/>
        </w:rPr>
        <w:t>(National Law)</w:t>
      </w:r>
      <w:r w:rsidRPr="00C73D06">
        <w:rPr>
          <w:szCs w:val="22"/>
        </w:rPr>
        <w:t>.</w:t>
      </w:r>
      <w:r w:rsidRPr="00C73D06">
        <w:rPr>
          <w:rStyle w:val="FootnoteReference"/>
          <w:szCs w:val="22"/>
        </w:rPr>
        <w:footnoteReference w:id="42"/>
      </w:r>
      <w:r w:rsidRPr="00C73D06">
        <w:rPr>
          <w:szCs w:val="22"/>
        </w:rPr>
        <w:t xml:space="preserve"> To use these protected titles, a person must be registered:</w:t>
      </w:r>
    </w:p>
    <w:p w14:paraId="613DF3D2" w14:textId="77777777" w:rsidR="00BE48EE" w:rsidRPr="00C73D06" w:rsidRDefault="00BE48EE" w:rsidP="00BE48EE">
      <w:pPr>
        <w:pStyle w:val="ListParagraph"/>
        <w:numPr>
          <w:ilvl w:val="0"/>
          <w:numId w:val="45"/>
        </w:numPr>
        <w:autoSpaceDE w:val="0"/>
        <w:autoSpaceDN w:val="0"/>
        <w:adjustRightInd w:val="0"/>
        <w:rPr>
          <w:rFonts w:cstheme="minorHAnsi"/>
          <w:szCs w:val="22"/>
          <w:lang w:val="en"/>
        </w:rPr>
      </w:pPr>
      <w:r w:rsidRPr="00C73D06">
        <w:rPr>
          <w:szCs w:val="22"/>
        </w:rPr>
        <w:t>with th</w:t>
      </w:r>
      <w:r>
        <w:rPr>
          <w:szCs w:val="22"/>
        </w:rPr>
        <w:t>e Psychology Board of Australia,</w:t>
      </w:r>
      <w:r w:rsidRPr="00C73D06">
        <w:rPr>
          <w:szCs w:val="22"/>
        </w:rPr>
        <w:t xml:space="preserve"> </w:t>
      </w:r>
      <w:r>
        <w:rPr>
          <w:szCs w:val="22"/>
        </w:rPr>
        <w:t>or</w:t>
      </w:r>
    </w:p>
    <w:p w14:paraId="20BF9C21" w14:textId="77777777" w:rsidR="00BE48EE" w:rsidRPr="00C73D06" w:rsidRDefault="00BE48EE" w:rsidP="00BE48EE">
      <w:pPr>
        <w:pStyle w:val="ListParagraph"/>
        <w:numPr>
          <w:ilvl w:val="0"/>
          <w:numId w:val="45"/>
        </w:numPr>
        <w:autoSpaceDE w:val="0"/>
        <w:autoSpaceDN w:val="0"/>
        <w:adjustRightInd w:val="0"/>
        <w:rPr>
          <w:rFonts w:cstheme="minorHAnsi"/>
          <w:szCs w:val="22"/>
          <w:lang w:val="en"/>
        </w:rPr>
      </w:pPr>
      <w:r w:rsidRPr="00C73D06">
        <w:rPr>
          <w:szCs w:val="22"/>
        </w:rPr>
        <w:t>with the Medical Board of Australia in the speciality of psychiatry</w:t>
      </w:r>
      <w:r>
        <w:rPr>
          <w:szCs w:val="22"/>
        </w:rPr>
        <w:t>, respectively</w:t>
      </w:r>
      <w:r w:rsidRPr="00C73D06">
        <w:rPr>
          <w:szCs w:val="22"/>
        </w:rPr>
        <w:t>.</w:t>
      </w:r>
    </w:p>
    <w:p w14:paraId="71D5537C" w14:textId="77777777" w:rsidR="00BE48EE" w:rsidRDefault="00BE48EE" w:rsidP="00BE48EE">
      <w:pPr>
        <w:rPr>
          <w:szCs w:val="22"/>
        </w:rPr>
      </w:pPr>
      <w:r w:rsidRPr="001849D3">
        <w:t>Fifteen National Boards including the Psychology Board of Australia and Medical Board of Australia, work in partnership with the Australian Health Practitioner Regulation Agency (Ahpra) to regulate health practitioners under the National Registration and Accreditation Scheme.</w:t>
      </w:r>
      <w:r>
        <w:rPr>
          <w:rStyle w:val="FootnoteReference"/>
        </w:rPr>
        <w:footnoteReference w:id="43"/>
      </w:r>
      <w:r w:rsidRPr="001849D3">
        <w:t xml:space="preserve"> </w:t>
      </w:r>
      <w:r>
        <w:t>For each profession that is part of the scheme, a National Board</w:t>
      </w:r>
      <w:r w:rsidRPr="001849D3">
        <w:t xml:space="preserve"> register</w:t>
      </w:r>
      <w:r>
        <w:t>s</w:t>
      </w:r>
      <w:r w:rsidRPr="001849D3">
        <w:t xml:space="preserve"> practitioners and develop</w:t>
      </w:r>
      <w:r>
        <w:t>s</w:t>
      </w:r>
      <w:r w:rsidRPr="001849D3">
        <w:t xml:space="preserve"> standards, codes and</w:t>
      </w:r>
      <w:r>
        <w:t xml:space="preserve"> guidelines for the profession.</w:t>
      </w:r>
      <w:r w:rsidRPr="001849D3">
        <w:t> </w:t>
      </w:r>
      <w:r w:rsidRPr="00C73D06">
        <w:rPr>
          <w:szCs w:val="22"/>
        </w:rPr>
        <w:t>This</w:t>
      </w:r>
      <w:r>
        <w:rPr>
          <w:szCs w:val="22"/>
        </w:rPr>
        <w:t xml:space="preserve"> can</w:t>
      </w:r>
      <w:r w:rsidRPr="00C73D06">
        <w:rPr>
          <w:szCs w:val="22"/>
        </w:rPr>
        <w:t xml:space="preserve"> include ongoing continuing professional development</w:t>
      </w:r>
      <w:r>
        <w:rPr>
          <w:szCs w:val="22"/>
        </w:rPr>
        <w:t xml:space="preserve"> (CPD)</w:t>
      </w:r>
      <w:r w:rsidRPr="00C73D06">
        <w:rPr>
          <w:szCs w:val="22"/>
        </w:rPr>
        <w:t xml:space="preserve"> requirements. </w:t>
      </w:r>
    </w:p>
    <w:p w14:paraId="1FF0B06A" w14:textId="77777777" w:rsidR="00BE48EE" w:rsidRPr="00C73D06" w:rsidRDefault="00BE48EE" w:rsidP="00BE48EE">
      <w:pPr>
        <w:autoSpaceDE w:val="0"/>
        <w:autoSpaceDN w:val="0"/>
        <w:adjustRightInd w:val="0"/>
        <w:rPr>
          <w:szCs w:val="22"/>
        </w:rPr>
      </w:pPr>
      <w:r>
        <w:rPr>
          <w:rFonts w:cstheme="minorHAnsi"/>
          <w:color w:val="000000"/>
          <w:szCs w:val="22"/>
          <w:lang w:val="en-GB"/>
        </w:rPr>
        <w:t>CPD</w:t>
      </w:r>
      <w:r w:rsidRPr="00C73D06">
        <w:rPr>
          <w:rFonts w:cstheme="minorHAnsi"/>
          <w:color w:val="000000"/>
          <w:szCs w:val="22"/>
          <w:lang w:val="en-GB"/>
        </w:rPr>
        <w:t xml:space="preserve"> can include a combination of training through courses and conferences, supervision and peer review.</w:t>
      </w:r>
      <w:r>
        <w:rPr>
          <w:rFonts w:cstheme="minorHAnsi"/>
          <w:color w:val="000000"/>
          <w:szCs w:val="22"/>
          <w:lang w:val="en-GB"/>
        </w:rPr>
        <w:t xml:space="preserve"> </w:t>
      </w:r>
      <w:r w:rsidRPr="00C73D06">
        <w:rPr>
          <w:rFonts w:ascii="Calibri" w:hAnsi="Calibri" w:cs="Calibri"/>
          <w:color w:val="000000"/>
          <w:szCs w:val="22"/>
          <w:lang w:val="en-GB"/>
        </w:rPr>
        <w:t xml:space="preserve">Psychologists are required to undertake a minimum of 30 hours of </w:t>
      </w:r>
      <w:r>
        <w:rPr>
          <w:rFonts w:ascii="Calibri" w:hAnsi="Calibri" w:cs="Calibri"/>
          <w:color w:val="000000"/>
          <w:szCs w:val="22"/>
          <w:lang w:val="en-GB"/>
        </w:rPr>
        <w:t>CPD</w:t>
      </w:r>
      <w:r w:rsidRPr="00C73D06">
        <w:rPr>
          <w:rFonts w:ascii="Calibri" w:hAnsi="Calibri" w:cs="Calibri"/>
          <w:color w:val="000000"/>
          <w:szCs w:val="22"/>
          <w:lang w:val="en-GB"/>
        </w:rPr>
        <w:t xml:space="preserve"> per year to maintain their registration. </w:t>
      </w:r>
      <w:r w:rsidRPr="00C73D06">
        <w:rPr>
          <w:rFonts w:cstheme="minorHAnsi"/>
          <w:szCs w:val="22"/>
          <w:lang w:val="en"/>
        </w:rPr>
        <w:t xml:space="preserve">Psychiatrists are expected to comply with the </w:t>
      </w:r>
      <w:r>
        <w:rPr>
          <w:rFonts w:cstheme="minorHAnsi"/>
          <w:szCs w:val="22"/>
          <w:lang w:val="en"/>
        </w:rPr>
        <w:t>CPD</w:t>
      </w:r>
      <w:r w:rsidRPr="00C73D06">
        <w:rPr>
          <w:rFonts w:cstheme="minorHAnsi"/>
          <w:szCs w:val="22"/>
          <w:lang w:val="en"/>
        </w:rPr>
        <w:t xml:space="preserve"> requirements of the Royal Australian and New Zealand College of Psychiatrists (RANZCP),</w:t>
      </w:r>
      <w:r w:rsidRPr="00C73D06">
        <w:rPr>
          <w:rStyle w:val="FootnoteReference"/>
          <w:rFonts w:cstheme="minorHAnsi"/>
          <w:szCs w:val="22"/>
          <w:lang w:val="en"/>
        </w:rPr>
        <w:footnoteReference w:id="44"/>
      </w:r>
      <w:r w:rsidRPr="00C73D06">
        <w:rPr>
          <w:rFonts w:cstheme="minorHAnsi"/>
          <w:szCs w:val="22"/>
          <w:lang w:val="en"/>
        </w:rPr>
        <w:t xml:space="preserve"> </w:t>
      </w:r>
      <w:r w:rsidRPr="001849D3">
        <w:t>the accredited organisation that is responsible for training psychiatrists and whose approved qualification leads to specialist registration. RANZCP requires that psychiatrists undertake a minimum of 50 hours of CPD annually.</w:t>
      </w:r>
      <w:r w:rsidRPr="00C73D06">
        <w:rPr>
          <w:rFonts w:cstheme="minorHAnsi"/>
          <w:szCs w:val="22"/>
          <w:lang w:val="en-GB"/>
        </w:rPr>
        <w:t xml:space="preserve"> </w:t>
      </w:r>
    </w:p>
    <w:p w14:paraId="6FAC896D" w14:textId="77777777" w:rsidR="00BE48EE" w:rsidRPr="00C73D06" w:rsidRDefault="00BE48EE" w:rsidP="00BE48EE">
      <w:pPr>
        <w:rPr>
          <w:rFonts w:cstheme="minorHAnsi"/>
          <w:szCs w:val="22"/>
        </w:rPr>
      </w:pPr>
      <w:r w:rsidRPr="00C73D06">
        <w:rPr>
          <w:rFonts w:cstheme="minorHAnsi"/>
          <w:szCs w:val="22"/>
        </w:rPr>
        <w:t xml:space="preserve">There are currently no mandatory registration or accreditation requirements for social workers in Australia. Qualified social workers can choose to become members of the Australian Association of Social Workers (AASW), the </w:t>
      </w:r>
      <w:r w:rsidRPr="00C73D06">
        <w:rPr>
          <w:rFonts w:cstheme="minorHAnsi"/>
          <w:szCs w:val="22"/>
          <w:shd w:val="clear" w:color="auto" w:fill="FFFFFF"/>
        </w:rPr>
        <w:t>professional body for </w:t>
      </w:r>
      <w:r w:rsidRPr="00C73D06">
        <w:rPr>
          <w:rStyle w:val="Emphasis"/>
          <w:rFonts w:cstheme="minorHAnsi"/>
          <w:bCs/>
          <w:i w:val="0"/>
          <w:iCs w:val="0"/>
          <w:color w:val="auto"/>
          <w:szCs w:val="22"/>
          <w:shd w:val="clear" w:color="auto" w:fill="FFFFFF"/>
        </w:rPr>
        <w:t>social workers,</w:t>
      </w:r>
      <w:r w:rsidRPr="00C73D06">
        <w:rPr>
          <w:rFonts w:cstheme="minorHAnsi"/>
          <w:szCs w:val="22"/>
        </w:rPr>
        <w:t xml:space="preserve"> and members who complete 30 hours of </w:t>
      </w:r>
      <w:r>
        <w:rPr>
          <w:rFonts w:cstheme="minorHAnsi"/>
          <w:szCs w:val="22"/>
        </w:rPr>
        <w:t>CPD</w:t>
      </w:r>
      <w:r w:rsidRPr="00C73D06">
        <w:rPr>
          <w:rFonts w:cstheme="minorHAnsi"/>
          <w:szCs w:val="22"/>
        </w:rPr>
        <w:t xml:space="preserve"> can apply to become Accredited </w:t>
      </w:r>
      <w:r w:rsidRPr="00C73D06">
        <w:rPr>
          <w:rFonts w:cstheme="minorHAnsi"/>
          <w:szCs w:val="22"/>
        </w:rPr>
        <w:lastRenderedPageBreak/>
        <w:t>Social Workers.</w:t>
      </w:r>
      <w:r w:rsidRPr="00C73D06">
        <w:rPr>
          <w:rStyle w:val="FootnoteReference"/>
          <w:rFonts w:cstheme="minorHAnsi"/>
          <w:szCs w:val="22"/>
        </w:rPr>
        <w:footnoteReference w:id="45"/>
      </w:r>
      <w:r w:rsidRPr="00C73D06">
        <w:rPr>
          <w:rFonts w:cstheme="minorHAnsi"/>
          <w:szCs w:val="22"/>
        </w:rPr>
        <w:t xml:space="preserve"> </w:t>
      </w:r>
      <w:r w:rsidRPr="00C73D06">
        <w:t xml:space="preserve">The AASW have been campaigning to achieve registration in the National Registration and Accreditation </w:t>
      </w:r>
      <w:r w:rsidRPr="00C73D06">
        <w:rPr>
          <w:rFonts w:cstheme="minorHAnsi"/>
          <w:szCs w:val="22"/>
        </w:rPr>
        <w:t>Scheme.</w:t>
      </w:r>
      <w:r w:rsidRPr="00C73D06">
        <w:rPr>
          <w:rStyle w:val="FootnoteReference"/>
          <w:rFonts w:cstheme="minorHAnsi"/>
          <w:szCs w:val="22"/>
        </w:rPr>
        <w:footnoteReference w:id="46"/>
      </w:r>
      <w:r w:rsidRPr="00C73D06">
        <w:rPr>
          <w:rFonts w:cstheme="minorHAnsi"/>
          <w:szCs w:val="22"/>
        </w:rPr>
        <w:t xml:space="preserve"> </w:t>
      </w:r>
      <w:r w:rsidRPr="00C73D06">
        <w:t xml:space="preserve">Without registration, the AASW has implemented a trademark system </w:t>
      </w:r>
      <w:r w:rsidRPr="00C73D06">
        <w:rPr>
          <w:rFonts w:cstheme="minorHAnsi"/>
          <w:szCs w:val="22"/>
        </w:rPr>
        <w:t>to recognise Accredited Social Workers</w:t>
      </w:r>
      <w:r w:rsidRPr="00C73D06">
        <w:t xml:space="preserve"> and strengthen the regulation of social workers.</w:t>
      </w:r>
      <w:r w:rsidRPr="00C73D06">
        <w:rPr>
          <w:rStyle w:val="FootnoteReference"/>
          <w:rFonts w:cstheme="minorHAnsi"/>
          <w:szCs w:val="22"/>
        </w:rPr>
        <w:footnoteReference w:id="47"/>
      </w:r>
    </w:p>
    <w:p w14:paraId="49212045" w14:textId="77777777" w:rsidR="00BE48EE" w:rsidRPr="00C73D06" w:rsidRDefault="00BE48EE" w:rsidP="00BE48EE">
      <w:pPr>
        <w:pStyle w:val="Heading4"/>
      </w:pPr>
      <w:r>
        <w:t>Endorsed areas of practice, sub</w:t>
      </w:r>
      <w:r w:rsidRPr="00C73D06">
        <w:t>special</w:t>
      </w:r>
      <w:r>
        <w:t>ties</w:t>
      </w:r>
      <w:r w:rsidRPr="00C73D06">
        <w:t xml:space="preserve"> and credentials </w:t>
      </w:r>
    </w:p>
    <w:p w14:paraId="16DFD2B5" w14:textId="77777777" w:rsidR="00BE48EE" w:rsidRPr="002119FE" w:rsidRDefault="00BE48EE" w:rsidP="00BE48EE">
      <w:pPr>
        <w:rPr>
          <w:rFonts w:cstheme="minorHAnsi"/>
        </w:rPr>
      </w:pPr>
      <w:r w:rsidRPr="00C73D06">
        <w:t xml:space="preserve">Psychologists may apply to be registered in an ‘endorsed area of practice’ and this will be noted on the public register of </w:t>
      </w:r>
      <w:r>
        <w:t>health practitioners</w:t>
      </w:r>
      <w:r w:rsidRPr="002119FE">
        <w:t>.</w:t>
      </w:r>
      <w:r w:rsidRPr="002119FE">
        <w:rPr>
          <w:rStyle w:val="FootnoteReference"/>
          <w:rFonts w:cstheme="minorHAnsi"/>
          <w:szCs w:val="22"/>
        </w:rPr>
        <w:footnoteReference w:id="48"/>
      </w:r>
      <w:r w:rsidRPr="002119FE">
        <w:t xml:space="preserve"> There are nine areas of endorsement, including forensic psychology, educational and developmental psychology, and clinical psychology. To be eligible for endorsement, a psychologist must complete an approved post-graduate qualification and will need to complete up to 3000 hours of supervised practice with a Psychology Board-approved supervisor</w:t>
      </w:r>
      <w:r w:rsidRPr="002119FE">
        <w:rPr>
          <w:rFonts w:cstheme="minorHAnsi"/>
        </w:rPr>
        <w:t>.</w:t>
      </w:r>
      <w:r w:rsidRPr="002119FE">
        <w:rPr>
          <w:rStyle w:val="FootnoteReference"/>
          <w:rFonts w:cstheme="minorHAnsi"/>
        </w:rPr>
        <w:footnoteReference w:id="49"/>
      </w:r>
    </w:p>
    <w:p w14:paraId="23A322DA" w14:textId="77777777" w:rsidR="00BE48EE" w:rsidRPr="002119FE" w:rsidRDefault="00BE48EE" w:rsidP="00BE48EE">
      <w:pPr>
        <w:rPr>
          <w:rFonts w:cstheme="minorHAnsi"/>
        </w:rPr>
      </w:pPr>
      <w:r w:rsidRPr="002119FE">
        <w:t>Psychiatrists can further their knowledge through membership of RANZCP subspecialty faculties.</w:t>
      </w:r>
      <w:r w:rsidRPr="002119FE">
        <w:rPr>
          <w:rStyle w:val="FootnoteReference"/>
        </w:rPr>
        <w:footnoteReference w:id="50"/>
      </w:r>
      <w:r w:rsidRPr="002119FE">
        <w:t xml:space="preserve"> Subspecialty</w:t>
      </w:r>
      <w:r w:rsidRPr="002119FE">
        <w:rPr>
          <w:rFonts w:cstheme="minorHAnsi"/>
        </w:rPr>
        <w:t xml:space="preserve"> faculties include a</w:t>
      </w:r>
      <w:r w:rsidRPr="002119FE">
        <w:rPr>
          <w:rStyle w:val="Hyperlink"/>
          <w:rFonts w:cstheme="minorHAnsi"/>
          <w:color w:val="auto"/>
          <w:szCs w:val="22"/>
          <w:u w:val="none"/>
        </w:rPr>
        <w:t>ddiction psychiatry, adult psychiatry, child and adolescent psychiatry, forensic psychiatry</w:t>
      </w:r>
      <w:r w:rsidRPr="002119FE">
        <w:rPr>
          <w:rFonts w:cstheme="minorHAnsi"/>
        </w:rPr>
        <w:t xml:space="preserve">, consultation-liaison psychiatry, </w:t>
      </w:r>
      <w:r w:rsidRPr="002119FE">
        <w:rPr>
          <w:rStyle w:val="Hyperlink"/>
          <w:rFonts w:cstheme="minorHAnsi"/>
          <w:color w:val="auto"/>
          <w:szCs w:val="22"/>
          <w:u w:val="none"/>
        </w:rPr>
        <w:t>psychiatry of old age</w:t>
      </w:r>
      <w:r w:rsidRPr="002119FE">
        <w:rPr>
          <w:rFonts w:cstheme="minorHAnsi"/>
        </w:rPr>
        <w:t xml:space="preserve"> and </w:t>
      </w:r>
      <w:r w:rsidRPr="002119FE">
        <w:rPr>
          <w:rStyle w:val="Hyperlink"/>
          <w:rFonts w:cstheme="minorHAnsi"/>
          <w:color w:val="auto"/>
          <w:szCs w:val="22"/>
          <w:u w:val="none"/>
        </w:rPr>
        <w:t>psychotherapy</w:t>
      </w:r>
      <w:r w:rsidRPr="002119FE">
        <w:rPr>
          <w:rStyle w:val="CommentReference"/>
          <w:rFonts w:eastAsiaTheme="minorHAnsi"/>
          <w:sz w:val="22"/>
          <w:szCs w:val="22"/>
        </w:rPr>
        <w:t xml:space="preserve">. </w:t>
      </w:r>
      <w:r w:rsidRPr="002119FE">
        <w:rPr>
          <w:rFonts w:cstheme="minorHAnsi"/>
        </w:rPr>
        <w:t>Members of RANZCP may apply for accredited membership of a faculty if they have completed the relevant Certificate of Advanced Training or have significant experience in a specialised area of psychiatry.</w:t>
      </w:r>
    </w:p>
    <w:p w14:paraId="447CC868" w14:textId="77777777" w:rsidR="00BE48EE" w:rsidRPr="00C73D06" w:rsidRDefault="00BE48EE" w:rsidP="00BE48EE">
      <w:pPr>
        <w:rPr>
          <w:szCs w:val="22"/>
        </w:rPr>
      </w:pPr>
      <w:r w:rsidRPr="002119FE">
        <w:rPr>
          <w:color w:val="000000"/>
          <w:szCs w:val="22"/>
        </w:rPr>
        <w:t>The AASW has a credentialing program where social workers can apply to be accredited in child protection, clinical social work, disability, family violence or mental health.</w:t>
      </w:r>
      <w:r w:rsidRPr="002119FE">
        <w:rPr>
          <w:rStyle w:val="FootnoteReference"/>
          <w:color w:val="000000"/>
          <w:szCs w:val="22"/>
        </w:rPr>
        <w:footnoteReference w:id="51"/>
      </w:r>
      <w:r w:rsidRPr="002119FE">
        <w:rPr>
          <w:color w:val="000000"/>
          <w:szCs w:val="22"/>
        </w:rPr>
        <w:t xml:space="preserve"> To be eligible</w:t>
      </w:r>
      <w:r w:rsidRPr="00C73D06">
        <w:rPr>
          <w:color w:val="000000"/>
          <w:szCs w:val="22"/>
        </w:rPr>
        <w:t xml:space="preserve">, the social worker must have </w:t>
      </w:r>
      <w:r w:rsidRPr="00C73D06">
        <w:rPr>
          <w:szCs w:val="22"/>
        </w:rPr>
        <w:t xml:space="preserve">two years of post-qualifying, full-time equivalent, supervised and specific practice experience in the past five years. Of the 30 hours of </w:t>
      </w:r>
      <w:r>
        <w:rPr>
          <w:szCs w:val="22"/>
        </w:rPr>
        <w:t>CPD</w:t>
      </w:r>
      <w:r w:rsidRPr="00C73D06">
        <w:rPr>
          <w:szCs w:val="22"/>
        </w:rPr>
        <w:t xml:space="preserve"> required for accredited social workers, 20 hours must be linked to their area of accreditation.</w:t>
      </w:r>
      <w:r w:rsidRPr="00C73D06">
        <w:rPr>
          <w:rStyle w:val="FootnoteReference"/>
          <w:szCs w:val="22"/>
        </w:rPr>
        <w:footnoteReference w:id="52"/>
      </w:r>
      <w:r w:rsidRPr="00C73D06">
        <w:rPr>
          <w:szCs w:val="22"/>
        </w:rPr>
        <w:t xml:space="preserve"> </w:t>
      </w:r>
    </w:p>
    <w:p w14:paraId="02211500" w14:textId="77777777" w:rsidR="00BE48EE" w:rsidRPr="00C73D06" w:rsidRDefault="00BE48EE" w:rsidP="00BE48EE">
      <w:r w:rsidRPr="00C73D06">
        <w:t xml:space="preserve">None of these endorsed </w:t>
      </w:r>
      <w:r>
        <w:t>areas of practice, subspecialties,</w:t>
      </w:r>
      <w:r w:rsidRPr="00C73D06">
        <w:t xml:space="preserve"> or credentials are specific to family report writing. However, some include skills relevant to family report writing, such as the family violence credential for social workers, a</w:t>
      </w:r>
      <w:r>
        <w:t>nd the child and adolescent sub</w:t>
      </w:r>
      <w:r w:rsidRPr="00C73D06">
        <w:t>special</w:t>
      </w:r>
      <w:r>
        <w:t>ty</w:t>
      </w:r>
      <w:r w:rsidRPr="00C73D06">
        <w:t xml:space="preserve"> for psychiatrists. </w:t>
      </w:r>
    </w:p>
    <w:p w14:paraId="4A2F64F6" w14:textId="77777777" w:rsidR="00BE48EE" w:rsidRPr="00C73D06" w:rsidRDefault="00BE48EE" w:rsidP="00BE48EE">
      <w:pPr>
        <w:pStyle w:val="Heading4"/>
      </w:pPr>
      <w:r w:rsidRPr="00C73D06">
        <w:t>Family report writers</w:t>
      </w:r>
    </w:p>
    <w:p w14:paraId="1741018C" w14:textId="77777777" w:rsidR="00BE48EE" w:rsidRPr="00C73D06" w:rsidRDefault="00BE48EE" w:rsidP="00BE48EE">
      <w:pPr>
        <w:spacing w:after="0"/>
        <w:rPr>
          <w:szCs w:val="22"/>
        </w:rPr>
      </w:pPr>
      <w:r w:rsidRPr="00C73D06">
        <w:rPr>
          <w:szCs w:val="22"/>
        </w:rPr>
        <w:t>There are no legislative or regulatory requirements specifying the qualifications or accreditation requirements of family report writers. The Standards provide that family report writers and assessors should:</w:t>
      </w:r>
    </w:p>
    <w:p w14:paraId="33E5099D" w14:textId="77777777" w:rsidR="00BE48EE" w:rsidRPr="00C73D06" w:rsidRDefault="00BE48EE" w:rsidP="00BE48EE">
      <w:pPr>
        <w:pStyle w:val="ListParagraph"/>
        <w:numPr>
          <w:ilvl w:val="0"/>
          <w:numId w:val="19"/>
        </w:numPr>
        <w:rPr>
          <w:szCs w:val="22"/>
        </w:rPr>
      </w:pPr>
      <w:r>
        <w:rPr>
          <w:szCs w:val="22"/>
        </w:rPr>
        <w:t>G</w:t>
      </w:r>
      <w:r w:rsidRPr="00C73D06">
        <w:rPr>
          <w:szCs w:val="22"/>
        </w:rPr>
        <w:t>enerally, either be</w:t>
      </w:r>
      <w:r w:rsidRPr="00C73D06">
        <w:rPr>
          <w:rFonts w:eastAsia="Times New Roman" w:cstheme="minorHAnsi"/>
          <w:color w:val="000000"/>
          <w:szCs w:val="22"/>
        </w:rPr>
        <w:t xml:space="preserve"> eligible for membership or a member of the AASW, or be registere</w:t>
      </w:r>
      <w:r>
        <w:rPr>
          <w:rFonts w:eastAsia="Times New Roman" w:cstheme="minorHAnsi"/>
          <w:color w:val="000000"/>
          <w:szCs w:val="22"/>
        </w:rPr>
        <w:t>d as a psychologist with Ahpra.</w:t>
      </w:r>
    </w:p>
    <w:p w14:paraId="74AE96E3" w14:textId="77777777" w:rsidR="00BE48EE" w:rsidRPr="00C73D06" w:rsidRDefault="00BE48EE" w:rsidP="00BE48EE">
      <w:pPr>
        <w:pStyle w:val="ListParagraph"/>
        <w:numPr>
          <w:ilvl w:val="0"/>
          <w:numId w:val="19"/>
        </w:numPr>
        <w:rPr>
          <w:szCs w:val="22"/>
        </w:rPr>
      </w:pPr>
      <w:r>
        <w:rPr>
          <w:rFonts w:eastAsia="Times New Roman" w:cstheme="minorHAnsi"/>
          <w:color w:val="000000"/>
          <w:szCs w:val="22"/>
        </w:rPr>
        <w:t>M</w:t>
      </w:r>
      <w:r w:rsidRPr="00C73D06">
        <w:rPr>
          <w:rFonts w:eastAsia="Times New Roman" w:cstheme="minorHAnsi"/>
          <w:color w:val="000000"/>
          <w:szCs w:val="22"/>
        </w:rPr>
        <w:t xml:space="preserve">eet the </w:t>
      </w:r>
      <w:r>
        <w:rPr>
          <w:rFonts w:eastAsia="Times New Roman" w:cstheme="minorHAnsi"/>
          <w:color w:val="000000"/>
          <w:szCs w:val="22"/>
        </w:rPr>
        <w:t>CPD</w:t>
      </w:r>
      <w:r w:rsidRPr="00C73D06">
        <w:rPr>
          <w:rFonts w:eastAsia="Times New Roman" w:cstheme="minorHAnsi"/>
          <w:color w:val="000000"/>
          <w:szCs w:val="22"/>
        </w:rPr>
        <w:t xml:space="preserve"> recommendations of these bodies</w:t>
      </w:r>
      <w:r>
        <w:rPr>
          <w:rFonts w:eastAsia="Times New Roman" w:cstheme="minorHAnsi"/>
          <w:color w:val="000000"/>
          <w:szCs w:val="22"/>
        </w:rPr>
        <w:t>.</w:t>
      </w:r>
      <w:r w:rsidRPr="00C73D06">
        <w:rPr>
          <w:rFonts w:eastAsia="Times New Roman" w:cstheme="minorHAnsi"/>
          <w:color w:val="000000"/>
          <w:szCs w:val="22"/>
        </w:rPr>
        <w:t xml:space="preserve"> </w:t>
      </w:r>
    </w:p>
    <w:p w14:paraId="68DF6DE9" w14:textId="77777777" w:rsidR="00BE48EE" w:rsidRPr="00C73D06" w:rsidRDefault="00BE48EE" w:rsidP="00BE48EE">
      <w:pPr>
        <w:pStyle w:val="ListParagraph"/>
        <w:numPr>
          <w:ilvl w:val="0"/>
          <w:numId w:val="19"/>
        </w:numPr>
        <w:rPr>
          <w:szCs w:val="22"/>
        </w:rPr>
      </w:pPr>
      <w:r>
        <w:rPr>
          <w:rFonts w:eastAsia="Times New Roman" w:cstheme="minorHAnsi"/>
          <w:color w:val="000000"/>
          <w:szCs w:val="22"/>
        </w:rPr>
        <w:t>H</w:t>
      </w:r>
      <w:r w:rsidRPr="00C73D06">
        <w:rPr>
          <w:rFonts w:eastAsia="Times New Roman" w:cstheme="minorHAnsi"/>
          <w:color w:val="000000"/>
          <w:szCs w:val="22"/>
        </w:rPr>
        <w:t>ave professional clinical experience working with children and families.</w:t>
      </w:r>
      <w:r w:rsidRPr="00C73D06">
        <w:rPr>
          <w:rStyle w:val="FootnoteReference"/>
          <w:rFonts w:eastAsia="Times New Roman" w:cstheme="minorHAnsi"/>
          <w:color w:val="000000"/>
          <w:szCs w:val="22"/>
        </w:rPr>
        <w:footnoteReference w:id="53"/>
      </w:r>
      <w:r w:rsidRPr="00C73D06">
        <w:rPr>
          <w:szCs w:val="22"/>
        </w:rPr>
        <w:t xml:space="preserve"> </w:t>
      </w:r>
    </w:p>
    <w:p w14:paraId="5E886FC4" w14:textId="77777777" w:rsidR="00BE48EE" w:rsidRPr="00C73D06" w:rsidRDefault="00BE48EE" w:rsidP="00BE48EE">
      <w:pPr>
        <w:spacing w:after="0"/>
        <w:rPr>
          <w:rFonts w:ascii="Calibri" w:hAnsi="Calibri" w:cs="Calibri"/>
          <w:color w:val="000000"/>
          <w:szCs w:val="22"/>
          <w:lang w:val="en-GB"/>
        </w:rPr>
      </w:pPr>
      <w:r w:rsidRPr="00C73D06">
        <w:rPr>
          <w:szCs w:val="22"/>
        </w:rPr>
        <w:t xml:space="preserve">Consistent with the Standards, as a condition of employment/appointment </w:t>
      </w:r>
      <w:r>
        <w:rPr>
          <w:szCs w:val="22"/>
        </w:rPr>
        <w:t>CCS</w:t>
      </w:r>
      <w:r w:rsidRPr="00C73D06">
        <w:rPr>
          <w:szCs w:val="22"/>
        </w:rPr>
        <w:t xml:space="preserve"> requires in-house and regulation 7 family consultants in the Federal Circuit</w:t>
      </w:r>
      <w:r>
        <w:rPr>
          <w:szCs w:val="22"/>
        </w:rPr>
        <w:t xml:space="preserve"> and</w:t>
      </w:r>
      <w:r w:rsidRPr="00C73D06">
        <w:rPr>
          <w:szCs w:val="22"/>
        </w:rPr>
        <w:t xml:space="preserve"> Family Court of Australia to</w:t>
      </w:r>
      <w:r w:rsidRPr="00C73D06">
        <w:rPr>
          <w:rFonts w:ascii="Calibri" w:hAnsi="Calibri" w:cs="Calibri"/>
          <w:color w:val="000000"/>
          <w:szCs w:val="22"/>
          <w:lang w:val="en-GB"/>
        </w:rPr>
        <w:t>:</w:t>
      </w:r>
    </w:p>
    <w:p w14:paraId="3334902A" w14:textId="77777777" w:rsidR="00BE48EE" w:rsidRPr="00C73D06" w:rsidRDefault="00BE48EE" w:rsidP="00BE48EE">
      <w:pPr>
        <w:pStyle w:val="ListParagraph"/>
        <w:numPr>
          <w:ilvl w:val="0"/>
          <w:numId w:val="24"/>
        </w:numPr>
        <w:rPr>
          <w:rFonts w:ascii="Calibri" w:hAnsi="Calibri" w:cs="Calibri"/>
          <w:color w:val="000000"/>
          <w:szCs w:val="22"/>
          <w:lang w:val="en-GB"/>
        </w:rPr>
      </w:pPr>
      <w:r>
        <w:rPr>
          <w:rFonts w:ascii="Calibri" w:hAnsi="Calibri" w:cs="Calibri"/>
          <w:color w:val="000000"/>
          <w:szCs w:val="22"/>
          <w:lang w:val="en-GB"/>
        </w:rPr>
        <w:lastRenderedPageBreak/>
        <w:t>M</w:t>
      </w:r>
      <w:r w:rsidRPr="00C73D06">
        <w:rPr>
          <w:rFonts w:ascii="Calibri" w:hAnsi="Calibri" w:cs="Calibri"/>
          <w:color w:val="000000"/>
          <w:szCs w:val="22"/>
          <w:lang w:val="en-GB"/>
        </w:rPr>
        <w:t xml:space="preserve">aintain their registration with </w:t>
      </w:r>
      <w:r>
        <w:rPr>
          <w:rFonts w:ascii="Calibri" w:hAnsi="Calibri" w:cs="Calibri"/>
          <w:color w:val="000000"/>
          <w:szCs w:val="22"/>
          <w:lang w:val="en-GB"/>
        </w:rPr>
        <w:t>Ahpra</w:t>
      </w:r>
      <w:r w:rsidRPr="00C73D06">
        <w:rPr>
          <w:rFonts w:ascii="Calibri" w:hAnsi="Calibri" w:cs="Calibri"/>
          <w:color w:val="000000"/>
          <w:szCs w:val="22"/>
          <w:lang w:val="en-GB"/>
        </w:rPr>
        <w:t xml:space="preserve"> or be eligible for membership with the AASW</w:t>
      </w:r>
      <w:r>
        <w:rPr>
          <w:rFonts w:ascii="Calibri" w:hAnsi="Calibri" w:cs="Calibri"/>
          <w:color w:val="000000"/>
          <w:szCs w:val="22"/>
          <w:lang w:val="en-GB"/>
        </w:rPr>
        <w:t>.</w:t>
      </w:r>
      <w:r w:rsidRPr="00C73D06">
        <w:rPr>
          <w:rFonts w:ascii="Calibri" w:hAnsi="Calibri" w:cs="Calibri"/>
          <w:color w:val="000000"/>
          <w:szCs w:val="22"/>
          <w:lang w:val="en-GB"/>
        </w:rPr>
        <w:t xml:space="preserve"> </w:t>
      </w:r>
    </w:p>
    <w:p w14:paraId="028B6C8F" w14:textId="77777777" w:rsidR="00BE48EE" w:rsidRPr="00C73D06" w:rsidRDefault="00BE48EE" w:rsidP="00BE48EE">
      <w:pPr>
        <w:pStyle w:val="ListParagraph"/>
        <w:numPr>
          <w:ilvl w:val="0"/>
          <w:numId w:val="24"/>
        </w:numPr>
        <w:rPr>
          <w:szCs w:val="22"/>
        </w:rPr>
      </w:pPr>
      <w:r>
        <w:rPr>
          <w:rFonts w:ascii="Calibri" w:hAnsi="Calibri" w:cs="Calibri"/>
          <w:color w:val="000000"/>
          <w:szCs w:val="22"/>
          <w:lang w:val="en-GB"/>
        </w:rPr>
        <w:t>U</w:t>
      </w:r>
      <w:r w:rsidRPr="00C73D06">
        <w:rPr>
          <w:rFonts w:ascii="Calibri" w:hAnsi="Calibri" w:cs="Calibri"/>
          <w:color w:val="000000"/>
          <w:szCs w:val="22"/>
          <w:lang w:val="en-GB"/>
        </w:rPr>
        <w:t xml:space="preserve">ndertake a minimum of 30 hours per year of professional development that is directly relevant to their role as a family consultant. As 30 hours </w:t>
      </w:r>
      <w:r>
        <w:rPr>
          <w:rFonts w:ascii="Calibri" w:hAnsi="Calibri" w:cs="Calibri"/>
          <w:color w:val="000000"/>
          <w:szCs w:val="22"/>
          <w:lang w:val="en-GB"/>
        </w:rPr>
        <w:t>per year of</w:t>
      </w:r>
      <w:r w:rsidRPr="00C73D06">
        <w:rPr>
          <w:rFonts w:ascii="Calibri" w:hAnsi="Calibri" w:cs="Calibri"/>
          <w:color w:val="000000"/>
          <w:szCs w:val="22"/>
          <w:lang w:val="en-GB"/>
        </w:rPr>
        <w:t xml:space="preserve"> CPD</w:t>
      </w:r>
      <w:r>
        <w:rPr>
          <w:rFonts w:ascii="Calibri" w:hAnsi="Calibri" w:cs="Calibri"/>
          <w:color w:val="000000"/>
          <w:szCs w:val="22"/>
          <w:lang w:val="en-GB"/>
        </w:rPr>
        <w:t xml:space="preserve"> is</w:t>
      </w:r>
      <w:r w:rsidRPr="00C73D06">
        <w:rPr>
          <w:rFonts w:ascii="Calibri" w:hAnsi="Calibri" w:cs="Calibri"/>
          <w:color w:val="000000"/>
          <w:szCs w:val="22"/>
          <w:lang w:val="en-GB"/>
        </w:rPr>
        <w:t xml:space="preserve"> require</w:t>
      </w:r>
      <w:r>
        <w:rPr>
          <w:rFonts w:ascii="Calibri" w:hAnsi="Calibri" w:cs="Calibri"/>
          <w:color w:val="000000"/>
          <w:szCs w:val="22"/>
          <w:lang w:val="en-GB"/>
        </w:rPr>
        <w:t>d</w:t>
      </w:r>
      <w:r w:rsidRPr="00C73D06">
        <w:rPr>
          <w:rFonts w:ascii="Calibri" w:hAnsi="Calibri" w:cs="Calibri"/>
          <w:color w:val="000000"/>
          <w:szCs w:val="22"/>
          <w:lang w:val="en-GB"/>
        </w:rPr>
        <w:t xml:space="preserve"> for both psychologists and accredited social workers, all CPD undertaken by in-house family consultants is related to family report writing. </w:t>
      </w:r>
    </w:p>
    <w:p w14:paraId="39D0607F" w14:textId="77777777" w:rsidR="00BE48EE" w:rsidRDefault="00BE48EE" w:rsidP="00BE48EE">
      <w:pPr>
        <w:rPr>
          <w:szCs w:val="22"/>
        </w:rPr>
      </w:pPr>
      <w:r>
        <w:rPr>
          <w:szCs w:val="22"/>
        </w:rPr>
        <w:t>In-house and regulation 7 f</w:t>
      </w:r>
      <w:r w:rsidRPr="00C73D06">
        <w:rPr>
          <w:szCs w:val="22"/>
        </w:rPr>
        <w:t xml:space="preserve">amily consultants </w:t>
      </w:r>
      <w:r>
        <w:rPr>
          <w:szCs w:val="22"/>
        </w:rPr>
        <w:t xml:space="preserve">are required </w:t>
      </w:r>
      <w:r w:rsidRPr="00C73D06">
        <w:rPr>
          <w:szCs w:val="22"/>
        </w:rPr>
        <w:t xml:space="preserve">to advise </w:t>
      </w:r>
      <w:r>
        <w:rPr>
          <w:szCs w:val="22"/>
        </w:rPr>
        <w:t>CCS</w:t>
      </w:r>
      <w:r w:rsidRPr="00C73D06">
        <w:rPr>
          <w:szCs w:val="22"/>
        </w:rPr>
        <w:t xml:space="preserve"> if there is any change to their Ahpra registration or eligibility for AASW membership. </w:t>
      </w:r>
    </w:p>
    <w:p w14:paraId="0A12CAF9" w14:textId="77777777" w:rsidR="00BE48EE" w:rsidRPr="00C73D06" w:rsidRDefault="00BE48EE" w:rsidP="00BE48EE">
      <w:pPr>
        <w:rPr>
          <w:szCs w:val="22"/>
        </w:rPr>
      </w:pPr>
      <w:r w:rsidRPr="00C73D06">
        <w:rPr>
          <w:rFonts w:ascii="Calibri" w:hAnsi="Calibri" w:cs="Calibri"/>
          <w:color w:val="000000"/>
          <w:szCs w:val="22"/>
          <w:lang w:val="en-GB"/>
        </w:rPr>
        <w:t>In the Family Court of Western Australia, family consultants are required to be eligible for Ahpra registration or AASW membership.</w:t>
      </w:r>
    </w:p>
    <w:p w14:paraId="0E016CFB" w14:textId="77777777" w:rsidR="00BE48EE" w:rsidRPr="00C73D06" w:rsidRDefault="00BE48EE" w:rsidP="00BE48EE">
      <w:pPr>
        <w:rPr>
          <w:szCs w:val="22"/>
        </w:rPr>
      </w:pPr>
      <w:r w:rsidRPr="00C73D06">
        <w:rPr>
          <w:szCs w:val="22"/>
        </w:rPr>
        <w:t xml:space="preserve">Single expert witnesses </w:t>
      </w:r>
      <w:r>
        <w:rPr>
          <w:szCs w:val="22"/>
        </w:rPr>
        <w:t>are not subject to</w:t>
      </w:r>
      <w:r w:rsidRPr="00C73D06">
        <w:rPr>
          <w:szCs w:val="22"/>
        </w:rPr>
        <w:t xml:space="preserve"> equivalent oversight or enforcement of the Standards</w:t>
      </w:r>
      <w:r>
        <w:rPr>
          <w:szCs w:val="22"/>
        </w:rPr>
        <w:t>, nor the</w:t>
      </w:r>
      <w:r w:rsidRPr="00C73D06">
        <w:rPr>
          <w:szCs w:val="22"/>
        </w:rPr>
        <w:t xml:space="preserve"> related </w:t>
      </w:r>
      <w:r>
        <w:rPr>
          <w:szCs w:val="22"/>
        </w:rPr>
        <w:t>CPD</w:t>
      </w:r>
      <w:r w:rsidRPr="00C73D06">
        <w:rPr>
          <w:szCs w:val="22"/>
        </w:rPr>
        <w:t xml:space="preserve"> requirements for family report writing. </w:t>
      </w:r>
    </w:p>
    <w:p w14:paraId="67BE8756" w14:textId="77777777" w:rsidR="00BE48EE" w:rsidRPr="00C73D06" w:rsidRDefault="00BE48EE" w:rsidP="00BE48EE">
      <w:pPr>
        <w:keepNext/>
        <w:spacing w:after="0"/>
        <w:rPr>
          <w:b/>
          <w:szCs w:val="22"/>
        </w:rPr>
      </w:pPr>
      <w:r w:rsidRPr="00C73D06">
        <w:rPr>
          <w:b/>
          <w:szCs w:val="22"/>
        </w:rPr>
        <w:t xml:space="preserve">Table 2: Summary of annual CPD requirements based on professions for family report writers. </w:t>
      </w:r>
    </w:p>
    <w:tbl>
      <w:tblPr>
        <w:tblStyle w:val="TableGrid"/>
        <w:tblW w:w="10160" w:type="dxa"/>
        <w:tblLook w:val="04A0" w:firstRow="1" w:lastRow="0" w:firstColumn="1" w:lastColumn="0" w:noHBand="0" w:noVBand="1"/>
        <w:tblCaption w:val="Summary of annual CPD requirements based on professions for family report writers."/>
        <w:tblDescription w:val="Table showing the CPD requirements for psychiatrists, psychologists, accredited social workers and in-house family consultants. For each professional group, the table providse their annual CPD hours, how many hours of this must be supervision or peer review, how many hours must be raining and how many hours must be relative to their endorsed area of practice or credential. "/>
      </w:tblPr>
      <w:tblGrid>
        <w:gridCol w:w="1688"/>
        <w:gridCol w:w="1709"/>
        <w:gridCol w:w="1985"/>
        <w:gridCol w:w="1843"/>
        <w:gridCol w:w="2935"/>
      </w:tblGrid>
      <w:tr w:rsidR="00BE48EE" w:rsidRPr="00C73D06" w14:paraId="3E20E8BB" w14:textId="77777777" w:rsidTr="00BE48EE">
        <w:trPr>
          <w:trHeight w:val="342"/>
          <w:tblHeader/>
        </w:trPr>
        <w:tc>
          <w:tcPr>
            <w:tcW w:w="1688" w:type="dxa"/>
            <w:shd w:val="clear" w:color="auto" w:fill="4D738A"/>
            <w:vAlign w:val="center"/>
          </w:tcPr>
          <w:p w14:paraId="135AEA40" w14:textId="77777777" w:rsidR="00BE48EE" w:rsidRPr="002C460E" w:rsidRDefault="00BE48EE" w:rsidP="00BE48EE">
            <w:pPr>
              <w:jc w:val="center"/>
              <w:rPr>
                <w:b/>
                <w:color w:val="FFFFFF" w:themeColor="background1"/>
              </w:rPr>
            </w:pPr>
            <w:r w:rsidRPr="00C73D06">
              <w:rPr>
                <w:b/>
                <w:color w:val="FFFFFF" w:themeColor="background1"/>
              </w:rPr>
              <w:t>Professionals</w:t>
            </w:r>
          </w:p>
        </w:tc>
        <w:tc>
          <w:tcPr>
            <w:tcW w:w="1709" w:type="dxa"/>
            <w:shd w:val="clear" w:color="auto" w:fill="4D738A"/>
          </w:tcPr>
          <w:p w14:paraId="21D96455" w14:textId="77777777" w:rsidR="00BE48EE" w:rsidRPr="002C460E" w:rsidRDefault="00BE48EE" w:rsidP="00BE48EE">
            <w:pPr>
              <w:jc w:val="center"/>
              <w:rPr>
                <w:b/>
                <w:color w:val="FFFFFF" w:themeColor="background1"/>
              </w:rPr>
            </w:pPr>
            <w:r w:rsidRPr="00C73D06">
              <w:rPr>
                <w:b/>
                <w:color w:val="FFFFFF" w:themeColor="background1"/>
              </w:rPr>
              <w:t>Annual CPD hours</w:t>
            </w:r>
          </w:p>
        </w:tc>
        <w:tc>
          <w:tcPr>
            <w:tcW w:w="1985" w:type="dxa"/>
            <w:shd w:val="clear" w:color="auto" w:fill="4D738A"/>
          </w:tcPr>
          <w:p w14:paraId="2BEAC482" w14:textId="77777777" w:rsidR="00BE48EE" w:rsidRPr="002C460E" w:rsidRDefault="00BE48EE" w:rsidP="00BE48EE">
            <w:pPr>
              <w:jc w:val="center"/>
              <w:rPr>
                <w:b/>
                <w:color w:val="FFFFFF" w:themeColor="background1"/>
              </w:rPr>
            </w:pPr>
            <w:r w:rsidRPr="002C460E">
              <w:rPr>
                <w:b/>
                <w:color w:val="FFFFFF" w:themeColor="background1"/>
              </w:rPr>
              <w:t>CPD comprised of supervision/peer review</w:t>
            </w:r>
          </w:p>
        </w:tc>
        <w:tc>
          <w:tcPr>
            <w:tcW w:w="1843" w:type="dxa"/>
            <w:shd w:val="clear" w:color="auto" w:fill="4D738A"/>
          </w:tcPr>
          <w:p w14:paraId="68816878" w14:textId="77777777" w:rsidR="00BE48EE" w:rsidRPr="002C460E" w:rsidRDefault="00BE48EE" w:rsidP="00BE48EE">
            <w:pPr>
              <w:jc w:val="center"/>
              <w:rPr>
                <w:b/>
                <w:color w:val="FFFFFF" w:themeColor="background1"/>
              </w:rPr>
            </w:pPr>
            <w:r w:rsidRPr="002C460E">
              <w:rPr>
                <w:b/>
                <w:color w:val="FFFFFF" w:themeColor="background1"/>
              </w:rPr>
              <w:t>CPD comprised of training/</w:t>
            </w:r>
          </w:p>
          <w:p w14:paraId="4791BB1B" w14:textId="77777777" w:rsidR="00BE48EE" w:rsidRPr="002C460E" w:rsidRDefault="00BE48EE" w:rsidP="00BE48EE">
            <w:pPr>
              <w:jc w:val="center"/>
              <w:rPr>
                <w:b/>
                <w:color w:val="FFFFFF" w:themeColor="background1"/>
              </w:rPr>
            </w:pPr>
            <w:r w:rsidRPr="002C460E">
              <w:rPr>
                <w:b/>
                <w:color w:val="FFFFFF" w:themeColor="background1"/>
              </w:rPr>
              <w:t>activities</w:t>
            </w:r>
          </w:p>
        </w:tc>
        <w:tc>
          <w:tcPr>
            <w:tcW w:w="2935" w:type="dxa"/>
            <w:shd w:val="clear" w:color="auto" w:fill="4D738A"/>
          </w:tcPr>
          <w:p w14:paraId="3CC3C9C9" w14:textId="77777777" w:rsidR="00BE48EE" w:rsidRPr="00C73D06" w:rsidRDefault="00BE48EE" w:rsidP="00BE48EE">
            <w:pPr>
              <w:jc w:val="center"/>
              <w:rPr>
                <w:color w:val="FFFFFF" w:themeColor="background1"/>
              </w:rPr>
            </w:pPr>
            <w:r w:rsidRPr="00AE1415">
              <w:rPr>
                <w:b/>
                <w:color w:val="FFFFFF" w:themeColor="background1"/>
              </w:rPr>
              <w:t xml:space="preserve">Relative to </w:t>
            </w:r>
            <w:r>
              <w:rPr>
                <w:b/>
                <w:color w:val="FFFFFF" w:themeColor="background1"/>
              </w:rPr>
              <w:t>sub</w:t>
            </w:r>
            <w:r w:rsidRPr="00AE1415">
              <w:rPr>
                <w:b/>
                <w:color w:val="FFFFFF" w:themeColor="background1"/>
              </w:rPr>
              <w:t>specialty, endorsed area of practice or credential</w:t>
            </w:r>
          </w:p>
        </w:tc>
      </w:tr>
      <w:tr w:rsidR="00BE48EE" w:rsidRPr="00C73D06" w14:paraId="29BEE72D" w14:textId="77777777" w:rsidTr="00BE48EE">
        <w:trPr>
          <w:trHeight w:val="192"/>
        </w:trPr>
        <w:tc>
          <w:tcPr>
            <w:tcW w:w="1688" w:type="dxa"/>
            <w:shd w:val="clear" w:color="auto" w:fill="AEC4D2"/>
          </w:tcPr>
          <w:p w14:paraId="0F8D1711" w14:textId="77777777" w:rsidR="00BE48EE" w:rsidRPr="00C73D06" w:rsidRDefault="00BE48EE" w:rsidP="00BE48EE">
            <w:pPr>
              <w:rPr>
                <w:b/>
              </w:rPr>
            </w:pPr>
            <w:r w:rsidRPr="00C73D06">
              <w:rPr>
                <w:b/>
              </w:rPr>
              <w:t>Psychiatrists</w:t>
            </w:r>
            <w:r w:rsidRPr="00C73D06">
              <w:rPr>
                <w:rStyle w:val="FootnoteReference"/>
                <w:b/>
              </w:rPr>
              <w:footnoteReference w:id="54"/>
            </w:r>
          </w:p>
        </w:tc>
        <w:tc>
          <w:tcPr>
            <w:tcW w:w="1709" w:type="dxa"/>
            <w:shd w:val="clear" w:color="auto" w:fill="AEC4D2"/>
          </w:tcPr>
          <w:p w14:paraId="32BAA571" w14:textId="77777777" w:rsidR="00BE48EE" w:rsidRPr="00C73D06" w:rsidRDefault="00BE48EE" w:rsidP="00BE48EE">
            <w:pPr>
              <w:jc w:val="left"/>
            </w:pPr>
            <w:r w:rsidRPr="00C73D06">
              <w:t xml:space="preserve">50 hours </w:t>
            </w:r>
          </w:p>
        </w:tc>
        <w:tc>
          <w:tcPr>
            <w:tcW w:w="1985" w:type="dxa"/>
            <w:shd w:val="clear" w:color="auto" w:fill="AEC4D2"/>
          </w:tcPr>
          <w:p w14:paraId="3D69B7B8" w14:textId="77777777" w:rsidR="00BE48EE" w:rsidRPr="00C73D06" w:rsidRDefault="00BE48EE" w:rsidP="00BE48EE">
            <w:pPr>
              <w:jc w:val="left"/>
            </w:pPr>
            <w:r w:rsidRPr="00C73D06">
              <w:t>10 hours formal peer review or supervision</w:t>
            </w:r>
          </w:p>
        </w:tc>
        <w:tc>
          <w:tcPr>
            <w:tcW w:w="1843" w:type="dxa"/>
            <w:shd w:val="clear" w:color="auto" w:fill="AEC4D2"/>
          </w:tcPr>
          <w:p w14:paraId="1BB9D541" w14:textId="77777777" w:rsidR="00BE48EE" w:rsidRPr="00C73D06" w:rsidRDefault="00BE48EE" w:rsidP="00BE48EE">
            <w:pPr>
              <w:jc w:val="left"/>
            </w:pPr>
            <w:r w:rsidRPr="00C73D06">
              <w:t>25 hours of self-guided learning</w:t>
            </w:r>
          </w:p>
        </w:tc>
        <w:tc>
          <w:tcPr>
            <w:tcW w:w="2935" w:type="dxa"/>
            <w:shd w:val="clear" w:color="auto" w:fill="AEC4D2"/>
          </w:tcPr>
          <w:p w14:paraId="4336D60F" w14:textId="77777777" w:rsidR="00BE48EE" w:rsidRPr="00C73D06" w:rsidRDefault="00BE48EE" w:rsidP="00BE48EE">
            <w:r w:rsidRPr="00C73D06">
              <w:t>No formal requirement but peer review groups often focus on a specific scope of practice.</w:t>
            </w:r>
          </w:p>
        </w:tc>
      </w:tr>
      <w:tr w:rsidR="00BE48EE" w:rsidRPr="00C73D06" w14:paraId="0CEBBAE3" w14:textId="77777777" w:rsidTr="00BE48EE">
        <w:trPr>
          <w:trHeight w:val="613"/>
        </w:trPr>
        <w:tc>
          <w:tcPr>
            <w:tcW w:w="1688" w:type="dxa"/>
            <w:shd w:val="clear" w:color="auto" w:fill="D5E0E7"/>
          </w:tcPr>
          <w:p w14:paraId="1BB76824" w14:textId="77777777" w:rsidR="00BE48EE" w:rsidRPr="00C73D06" w:rsidRDefault="00BE48EE" w:rsidP="00BE48EE">
            <w:pPr>
              <w:rPr>
                <w:b/>
              </w:rPr>
            </w:pPr>
            <w:r w:rsidRPr="00C73D06">
              <w:rPr>
                <w:b/>
              </w:rPr>
              <w:t>Psychologists</w:t>
            </w:r>
            <w:r w:rsidRPr="00C73D06">
              <w:rPr>
                <w:rStyle w:val="FootnoteReference"/>
                <w:b/>
              </w:rPr>
              <w:footnoteReference w:id="55"/>
            </w:r>
            <w:r w:rsidRPr="00C73D06">
              <w:rPr>
                <w:b/>
              </w:rPr>
              <w:t>*</w:t>
            </w:r>
          </w:p>
        </w:tc>
        <w:tc>
          <w:tcPr>
            <w:tcW w:w="1709" w:type="dxa"/>
            <w:shd w:val="clear" w:color="auto" w:fill="D5E0E7"/>
          </w:tcPr>
          <w:p w14:paraId="6622E8CB" w14:textId="77777777" w:rsidR="00BE48EE" w:rsidRPr="00C73D06" w:rsidRDefault="00BE48EE" w:rsidP="00BE48EE">
            <w:pPr>
              <w:jc w:val="left"/>
            </w:pPr>
            <w:r w:rsidRPr="00C73D06">
              <w:t xml:space="preserve">30 hours </w:t>
            </w:r>
          </w:p>
        </w:tc>
        <w:tc>
          <w:tcPr>
            <w:tcW w:w="1985" w:type="dxa"/>
            <w:shd w:val="clear" w:color="auto" w:fill="D5E0E7"/>
          </w:tcPr>
          <w:p w14:paraId="6449AB08" w14:textId="77777777" w:rsidR="00BE48EE" w:rsidRPr="00C73D06" w:rsidRDefault="00BE48EE" w:rsidP="00BE48EE">
            <w:pPr>
              <w:jc w:val="left"/>
            </w:pPr>
            <w:r w:rsidRPr="00C73D06">
              <w:t>10 hours peer consultation</w:t>
            </w:r>
          </w:p>
        </w:tc>
        <w:tc>
          <w:tcPr>
            <w:tcW w:w="1843" w:type="dxa"/>
            <w:shd w:val="clear" w:color="auto" w:fill="D5E0E7"/>
          </w:tcPr>
          <w:p w14:paraId="79333256" w14:textId="77777777" w:rsidR="00BE48EE" w:rsidRPr="00C73D06" w:rsidRDefault="00BE48EE" w:rsidP="00BE48EE">
            <w:pPr>
              <w:jc w:val="left"/>
            </w:pPr>
            <w:r w:rsidRPr="00C73D06">
              <w:t xml:space="preserve">20 hours </w:t>
            </w:r>
            <w:r>
              <w:t>activities</w:t>
            </w:r>
          </w:p>
        </w:tc>
        <w:tc>
          <w:tcPr>
            <w:tcW w:w="2935" w:type="dxa"/>
            <w:shd w:val="clear" w:color="auto" w:fill="D5E0E7"/>
          </w:tcPr>
          <w:p w14:paraId="3C1F04AE" w14:textId="77777777" w:rsidR="00BE48EE" w:rsidRPr="00C73D06" w:rsidRDefault="00BE48EE" w:rsidP="00BE48EE">
            <w:r w:rsidRPr="00C73D06">
              <w:t>1 endorse</w:t>
            </w:r>
            <w:r>
              <w:t>d</w:t>
            </w:r>
            <w:r w:rsidRPr="00C73D06">
              <w:t xml:space="preserve"> area – 16hrs </w:t>
            </w:r>
          </w:p>
          <w:p w14:paraId="0D034F5F" w14:textId="77777777" w:rsidR="00BE48EE" w:rsidRPr="00C73D06" w:rsidRDefault="00BE48EE" w:rsidP="00BE48EE">
            <w:r>
              <w:t>2 endorsed</w:t>
            </w:r>
            <w:r w:rsidRPr="00C73D06">
              <w:t xml:space="preserve"> areas – 15hrs each </w:t>
            </w:r>
          </w:p>
          <w:p w14:paraId="53089FEA" w14:textId="77777777" w:rsidR="00BE48EE" w:rsidRPr="00C73D06" w:rsidRDefault="00BE48EE" w:rsidP="00BE48EE">
            <w:r>
              <w:t>3 endorsed</w:t>
            </w:r>
            <w:r w:rsidRPr="00C73D06">
              <w:t xml:space="preserve"> areas – 10hrs each</w:t>
            </w:r>
          </w:p>
        </w:tc>
      </w:tr>
      <w:tr w:rsidR="00BE48EE" w:rsidRPr="00C73D06" w14:paraId="51EEED50" w14:textId="77777777" w:rsidTr="00BE48EE">
        <w:trPr>
          <w:trHeight w:val="192"/>
        </w:trPr>
        <w:tc>
          <w:tcPr>
            <w:tcW w:w="1688" w:type="dxa"/>
            <w:tcBorders>
              <w:bottom w:val="single" w:sz="4" w:space="0" w:color="auto"/>
            </w:tcBorders>
            <w:shd w:val="clear" w:color="auto" w:fill="AEC4D2"/>
          </w:tcPr>
          <w:p w14:paraId="4A6D5900" w14:textId="77777777" w:rsidR="00BE48EE" w:rsidRPr="00C73D06" w:rsidRDefault="00BE48EE" w:rsidP="00BE48EE">
            <w:pPr>
              <w:rPr>
                <w:b/>
              </w:rPr>
            </w:pPr>
            <w:r w:rsidRPr="00C73D06">
              <w:rPr>
                <w:b/>
              </w:rPr>
              <w:t>Social workers (accredited)</w:t>
            </w:r>
            <w:r w:rsidRPr="00C73D06">
              <w:rPr>
                <w:rStyle w:val="FootnoteReference"/>
                <w:b/>
              </w:rPr>
              <w:footnoteReference w:id="56"/>
            </w:r>
            <w:r w:rsidRPr="00C73D06">
              <w:rPr>
                <w:b/>
              </w:rPr>
              <w:t>*</w:t>
            </w:r>
          </w:p>
        </w:tc>
        <w:tc>
          <w:tcPr>
            <w:tcW w:w="1709" w:type="dxa"/>
            <w:tcBorders>
              <w:bottom w:val="single" w:sz="4" w:space="0" w:color="auto"/>
            </w:tcBorders>
            <w:shd w:val="clear" w:color="auto" w:fill="AEC4D2"/>
          </w:tcPr>
          <w:p w14:paraId="5FFC3A3A" w14:textId="77777777" w:rsidR="00BE48EE" w:rsidRPr="00C73D06" w:rsidRDefault="00BE48EE" w:rsidP="00BE48EE">
            <w:pPr>
              <w:jc w:val="left"/>
            </w:pPr>
            <w:r w:rsidRPr="00C73D06">
              <w:t xml:space="preserve">30 hours </w:t>
            </w:r>
          </w:p>
        </w:tc>
        <w:tc>
          <w:tcPr>
            <w:tcW w:w="1985" w:type="dxa"/>
            <w:tcBorders>
              <w:bottom w:val="single" w:sz="4" w:space="0" w:color="auto"/>
            </w:tcBorders>
            <w:shd w:val="clear" w:color="auto" w:fill="AEC4D2"/>
          </w:tcPr>
          <w:p w14:paraId="6A52AC1E" w14:textId="77777777" w:rsidR="00BE48EE" w:rsidRPr="00C73D06" w:rsidRDefault="00BE48EE" w:rsidP="00BE48EE">
            <w:pPr>
              <w:jc w:val="left"/>
            </w:pPr>
            <w:r w:rsidRPr="00C73D06">
              <w:t>10 hours supervision</w:t>
            </w:r>
          </w:p>
        </w:tc>
        <w:tc>
          <w:tcPr>
            <w:tcW w:w="1843" w:type="dxa"/>
            <w:tcBorders>
              <w:bottom w:val="single" w:sz="4" w:space="0" w:color="auto"/>
            </w:tcBorders>
            <w:shd w:val="clear" w:color="auto" w:fill="AEC4D2"/>
          </w:tcPr>
          <w:p w14:paraId="00A1EE11" w14:textId="77777777" w:rsidR="00BE48EE" w:rsidRPr="00C73D06" w:rsidRDefault="00BE48EE" w:rsidP="00BE48EE">
            <w:pPr>
              <w:jc w:val="left"/>
            </w:pPr>
            <w:r w:rsidRPr="00C73D06">
              <w:t>15 hours</w:t>
            </w:r>
            <w:r>
              <w:t xml:space="preserve"> training </w:t>
            </w:r>
            <w:r w:rsidRPr="00C73D06">
              <w:t xml:space="preserve">(+5 </w:t>
            </w:r>
            <w:r>
              <w:t>hrs</w:t>
            </w:r>
            <w:r w:rsidRPr="00C73D06">
              <w:t xml:space="preserve"> professional contributions)</w:t>
            </w:r>
          </w:p>
        </w:tc>
        <w:tc>
          <w:tcPr>
            <w:tcW w:w="2935" w:type="dxa"/>
            <w:tcBorders>
              <w:bottom w:val="single" w:sz="4" w:space="0" w:color="auto"/>
            </w:tcBorders>
            <w:shd w:val="clear" w:color="auto" w:fill="AEC4D2"/>
          </w:tcPr>
          <w:p w14:paraId="5F36BC9E" w14:textId="77777777" w:rsidR="00BE48EE" w:rsidRPr="00C73D06" w:rsidRDefault="00BE48EE" w:rsidP="00BE48EE">
            <w:r w:rsidRPr="00C73D06">
              <w:t>20 hours must be linked to that field of practice e.g. family violence</w:t>
            </w:r>
          </w:p>
        </w:tc>
      </w:tr>
      <w:tr w:rsidR="00BE48EE" w:rsidRPr="00C73D06" w14:paraId="27CB6BA4" w14:textId="77777777" w:rsidTr="00BE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688" w:type="dxa"/>
            <w:tcBorders>
              <w:top w:val="single" w:sz="4" w:space="0" w:color="auto"/>
              <w:left w:val="single" w:sz="4" w:space="0" w:color="auto"/>
              <w:bottom w:val="single" w:sz="4" w:space="0" w:color="auto"/>
              <w:right w:val="single" w:sz="4" w:space="0" w:color="auto"/>
            </w:tcBorders>
            <w:shd w:val="clear" w:color="auto" w:fill="D5E0E7"/>
          </w:tcPr>
          <w:p w14:paraId="5612FB4A" w14:textId="77777777" w:rsidR="00BE48EE" w:rsidRPr="00C73D06" w:rsidRDefault="00BE48EE" w:rsidP="00BE48EE">
            <w:pPr>
              <w:rPr>
                <w:b/>
              </w:rPr>
            </w:pPr>
            <w:r w:rsidRPr="00C73D06">
              <w:rPr>
                <w:b/>
              </w:rPr>
              <w:t>In-house family consultants</w:t>
            </w:r>
          </w:p>
        </w:tc>
        <w:tc>
          <w:tcPr>
            <w:tcW w:w="1709" w:type="dxa"/>
            <w:tcBorders>
              <w:top w:val="single" w:sz="4" w:space="0" w:color="auto"/>
              <w:left w:val="single" w:sz="4" w:space="0" w:color="auto"/>
              <w:bottom w:val="single" w:sz="4" w:space="0" w:color="auto"/>
              <w:right w:val="single" w:sz="4" w:space="0" w:color="auto"/>
            </w:tcBorders>
            <w:shd w:val="clear" w:color="auto" w:fill="D5E0E7"/>
          </w:tcPr>
          <w:p w14:paraId="313F2EEF" w14:textId="77777777" w:rsidR="00BE48EE" w:rsidRPr="00C73D06" w:rsidRDefault="00BE48EE" w:rsidP="00BE48EE">
            <w:r w:rsidRPr="00C73D06">
              <w:t>30 hours (pro rata for part</w:t>
            </w:r>
            <w:r>
              <w:t>-</w:t>
            </w:r>
            <w:r w:rsidRPr="00C73D06">
              <w:t xml:space="preserve">time employees) </w:t>
            </w:r>
          </w:p>
        </w:tc>
        <w:tc>
          <w:tcPr>
            <w:tcW w:w="1985" w:type="dxa"/>
            <w:tcBorders>
              <w:top w:val="single" w:sz="4" w:space="0" w:color="auto"/>
              <w:left w:val="single" w:sz="4" w:space="0" w:color="auto"/>
              <w:bottom w:val="single" w:sz="4" w:space="0" w:color="auto"/>
              <w:right w:val="single" w:sz="4" w:space="0" w:color="auto"/>
            </w:tcBorders>
            <w:shd w:val="clear" w:color="auto" w:fill="D5E0E7"/>
          </w:tcPr>
          <w:p w14:paraId="5FF853A0" w14:textId="77777777" w:rsidR="00BE48EE" w:rsidRPr="00C73D06" w:rsidRDefault="00BE48EE" w:rsidP="00BE48EE">
            <w:pPr>
              <w:jc w:val="left"/>
            </w:pPr>
            <w:r w:rsidRPr="00C73D06">
              <w:t>10 hours supervision</w:t>
            </w:r>
            <w:r>
              <w:t xml:space="preserve"> (pro rata for part-time)</w:t>
            </w:r>
          </w:p>
        </w:tc>
        <w:tc>
          <w:tcPr>
            <w:tcW w:w="1843" w:type="dxa"/>
            <w:tcBorders>
              <w:top w:val="single" w:sz="4" w:space="0" w:color="auto"/>
              <w:left w:val="single" w:sz="4" w:space="0" w:color="auto"/>
              <w:bottom w:val="single" w:sz="4" w:space="0" w:color="auto"/>
              <w:right w:val="single" w:sz="4" w:space="0" w:color="auto"/>
            </w:tcBorders>
            <w:shd w:val="clear" w:color="auto" w:fill="D5E0E7"/>
          </w:tcPr>
          <w:p w14:paraId="54AD01EE" w14:textId="77777777" w:rsidR="00BE48EE" w:rsidRPr="00C73D06" w:rsidRDefault="00BE48EE" w:rsidP="00BE48EE"/>
        </w:tc>
        <w:tc>
          <w:tcPr>
            <w:tcW w:w="2935" w:type="dxa"/>
            <w:tcBorders>
              <w:top w:val="single" w:sz="4" w:space="0" w:color="auto"/>
              <w:left w:val="single" w:sz="4" w:space="0" w:color="auto"/>
              <w:bottom w:val="single" w:sz="4" w:space="0" w:color="auto"/>
              <w:right w:val="single" w:sz="4" w:space="0" w:color="auto"/>
            </w:tcBorders>
            <w:shd w:val="clear" w:color="auto" w:fill="D5E0E7"/>
          </w:tcPr>
          <w:p w14:paraId="0C2FFB61" w14:textId="77777777" w:rsidR="00BE48EE" w:rsidRPr="00C73D06" w:rsidRDefault="00BE48EE" w:rsidP="00BE48EE">
            <w:pPr>
              <w:ind w:firstLine="720"/>
            </w:pPr>
          </w:p>
        </w:tc>
      </w:tr>
    </w:tbl>
    <w:p w14:paraId="41ED3D48" w14:textId="77777777" w:rsidR="00BE48EE" w:rsidRPr="00C73D06" w:rsidRDefault="00BE48EE" w:rsidP="00BE48EE">
      <w:pPr>
        <w:rPr>
          <w:lang w:val="en-GB"/>
        </w:rPr>
      </w:pPr>
      <w:r w:rsidRPr="00C73D06">
        <w:rPr>
          <w:lang w:val="en-GB"/>
        </w:rPr>
        <w:t xml:space="preserve">* In-house family consultants must ensure that these are directly relevant to their role as family report writers. </w:t>
      </w:r>
    </w:p>
    <w:p w14:paraId="55DF9531" w14:textId="77777777" w:rsidR="004C5C6E" w:rsidRDefault="004C5C6E">
      <w:pPr>
        <w:spacing w:line="300" w:lineRule="auto"/>
        <w:jc w:val="left"/>
        <w:rPr>
          <w:b/>
          <w:color w:val="C87200"/>
          <w:sz w:val="28"/>
        </w:rPr>
      </w:pPr>
      <w:bookmarkStart w:id="31" w:name="_Toc73542611"/>
      <w:r>
        <w:rPr>
          <w:b/>
          <w:color w:val="C87200"/>
          <w:sz w:val="28"/>
        </w:rPr>
        <w:br w:type="page"/>
      </w:r>
    </w:p>
    <w:p w14:paraId="4554D0AB" w14:textId="5F9AEF6A" w:rsidR="00BE48EE" w:rsidRPr="00C73D06" w:rsidRDefault="00BE48EE" w:rsidP="00F65D4D">
      <w:pPr>
        <w:pBdr>
          <w:top w:val="single" w:sz="4" w:space="1" w:color="auto"/>
          <w:left w:val="single" w:sz="4" w:space="1" w:color="auto"/>
          <w:bottom w:val="single" w:sz="4" w:space="1" w:color="auto"/>
          <w:right w:val="single" w:sz="4" w:space="1" w:color="auto"/>
        </w:pBdr>
        <w:shd w:val="clear" w:color="auto" w:fill="ECF1F4"/>
        <w:spacing w:after="0"/>
        <w:rPr>
          <w:b/>
          <w:color w:val="C87200"/>
          <w:sz w:val="28"/>
        </w:rPr>
      </w:pPr>
      <w:r w:rsidRPr="00C73D06">
        <w:rPr>
          <w:b/>
          <w:color w:val="C87200"/>
          <w:sz w:val="28"/>
        </w:rPr>
        <w:lastRenderedPageBreak/>
        <w:t>Question 6: Professional registration and membership</w:t>
      </w:r>
      <w:bookmarkEnd w:id="31"/>
    </w:p>
    <w:p w14:paraId="61D5FDF8" w14:textId="77777777" w:rsidR="00BE48EE" w:rsidRPr="00C73D06" w:rsidRDefault="00BE48EE" w:rsidP="00F65D4D">
      <w:pPr>
        <w:pStyle w:val="Subtitle"/>
        <w:numPr>
          <w:ilvl w:val="0"/>
          <w:numId w:val="0"/>
        </w:numPr>
        <w:pBdr>
          <w:top w:val="single" w:sz="4" w:space="1" w:color="auto"/>
          <w:left w:val="single" w:sz="4" w:space="1" w:color="auto"/>
          <w:bottom w:val="single" w:sz="4" w:space="1" w:color="auto"/>
          <w:right w:val="single" w:sz="4" w:space="1" w:color="auto"/>
        </w:pBdr>
        <w:shd w:val="clear" w:color="auto" w:fill="ECF1F4"/>
        <w:spacing w:after="0"/>
        <w:jc w:val="left"/>
        <w:rPr>
          <w:color w:val="4D738A"/>
        </w:rPr>
      </w:pPr>
      <w:r w:rsidRPr="004C5C6E">
        <w:rPr>
          <w:color w:val="auto"/>
        </w:rPr>
        <w:t xml:space="preserve">What registrations or memberships should be required for family report writers? </w:t>
      </w:r>
    </w:p>
    <w:p w14:paraId="697D08BB" w14:textId="77777777" w:rsidR="00BE48EE" w:rsidRPr="00C73D06" w:rsidRDefault="00BE48EE" w:rsidP="00F65D4D">
      <w:pPr>
        <w:pBdr>
          <w:top w:val="single" w:sz="4" w:space="1" w:color="auto"/>
          <w:left w:val="single" w:sz="4" w:space="1" w:color="auto"/>
          <w:bottom w:val="single" w:sz="4" w:space="1" w:color="auto"/>
          <w:right w:val="single" w:sz="4" w:space="1" w:color="auto"/>
        </w:pBdr>
        <w:shd w:val="clear" w:color="auto" w:fill="ECF1F4"/>
        <w:spacing w:before="80" w:after="0"/>
        <w:rPr>
          <w:b/>
          <w:color w:val="C87200"/>
          <w:sz w:val="28"/>
        </w:rPr>
      </w:pPr>
      <w:bookmarkStart w:id="32" w:name="_Toc73542612"/>
      <w:r w:rsidRPr="00C73D06">
        <w:rPr>
          <w:b/>
          <w:color w:val="C87200"/>
          <w:sz w:val="28"/>
        </w:rPr>
        <w:t>Question 7: Requiring and demonstrating competencies</w:t>
      </w:r>
      <w:bookmarkEnd w:id="32"/>
    </w:p>
    <w:p w14:paraId="7CC4CE83" w14:textId="77777777" w:rsidR="00BE48EE" w:rsidRPr="004C5C6E" w:rsidRDefault="00BE48EE" w:rsidP="00F65D4D">
      <w:pPr>
        <w:pStyle w:val="Subtitle"/>
        <w:pBdr>
          <w:top w:val="single" w:sz="4" w:space="1" w:color="auto"/>
          <w:left w:val="single" w:sz="4" w:space="1" w:color="auto"/>
          <w:bottom w:val="single" w:sz="4" w:space="1" w:color="auto"/>
          <w:right w:val="single" w:sz="4" w:space="1" w:color="auto"/>
        </w:pBdr>
        <w:shd w:val="clear" w:color="auto" w:fill="ECF1F4"/>
        <w:spacing w:after="0"/>
        <w:jc w:val="left"/>
        <w:rPr>
          <w:color w:val="auto"/>
        </w:rPr>
      </w:pPr>
      <w:r w:rsidRPr="00836D16">
        <w:rPr>
          <w:b/>
          <w:color w:val="C87200"/>
          <w:szCs w:val="21"/>
        </w:rPr>
        <w:t>(a)</w:t>
      </w:r>
      <w:r>
        <w:rPr>
          <w:color w:val="4D738A"/>
        </w:rPr>
        <w:t xml:space="preserve"> </w:t>
      </w:r>
      <w:r w:rsidRPr="004C5C6E">
        <w:rPr>
          <w:color w:val="auto"/>
        </w:rPr>
        <w:t xml:space="preserve">Should the attainment of identified core competencies be mandated? </w:t>
      </w:r>
    </w:p>
    <w:p w14:paraId="25337CF7" w14:textId="77777777" w:rsidR="00BE48EE" w:rsidRPr="004C5C6E" w:rsidRDefault="00BE48EE" w:rsidP="00F65D4D">
      <w:pPr>
        <w:pStyle w:val="Subtitle"/>
        <w:numPr>
          <w:ilvl w:val="0"/>
          <w:numId w:val="0"/>
        </w:numPr>
        <w:pBdr>
          <w:top w:val="single" w:sz="4" w:space="1" w:color="auto"/>
          <w:left w:val="single" w:sz="4" w:space="1" w:color="auto"/>
          <w:bottom w:val="single" w:sz="4" w:space="1" w:color="auto"/>
          <w:right w:val="single" w:sz="4" w:space="1" w:color="auto"/>
        </w:pBdr>
        <w:shd w:val="clear" w:color="auto" w:fill="ECF1F4"/>
        <w:spacing w:after="0"/>
        <w:jc w:val="left"/>
        <w:rPr>
          <w:color w:val="auto"/>
        </w:rPr>
      </w:pPr>
      <w:r w:rsidRPr="004C5C6E">
        <w:rPr>
          <w:b/>
          <w:color w:val="C87200"/>
          <w:szCs w:val="21"/>
        </w:rPr>
        <w:t xml:space="preserve">(b) </w:t>
      </w:r>
      <w:r w:rsidRPr="004C5C6E">
        <w:rPr>
          <w:color w:val="auto"/>
        </w:rPr>
        <w:t xml:space="preserve">Are existing continuing professional development requirements sufficient or should there be specific requirements for family report writers? If so, what could this include? </w:t>
      </w:r>
    </w:p>
    <w:p w14:paraId="434DCF7F" w14:textId="37907F14" w:rsidR="00BE48EE" w:rsidRPr="004C5C6E" w:rsidRDefault="00BE48EE" w:rsidP="00F65D4D">
      <w:pPr>
        <w:pBdr>
          <w:top w:val="single" w:sz="4" w:space="1" w:color="auto"/>
          <w:left w:val="single" w:sz="4" w:space="1" w:color="auto"/>
          <w:bottom w:val="single" w:sz="4" w:space="1" w:color="auto"/>
          <w:right w:val="single" w:sz="4" w:space="1" w:color="auto"/>
        </w:pBdr>
        <w:shd w:val="clear" w:color="auto" w:fill="ECF1F4"/>
        <w:rPr>
          <w:lang w:val="en-GB"/>
        </w:rPr>
      </w:pPr>
      <w:r w:rsidRPr="004C5C6E">
        <w:rPr>
          <w:rFonts w:cstheme="minorHAnsi"/>
        </w:rPr>
        <w:t>Questions on how this may be achieved are located on pages 2</w:t>
      </w:r>
      <w:r w:rsidR="00843079" w:rsidRPr="004C5C6E">
        <w:rPr>
          <w:rFonts w:cstheme="minorHAnsi"/>
        </w:rPr>
        <w:t>6</w:t>
      </w:r>
      <w:r w:rsidRPr="004C5C6E">
        <w:rPr>
          <w:rFonts w:cstheme="minorHAnsi"/>
        </w:rPr>
        <w:t xml:space="preserve"> and 2</w:t>
      </w:r>
      <w:r w:rsidR="00843079" w:rsidRPr="004C5C6E">
        <w:rPr>
          <w:rFonts w:cstheme="minorHAnsi"/>
        </w:rPr>
        <w:t>7</w:t>
      </w:r>
      <w:r w:rsidRPr="004C5C6E">
        <w:rPr>
          <w:rFonts w:cstheme="minorHAnsi"/>
        </w:rPr>
        <w:t>.</w:t>
      </w:r>
    </w:p>
    <w:p w14:paraId="1B1E04B8" w14:textId="77777777" w:rsidR="00BE48EE" w:rsidRPr="00C73D06" w:rsidRDefault="00BE48EE" w:rsidP="00BE48EE">
      <w:pPr>
        <w:pStyle w:val="Heading2"/>
        <w:spacing w:before="240"/>
        <w:rPr>
          <w:b/>
          <w:szCs w:val="22"/>
        </w:rPr>
      </w:pPr>
      <w:bookmarkStart w:id="33" w:name="_Toc67657896"/>
      <w:bookmarkStart w:id="34" w:name="_Toc73542503"/>
      <w:r w:rsidRPr="00C73D06">
        <w:t>Screening for suitability</w:t>
      </w:r>
      <w:bookmarkEnd w:id="33"/>
      <w:bookmarkEnd w:id="34"/>
    </w:p>
    <w:p w14:paraId="69A7C88E" w14:textId="77777777" w:rsidR="00BE48EE" w:rsidRPr="00C73D06" w:rsidRDefault="00BE48EE" w:rsidP="00BE48EE">
      <w:pPr>
        <w:rPr>
          <w:szCs w:val="22"/>
        </w:rPr>
      </w:pPr>
      <w:r w:rsidRPr="00C73D06">
        <w:rPr>
          <w:szCs w:val="22"/>
        </w:rPr>
        <w:t xml:space="preserve">Family report writers </w:t>
      </w:r>
      <w:r>
        <w:rPr>
          <w:szCs w:val="22"/>
        </w:rPr>
        <w:t>occupy</w:t>
      </w:r>
      <w:r w:rsidRPr="00C73D06">
        <w:rPr>
          <w:szCs w:val="22"/>
        </w:rPr>
        <w:t xml:space="preserve"> a position of trust in the family law system. In addition to qualifications, skills and competencies, suitability for this position involves consideration of past and present behaviour. There is no uniform screening of family report writers, though some are screened through their professional registration bodies or as part of their employment. </w:t>
      </w:r>
    </w:p>
    <w:p w14:paraId="64C5D4E3" w14:textId="77777777" w:rsidR="00BE48EE" w:rsidRPr="00C73D06" w:rsidRDefault="00BE48EE" w:rsidP="00BE48EE">
      <w:pPr>
        <w:pStyle w:val="Heading3"/>
        <w:spacing w:before="240"/>
      </w:pPr>
      <w:bookmarkStart w:id="35" w:name="_Toc67657897"/>
      <w:r w:rsidRPr="00C73D06">
        <w:t>Criminal history</w:t>
      </w:r>
      <w:bookmarkEnd w:id="35"/>
    </w:p>
    <w:p w14:paraId="1484F87C" w14:textId="77777777" w:rsidR="00BE48EE" w:rsidRPr="00C73D06" w:rsidRDefault="00BE48EE" w:rsidP="00BE48EE">
      <w:pPr>
        <w:rPr>
          <w:rFonts w:eastAsia="Times New Roman" w:cstheme="minorHAnsi"/>
          <w:szCs w:val="22"/>
          <w:lang w:val="en" w:eastAsia="en-GB"/>
        </w:rPr>
      </w:pPr>
      <w:r w:rsidRPr="00C73D06">
        <w:rPr>
          <w:szCs w:val="22"/>
        </w:rPr>
        <w:t>Ahpra will conduct a criminal history check the first time a person applies for registration as a psychologist or psychiatrist</w:t>
      </w:r>
      <w:r w:rsidRPr="00C73D06">
        <w:rPr>
          <w:rFonts w:eastAsia="Times New Roman" w:cstheme="minorHAnsi"/>
          <w:szCs w:val="22"/>
          <w:lang w:val="en" w:eastAsia="en-GB"/>
        </w:rPr>
        <w:t>.</w:t>
      </w:r>
      <w:r>
        <w:rPr>
          <w:rStyle w:val="FootnoteReference"/>
          <w:rFonts w:eastAsia="Times New Roman" w:cstheme="minorHAnsi"/>
          <w:szCs w:val="22"/>
          <w:lang w:val="en" w:eastAsia="en-GB"/>
        </w:rPr>
        <w:footnoteReference w:id="57"/>
      </w:r>
      <w:r w:rsidRPr="00C73D06">
        <w:rPr>
          <w:rFonts w:eastAsia="Times New Roman" w:cstheme="minorHAnsi"/>
          <w:szCs w:val="22"/>
          <w:lang w:val="en" w:eastAsia="en-GB"/>
        </w:rPr>
        <w:t xml:space="preserve"> The check includes disclosure of every conviction, </w:t>
      </w:r>
      <w:r>
        <w:rPr>
          <w:rFonts w:eastAsia="Times New Roman" w:cstheme="minorHAnsi"/>
          <w:szCs w:val="22"/>
          <w:lang w:val="en" w:eastAsia="en-GB"/>
        </w:rPr>
        <w:t>finding of guilt</w:t>
      </w:r>
      <w:r w:rsidRPr="00C73D06">
        <w:rPr>
          <w:rFonts w:eastAsia="Times New Roman" w:cstheme="minorHAnsi"/>
          <w:szCs w:val="22"/>
          <w:lang w:val="en" w:eastAsia="en-GB"/>
        </w:rPr>
        <w:t xml:space="preserve"> and charge against the person. </w:t>
      </w:r>
      <w:r>
        <w:rPr>
          <w:rFonts w:eastAsia="Times New Roman" w:cstheme="minorHAnsi"/>
          <w:szCs w:val="22"/>
          <w:lang w:val="en" w:eastAsia="en-GB"/>
        </w:rPr>
        <w:t xml:space="preserve">Practitioners must disclose any changes in their criminal history when they renew their registration. </w:t>
      </w:r>
      <w:r w:rsidRPr="00C73D06">
        <w:rPr>
          <w:rFonts w:eastAsia="Times New Roman" w:cstheme="minorHAnsi"/>
          <w:szCs w:val="22"/>
          <w:lang w:val="en" w:eastAsia="en-GB"/>
        </w:rPr>
        <w:t xml:space="preserve">Throughout the </w:t>
      </w:r>
      <w:r>
        <w:rPr>
          <w:rFonts w:eastAsia="Times New Roman" w:cstheme="minorHAnsi"/>
          <w:szCs w:val="22"/>
          <w:lang w:val="en" w:eastAsia="en-GB"/>
        </w:rPr>
        <w:t>registration period</w:t>
      </w:r>
      <w:r w:rsidRPr="00C73D06">
        <w:rPr>
          <w:rFonts w:eastAsia="Times New Roman" w:cstheme="minorHAnsi"/>
          <w:szCs w:val="22"/>
          <w:lang w:val="en" w:eastAsia="en-GB"/>
        </w:rPr>
        <w:t xml:space="preserve">, psychologists and psychiatrists must inform the relevant National Boards if they are charged with an offence punishable by 12 months imprisonment or more, or convicted of an offence punishable by imprisonment. The onus is on practitioners to disclose any changes to their criminal history. The relevant National Board undertakes audits </w:t>
      </w:r>
      <w:r>
        <w:rPr>
          <w:rFonts w:eastAsia="Times New Roman" w:cstheme="minorHAnsi"/>
          <w:szCs w:val="22"/>
          <w:lang w:val="en" w:eastAsia="en-GB"/>
        </w:rPr>
        <w:t>of</w:t>
      </w:r>
      <w:r w:rsidRPr="00C73D06">
        <w:rPr>
          <w:rFonts w:eastAsia="Times New Roman" w:cstheme="minorHAnsi"/>
          <w:szCs w:val="22"/>
          <w:lang w:val="en" w:eastAsia="en-GB"/>
        </w:rPr>
        <w:t xml:space="preserve"> criminal history declarations via random sampling and may obtain a written report about the practitioner</w:t>
      </w:r>
      <w:r>
        <w:rPr>
          <w:rFonts w:eastAsia="Times New Roman" w:cstheme="minorHAnsi"/>
          <w:szCs w:val="22"/>
          <w:lang w:val="en" w:eastAsia="en-GB"/>
        </w:rPr>
        <w:t>’s</w:t>
      </w:r>
      <w:r w:rsidRPr="00C73D06">
        <w:rPr>
          <w:rFonts w:eastAsia="Times New Roman" w:cstheme="minorHAnsi"/>
          <w:szCs w:val="22"/>
          <w:lang w:val="en" w:eastAsia="en-GB"/>
        </w:rPr>
        <w:t xml:space="preserve"> criminal history from law enforcement agencies at any time.</w:t>
      </w:r>
    </w:p>
    <w:p w14:paraId="4C3D75BA" w14:textId="77777777" w:rsidR="00BE48EE" w:rsidRPr="00C73D06" w:rsidRDefault="00BE48EE" w:rsidP="00BE48EE">
      <w:pPr>
        <w:rPr>
          <w:szCs w:val="22"/>
        </w:rPr>
      </w:pPr>
      <w:r w:rsidRPr="00C73D06">
        <w:rPr>
          <w:rFonts w:eastAsia="Times New Roman" w:cstheme="minorHAnsi"/>
          <w:szCs w:val="22"/>
          <w:lang w:val="en" w:eastAsia="en-GB"/>
        </w:rPr>
        <w:t xml:space="preserve">Social workers applying for AASW membership are required to </w:t>
      </w:r>
      <w:r>
        <w:rPr>
          <w:rFonts w:eastAsia="Times New Roman" w:cstheme="minorHAnsi"/>
          <w:szCs w:val="22"/>
          <w:lang w:val="en" w:eastAsia="en-GB"/>
        </w:rPr>
        <w:t xml:space="preserve">disclose </w:t>
      </w:r>
      <w:r w:rsidRPr="00C73D06">
        <w:rPr>
          <w:rFonts w:eastAsia="Times New Roman" w:cstheme="minorHAnsi"/>
          <w:szCs w:val="22"/>
          <w:lang w:val="en" w:eastAsia="en-GB"/>
        </w:rPr>
        <w:t>every conviction, charge</w:t>
      </w:r>
      <w:r>
        <w:rPr>
          <w:rFonts w:eastAsia="Times New Roman" w:cstheme="minorHAnsi"/>
          <w:szCs w:val="22"/>
          <w:lang w:val="en" w:eastAsia="en-GB"/>
        </w:rPr>
        <w:t>, finding or plea of guilt,</w:t>
      </w:r>
      <w:r w:rsidRPr="00C73D06">
        <w:rPr>
          <w:rFonts w:eastAsia="Times New Roman" w:cstheme="minorHAnsi"/>
          <w:szCs w:val="22"/>
          <w:lang w:val="en" w:eastAsia="en-GB"/>
        </w:rPr>
        <w:t xml:space="preserve"> </w:t>
      </w:r>
      <w:r>
        <w:rPr>
          <w:rFonts w:eastAsia="Times New Roman" w:cstheme="minorHAnsi"/>
          <w:szCs w:val="22"/>
          <w:lang w:val="en" w:eastAsia="en-GB"/>
        </w:rPr>
        <w:t>or involvement in criminal proceedings, in Australia or overseas.</w:t>
      </w:r>
      <w:r w:rsidRPr="00C73D06">
        <w:rPr>
          <w:rStyle w:val="FootnoteReference"/>
          <w:szCs w:val="22"/>
        </w:rPr>
        <w:footnoteReference w:id="58"/>
      </w:r>
      <w:r>
        <w:rPr>
          <w:rFonts w:eastAsia="Times New Roman" w:cstheme="minorHAnsi"/>
          <w:szCs w:val="22"/>
          <w:lang w:val="en" w:eastAsia="en-GB"/>
        </w:rPr>
        <w:t xml:space="preserve"> They are also required to disclose any matters related to their fitness to practise the profession safely and effectively. </w:t>
      </w:r>
      <w:r w:rsidRPr="00C73D06">
        <w:rPr>
          <w:szCs w:val="22"/>
        </w:rPr>
        <w:t xml:space="preserve"> Applicants are required to renew their membership each financial year, and declare any changes to their fitness to practi</w:t>
      </w:r>
      <w:r>
        <w:rPr>
          <w:szCs w:val="22"/>
        </w:rPr>
        <w:t>s</w:t>
      </w:r>
      <w:r w:rsidRPr="00C73D06">
        <w:rPr>
          <w:szCs w:val="22"/>
        </w:rPr>
        <w:t>e.</w:t>
      </w:r>
      <w:r w:rsidRPr="00C73D06">
        <w:rPr>
          <w:rStyle w:val="FootnoteReference"/>
          <w:szCs w:val="22"/>
        </w:rPr>
        <w:footnoteReference w:id="59"/>
      </w:r>
      <w:r w:rsidRPr="00C73D06">
        <w:rPr>
          <w:szCs w:val="22"/>
        </w:rPr>
        <w:t xml:space="preserve"> </w:t>
      </w:r>
      <w:r>
        <w:rPr>
          <w:szCs w:val="22"/>
        </w:rPr>
        <w:t>The onus is on the applicant to make disclosures as t</w:t>
      </w:r>
      <w:r w:rsidRPr="00C73D06">
        <w:rPr>
          <w:szCs w:val="22"/>
        </w:rPr>
        <w:t>he AASW does not have authority to obtain criminal history.</w:t>
      </w:r>
    </w:p>
    <w:p w14:paraId="6CDA41C0" w14:textId="77777777" w:rsidR="00BE48EE" w:rsidRPr="00C73D06" w:rsidRDefault="00BE48EE" w:rsidP="00BE48EE">
      <w:pPr>
        <w:rPr>
          <w:szCs w:val="22"/>
        </w:rPr>
      </w:pPr>
      <w:r w:rsidRPr="00C73D06">
        <w:rPr>
          <w:szCs w:val="22"/>
        </w:rPr>
        <w:t xml:space="preserve">The court runs a national police check on all new family consultants (in-house and regulation 7). </w:t>
      </w:r>
    </w:p>
    <w:p w14:paraId="0C195325" w14:textId="77777777" w:rsidR="00BE48EE" w:rsidRPr="00C73D06" w:rsidRDefault="00BE48EE" w:rsidP="00BE48EE">
      <w:pPr>
        <w:rPr>
          <w:szCs w:val="22"/>
        </w:rPr>
      </w:pPr>
      <w:r w:rsidRPr="00C73D06">
        <w:rPr>
          <w:szCs w:val="22"/>
        </w:rPr>
        <w:t xml:space="preserve">There are limitations </w:t>
      </w:r>
      <w:r>
        <w:rPr>
          <w:szCs w:val="22"/>
        </w:rPr>
        <w:t>on</w:t>
      </w:r>
      <w:r w:rsidRPr="00C73D06">
        <w:rPr>
          <w:szCs w:val="22"/>
        </w:rPr>
        <w:t xml:space="preserve"> what a criminal history check will disclose. It will not disclose if </w:t>
      </w:r>
      <w:r>
        <w:rPr>
          <w:szCs w:val="22"/>
        </w:rPr>
        <w:t>a person</w:t>
      </w:r>
      <w:r w:rsidRPr="00C73D06">
        <w:rPr>
          <w:szCs w:val="22"/>
        </w:rPr>
        <w:t xml:space="preserve"> is under investigation, or has been accused and investigated but not charged with an offence.</w:t>
      </w:r>
    </w:p>
    <w:p w14:paraId="4297779A" w14:textId="77777777" w:rsidR="00BE48EE" w:rsidRPr="00716FF1" w:rsidRDefault="00BE48EE" w:rsidP="00BE48EE">
      <w:pPr>
        <w:pStyle w:val="Heading3"/>
        <w:spacing w:before="120"/>
        <w:rPr>
          <w:rFonts w:eastAsia="Times New Roman" w:cstheme="minorHAnsi"/>
          <w:sz w:val="31"/>
          <w:szCs w:val="31"/>
          <w:lang w:val="en" w:eastAsia="en-GB"/>
        </w:rPr>
      </w:pPr>
      <w:bookmarkStart w:id="36" w:name="_Toc67657898"/>
      <w:r w:rsidRPr="00716FF1">
        <w:rPr>
          <w:sz w:val="31"/>
          <w:szCs w:val="31"/>
        </w:rPr>
        <w:lastRenderedPageBreak/>
        <w:t>Working with Children Checks or Working with Vulnerable People registration</w:t>
      </w:r>
      <w:bookmarkEnd w:id="36"/>
      <w:r w:rsidRPr="00716FF1">
        <w:rPr>
          <w:sz w:val="31"/>
          <w:szCs w:val="31"/>
        </w:rPr>
        <w:t>s</w:t>
      </w:r>
    </w:p>
    <w:p w14:paraId="47D41B86" w14:textId="77777777" w:rsidR="00BE48EE" w:rsidRPr="00C73D06" w:rsidRDefault="00BE48EE" w:rsidP="00BE48EE">
      <w:pPr>
        <w:spacing w:after="0"/>
        <w:rPr>
          <w:szCs w:val="22"/>
        </w:rPr>
      </w:pPr>
      <w:r w:rsidRPr="00C73D06">
        <w:rPr>
          <w:szCs w:val="22"/>
        </w:rPr>
        <w:t>Some employers will require professionals to undergo and ma</w:t>
      </w:r>
      <w:r>
        <w:rPr>
          <w:szCs w:val="22"/>
        </w:rPr>
        <w:t>intain a Working with Children</w:t>
      </w:r>
      <w:r w:rsidRPr="00C73D06">
        <w:rPr>
          <w:szCs w:val="22"/>
        </w:rPr>
        <w:t xml:space="preserve"> Check (in New South Wales, </w:t>
      </w:r>
      <w:r>
        <w:rPr>
          <w:szCs w:val="22"/>
        </w:rPr>
        <w:t xml:space="preserve">the </w:t>
      </w:r>
      <w:r w:rsidRPr="00C73D06">
        <w:rPr>
          <w:szCs w:val="22"/>
        </w:rPr>
        <w:t xml:space="preserve">Northern Territory, Queensland, Victoria and Western Australia) or acquire a Working with Vulnerable People registration (in the Australian Capital Territory and Tasmania) </w:t>
      </w:r>
      <w:r>
        <w:rPr>
          <w:szCs w:val="22"/>
        </w:rPr>
        <w:t>prior to</w:t>
      </w:r>
      <w:r w:rsidRPr="00C73D06">
        <w:rPr>
          <w:szCs w:val="22"/>
        </w:rPr>
        <w:t xml:space="preserve"> employment or appointment. These checks incorporate criminal history considerations and also consider:</w:t>
      </w:r>
    </w:p>
    <w:p w14:paraId="2F30AF95" w14:textId="77777777" w:rsidR="00BE48EE" w:rsidRPr="00C73D06" w:rsidRDefault="00BE48EE" w:rsidP="00BE48EE">
      <w:pPr>
        <w:pStyle w:val="ListParagraph"/>
        <w:numPr>
          <w:ilvl w:val="0"/>
          <w:numId w:val="13"/>
        </w:numPr>
        <w:spacing w:after="0"/>
        <w:contextualSpacing w:val="0"/>
        <w:rPr>
          <w:szCs w:val="22"/>
        </w:rPr>
      </w:pPr>
      <w:r>
        <w:rPr>
          <w:szCs w:val="22"/>
        </w:rPr>
        <w:t>I</w:t>
      </w:r>
      <w:r w:rsidRPr="00287AA1">
        <w:rPr>
          <w:szCs w:val="22"/>
        </w:rPr>
        <w:t>nformation about any order imposed on the person by a court relating to child protection, apprehended violence or domestic or family violence</w:t>
      </w:r>
      <w:r>
        <w:rPr>
          <w:szCs w:val="22"/>
        </w:rPr>
        <w:t>.</w:t>
      </w:r>
    </w:p>
    <w:p w14:paraId="79CCC10A" w14:textId="77777777" w:rsidR="00BE48EE" w:rsidRPr="00C73D06" w:rsidRDefault="00BE48EE" w:rsidP="00BE48EE">
      <w:pPr>
        <w:pStyle w:val="ListParagraph"/>
        <w:numPr>
          <w:ilvl w:val="0"/>
          <w:numId w:val="13"/>
        </w:numPr>
        <w:spacing w:after="0"/>
        <w:contextualSpacing w:val="0"/>
        <w:rPr>
          <w:szCs w:val="22"/>
        </w:rPr>
      </w:pPr>
      <w:r>
        <w:rPr>
          <w:szCs w:val="22"/>
        </w:rPr>
        <w:t>Criminal c</w:t>
      </w:r>
      <w:r w:rsidRPr="00C73D06">
        <w:rPr>
          <w:szCs w:val="22"/>
        </w:rPr>
        <w:t>harges</w:t>
      </w:r>
      <w:r>
        <w:rPr>
          <w:szCs w:val="22"/>
        </w:rPr>
        <w:t xml:space="preserve">, including </w:t>
      </w:r>
      <w:r w:rsidRPr="00C73D06">
        <w:rPr>
          <w:szCs w:val="22"/>
        </w:rPr>
        <w:t>where a conviction has not been recorded because a proceeding has not been heard or finalised by a court, or where charges h</w:t>
      </w:r>
      <w:r>
        <w:rPr>
          <w:szCs w:val="22"/>
        </w:rPr>
        <w:t>ave been dismissed or withdrawn.</w:t>
      </w:r>
    </w:p>
    <w:p w14:paraId="3F169BA3" w14:textId="77777777" w:rsidR="00BE48EE" w:rsidRPr="00C73D06" w:rsidRDefault="00BE48EE" w:rsidP="00BE48EE">
      <w:pPr>
        <w:pStyle w:val="ListParagraph"/>
        <w:numPr>
          <w:ilvl w:val="0"/>
          <w:numId w:val="13"/>
        </w:numPr>
        <w:contextualSpacing w:val="0"/>
        <w:rPr>
          <w:szCs w:val="22"/>
        </w:rPr>
      </w:pPr>
      <w:r>
        <w:rPr>
          <w:szCs w:val="22"/>
        </w:rPr>
        <w:t>R</w:t>
      </w:r>
      <w:r w:rsidRPr="00C73D06">
        <w:rPr>
          <w:szCs w:val="22"/>
        </w:rPr>
        <w:t xml:space="preserve">elevant </w:t>
      </w:r>
      <w:r>
        <w:rPr>
          <w:szCs w:val="22"/>
        </w:rPr>
        <w:t>information from disciplinary or regulatory entities</w:t>
      </w:r>
      <w:r w:rsidRPr="00C73D06">
        <w:rPr>
          <w:szCs w:val="22"/>
        </w:rPr>
        <w:t>.</w:t>
      </w:r>
    </w:p>
    <w:p w14:paraId="615D918E" w14:textId="77777777" w:rsidR="00BE48EE" w:rsidRPr="00C73D06" w:rsidRDefault="00BE48EE" w:rsidP="00BE48EE">
      <w:pPr>
        <w:rPr>
          <w:szCs w:val="22"/>
        </w:rPr>
      </w:pPr>
      <w:r>
        <w:rPr>
          <w:szCs w:val="22"/>
        </w:rPr>
        <w:t>CCS</w:t>
      </w:r>
      <w:r w:rsidRPr="00C73D06">
        <w:rPr>
          <w:szCs w:val="22"/>
        </w:rPr>
        <w:t xml:space="preserve"> and FCCCS require their family consultants (including regulation 7 appointments) to undergo these checks prior to employment or appointment.</w:t>
      </w:r>
      <w:r w:rsidRPr="00C73D06">
        <w:rPr>
          <w:rStyle w:val="FootnoteReference"/>
          <w:szCs w:val="22"/>
        </w:rPr>
        <w:footnoteReference w:id="60"/>
      </w:r>
      <w:r w:rsidRPr="00C73D06">
        <w:rPr>
          <w:szCs w:val="22"/>
        </w:rPr>
        <w:t xml:space="preserve"> </w:t>
      </w:r>
    </w:p>
    <w:p w14:paraId="5DA5F084" w14:textId="77777777" w:rsidR="00BE48EE" w:rsidRPr="00C73D06" w:rsidRDefault="00BE48EE" w:rsidP="00BE48EE">
      <w:pPr>
        <w:rPr>
          <w:szCs w:val="22"/>
        </w:rPr>
      </w:pPr>
      <w:r w:rsidRPr="00C73D06">
        <w:rPr>
          <w:szCs w:val="22"/>
        </w:rPr>
        <w:t xml:space="preserve">State and territory legislation outlines who is required to have a Working with Children Check or Working With Vulnerable People registration. The requirements vary across jurisdictions and </w:t>
      </w:r>
      <w:r>
        <w:rPr>
          <w:szCs w:val="22"/>
        </w:rPr>
        <w:t>typically</w:t>
      </w:r>
      <w:r w:rsidRPr="00C73D06">
        <w:rPr>
          <w:szCs w:val="22"/>
        </w:rPr>
        <w:t xml:space="preserve"> depend on the nature of the work and frequency of engagement with children. </w:t>
      </w:r>
      <w:r>
        <w:rPr>
          <w:szCs w:val="22"/>
        </w:rPr>
        <w:t xml:space="preserve">At present, </w:t>
      </w:r>
      <w:r>
        <w:rPr>
          <w:rFonts w:eastAsia="Times New Roman" w:cstheme="minorHAnsi"/>
          <w:szCs w:val="22"/>
          <w:lang w:val="en" w:eastAsia="en-GB"/>
        </w:rPr>
        <w:t>t</w:t>
      </w:r>
      <w:r w:rsidRPr="00C73D06">
        <w:rPr>
          <w:rFonts w:eastAsia="Times New Roman" w:cstheme="minorHAnsi"/>
          <w:szCs w:val="22"/>
          <w:lang w:val="en" w:eastAsia="en-GB"/>
        </w:rPr>
        <w:t xml:space="preserve">here is no requirement under Commonwealth legislation for single expert witnesses appointed as family report writers to </w:t>
      </w:r>
      <w:r>
        <w:rPr>
          <w:rFonts w:eastAsia="Times New Roman" w:cstheme="minorHAnsi"/>
          <w:szCs w:val="22"/>
          <w:lang w:val="en" w:eastAsia="en-GB"/>
        </w:rPr>
        <w:t>obtain</w:t>
      </w:r>
      <w:r w:rsidRPr="00C73D06">
        <w:rPr>
          <w:rFonts w:eastAsia="Times New Roman" w:cstheme="minorHAnsi"/>
          <w:szCs w:val="22"/>
          <w:lang w:val="en" w:eastAsia="en-GB"/>
        </w:rPr>
        <w:t xml:space="preserve"> a Working with Children Check or Working with Vulnerable People registration.</w:t>
      </w:r>
      <w:r w:rsidRPr="00C73D06">
        <w:rPr>
          <w:szCs w:val="22"/>
        </w:rPr>
        <w:t xml:space="preserve"> </w:t>
      </w:r>
    </w:p>
    <w:p w14:paraId="4208E26D" w14:textId="77777777" w:rsidR="00BE48EE" w:rsidRPr="00C73D06" w:rsidRDefault="00BE48EE" w:rsidP="00BE48EE">
      <w:pPr>
        <w:spacing w:after="0"/>
        <w:rPr>
          <w:b/>
          <w:szCs w:val="22"/>
        </w:rPr>
      </w:pPr>
      <w:r w:rsidRPr="00C73D06">
        <w:rPr>
          <w:b/>
          <w:szCs w:val="22"/>
        </w:rPr>
        <w:t>Table 3: Suitability screening requirements by profession and report writer type</w:t>
      </w:r>
      <w:r>
        <w:rPr>
          <w:b/>
          <w:szCs w:val="22"/>
        </w:rPr>
        <w:t>.</w:t>
      </w:r>
    </w:p>
    <w:tbl>
      <w:tblPr>
        <w:tblStyle w:val="GridTable5Dark-Accent1"/>
        <w:tblW w:w="10416" w:type="dxa"/>
        <w:tblLook w:val="04A0" w:firstRow="1" w:lastRow="0" w:firstColumn="1" w:lastColumn="0" w:noHBand="0" w:noVBand="1"/>
        <w:tblCaption w:val="Suitability screening requirements by profession and report writer type"/>
        <w:tblDescription w:val="Table showing which types of family report writers are required to have criminal history checks and working with children's checks or working with vulnerable people registrations.  The table considers each appointment type, in-house family consultants, regulation 7 appointments and single expert witnesses, and each profession, social workers, psychologists and psychiatrists. "/>
      </w:tblPr>
      <w:tblGrid>
        <w:gridCol w:w="3114"/>
        <w:gridCol w:w="2434"/>
        <w:gridCol w:w="2434"/>
        <w:gridCol w:w="2434"/>
      </w:tblGrid>
      <w:tr w:rsidR="00BE48EE" w:rsidRPr="00C73D06" w14:paraId="653F472B" w14:textId="77777777" w:rsidTr="00BE48EE">
        <w:trPr>
          <w:cnfStyle w:val="100000000000" w:firstRow="1" w:lastRow="0" w:firstColumn="0" w:lastColumn="0" w:oddVBand="0" w:evenVBand="0" w:oddHBand="0" w:evenHBand="0" w:firstRowFirstColumn="0" w:firstRowLastColumn="0" w:lastRowFirstColumn="0" w:lastRowLastColumn="0"/>
          <w:trHeight w:val="291"/>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4D738A"/>
            <w:vAlign w:val="center"/>
          </w:tcPr>
          <w:p w14:paraId="69E34DB5" w14:textId="77777777" w:rsidR="00BE48EE" w:rsidRPr="00C73D06" w:rsidRDefault="00BE48EE" w:rsidP="00BE48EE">
            <w:pPr>
              <w:jc w:val="center"/>
            </w:pPr>
          </w:p>
        </w:tc>
        <w:tc>
          <w:tcPr>
            <w:tcW w:w="2434" w:type="dxa"/>
            <w:shd w:val="clear" w:color="auto" w:fill="4D738A"/>
          </w:tcPr>
          <w:p w14:paraId="5028F7FD" w14:textId="77777777" w:rsidR="00BE48EE" w:rsidRPr="00C73D06" w:rsidRDefault="00BE48EE" w:rsidP="00BE48EE">
            <w:pPr>
              <w:jc w:val="center"/>
              <w:cnfStyle w:val="100000000000" w:firstRow="1" w:lastRow="0" w:firstColumn="0" w:lastColumn="0" w:oddVBand="0" w:evenVBand="0" w:oddHBand="0" w:evenHBand="0" w:firstRowFirstColumn="0" w:firstRowLastColumn="0" w:lastRowFirstColumn="0" w:lastRowLastColumn="0"/>
              <w:rPr>
                <w:b w:val="0"/>
              </w:rPr>
            </w:pPr>
            <w:r w:rsidRPr="00C73D06">
              <w:rPr>
                <w:b w:val="0"/>
              </w:rPr>
              <w:t>Social worker</w:t>
            </w:r>
          </w:p>
        </w:tc>
        <w:tc>
          <w:tcPr>
            <w:tcW w:w="2434" w:type="dxa"/>
            <w:shd w:val="clear" w:color="auto" w:fill="4D738A"/>
          </w:tcPr>
          <w:p w14:paraId="4EBE7994" w14:textId="77777777" w:rsidR="00BE48EE" w:rsidRPr="00C73D06" w:rsidRDefault="00BE48EE" w:rsidP="00BE48EE">
            <w:pPr>
              <w:jc w:val="center"/>
              <w:cnfStyle w:val="100000000000" w:firstRow="1" w:lastRow="0" w:firstColumn="0" w:lastColumn="0" w:oddVBand="0" w:evenVBand="0" w:oddHBand="0" w:evenHBand="0" w:firstRowFirstColumn="0" w:firstRowLastColumn="0" w:lastRowFirstColumn="0" w:lastRowLastColumn="0"/>
              <w:rPr>
                <w:b w:val="0"/>
              </w:rPr>
            </w:pPr>
            <w:r w:rsidRPr="00C73D06">
              <w:rPr>
                <w:b w:val="0"/>
              </w:rPr>
              <w:t>Psychologist</w:t>
            </w:r>
          </w:p>
        </w:tc>
        <w:tc>
          <w:tcPr>
            <w:tcW w:w="2434" w:type="dxa"/>
            <w:shd w:val="clear" w:color="auto" w:fill="4D738A"/>
          </w:tcPr>
          <w:p w14:paraId="7C4B0658" w14:textId="77777777" w:rsidR="00BE48EE" w:rsidRPr="00C73D06" w:rsidRDefault="00BE48EE" w:rsidP="00BE48EE">
            <w:pPr>
              <w:jc w:val="center"/>
              <w:cnfStyle w:val="100000000000" w:firstRow="1" w:lastRow="0" w:firstColumn="0" w:lastColumn="0" w:oddVBand="0" w:evenVBand="0" w:oddHBand="0" w:evenHBand="0" w:firstRowFirstColumn="0" w:firstRowLastColumn="0" w:lastRowFirstColumn="0" w:lastRowLastColumn="0"/>
              <w:rPr>
                <w:b w:val="0"/>
              </w:rPr>
            </w:pPr>
            <w:r w:rsidRPr="00C73D06">
              <w:rPr>
                <w:b w:val="0"/>
              </w:rPr>
              <w:t>Psychiatrist</w:t>
            </w:r>
          </w:p>
        </w:tc>
      </w:tr>
      <w:tr w:rsidR="00BE48EE" w:rsidRPr="00C73D06" w14:paraId="7D771754" w14:textId="77777777" w:rsidTr="00BE48EE">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114" w:type="dxa"/>
            <w:shd w:val="clear" w:color="auto" w:fill="4D738A"/>
            <w:vAlign w:val="center"/>
          </w:tcPr>
          <w:p w14:paraId="479A175C" w14:textId="77777777" w:rsidR="00BE48EE" w:rsidRPr="00C73D06" w:rsidRDefault="00BE48EE" w:rsidP="00BE48EE">
            <w:pPr>
              <w:jc w:val="center"/>
              <w:rPr>
                <w:b w:val="0"/>
              </w:rPr>
            </w:pPr>
            <w:r w:rsidRPr="00C73D06">
              <w:rPr>
                <w:b w:val="0"/>
              </w:rPr>
              <w:t>In-house family consultant</w:t>
            </w:r>
          </w:p>
        </w:tc>
        <w:tc>
          <w:tcPr>
            <w:tcW w:w="2434" w:type="dxa"/>
            <w:shd w:val="clear" w:color="auto" w:fill="AEC4D2"/>
            <w:vAlign w:val="center"/>
          </w:tcPr>
          <w:p w14:paraId="7D7EFCFC" w14:textId="77777777" w:rsidR="00BE48EE" w:rsidRPr="00C73D06" w:rsidRDefault="00BE48EE" w:rsidP="00BE48EE">
            <w:pPr>
              <w:jc w:val="center"/>
              <w:cnfStyle w:val="000000100000" w:firstRow="0" w:lastRow="0" w:firstColumn="0" w:lastColumn="0" w:oddVBand="0" w:evenVBand="0" w:oddHBand="1" w:evenHBand="0" w:firstRowFirstColumn="0" w:firstRowLastColumn="0" w:lastRowFirstColumn="0" w:lastRowLastColumn="0"/>
            </w:pPr>
            <w:r w:rsidRPr="00C73D06">
              <w:rPr>
                <w:sz w:val="36"/>
              </w:rPr>
              <w:t>C + VP</w:t>
            </w:r>
          </w:p>
        </w:tc>
        <w:tc>
          <w:tcPr>
            <w:tcW w:w="2434" w:type="dxa"/>
            <w:shd w:val="clear" w:color="auto" w:fill="AEC4D2"/>
            <w:vAlign w:val="center"/>
          </w:tcPr>
          <w:p w14:paraId="0BBC4437" w14:textId="77777777" w:rsidR="00BE48EE" w:rsidRPr="00C73D06" w:rsidRDefault="00BE48EE" w:rsidP="00BE48EE">
            <w:pPr>
              <w:jc w:val="center"/>
              <w:cnfStyle w:val="000000100000" w:firstRow="0" w:lastRow="0" w:firstColumn="0" w:lastColumn="0" w:oddVBand="0" w:evenVBand="0" w:oddHBand="1" w:evenHBand="0" w:firstRowFirstColumn="0" w:firstRowLastColumn="0" w:lastRowFirstColumn="0" w:lastRowLastColumn="0"/>
            </w:pPr>
            <w:r w:rsidRPr="00C73D06">
              <w:rPr>
                <w:sz w:val="36"/>
              </w:rPr>
              <w:t>C + VP</w:t>
            </w:r>
          </w:p>
        </w:tc>
        <w:tc>
          <w:tcPr>
            <w:tcW w:w="2434" w:type="dxa"/>
            <w:shd w:val="clear" w:color="auto" w:fill="808080" w:themeFill="background1" w:themeFillShade="80"/>
            <w:vAlign w:val="center"/>
          </w:tcPr>
          <w:p w14:paraId="50919E6A" w14:textId="77777777" w:rsidR="00BE48EE" w:rsidRPr="00C73D06" w:rsidRDefault="00BE48EE" w:rsidP="00BE48EE">
            <w:pPr>
              <w:jc w:val="center"/>
              <w:cnfStyle w:val="000000100000" w:firstRow="0" w:lastRow="0" w:firstColumn="0" w:lastColumn="0" w:oddVBand="0" w:evenVBand="0" w:oddHBand="1" w:evenHBand="0" w:firstRowFirstColumn="0" w:firstRowLastColumn="0" w:lastRowFirstColumn="0" w:lastRowLastColumn="0"/>
            </w:pPr>
            <w:r w:rsidRPr="00C73D06">
              <w:rPr>
                <w:sz w:val="36"/>
              </w:rPr>
              <w:t>NA</w:t>
            </w:r>
          </w:p>
        </w:tc>
      </w:tr>
      <w:tr w:rsidR="00BE48EE" w:rsidRPr="00C73D06" w14:paraId="63F2026E" w14:textId="77777777" w:rsidTr="00BE48EE">
        <w:trPr>
          <w:trHeight w:val="677"/>
        </w:trPr>
        <w:tc>
          <w:tcPr>
            <w:cnfStyle w:val="001000000000" w:firstRow="0" w:lastRow="0" w:firstColumn="1" w:lastColumn="0" w:oddVBand="0" w:evenVBand="0" w:oddHBand="0" w:evenHBand="0" w:firstRowFirstColumn="0" w:firstRowLastColumn="0" w:lastRowFirstColumn="0" w:lastRowLastColumn="0"/>
            <w:tcW w:w="3114" w:type="dxa"/>
            <w:shd w:val="clear" w:color="auto" w:fill="4D738A"/>
            <w:vAlign w:val="center"/>
          </w:tcPr>
          <w:p w14:paraId="5CC6F503" w14:textId="77777777" w:rsidR="00BE48EE" w:rsidRPr="00C73D06" w:rsidRDefault="00BE48EE" w:rsidP="00BE48EE">
            <w:pPr>
              <w:jc w:val="center"/>
              <w:rPr>
                <w:b w:val="0"/>
                <w:szCs w:val="22"/>
              </w:rPr>
            </w:pPr>
            <w:r w:rsidRPr="00C73D06">
              <w:rPr>
                <w:b w:val="0"/>
                <w:szCs w:val="22"/>
              </w:rPr>
              <w:t xml:space="preserve">Regulation 7 family consultant </w:t>
            </w:r>
            <w:r w:rsidRPr="00C73D06">
              <w:rPr>
                <w:szCs w:val="22"/>
              </w:rPr>
              <w:t>(on appointment)</w:t>
            </w:r>
          </w:p>
        </w:tc>
        <w:tc>
          <w:tcPr>
            <w:tcW w:w="2434" w:type="dxa"/>
            <w:shd w:val="clear" w:color="auto" w:fill="D5E0E7"/>
            <w:vAlign w:val="center"/>
          </w:tcPr>
          <w:p w14:paraId="57B26BE6" w14:textId="77777777" w:rsidR="00BE48EE" w:rsidRPr="00C73D06" w:rsidRDefault="00BE48EE" w:rsidP="00BE48EE">
            <w:pPr>
              <w:jc w:val="center"/>
              <w:cnfStyle w:val="000000000000" w:firstRow="0" w:lastRow="0" w:firstColumn="0" w:lastColumn="0" w:oddVBand="0" w:evenVBand="0" w:oddHBand="0" w:evenHBand="0" w:firstRowFirstColumn="0" w:firstRowLastColumn="0" w:lastRowFirstColumn="0" w:lastRowLastColumn="0"/>
              <w:rPr>
                <w:sz w:val="36"/>
              </w:rPr>
            </w:pPr>
            <w:r w:rsidRPr="00C73D06">
              <w:rPr>
                <w:sz w:val="36"/>
              </w:rPr>
              <w:t>C + VP</w:t>
            </w:r>
          </w:p>
        </w:tc>
        <w:tc>
          <w:tcPr>
            <w:tcW w:w="2434" w:type="dxa"/>
            <w:shd w:val="clear" w:color="auto" w:fill="D5E0E7"/>
            <w:vAlign w:val="center"/>
          </w:tcPr>
          <w:p w14:paraId="72E24166" w14:textId="77777777" w:rsidR="00BE48EE" w:rsidRPr="00C73D06" w:rsidRDefault="00BE48EE" w:rsidP="00BE48EE">
            <w:pPr>
              <w:jc w:val="center"/>
              <w:cnfStyle w:val="000000000000" w:firstRow="0" w:lastRow="0" w:firstColumn="0" w:lastColumn="0" w:oddVBand="0" w:evenVBand="0" w:oddHBand="0" w:evenHBand="0" w:firstRowFirstColumn="0" w:firstRowLastColumn="0" w:lastRowFirstColumn="0" w:lastRowLastColumn="0"/>
              <w:rPr>
                <w:sz w:val="36"/>
              </w:rPr>
            </w:pPr>
            <w:r w:rsidRPr="00C73D06">
              <w:rPr>
                <w:sz w:val="36"/>
              </w:rPr>
              <w:t>C + VP</w:t>
            </w:r>
          </w:p>
        </w:tc>
        <w:tc>
          <w:tcPr>
            <w:tcW w:w="2434" w:type="dxa"/>
            <w:shd w:val="clear" w:color="auto" w:fill="808080" w:themeFill="background1" w:themeFillShade="80"/>
            <w:vAlign w:val="center"/>
          </w:tcPr>
          <w:p w14:paraId="6CF3E701" w14:textId="77777777" w:rsidR="00BE48EE" w:rsidRPr="00C73D06" w:rsidRDefault="00BE48EE" w:rsidP="00BE48EE">
            <w:pPr>
              <w:jc w:val="center"/>
              <w:cnfStyle w:val="000000000000" w:firstRow="0" w:lastRow="0" w:firstColumn="0" w:lastColumn="0" w:oddVBand="0" w:evenVBand="0" w:oddHBand="0" w:evenHBand="0" w:firstRowFirstColumn="0" w:firstRowLastColumn="0" w:lastRowFirstColumn="0" w:lastRowLastColumn="0"/>
              <w:rPr>
                <w:sz w:val="36"/>
              </w:rPr>
            </w:pPr>
            <w:r w:rsidRPr="00C73D06">
              <w:rPr>
                <w:sz w:val="36"/>
              </w:rPr>
              <w:t>NA</w:t>
            </w:r>
          </w:p>
        </w:tc>
      </w:tr>
      <w:tr w:rsidR="00BE48EE" w:rsidRPr="00C73D06" w14:paraId="50DDA062" w14:textId="77777777" w:rsidTr="00BE48EE">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114" w:type="dxa"/>
            <w:shd w:val="clear" w:color="auto" w:fill="4D738A"/>
            <w:vAlign w:val="center"/>
          </w:tcPr>
          <w:p w14:paraId="5654138C" w14:textId="77777777" w:rsidR="00BE48EE" w:rsidRPr="00C73D06" w:rsidRDefault="00BE48EE" w:rsidP="00BE48EE">
            <w:pPr>
              <w:jc w:val="center"/>
              <w:rPr>
                <w:b w:val="0"/>
              </w:rPr>
            </w:pPr>
            <w:r w:rsidRPr="00C73D06">
              <w:rPr>
                <w:b w:val="0"/>
              </w:rPr>
              <w:t>Single expert witness</w:t>
            </w:r>
          </w:p>
        </w:tc>
        <w:tc>
          <w:tcPr>
            <w:tcW w:w="2434" w:type="dxa"/>
            <w:shd w:val="clear" w:color="auto" w:fill="AEC4D2"/>
            <w:vAlign w:val="center"/>
          </w:tcPr>
          <w:p w14:paraId="727EB6AD" w14:textId="77777777" w:rsidR="00BE48EE" w:rsidRPr="00C73D06" w:rsidRDefault="00BE48EE" w:rsidP="00BE48EE">
            <w:pPr>
              <w:jc w:val="center"/>
              <w:cnfStyle w:val="000000100000" w:firstRow="0" w:lastRow="0" w:firstColumn="0" w:lastColumn="0" w:oddVBand="0" w:evenVBand="0" w:oddHBand="1" w:evenHBand="0" w:firstRowFirstColumn="0" w:firstRowLastColumn="0" w:lastRowFirstColumn="0" w:lastRowLastColumn="0"/>
            </w:pPr>
            <w:r w:rsidRPr="00C73D06">
              <w:rPr>
                <w:sz w:val="36"/>
              </w:rPr>
              <w:t>Nil</w:t>
            </w:r>
            <w:r w:rsidRPr="00C73D06">
              <w:t xml:space="preserve"> (unless required by an employer or state legislation)</w:t>
            </w:r>
          </w:p>
        </w:tc>
        <w:tc>
          <w:tcPr>
            <w:tcW w:w="2434" w:type="dxa"/>
            <w:shd w:val="clear" w:color="auto" w:fill="AEC4D2"/>
            <w:vAlign w:val="center"/>
          </w:tcPr>
          <w:p w14:paraId="0232FC5E" w14:textId="77777777" w:rsidR="00BE48EE" w:rsidRPr="00C73D06" w:rsidRDefault="00BE48EE" w:rsidP="00BE48EE">
            <w:pPr>
              <w:jc w:val="center"/>
              <w:cnfStyle w:val="000000100000" w:firstRow="0" w:lastRow="0" w:firstColumn="0" w:lastColumn="0" w:oddVBand="0" w:evenVBand="0" w:oddHBand="1" w:evenHBand="0" w:firstRowFirstColumn="0" w:firstRowLastColumn="0" w:lastRowFirstColumn="0" w:lastRowLastColumn="0"/>
            </w:pPr>
            <w:r w:rsidRPr="00C73D06">
              <w:rPr>
                <w:sz w:val="36"/>
              </w:rPr>
              <w:t xml:space="preserve">C </w:t>
            </w:r>
            <w:r w:rsidRPr="00C73D06">
              <w:t>(VP if required by an employer or state legislation)</w:t>
            </w:r>
          </w:p>
        </w:tc>
        <w:tc>
          <w:tcPr>
            <w:tcW w:w="2434" w:type="dxa"/>
            <w:shd w:val="clear" w:color="auto" w:fill="AEC4D2"/>
            <w:vAlign w:val="center"/>
          </w:tcPr>
          <w:p w14:paraId="79085CD0" w14:textId="77777777" w:rsidR="00BE48EE" w:rsidRPr="00C73D06" w:rsidRDefault="00BE48EE" w:rsidP="00BE48EE">
            <w:pPr>
              <w:jc w:val="center"/>
              <w:cnfStyle w:val="000000100000" w:firstRow="0" w:lastRow="0" w:firstColumn="0" w:lastColumn="0" w:oddVBand="0" w:evenVBand="0" w:oddHBand="1" w:evenHBand="0" w:firstRowFirstColumn="0" w:firstRowLastColumn="0" w:lastRowFirstColumn="0" w:lastRowLastColumn="0"/>
            </w:pPr>
            <w:r w:rsidRPr="00C73D06">
              <w:rPr>
                <w:sz w:val="36"/>
              </w:rPr>
              <w:t xml:space="preserve">C </w:t>
            </w:r>
            <w:r w:rsidRPr="00C73D06">
              <w:t>(VP if required by an employer or state legislation)</w:t>
            </w:r>
          </w:p>
        </w:tc>
      </w:tr>
    </w:tbl>
    <w:p w14:paraId="615EB414" w14:textId="77777777" w:rsidR="00BE48EE" w:rsidRPr="00C73D06" w:rsidRDefault="00BE48EE" w:rsidP="00BE48EE">
      <w:pPr>
        <w:rPr>
          <w:sz w:val="18"/>
          <w:szCs w:val="22"/>
        </w:rPr>
      </w:pPr>
      <w:r w:rsidRPr="00C73D06">
        <w:rPr>
          <w:sz w:val="18"/>
          <w:szCs w:val="22"/>
        </w:rPr>
        <w:t>*C = Criminal History Check, VP=</w:t>
      </w:r>
      <w:r w:rsidRPr="00C73D06">
        <w:rPr>
          <w:rFonts w:eastAsia="Times New Roman" w:cstheme="minorHAnsi"/>
          <w:sz w:val="18"/>
          <w:szCs w:val="22"/>
          <w:lang w:val="en" w:eastAsia="en-GB"/>
        </w:rPr>
        <w:t xml:space="preserve"> Working with Children Check or Working with Vulnerable People registration</w:t>
      </w:r>
    </w:p>
    <w:p w14:paraId="092F535D" w14:textId="77777777" w:rsidR="00BE48EE" w:rsidRDefault="00BE48EE" w:rsidP="00BE48EE">
      <w:pPr>
        <w:spacing w:before="160"/>
        <w:rPr>
          <w:szCs w:val="22"/>
        </w:rPr>
      </w:pPr>
      <w:r w:rsidRPr="00C73D06">
        <w:rPr>
          <w:szCs w:val="22"/>
        </w:rPr>
        <w:t>Screening mechanisms</w:t>
      </w:r>
      <w:r>
        <w:rPr>
          <w:szCs w:val="22"/>
        </w:rPr>
        <w:t>,</w:t>
      </w:r>
      <w:r w:rsidRPr="00C73D06">
        <w:rPr>
          <w:szCs w:val="22"/>
        </w:rPr>
        <w:t xml:space="preserve"> such as </w:t>
      </w:r>
      <w:r w:rsidRPr="00C73D06">
        <w:rPr>
          <w:rFonts w:eastAsia="Times New Roman" w:cstheme="minorHAnsi"/>
          <w:szCs w:val="22"/>
          <w:lang w:val="en" w:eastAsia="en-GB"/>
        </w:rPr>
        <w:t>a Working with Children Check or Working with Vulnerable People registration</w:t>
      </w:r>
      <w:r>
        <w:rPr>
          <w:rFonts w:eastAsia="Times New Roman" w:cstheme="minorHAnsi"/>
          <w:szCs w:val="22"/>
          <w:lang w:val="en" w:eastAsia="en-GB"/>
        </w:rPr>
        <w:t>,</w:t>
      </w:r>
      <w:r w:rsidRPr="00C73D06" w:rsidDel="00B648F3">
        <w:rPr>
          <w:szCs w:val="22"/>
        </w:rPr>
        <w:t xml:space="preserve"> </w:t>
      </w:r>
      <w:r w:rsidRPr="00C73D06">
        <w:rPr>
          <w:szCs w:val="22"/>
        </w:rPr>
        <w:t xml:space="preserve">could be implemented for all cohorts of professionals engaged </w:t>
      </w:r>
      <w:r>
        <w:rPr>
          <w:szCs w:val="22"/>
        </w:rPr>
        <w:t>to</w:t>
      </w:r>
      <w:r w:rsidRPr="00C73D06">
        <w:rPr>
          <w:szCs w:val="22"/>
        </w:rPr>
        <w:t xml:space="preserve"> </w:t>
      </w:r>
      <w:r>
        <w:rPr>
          <w:szCs w:val="22"/>
        </w:rPr>
        <w:t>prepare</w:t>
      </w:r>
      <w:r w:rsidRPr="00C73D06">
        <w:rPr>
          <w:szCs w:val="22"/>
        </w:rPr>
        <w:t xml:space="preserve"> </w:t>
      </w:r>
      <w:r>
        <w:rPr>
          <w:szCs w:val="22"/>
        </w:rPr>
        <w:t xml:space="preserve">family </w:t>
      </w:r>
      <w:r w:rsidRPr="00C73D06">
        <w:rPr>
          <w:szCs w:val="22"/>
        </w:rPr>
        <w:t>reports</w:t>
      </w:r>
      <w:r>
        <w:rPr>
          <w:szCs w:val="22"/>
        </w:rPr>
        <w:t xml:space="preserve"> where this is available. This would help ensure that </w:t>
      </w:r>
      <w:r w:rsidRPr="00C73D06">
        <w:rPr>
          <w:szCs w:val="22"/>
        </w:rPr>
        <w:t>family report writers have high standards of integrity and ethical behaviour.</w:t>
      </w:r>
    </w:p>
    <w:p w14:paraId="779DC011" w14:textId="77777777" w:rsidR="00BE48EE" w:rsidRPr="00C73D06" w:rsidRDefault="00BE48EE" w:rsidP="00BE48EE">
      <w:pPr>
        <w:pStyle w:val="Heading3"/>
      </w:pPr>
      <w:bookmarkStart w:id="37" w:name="_Toc67657899"/>
      <w:r w:rsidRPr="00C73D06">
        <w:t>Fit and proper person or suitable to perform duties and functions</w:t>
      </w:r>
      <w:bookmarkEnd w:id="37"/>
    </w:p>
    <w:p w14:paraId="79DE4F99" w14:textId="400CB716" w:rsidR="00BE48EE" w:rsidRPr="00C73D06" w:rsidRDefault="00BE48EE" w:rsidP="00BE48EE">
      <w:pPr>
        <w:rPr>
          <w:szCs w:val="22"/>
        </w:rPr>
      </w:pPr>
      <w:r w:rsidRPr="00C73D06">
        <w:rPr>
          <w:szCs w:val="22"/>
        </w:rPr>
        <w:t xml:space="preserve">Factors demonstrating the suitability of a person to be </w:t>
      </w:r>
      <w:r>
        <w:rPr>
          <w:szCs w:val="22"/>
        </w:rPr>
        <w:t xml:space="preserve">engaged as </w:t>
      </w:r>
      <w:r w:rsidRPr="00C73D06">
        <w:rPr>
          <w:szCs w:val="22"/>
        </w:rPr>
        <w:t xml:space="preserve">a family report writer need not be limited to a person’s criminal history, but could include a requirement that a person be of good character or involve an assessment of any employment disciplinary issues. For example, the ‘fit and proper person’ test is included in the </w:t>
      </w:r>
      <w:r w:rsidRPr="00C73D06">
        <w:rPr>
          <w:szCs w:val="22"/>
        </w:rPr>
        <w:lastRenderedPageBreak/>
        <w:t xml:space="preserve">National Law and applies to psychologists and psychiatrists. The National Board of a profession will decide whether an individual is </w:t>
      </w:r>
      <w:r w:rsidRPr="00C73D06">
        <w:t>a fit and proper person for registration.</w:t>
      </w:r>
      <w:r w:rsidRPr="00C73D06">
        <w:rPr>
          <w:rStyle w:val="FootnoteReference"/>
        </w:rPr>
        <w:footnoteReference w:id="61"/>
      </w:r>
      <w:r w:rsidRPr="00C73D06">
        <w:rPr>
          <w:szCs w:val="22"/>
        </w:rPr>
        <w:t xml:space="preserve"> This test is defined in case law to include a </w:t>
      </w:r>
      <w:r w:rsidRPr="00C73D06">
        <w:t>basic level of honesty, integrity and trustworthiness, but takes its meaning from the context of the profession.</w:t>
      </w:r>
      <w:r w:rsidRPr="00C73D06">
        <w:rPr>
          <w:rStyle w:val="FootnoteReference"/>
        </w:rPr>
        <w:footnoteReference w:id="62"/>
      </w:r>
    </w:p>
    <w:p w14:paraId="60A0917F" w14:textId="77777777" w:rsidR="00BE48EE" w:rsidRPr="00C73D06" w:rsidRDefault="00BE48EE" w:rsidP="004C5C6E">
      <w:pPr>
        <w:keepNext/>
        <w:pBdr>
          <w:top w:val="single" w:sz="4" w:space="1" w:color="auto"/>
          <w:left w:val="single" w:sz="4" w:space="4" w:color="auto"/>
          <w:bottom w:val="single" w:sz="4" w:space="1" w:color="auto"/>
          <w:right w:val="single" w:sz="4" w:space="4" w:color="auto"/>
        </w:pBdr>
        <w:shd w:val="clear" w:color="auto" w:fill="ECF1F4"/>
        <w:spacing w:after="0"/>
        <w:rPr>
          <w:b/>
          <w:color w:val="C87200"/>
          <w:sz w:val="28"/>
        </w:rPr>
      </w:pPr>
      <w:r>
        <w:rPr>
          <w:b/>
          <w:color w:val="C87200"/>
          <w:sz w:val="28"/>
        </w:rPr>
        <w:t>Question 8: S</w:t>
      </w:r>
      <w:r w:rsidRPr="00C73D06">
        <w:rPr>
          <w:b/>
          <w:color w:val="C87200"/>
          <w:sz w:val="28"/>
        </w:rPr>
        <w:t>creening</w:t>
      </w:r>
    </w:p>
    <w:p w14:paraId="0AFAAB27" w14:textId="77777777" w:rsidR="00BE48EE" w:rsidRPr="004C5C6E" w:rsidRDefault="00BE48EE" w:rsidP="004C5C6E">
      <w:pPr>
        <w:pBdr>
          <w:top w:val="single" w:sz="4" w:space="1" w:color="auto"/>
          <w:left w:val="single" w:sz="4" w:space="4" w:color="auto"/>
          <w:bottom w:val="single" w:sz="4" w:space="1" w:color="auto"/>
          <w:right w:val="single" w:sz="4" w:space="4" w:color="auto"/>
        </w:pBdr>
        <w:shd w:val="clear" w:color="auto" w:fill="ECF1F4"/>
        <w:spacing w:line="240" w:lineRule="auto"/>
        <w:rPr>
          <w:sz w:val="28"/>
        </w:rPr>
      </w:pPr>
      <w:r w:rsidRPr="004C5C6E">
        <w:rPr>
          <w:sz w:val="28"/>
        </w:rPr>
        <w:t>Should family report writers be subject to suitability screening? If so, what type of screening is relevant?</w:t>
      </w:r>
    </w:p>
    <w:p w14:paraId="4D84ADDD" w14:textId="3B55D8D8" w:rsidR="00BE48EE" w:rsidRPr="004C5C6E" w:rsidRDefault="00BE48EE" w:rsidP="004C5C6E">
      <w:pPr>
        <w:pBdr>
          <w:top w:val="single" w:sz="4" w:space="1" w:color="auto"/>
          <w:left w:val="single" w:sz="4" w:space="4" w:color="auto"/>
          <w:bottom w:val="single" w:sz="4" w:space="1" w:color="auto"/>
          <w:right w:val="single" w:sz="4" w:space="4" w:color="auto"/>
        </w:pBdr>
        <w:shd w:val="clear" w:color="auto" w:fill="ECF1F4"/>
      </w:pPr>
      <w:r w:rsidRPr="004C5C6E">
        <w:t>Questions on how this may be achieved are located on page 2</w:t>
      </w:r>
      <w:r w:rsidR="00843079" w:rsidRPr="004C5C6E">
        <w:t>7</w:t>
      </w:r>
      <w:r w:rsidRPr="004C5C6E">
        <w:t>.</w:t>
      </w:r>
    </w:p>
    <w:p w14:paraId="760EE80D" w14:textId="77777777" w:rsidR="00BE48EE" w:rsidRPr="00C73D06" w:rsidRDefault="00BE48EE" w:rsidP="00BE48EE">
      <w:pPr>
        <w:pStyle w:val="Heading2"/>
        <w:spacing w:before="240"/>
      </w:pPr>
      <w:bookmarkStart w:id="38" w:name="_Toc67657900"/>
      <w:bookmarkStart w:id="39" w:name="_Toc73542504"/>
      <w:r w:rsidRPr="00C73D06">
        <w:t>Quality assurance mechanisms</w:t>
      </w:r>
      <w:bookmarkEnd w:id="38"/>
      <w:bookmarkEnd w:id="39"/>
    </w:p>
    <w:p w14:paraId="34E922B9" w14:textId="77777777" w:rsidR="00BE48EE" w:rsidRPr="00C73D06" w:rsidRDefault="00BE48EE" w:rsidP="00BE48EE">
      <w:pPr>
        <w:spacing w:after="0"/>
        <w:rPr>
          <w:szCs w:val="22"/>
        </w:rPr>
      </w:pPr>
      <w:r w:rsidRPr="00C73D06">
        <w:t>Quality assurance mechanisms</w:t>
      </w:r>
      <w:r>
        <w:t xml:space="preserve"> help</w:t>
      </w:r>
      <w:r w:rsidRPr="00C73D06">
        <w:t xml:space="preserve"> ensure</w:t>
      </w:r>
      <w:r>
        <w:t xml:space="preserve"> the</w:t>
      </w:r>
      <w:r w:rsidRPr="00C73D06">
        <w:t xml:space="preserve"> ongoing</w:t>
      </w:r>
      <w:r>
        <w:t xml:space="preserve"> </w:t>
      </w:r>
      <w:r w:rsidRPr="00C73D06">
        <w:t>quality</w:t>
      </w:r>
      <w:r>
        <w:t xml:space="preserve"> of work. </w:t>
      </w:r>
      <w:r w:rsidRPr="00C73D06">
        <w:rPr>
          <w:szCs w:val="22"/>
        </w:rPr>
        <w:t>Quality assurance mechanisms can include, but are not limited to:</w:t>
      </w:r>
    </w:p>
    <w:p w14:paraId="6EE5F18A" w14:textId="77777777" w:rsidR="00BE48EE" w:rsidRPr="00C73D06" w:rsidRDefault="00BE48EE" w:rsidP="00BE48EE">
      <w:pPr>
        <w:pStyle w:val="ListParagraph"/>
        <w:numPr>
          <w:ilvl w:val="0"/>
          <w:numId w:val="10"/>
        </w:numPr>
        <w:rPr>
          <w:szCs w:val="22"/>
        </w:rPr>
      </w:pPr>
      <w:r>
        <w:rPr>
          <w:szCs w:val="22"/>
        </w:rPr>
        <w:t>P</w:t>
      </w:r>
      <w:r w:rsidRPr="00C73D06">
        <w:rPr>
          <w:szCs w:val="22"/>
        </w:rPr>
        <w:t xml:space="preserve">eriodic supervision and peer review (psychologists are required to undertake peer consultation and psychiatrists are required to undertake formal peer review or supervision, see </w:t>
      </w:r>
      <w:r w:rsidRPr="00C73D06">
        <w:rPr>
          <w:b/>
          <w:szCs w:val="22"/>
        </w:rPr>
        <w:t>Table 2</w:t>
      </w:r>
      <w:r w:rsidRPr="00C73D06">
        <w:rPr>
          <w:szCs w:val="22"/>
        </w:rPr>
        <w:t>)</w:t>
      </w:r>
      <w:r>
        <w:rPr>
          <w:szCs w:val="22"/>
        </w:rPr>
        <w:t>.</w:t>
      </w:r>
      <w:r w:rsidRPr="00C73D06">
        <w:rPr>
          <w:szCs w:val="22"/>
        </w:rPr>
        <w:t xml:space="preserve"> </w:t>
      </w:r>
    </w:p>
    <w:p w14:paraId="06702F47" w14:textId="77777777" w:rsidR="00BE48EE" w:rsidRPr="00C73D06" w:rsidRDefault="00BE48EE" w:rsidP="00BE48EE">
      <w:pPr>
        <w:pStyle w:val="ListParagraph"/>
        <w:numPr>
          <w:ilvl w:val="0"/>
          <w:numId w:val="10"/>
        </w:numPr>
        <w:rPr>
          <w:szCs w:val="22"/>
        </w:rPr>
      </w:pPr>
      <w:r>
        <w:rPr>
          <w:szCs w:val="22"/>
        </w:rPr>
        <w:t>P</w:t>
      </w:r>
      <w:r w:rsidRPr="00C73D06">
        <w:rPr>
          <w:szCs w:val="22"/>
        </w:rPr>
        <w:t>eer or specialist review in specific circumstances</w:t>
      </w:r>
      <w:r>
        <w:rPr>
          <w:szCs w:val="22"/>
        </w:rPr>
        <w:t>, such as</w:t>
      </w:r>
      <w:r w:rsidRPr="00C73D06">
        <w:rPr>
          <w:szCs w:val="22"/>
        </w:rPr>
        <w:t xml:space="preserve"> </w:t>
      </w:r>
      <w:r>
        <w:rPr>
          <w:szCs w:val="22"/>
        </w:rPr>
        <w:t>family reports concerning</w:t>
      </w:r>
      <w:r w:rsidRPr="00C73D06">
        <w:rPr>
          <w:szCs w:val="22"/>
        </w:rPr>
        <w:t xml:space="preserve"> Aboriginal and Torres Strait Islander </w:t>
      </w:r>
      <w:r>
        <w:rPr>
          <w:szCs w:val="22"/>
        </w:rPr>
        <w:t>families</w:t>
      </w:r>
      <w:r w:rsidRPr="00C73D06">
        <w:rPr>
          <w:szCs w:val="22"/>
        </w:rPr>
        <w:t>, parents or children with disability or child abuse</w:t>
      </w:r>
      <w:r>
        <w:rPr>
          <w:szCs w:val="22"/>
        </w:rPr>
        <w:t>.</w:t>
      </w:r>
    </w:p>
    <w:p w14:paraId="18D258E3" w14:textId="77777777" w:rsidR="00BE48EE" w:rsidRPr="00C73D06" w:rsidRDefault="00BE48EE" w:rsidP="00BE48EE">
      <w:pPr>
        <w:pStyle w:val="ListParagraph"/>
        <w:numPr>
          <w:ilvl w:val="0"/>
          <w:numId w:val="10"/>
        </w:numPr>
        <w:rPr>
          <w:szCs w:val="22"/>
        </w:rPr>
      </w:pPr>
      <w:r>
        <w:rPr>
          <w:szCs w:val="22"/>
        </w:rPr>
        <w:t>Q</w:t>
      </w:r>
      <w:r w:rsidRPr="00C73D06">
        <w:rPr>
          <w:szCs w:val="22"/>
        </w:rPr>
        <w:t>uality assurance checklists applied by the author or by an employer</w:t>
      </w:r>
      <w:r>
        <w:rPr>
          <w:szCs w:val="22"/>
        </w:rPr>
        <w:t>.</w:t>
      </w:r>
    </w:p>
    <w:p w14:paraId="58A8C8BE" w14:textId="77777777" w:rsidR="00BE48EE" w:rsidRPr="00C73D06" w:rsidRDefault="00BE48EE" w:rsidP="00BE48EE">
      <w:pPr>
        <w:pStyle w:val="ListParagraph"/>
        <w:numPr>
          <w:ilvl w:val="0"/>
          <w:numId w:val="10"/>
        </w:numPr>
        <w:rPr>
          <w:szCs w:val="22"/>
        </w:rPr>
      </w:pPr>
      <w:r>
        <w:rPr>
          <w:szCs w:val="22"/>
        </w:rPr>
        <w:t>R</w:t>
      </w:r>
      <w:r w:rsidRPr="00C73D06">
        <w:rPr>
          <w:szCs w:val="22"/>
        </w:rPr>
        <w:t>eviews or audits</w:t>
      </w:r>
      <w:r>
        <w:rPr>
          <w:szCs w:val="22"/>
        </w:rPr>
        <w:t>.</w:t>
      </w:r>
      <w:r w:rsidRPr="00C73D06">
        <w:rPr>
          <w:szCs w:val="22"/>
        </w:rPr>
        <w:t xml:space="preserve"> </w:t>
      </w:r>
    </w:p>
    <w:p w14:paraId="5E29F76A" w14:textId="77777777" w:rsidR="00BE48EE" w:rsidRPr="00C73D06" w:rsidRDefault="00BE48EE" w:rsidP="00BE48EE">
      <w:pPr>
        <w:pStyle w:val="ListParagraph"/>
        <w:numPr>
          <w:ilvl w:val="0"/>
          <w:numId w:val="10"/>
        </w:numPr>
        <w:rPr>
          <w:szCs w:val="22"/>
        </w:rPr>
      </w:pPr>
      <w:r>
        <w:rPr>
          <w:szCs w:val="22"/>
        </w:rPr>
        <w:t>D</w:t>
      </w:r>
      <w:r w:rsidRPr="00C73D06">
        <w:rPr>
          <w:szCs w:val="22"/>
        </w:rPr>
        <w:t xml:space="preserve">emonstration or evidence of completion/attainment/maintenance of certain training, registration and screening requirements. </w:t>
      </w:r>
    </w:p>
    <w:p w14:paraId="0B0587E9" w14:textId="77777777" w:rsidR="00BE48EE" w:rsidRPr="00C73D06" w:rsidRDefault="00BE48EE" w:rsidP="00BE48EE">
      <w:pPr>
        <w:rPr>
          <w:szCs w:val="22"/>
        </w:rPr>
      </w:pPr>
      <w:r w:rsidRPr="00C73D06">
        <w:rPr>
          <w:szCs w:val="22"/>
        </w:rPr>
        <w:t xml:space="preserve">The quality assurance and oversight mechanisms specific </w:t>
      </w:r>
      <w:r>
        <w:rPr>
          <w:szCs w:val="22"/>
        </w:rPr>
        <w:t>to</w:t>
      </w:r>
      <w:r w:rsidRPr="00C73D06">
        <w:rPr>
          <w:szCs w:val="22"/>
        </w:rPr>
        <w:t xml:space="preserve"> family report writers varies based upon the method of their employment or appointment. </w:t>
      </w:r>
    </w:p>
    <w:p w14:paraId="6E3BA66C" w14:textId="77777777" w:rsidR="00BE48EE" w:rsidRPr="00C73D06" w:rsidRDefault="00BE48EE" w:rsidP="00BE48EE">
      <w:pPr>
        <w:pStyle w:val="Heading3"/>
        <w:spacing w:before="240"/>
      </w:pPr>
      <w:bookmarkStart w:id="40" w:name="_Toc67657902"/>
      <w:r>
        <w:t>Quality assurance mechanisms for family consultants</w:t>
      </w:r>
      <w:bookmarkEnd w:id="40"/>
    </w:p>
    <w:p w14:paraId="016C6098" w14:textId="77777777" w:rsidR="00BE48EE" w:rsidRDefault="00BE48EE" w:rsidP="00BE48EE">
      <w:pPr>
        <w:spacing w:after="120"/>
        <w:rPr>
          <w:szCs w:val="22"/>
        </w:rPr>
      </w:pPr>
      <w:r w:rsidRPr="00C73D06">
        <w:rPr>
          <w:szCs w:val="22"/>
        </w:rPr>
        <w:t xml:space="preserve">A high level of quality assurance is applied by </w:t>
      </w:r>
      <w:r>
        <w:rPr>
          <w:szCs w:val="22"/>
        </w:rPr>
        <w:t>CCS</w:t>
      </w:r>
      <w:r w:rsidRPr="00C73D06">
        <w:rPr>
          <w:szCs w:val="22"/>
        </w:rPr>
        <w:t xml:space="preserve"> and FCCCS</w:t>
      </w:r>
      <w:r w:rsidRPr="00C73D06">
        <w:rPr>
          <w:color w:val="FF0000"/>
          <w:szCs w:val="22"/>
        </w:rPr>
        <w:t xml:space="preserve"> </w:t>
      </w:r>
      <w:r w:rsidRPr="00C73D06">
        <w:rPr>
          <w:szCs w:val="22"/>
        </w:rPr>
        <w:t>for in-house family consultants and the family reports they produce.</w:t>
      </w:r>
      <w:r>
        <w:rPr>
          <w:szCs w:val="22"/>
        </w:rPr>
        <w:t xml:space="preserve"> </w:t>
      </w:r>
      <w:r w:rsidRPr="00C73D06">
        <w:rPr>
          <w:szCs w:val="22"/>
        </w:rPr>
        <w:t xml:space="preserve">Regulation 7 appointments have less </w:t>
      </w:r>
      <w:r>
        <w:rPr>
          <w:szCs w:val="22"/>
        </w:rPr>
        <w:t>oversight</w:t>
      </w:r>
      <w:r w:rsidRPr="00C73D06">
        <w:rPr>
          <w:szCs w:val="22"/>
        </w:rPr>
        <w:t xml:space="preserve"> of their work compared </w:t>
      </w:r>
      <w:r>
        <w:rPr>
          <w:szCs w:val="22"/>
        </w:rPr>
        <w:t>to</w:t>
      </w:r>
      <w:r w:rsidRPr="00C73D06">
        <w:rPr>
          <w:szCs w:val="22"/>
        </w:rPr>
        <w:t xml:space="preserve"> in-house family consultants. </w:t>
      </w:r>
      <w:r>
        <w:rPr>
          <w:szCs w:val="22"/>
        </w:rPr>
        <w:t>Recently</w:t>
      </w:r>
      <w:r w:rsidRPr="00C73D06">
        <w:rPr>
          <w:rFonts w:cstheme="minorHAnsi"/>
          <w:color w:val="000000" w:themeColor="text1"/>
        </w:rPr>
        <w:t xml:space="preserve">, </w:t>
      </w:r>
      <w:r>
        <w:rPr>
          <w:szCs w:val="22"/>
        </w:rPr>
        <w:t xml:space="preserve">CCS </w:t>
      </w:r>
      <w:r w:rsidRPr="00C73D06">
        <w:rPr>
          <w:rFonts w:cstheme="minorHAnsi"/>
          <w:color w:val="000000" w:themeColor="text1"/>
        </w:rPr>
        <w:t xml:space="preserve">has </w:t>
      </w:r>
      <w:r>
        <w:rPr>
          <w:rFonts w:cstheme="minorHAnsi"/>
          <w:color w:val="000000" w:themeColor="text1"/>
        </w:rPr>
        <w:t>made efforts</w:t>
      </w:r>
      <w:r w:rsidRPr="00C73D06">
        <w:rPr>
          <w:rFonts w:cstheme="minorHAnsi"/>
          <w:color w:val="000000" w:themeColor="text1"/>
        </w:rPr>
        <w:t xml:space="preserve"> to build the quality and consistency of reports prepared by</w:t>
      </w:r>
      <w:r>
        <w:rPr>
          <w:rFonts w:cstheme="minorHAnsi"/>
          <w:color w:val="000000" w:themeColor="text1"/>
        </w:rPr>
        <w:t xml:space="preserve"> regulation 7 family consultant</w:t>
      </w:r>
      <w:r w:rsidRPr="00C73D06">
        <w:rPr>
          <w:rFonts w:cstheme="minorHAnsi"/>
          <w:color w:val="000000" w:themeColor="text1"/>
        </w:rPr>
        <w:t>s</w:t>
      </w:r>
      <w:r>
        <w:rPr>
          <w:rFonts w:cstheme="minorHAnsi"/>
          <w:color w:val="000000" w:themeColor="text1"/>
        </w:rPr>
        <w:t>.</w:t>
      </w:r>
    </w:p>
    <w:p w14:paraId="35C2554D" w14:textId="77777777" w:rsidR="00BE48EE" w:rsidRPr="00014C6F" w:rsidRDefault="00BE48EE" w:rsidP="00BE48EE">
      <w:pPr>
        <w:spacing w:after="0"/>
        <w:rPr>
          <w:b/>
          <w:szCs w:val="22"/>
        </w:rPr>
      </w:pPr>
      <w:r>
        <w:rPr>
          <w:b/>
          <w:szCs w:val="22"/>
        </w:rPr>
        <w:t>Table 4: Current quality assurance mechanisms for family consultants.</w:t>
      </w:r>
    </w:p>
    <w:tbl>
      <w:tblPr>
        <w:tblStyle w:val="TableGrid"/>
        <w:tblW w:w="10343" w:type="dxa"/>
        <w:tblLook w:val="04A0" w:firstRow="1" w:lastRow="0" w:firstColumn="1" w:lastColumn="0" w:noHBand="0" w:noVBand="1"/>
        <w:tblCaption w:val="Table 4. Quality assurance mechanisms for family consultants"/>
        <w:tblDescription w:val="This table lists types of quality assurance mechanisms, and compares how these are applied to in-house and regulation 7 family consultants. "/>
      </w:tblPr>
      <w:tblGrid>
        <w:gridCol w:w="1838"/>
        <w:gridCol w:w="3969"/>
        <w:gridCol w:w="4536"/>
      </w:tblGrid>
      <w:tr w:rsidR="00BE48EE" w14:paraId="209C6E77" w14:textId="77777777" w:rsidTr="00BE48EE">
        <w:trPr>
          <w:cantSplit/>
          <w:tblHeader/>
        </w:trPr>
        <w:tc>
          <w:tcPr>
            <w:tcW w:w="1838" w:type="dxa"/>
            <w:shd w:val="clear" w:color="auto" w:fill="4D738A"/>
          </w:tcPr>
          <w:p w14:paraId="7B4F39A5" w14:textId="77777777" w:rsidR="00BE48EE" w:rsidRPr="00716FF1" w:rsidRDefault="00BE48EE" w:rsidP="00BE48EE">
            <w:pPr>
              <w:jc w:val="center"/>
              <w:rPr>
                <w:b/>
                <w:color w:val="FFFFFF" w:themeColor="background1"/>
                <w:sz w:val="20"/>
              </w:rPr>
            </w:pPr>
            <w:r w:rsidRPr="00716FF1">
              <w:rPr>
                <w:b/>
                <w:color w:val="FFFFFF" w:themeColor="background1"/>
                <w:sz w:val="20"/>
              </w:rPr>
              <w:t xml:space="preserve">Mechanism applied by </w:t>
            </w:r>
            <w:r>
              <w:rPr>
                <w:b/>
                <w:color w:val="FFFFFF" w:themeColor="background1"/>
                <w:sz w:val="20"/>
              </w:rPr>
              <w:t>CCS</w:t>
            </w:r>
            <w:r w:rsidRPr="00716FF1">
              <w:rPr>
                <w:b/>
                <w:color w:val="FFFFFF" w:themeColor="background1"/>
                <w:sz w:val="20"/>
              </w:rPr>
              <w:t>*</w:t>
            </w:r>
          </w:p>
        </w:tc>
        <w:tc>
          <w:tcPr>
            <w:tcW w:w="3969" w:type="dxa"/>
            <w:shd w:val="clear" w:color="auto" w:fill="4D738A"/>
            <w:vAlign w:val="center"/>
          </w:tcPr>
          <w:p w14:paraId="29636FF8" w14:textId="77777777" w:rsidR="00BE48EE" w:rsidRPr="00716FF1" w:rsidRDefault="00BE48EE" w:rsidP="00BE48EE">
            <w:pPr>
              <w:jc w:val="center"/>
              <w:rPr>
                <w:b/>
                <w:color w:val="FFFFFF" w:themeColor="background1"/>
                <w:sz w:val="20"/>
              </w:rPr>
            </w:pPr>
            <w:r w:rsidRPr="00716FF1">
              <w:rPr>
                <w:b/>
                <w:color w:val="FFFFFF" w:themeColor="background1"/>
                <w:sz w:val="20"/>
              </w:rPr>
              <w:t>In-house</w:t>
            </w:r>
          </w:p>
        </w:tc>
        <w:tc>
          <w:tcPr>
            <w:tcW w:w="4536" w:type="dxa"/>
            <w:shd w:val="clear" w:color="auto" w:fill="4D738A"/>
            <w:vAlign w:val="center"/>
          </w:tcPr>
          <w:p w14:paraId="66CB4ED7" w14:textId="77777777" w:rsidR="00BE48EE" w:rsidRPr="00716FF1" w:rsidRDefault="00BE48EE" w:rsidP="00BE48EE">
            <w:pPr>
              <w:jc w:val="center"/>
              <w:rPr>
                <w:b/>
                <w:color w:val="FFFFFF" w:themeColor="background1"/>
                <w:sz w:val="20"/>
              </w:rPr>
            </w:pPr>
            <w:r w:rsidRPr="00716FF1">
              <w:rPr>
                <w:b/>
                <w:color w:val="FFFFFF" w:themeColor="background1"/>
                <w:sz w:val="20"/>
              </w:rPr>
              <w:t>Regulation 7</w:t>
            </w:r>
          </w:p>
        </w:tc>
      </w:tr>
      <w:tr w:rsidR="00BE48EE" w14:paraId="15C0BA60" w14:textId="77777777" w:rsidTr="00BE48EE">
        <w:trPr>
          <w:cantSplit/>
        </w:trPr>
        <w:tc>
          <w:tcPr>
            <w:tcW w:w="1838" w:type="dxa"/>
            <w:shd w:val="clear" w:color="auto" w:fill="4D738A"/>
          </w:tcPr>
          <w:p w14:paraId="2C469556" w14:textId="77777777" w:rsidR="00BE48EE" w:rsidRPr="00F77243" w:rsidRDefault="00BE48EE" w:rsidP="00BE48EE">
            <w:pPr>
              <w:rPr>
                <w:color w:val="FFFFFF" w:themeColor="background1"/>
              </w:rPr>
            </w:pPr>
            <w:r w:rsidRPr="00F77243">
              <w:rPr>
                <w:color w:val="FFFFFF" w:themeColor="background1"/>
              </w:rPr>
              <w:t>Recruitment requirements</w:t>
            </w:r>
          </w:p>
        </w:tc>
        <w:tc>
          <w:tcPr>
            <w:tcW w:w="3969" w:type="dxa"/>
            <w:shd w:val="clear" w:color="auto" w:fill="AEC4D2"/>
          </w:tcPr>
          <w:p w14:paraId="2ADBD05F" w14:textId="77777777" w:rsidR="00BE48EE" w:rsidRPr="00F77243" w:rsidRDefault="00BE48EE" w:rsidP="00BE48EE">
            <w:pPr>
              <w:jc w:val="left"/>
              <w:rPr>
                <w:highlight w:val="yellow"/>
              </w:rPr>
            </w:pPr>
            <w:r w:rsidRPr="00F77243">
              <w:t>Candidates have at least 5 years relevant experience and undertake a rigorous skills and knowledge assessment.</w:t>
            </w:r>
          </w:p>
        </w:tc>
        <w:tc>
          <w:tcPr>
            <w:tcW w:w="4536" w:type="dxa"/>
            <w:shd w:val="clear" w:color="auto" w:fill="AEC4D2"/>
          </w:tcPr>
          <w:p w14:paraId="4DD594F8" w14:textId="77777777" w:rsidR="00BE48EE" w:rsidRPr="00F77243" w:rsidRDefault="00BE48EE" w:rsidP="00BE48EE">
            <w:pPr>
              <w:jc w:val="left"/>
              <w:rPr>
                <w:rFonts w:cstheme="minorHAnsi"/>
                <w:color w:val="000000" w:themeColor="text1"/>
                <w:highlight w:val="yellow"/>
              </w:rPr>
            </w:pPr>
            <w:r w:rsidRPr="00F77243">
              <w:t>Candidates have at least 5 years relevant experience and undertake a rigorous skills and knowledge assessment.</w:t>
            </w:r>
          </w:p>
        </w:tc>
      </w:tr>
      <w:tr w:rsidR="00BE48EE" w14:paraId="20D06C08" w14:textId="77777777" w:rsidTr="00BE48EE">
        <w:trPr>
          <w:cantSplit/>
        </w:trPr>
        <w:tc>
          <w:tcPr>
            <w:tcW w:w="1838" w:type="dxa"/>
            <w:shd w:val="clear" w:color="auto" w:fill="4D738A"/>
          </w:tcPr>
          <w:p w14:paraId="1DBAA4E8" w14:textId="77777777" w:rsidR="00BE48EE" w:rsidRPr="00D87082" w:rsidRDefault="00BE48EE" w:rsidP="00BE48EE">
            <w:pPr>
              <w:rPr>
                <w:color w:val="FFFFFF" w:themeColor="background1"/>
              </w:rPr>
            </w:pPr>
            <w:r w:rsidRPr="00D87082">
              <w:rPr>
                <w:color w:val="FFFFFF" w:themeColor="background1"/>
              </w:rPr>
              <w:lastRenderedPageBreak/>
              <w:t>Induction</w:t>
            </w:r>
          </w:p>
        </w:tc>
        <w:tc>
          <w:tcPr>
            <w:tcW w:w="3969" w:type="dxa"/>
            <w:shd w:val="clear" w:color="auto" w:fill="D5E0E7"/>
          </w:tcPr>
          <w:p w14:paraId="1C551C52" w14:textId="50D6EB4F" w:rsidR="00BE48EE" w:rsidRPr="001C43B1" w:rsidRDefault="00BE48EE" w:rsidP="00BE48EE">
            <w:pPr>
              <w:jc w:val="left"/>
              <w:rPr>
                <w:highlight w:val="yellow"/>
              </w:rPr>
            </w:pPr>
            <w:r w:rsidRPr="001C43B1">
              <w:t xml:space="preserve">Nationally consistent, structured </w:t>
            </w:r>
            <w:r w:rsidRPr="00ED544A">
              <w:t>induction</w:t>
            </w:r>
            <w:r>
              <w:t xml:space="preserve"> for up to 9 months</w:t>
            </w:r>
            <w:r w:rsidRPr="00ED544A">
              <w:t xml:space="preserve"> (see page 1</w:t>
            </w:r>
            <w:r w:rsidR="00843079">
              <w:t>3</w:t>
            </w:r>
            <w:r w:rsidRPr="00ED544A">
              <w:t>).</w:t>
            </w:r>
          </w:p>
        </w:tc>
        <w:tc>
          <w:tcPr>
            <w:tcW w:w="4536" w:type="dxa"/>
            <w:shd w:val="clear" w:color="auto" w:fill="D5E0E7"/>
          </w:tcPr>
          <w:p w14:paraId="082C2692" w14:textId="174309A0" w:rsidR="00BE48EE" w:rsidRPr="00ED544A" w:rsidRDefault="00BE48EE" w:rsidP="00BE48EE">
            <w:pPr>
              <w:jc w:val="left"/>
              <w:rPr>
                <w:rFonts w:cstheme="minorHAnsi"/>
                <w:color w:val="000000" w:themeColor="text1"/>
              </w:rPr>
            </w:pPr>
            <w:r w:rsidRPr="0056316E">
              <w:rPr>
                <w:rFonts w:cstheme="minorHAnsi"/>
                <w:color w:val="000000" w:themeColor="text1"/>
              </w:rPr>
              <w:t>Nationally consistent orientation program (see page 1</w:t>
            </w:r>
            <w:r w:rsidR="00843079">
              <w:rPr>
                <w:rFonts w:cstheme="minorHAnsi"/>
                <w:color w:val="000000" w:themeColor="text1"/>
              </w:rPr>
              <w:t>3</w:t>
            </w:r>
            <w:r w:rsidRPr="0056316E">
              <w:rPr>
                <w:rFonts w:cstheme="minorHAnsi"/>
                <w:color w:val="000000" w:themeColor="text1"/>
              </w:rPr>
              <w:t>).</w:t>
            </w:r>
          </w:p>
        </w:tc>
      </w:tr>
      <w:tr w:rsidR="00BE48EE" w14:paraId="2B134A54" w14:textId="77777777" w:rsidTr="00BE48EE">
        <w:trPr>
          <w:cantSplit/>
        </w:trPr>
        <w:tc>
          <w:tcPr>
            <w:tcW w:w="1838" w:type="dxa"/>
            <w:shd w:val="clear" w:color="auto" w:fill="4D738A"/>
          </w:tcPr>
          <w:p w14:paraId="76CD4333" w14:textId="77777777" w:rsidR="00BE48EE" w:rsidRPr="00D87082" w:rsidRDefault="00BE48EE" w:rsidP="00BE48EE">
            <w:pPr>
              <w:rPr>
                <w:color w:val="FFFFFF" w:themeColor="background1"/>
              </w:rPr>
            </w:pPr>
            <w:r w:rsidRPr="00D87082">
              <w:rPr>
                <w:color w:val="FFFFFF" w:themeColor="background1"/>
              </w:rPr>
              <w:t>Supervision</w:t>
            </w:r>
          </w:p>
        </w:tc>
        <w:tc>
          <w:tcPr>
            <w:tcW w:w="3969" w:type="dxa"/>
            <w:shd w:val="clear" w:color="auto" w:fill="AEC4D2"/>
          </w:tcPr>
          <w:p w14:paraId="3B97E2A1" w14:textId="77777777" w:rsidR="00BE48EE" w:rsidRPr="001C43B1" w:rsidRDefault="00BE48EE" w:rsidP="00BE48EE">
            <w:pPr>
              <w:jc w:val="left"/>
              <w:rPr>
                <w:highlight w:val="yellow"/>
              </w:rPr>
            </w:pPr>
            <w:r>
              <w:t xml:space="preserve">Formal supervision framework. </w:t>
            </w:r>
            <w:r w:rsidRPr="0056316E">
              <w:t>Mentoring and close supervision by a senior family consultant for the first 6 months</w:t>
            </w:r>
            <w:r>
              <w:t>,</w:t>
            </w:r>
            <w:r w:rsidRPr="0056316E">
              <w:t xml:space="preserve"> then 10 hours per year of direct professional supervision</w:t>
            </w:r>
            <w:r>
              <w:t xml:space="preserve"> (pro-rata for part-time), in addition to ongoing informal supervision</w:t>
            </w:r>
            <w:r w:rsidRPr="0056316E">
              <w:t>.</w:t>
            </w:r>
          </w:p>
        </w:tc>
        <w:tc>
          <w:tcPr>
            <w:tcW w:w="4536" w:type="dxa"/>
            <w:shd w:val="clear" w:color="auto" w:fill="AEC4D2"/>
          </w:tcPr>
          <w:p w14:paraId="4CDE11EE" w14:textId="77777777" w:rsidR="00BE48EE" w:rsidRDefault="00BE48EE" w:rsidP="00BE48EE">
            <w:pPr>
              <w:jc w:val="left"/>
              <w:rPr>
                <w:rFonts w:cstheme="minorHAnsi"/>
                <w:color w:val="000000" w:themeColor="text1"/>
              </w:rPr>
            </w:pPr>
            <w:r w:rsidRPr="0056316E">
              <w:rPr>
                <w:rFonts w:cstheme="minorHAnsi"/>
                <w:color w:val="000000" w:themeColor="text1"/>
              </w:rPr>
              <w:t>O</w:t>
            </w:r>
            <w:r w:rsidRPr="0056316E">
              <w:t xml:space="preserve">ption to contact a senior </w:t>
            </w:r>
            <w:r>
              <w:t>CCS</w:t>
            </w:r>
            <w:r w:rsidRPr="0056316E">
              <w:t xml:space="preserve"> staff member to discuss a case.</w:t>
            </w:r>
            <w:r w:rsidRPr="0056316E">
              <w:rPr>
                <w:rFonts w:cstheme="minorHAnsi"/>
                <w:color w:val="000000" w:themeColor="text1"/>
              </w:rPr>
              <w:t xml:space="preserve"> </w:t>
            </w:r>
          </w:p>
          <w:p w14:paraId="7E62B053" w14:textId="77777777" w:rsidR="00BE48EE" w:rsidRPr="001C43B1" w:rsidRDefault="00BE48EE" w:rsidP="00BE48EE">
            <w:pPr>
              <w:jc w:val="left"/>
              <w:rPr>
                <w:highlight w:val="yellow"/>
              </w:rPr>
            </w:pPr>
          </w:p>
        </w:tc>
      </w:tr>
      <w:tr w:rsidR="00BE48EE" w14:paraId="731BDDFE" w14:textId="77777777" w:rsidTr="00BE48EE">
        <w:trPr>
          <w:cantSplit/>
        </w:trPr>
        <w:tc>
          <w:tcPr>
            <w:tcW w:w="1838" w:type="dxa"/>
            <w:shd w:val="clear" w:color="auto" w:fill="4D738A"/>
          </w:tcPr>
          <w:p w14:paraId="1E173AD4" w14:textId="77777777" w:rsidR="00BE48EE" w:rsidRPr="00D87082" w:rsidRDefault="00BE48EE" w:rsidP="00BE48EE">
            <w:pPr>
              <w:jc w:val="left"/>
              <w:rPr>
                <w:color w:val="FFFFFF" w:themeColor="background1"/>
              </w:rPr>
            </w:pPr>
            <w:r w:rsidRPr="00D87082">
              <w:rPr>
                <w:color w:val="FFFFFF" w:themeColor="background1"/>
              </w:rPr>
              <w:t>Review</w:t>
            </w:r>
            <w:r>
              <w:rPr>
                <w:color w:val="FFFFFF" w:themeColor="background1"/>
              </w:rPr>
              <w:t>/audit</w:t>
            </w:r>
            <w:r w:rsidRPr="00D87082">
              <w:rPr>
                <w:color w:val="FFFFFF" w:themeColor="background1"/>
              </w:rPr>
              <w:t xml:space="preserve"> by </w:t>
            </w:r>
            <w:r>
              <w:rPr>
                <w:color w:val="FFFFFF" w:themeColor="background1"/>
              </w:rPr>
              <w:t>a senior practitioner</w:t>
            </w:r>
          </w:p>
        </w:tc>
        <w:tc>
          <w:tcPr>
            <w:tcW w:w="3969" w:type="dxa"/>
            <w:shd w:val="clear" w:color="auto" w:fill="D5E0E7"/>
          </w:tcPr>
          <w:p w14:paraId="7C38A756" w14:textId="77777777" w:rsidR="00BE48EE" w:rsidRPr="001C43B1" w:rsidRDefault="00BE48EE" w:rsidP="00BE48EE">
            <w:pPr>
              <w:jc w:val="left"/>
              <w:rPr>
                <w:highlight w:val="yellow"/>
              </w:rPr>
            </w:pPr>
            <w:r w:rsidRPr="0056316E">
              <w:t xml:space="preserve">All reports are reviewed by a senior practitioner. Senior staff undergo training in quality assurance. </w:t>
            </w:r>
          </w:p>
        </w:tc>
        <w:tc>
          <w:tcPr>
            <w:tcW w:w="4536" w:type="dxa"/>
            <w:shd w:val="clear" w:color="auto" w:fill="D5E0E7"/>
          </w:tcPr>
          <w:p w14:paraId="247883A8" w14:textId="77777777" w:rsidR="00BE48EE" w:rsidRDefault="00BE48EE" w:rsidP="00BE48EE">
            <w:pPr>
              <w:jc w:val="left"/>
            </w:pPr>
            <w:r w:rsidRPr="0056316E">
              <w:t>Quality assurance of the first 4</w:t>
            </w:r>
            <w:r>
              <w:t xml:space="preserve"> to </w:t>
            </w:r>
            <w:r w:rsidRPr="0056316E">
              <w:t>6 reports completed and further quality assurance as required.</w:t>
            </w:r>
            <w:r>
              <w:t xml:space="preserve"> </w:t>
            </w:r>
          </w:p>
          <w:p w14:paraId="3E5F8FC9" w14:textId="77777777" w:rsidR="00BE48EE" w:rsidRPr="001C43B1" w:rsidRDefault="00BE48EE" w:rsidP="00BE48EE">
            <w:pPr>
              <w:jc w:val="left"/>
              <w:rPr>
                <w:highlight w:val="yellow"/>
              </w:rPr>
            </w:pPr>
            <w:r>
              <w:t>Annual report auditing process undertaken with all regulation 7 family consultants, where reports are randomly selected and quality assured.</w:t>
            </w:r>
          </w:p>
        </w:tc>
      </w:tr>
      <w:tr w:rsidR="00BE48EE" w14:paraId="039027F0" w14:textId="77777777" w:rsidTr="00BE48EE">
        <w:trPr>
          <w:cantSplit/>
        </w:trPr>
        <w:tc>
          <w:tcPr>
            <w:tcW w:w="1838" w:type="dxa"/>
            <w:shd w:val="clear" w:color="auto" w:fill="4D738A"/>
          </w:tcPr>
          <w:p w14:paraId="0F206086" w14:textId="77777777" w:rsidR="00BE48EE" w:rsidRPr="00D87082" w:rsidRDefault="00BE48EE" w:rsidP="00BE48EE">
            <w:pPr>
              <w:jc w:val="left"/>
              <w:rPr>
                <w:color w:val="FFFFFF" w:themeColor="background1"/>
              </w:rPr>
            </w:pPr>
            <w:r>
              <w:rPr>
                <w:color w:val="FFFFFF" w:themeColor="background1"/>
              </w:rPr>
              <w:t>Q</w:t>
            </w:r>
            <w:r w:rsidRPr="00D87082">
              <w:rPr>
                <w:color w:val="FFFFFF" w:themeColor="background1"/>
              </w:rPr>
              <w:t>uality assurance checklist</w:t>
            </w:r>
          </w:p>
        </w:tc>
        <w:tc>
          <w:tcPr>
            <w:tcW w:w="3969" w:type="dxa"/>
            <w:shd w:val="clear" w:color="auto" w:fill="AEC4D2"/>
          </w:tcPr>
          <w:p w14:paraId="6823A2E9" w14:textId="77777777" w:rsidR="00BE48EE" w:rsidRPr="001C43B1" w:rsidRDefault="00BE48EE" w:rsidP="00BE48EE">
            <w:pPr>
              <w:jc w:val="left"/>
              <w:rPr>
                <w:highlight w:val="yellow"/>
              </w:rPr>
            </w:pPr>
            <w:r w:rsidRPr="001C43B1">
              <w:t xml:space="preserve">A quality assurance checklist is provided for self-administration, and for </w:t>
            </w:r>
            <w:r>
              <w:t xml:space="preserve">use by </w:t>
            </w:r>
            <w:r w:rsidRPr="001C43B1">
              <w:t xml:space="preserve">senior </w:t>
            </w:r>
            <w:r>
              <w:t xml:space="preserve">CCS </w:t>
            </w:r>
            <w:r w:rsidRPr="001C43B1">
              <w:t>staff when undertaking quality assurance</w:t>
            </w:r>
            <w:r>
              <w:t xml:space="preserve"> activities</w:t>
            </w:r>
            <w:r w:rsidRPr="001C43B1">
              <w:t>.</w:t>
            </w:r>
          </w:p>
        </w:tc>
        <w:tc>
          <w:tcPr>
            <w:tcW w:w="4536" w:type="dxa"/>
            <w:shd w:val="clear" w:color="auto" w:fill="AEC4D2"/>
          </w:tcPr>
          <w:p w14:paraId="3A2DA142" w14:textId="77777777" w:rsidR="00BE48EE" w:rsidRPr="001C43B1" w:rsidRDefault="00BE48EE" w:rsidP="00BE48EE">
            <w:pPr>
              <w:jc w:val="left"/>
              <w:rPr>
                <w:highlight w:val="yellow"/>
              </w:rPr>
            </w:pPr>
            <w:r w:rsidRPr="001C43B1">
              <w:t>A quality assurance checklist is provided for self-administration</w:t>
            </w:r>
            <w:r>
              <w:t>,</w:t>
            </w:r>
            <w:r w:rsidRPr="001C43B1">
              <w:t xml:space="preserve"> and for </w:t>
            </w:r>
            <w:r>
              <w:t xml:space="preserve">use by </w:t>
            </w:r>
            <w:r w:rsidRPr="001C43B1">
              <w:t xml:space="preserve">senior </w:t>
            </w:r>
            <w:r>
              <w:t xml:space="preserve">CCS </w:t>
            </w:r>
            <w:r w:rsidRPr="001C43B1">
              <w:t>staff when undertaking quality assurance</w:t>
            </w:r>
            <w:r>
              <w:t xml:space="preserve"> activities</w:t>
            </w:r>
            <w:r w:rsidRPr="001C43B1">
              <w:t>.</w:t>
            </w:r>
          </w:p>
        </w:tc>
      </w:tr>
      <w:tr w:rsidR="00BE48EE" w14:paraId="5B780812" w14:textId="77777777" w:rsidTr="00BE48EE">
        <w:trPr>
          <w:cantSplit/>
        </w:trPr>
        <w:tc>
          <w:tcPr>
            <w:tcW w:w="1838" w:type="dxa"/>
            <w:shd w:val="clear" w:color="auto" w:fill="4D738A"/>
          </w:tcPr>
          <w:p w14:paraId="4C58D630" w14:textId="77777777" w:rsidR="00BE48EE" w:rsidRPr="00D87082" w:rsidRDefault="00BE48EE" w:rsidP="00BE48EE">
            <w:pPr>
              <w:rPr>
                <w:color w:val="FFFFFF" w:themeColor="background1"/>
              </w:rPr>
            </w:pPr>
            <w:r w:rsidRPr="00D87082">
              <w:rPr>
                <w:color w:val="FFFFFF" w:themeColor="background1"/>
              </w:rPr>
              <w:t>Performance review</w:t>
            </w:r>
          </w:p>
        </w:tc>
        <w:tc>
          <w:tcPr>
            <w:tcW w:w="3969" w:type="dxa"/>
            <w:shd w:val="clear" w:color="auto" w:fill="D5E0E7"/>
          </w:tcPr>
          <w:p w14:paraId="071DCB87" w14:textId="77777777" w:rsidR="00BE48EE" w:rsidRPr="001C43B1" w:rsidRDefault="00BE48EE" w:rsidP="00BE48EE">
            <w:pPr>
              <w:spacing w:line="259" w:lineRule="auto"/>
              <w:jc w:val="left"/>
              <w:rPr>
                <w:highlight w:val="yellow"/>
              </w:rPr>
            </w:pPr>
            <w:r w:rsidRPr="00ED544A">
              <w:t>A structured performance management agreement and review is conducted.</w:t>
            </w:r>
          </w:p>
        </w:tc>
        <w:tc>
          <w:tcPr>
            <w:tcW w:w="4536" w:type="dxa"/>
            <w:shd w:val="clear" w:color="auto" w:fill="D5E0E7"/>
          </w:tcPr>
          <w:p w14:paraId="1D15B696" w14:textId="77777777" w:rsidR="00BE48EE" w:rsidRPr="0056316E" w:rsidRDefault="00BE48EE" w:rsidP="00BE48EE">
            <w:pPr>
              <w:jc w:val="left"/>
            </w:pPr>
            <w:r w:rsidRPr="0056316E">
              <w:rPr>
                <w:rFonts w:cstheme="minorHAnsi"/>
                <w:color w:val="000000" w:themeColor="text1"/>
              </w:rPr>
              <w:t>Annual review meetings</w:t>
            </w:r>
            <w:r>
              <w:rPr>
                <w:rFonts w:cstheme="minorHAnsi"/>
                <w:color w:val="000000" w:themeColor="text1"/>
              </w:rPr>
              <w:t xml:space="preserve"> are part of the annual report auditing process</w:t>
            </w:r>
            <w:r w:rsidRPr="0056316E">
              <w:rPr>
                <w:rFonts w:cstheme="minorHAnsi"/>
                <w:color w:val="000000" w:themeColor="text1"/>
              </w:rPr>
              <w:t xml:space="preserve">. More regular reviews are conducted where concerns are identified. </w:t>
            </w:r>
            <w:r w:rsidRPr="0056316E">
              <w:t xml:space="preserve">The court will not continue to </w:t>
            </w:r>
            <w:r>
              <w:t>use the regulation 7 family consultant</w:t>
            </w:r>
            <w:r w:rsidRPr="0056316E">
              <w:t xml:space="preserve"> if their work does not reach a satisfactory standard.</w:t>
            </w:r>
          </w:p>
          <w:p w14:paraId="650A6956" w14:textId="77777777" w:rsidR="00BE48EE" w:rsidRPr="001C43B1" w:rsidRDefault="00BE48EE" w:rsidP="00BE48EE">
            <w:pPr>
              <w:jc w:val="left"/>
              <w:rPr>
                <w:highlight w:val="yellow"/>
              </w:rPr>
            </w:pPr>
            <w:r w:rsidRPr="0056316E">
              <w:rPr>
                <w:rFonts w:cstheme="minorHAnsi"/>
                <w:color w:val="000000" w:themeColor="text1"/>
              </w:rPr>
              <w:t xml:space="preserve">The Regulation 7 Family Consultant Register is reviewed on a regular basis. </w:t>
            </w:r>
          </w:p>
        </w:tc>
      </w:tr>
      <w:tr w:rsidR="00BE48EE" w14:paraId="6ED4DCEC" w14:textId="77777777" w:rsidTr="00BE48EE">
        <w:trPr>
          <w:cantSplit/>
        </w:trPr>
        <w:tc>
          <w:tcPr>
            <w:tcW w:w="1838" w:type="dxa"/>
            <w:shd w:val="clear" w:color="auto" w:fill="4D738A"/>
          </w:tcPr>
          <w:p w14:paraId="26DA6FBC" w14:textId="77777777" w:rsidR="00BE48EE" w:rsidRPr="00D87082" w:rsidRDefault="00BE48EE" w:rsidP="00BE48EE">
            <w:pPr>
              <w:rPr>
                <w:color w:val="FFFFFF" w:themeColor="background1"/>
              </w:rPr>
            </w:pPr>
            <w:r w:rsidRPr="00D87082">
              <w:rPr>
                <w:color w:val="FFFFFF" w:themeColor="background1"/>
              </w:rPr>
              <w:t>Clinical governance documents</w:t>
            </w:r>
          </w:p>
        </w:tc>
        <w:tc>
          <w:tcPr>
            <w:tcW w:w="3969" w:type="dxa"/>
            <w:shd w:val="clear" w:color="auto" w:fill="AEC4D2"/>
          </w:tcPr>
          <w:p w14:paraId="24FD46EE" w14:textId="0C85962B" w:rsidR="00BE48EE" w:rsidRPr="001C43B1" w:rsidRDefault="00BE48EE" w:rsidP="00BE48EE">
            <w:pPr>
              <w:spacing w:line="259" w:lineRule="auto"/>
              <w:jc w:val="left"/>
              <w:rPr>
                <w:highlight w:val="yellow"/>
              </w:rPr>
            </w:pPr>
            <w:r w:rsidRPr="001C43B1">
              <w:t xml:space="preserve">Clinical governance documents are used to guide practice and ensure consistency (see pages </w:t>
            </w:r>
            <w:r w:rsidR="00843079">
              <w:t>8</w:t>
            </w:r>
            <w:r w:rsidRPr="001C43B1">
              <w:t xml:space="preserve"> and 1</w:t>
            </w:r>
            <w:r w:rsidR="00843079">
              <w:t>3</w:t>
            </w:r>
            <w:r w:rsidRPr="001C43B1">
              <w:t xml:space="preserve">). </w:t>
            </w:r>
          </w:p>
        </w:tc>
        <w:tc>
          <w:tcPr>
            <w:tcW w:w="4536" w:type="dxa"/>
            <w:shd w:val="clear" w:color="auto" w:fill="AEC4D2"/>
          </w:tcPr>
          <w:p w14:paraId="2396E4D1" w14:textId="77777777" w:rsidR="00BE48EE" w:rsidRPr="001C43B1" w:rsidRDefault="00BE48EE" w:rsidP="00BE48EE">
            <w:pPr>
              <w:jc w:val="left"/>
              <w:rPr>
                <w:rFonts w:cstheme="minorHAnsi"/>
                <w:color w:val="000000" w:themeColor="text1"/>
                <w:highlight w:val="yellow"/>
              </w:rPr>
            </w:pPr>
            <w:r w:rsidRPr="0056316E">
              <w:rPr>
                <w:rFonts w:cstheme="minorHAnsi"/>
                <w:color w:val="000000" w:themeColor="text1"/>
              </w:rPr>
              <w:t>Access to clinical governance documents through an online platform.</w:t>
            </w:r>
            <w:r>
              <w:rPr>
                <w:rFonts w:cstheme="minorHAnsi"/>
                <w:color w:val="000000" w:themeColor="text1"/>
              </w:rPr>
              <w:t xml:space="preserve"> </w:t>
            </w:r>
            <w:r w:rsidRPr="0056316E">
              <w:rPr>
                <w:rFonts w:cstheme="minorHAnsi"/>
                <w:color w:val="000000" w:themeColor="text1"/>
              </w:rPr>
              <w:t xml:space="preserve">A Professional Direction outlines the court’s expectations of regulation 7 family consultants. </w:t>
            </w:r>
          </w:p>
        </w:tc>
      </w:tr>
      <w:tr w:rsidR="00BE48EE" w14:paraId="06C5CC08" w14:textId="77777777" w:rsidTr="00BE48EE">
        <w:trPr>
          <w:cantSplit/>
        </w:trPr>
        <w:tc>
          <w:tcPr>
            <w:tcW w:w="1838" w:type="dxa"/>
            <w:shd w:val="clear" w:color="auto" w:fill="4D738A"/>
          </w:tcPr>
          <w:p w14:paraId="772C3002" w14:textId="77777777" w:rsidR="00BE48EE" w:rsidRPr="00D87082" w:rsidRDefault="00BE48EE" w:rsidP="00BE48EE">
            <w:pPr>
              <w:rPr>
                <w:color w:val="FFFFFF" w:themeColor="background1"/>
              </w:rPr>
            </w:pPr>
            <w:r w:rsidRPr="00D87082">
              <w:rPr>
                <w:color w:val="FFFFFF" w:themeColor="background1"/>
              </w:rPr>
              <w:t>Training</w:t>
            </w:r>
          </w:p>
        </w:tc>
        <w:tc>
          <w:tcPr>
            <w:tcW w:w="3969" w:type="dxa"/>
            <w:shd w:val="clear" w:color="auto" w:fill="D5E0E7"/>
          </w:tcPr>
          <w:p w14:paraId="753ABAAE" w14:textId="77777777" w:rsidR="00BE48EE" w:rsidRDefault="00BE48EE" w:rsidP="00BE48EE">
            <w:pPr>
              <w:jc w:val="left"/>
            </w:pPr>
            <w:r w:rsidRPr="00ED544A">
              <w:t xml:space="preserve">Mandatory training requirements, including CPD to maintain currency of skills, which must be logged. </w:t>
            </w:r>
          </w:p>
          <w:p w14:paraId="69188C16" w14:textId="637F97B1" w:rsidR="00BE48EE" w:rsidRPr="001C43B1" w:rsidRDefault="00BE48EE" w:rsidP="00BE48EE">
            <w:pPr>
              <w:jc w:val="left"/>
              <w:rPr>
                <w:highlight w:val="yellow"/>
              </w:rPr>
            </w:pPr>
            <w:r>
              <w:t>CCS provides o</w:t>
            </w:r>
            <w:r w:rsidRPr="0056316E">
              <w:t>ngoing professional training to meet</w:t>
            </w:r>
            <w:r>
              <w:t xml:space="preserve"> these</w:t>
            </w:r>
            <w:r w:rsidRPr="0056316E">
              <w:t xml:space="preserve"> requirements (see page 1</w:t>
            </w:r>
            <w:r w:rsidR="00843079">
              <w:t>3</w:t>
            </w:r>
            <w:r w:rsidRPr="0056316E">
              <w:t>).</w:t>
            </w:r>
          </w:p>
        </w:tc>
        <w:tc>
          <w:tcPr>
            <w:tcW w:w="4536" w:type="dxa"/>
            <w:shd w:val="clear" w:color="auto" w:fill="D5E0E7"/>
          </w:tcPr>
          <w:p w14:paraId="6DC310F7" w14:textId="77777777" w:rsidR="00BE48EE" w:rsidRPr="0056316E" w:rsidRDefault="00BE48EE" w:rsidP="00BE48EE">
            <w:pPr>
              <w:jc w:val="left"/>
              <w:rPr>
                <w:rFonts w:cstheme="minorHAnsi"/>
                <w:color w:val="000000" w:themeColor="text1"/>
              </w:rPr>
            </w:pPr>
            <w:r w:rsidRPr="0056316E">
              <w:rPr>
                <w:rFonts w:cstheme="minorHAnsi"/>
                <w:color w:val="000000" w:themeColor="text1"/>
              </w:rPr>
              <w:t xml:space="preserve">Access to </w:t>
            </w:r>
            <w:r>
              <w:rPr>
                <w:rFonts w:cstheme="minorHAnsi"/>
                <w:color w:val="000000" w:themeColor="text1"/>
              </w:rPr>
              <w:t xml:space="preserve">optional </w:t>
            </w:r>
            <w:r w:rsidRPr="0056316E">
              <w:rPr>
                <w:rFonts w:cstheme="minorHAnsi"/>
                <w:color w:val="000000" w:themeColor="text1"/>
              </w:rPr>
              <w:t xml:space="preserve">training provided by </w:t>
            </w:r>
            <w:r>
              <w:rPr>
                <w:rFonts w:cstheme="minorHAnsi"/>
                <w:color w:val="000000" w:themeColor="text1"/>
              </w:rPr>
              <w:t>CCS</w:t>
            </w:r>
            <w:r w:rsidRPr="0056316E">
              <w:rPr>
                <w:rFonts w:cstheme="minorHAnsi"/>
                <w:color w:val="000000" w:themeColor="text1"/>
              </w:rPr>
              <w:t xml:space="preserve"> through a platform that allows </w:t>
            </w:r>
            <w:r>
              <w:rPr>
                <w:rFonts w:cstheme="minorHAnsi"/>
                <w:color w:val="000000" w:themeColor="text1"/>
              </w:rPr>
              <w:t>CCS</w:t>
            </w:r>
            <w:r w:rsidRPr="0056316E">
              <w:rPr>
                <w:rFonts w:cstheme="minorHAnsi"/>
                <w:color w:val="000000" w:themeColor="text1"/>
              </w:rPr>
              <w:t xml:space="preserve"> to monitor which family consultants have completed it. </w:t>
            </w:r>
          </w:p>
          <w:p w14:paraId="6F6EBFED" w14:textId="77777777" w:rsidR="00BE48EE" w:rsidRPr="001C43B1" w:rsidRDefault="00BE48EE" w:rsidP="00BE48EE">
            <w:pPr>
              <w:jc w:val="left"/>
              <w:rPr>
                <w:highlight w:val="yellow"/>
              </w:rPr>
            </w:pPr>
          </w:p>
        </w:tc>
      </w:tr>
      <w:tr w:rsidR="00BE48EE" w14:paraId="7593D9DA" w14:textId="77777777" w:rsidTr="00BE48EE">
        <w:trPr>
          <w:cantSplit/>
        </w:trPr>
        <w:tc>
          <w:tcPr>
            <w:tcW w:w="1838" w:type="dxa"/>
            <w:shd w:val="clear" w:color="auto" w:fill="4D738A"/>
          </w:tcPr>
          <w:p w14:paraId="6D30F5CB" w14:textId="77777777" w:rsidR="00BE48EE" w:rsidRPr="00D87082" w:rsidRDefault="00BE48EE" w:rsidP="00BE48EE">
            <w:pPr>
              <w:jc w:val="left"/>
              <w:rPr>
                <w:color w:val="FFFFFF" w:themeColor="background1"/>
              </w:rPr>
            </w:pPr>
            <w:r>
              <w:rPr>
                <w:color w:val="FFFFFF" w:themeColor="background1"/>
              </w:rPr>
              <w:lastRenderedPageBreak/>
              <w:t>Knowledge remains up to date</w:t>
            </w:r>
          </w:p>
        </w:tc>
        <w:tc>
          <w:tcPr>
            <w:tcW w:w="3969" w:type="dxa"/>
            <w:shd w:val="clear" w:color="auto" w:fill="D5E0E7"/>
          </w:tcPr>
          <w:p w14:paraId="0A525101" w14:textId="77777777" w:rsidR="00BE48EE" w:rsidRDefault="00BE48EE" w:rsidP="00BE48EE">
            <w:pPr>
              <w:jc w:val="left"/>
            </w:pPr>
            <w:r>
              <w:t>Fortnightly</w:t>
            </w:r>
            <w:r w:rsidRPr="0056316E">
              <w:t xml:space="preserve"> updates are provided with recommended articles. Half a day per month is allocat</w:t>
            </w:r>
            <w:r>
              <w:t xml:space="preserve">ed to reviewing this research. </w:t>
            </w:r>
          </w:p>
          <w:p w14:paraId="12FA4857" w14:textId="77777777" w:rsidR="00BE48EE" w:rsidRPr="004B0414" w:rsidRDefault="00BE48EE" w:rsidP="00BE48EE">
            <w:pPr>
              <w:jc w:val="left"/>
              <w:rPr>
                <w:rFonts w:cstheme="minorHAnsi"/>
                <w:color w:val="000000" w:themeColor="text1"/>
              </w:rPr>
            </w:pPr>
            <w:r>
              <w:rPr>
                <w:rFonts w:cstheme="minorHAnsi"/>
                <w:color w:val="000000" w:themeColor="text1"/>
              </w:rPr>
              <w:t xml:space="preserve">Attendance at monthly CCS </w:t>
            </w:r>
            <w:r w:rsidRPr="0056316E">
              <w:rPr>
                <w:rFonts w:cstheme="minorHAnsi"/>
                <w:color w:val="000000" w:themeColor="text1"/>
              </w:rPr>
              <w:t>professional development seminars.</w:t>
            </w:r>
          </w:p>
        </w:tc>
        <w:tc>
          <w:tcPr>
            <w:tcW w:w="4536" w:type="dxa"/>
            <w:shd w:val="clear" w:color="auto" w:fill="D5E0E7"/>
          </w:tcPr>
          <w:p w14:paraId="26B5F531" w14:textId="77777777" w:rsidR="00BE48EE" w:rsidRDefault="00BE48EE" w:rsidP="00BE48EE">
            <w:pPr>
              <w:jc w:val="left"/>
              <w:rPr>
                <w:rFonts w:cstheme="minorHAnsi"/>
                <w:color w:val="000000" w:themeColor="text1"/>
              </w:rPr>
            </w:pPr>
            <w:r>
              <w:t>Fortnightly</w:t>
            </w:r>
            <w:r w:rsidRPr="0056316E">
              <w:t xml:space="preserve"> updates are provided with recommended articles.</w:t>
            </w:r>
            <w:r>
              <w:t xml:space="preserve"> </w:t>
            </w:r>
            <w:r w:rsidRPr="0056316E">
              <w:rPr>
                <w:rFonts w:cstheme="minorHAnsi"/>
                <w:color w:val="000000" w:themeColor="text1"/>
              </w:rPr>
              <w:t xml:space="preserve">There is </w:t>
            </w:r>
            <w:r>
              <w:rPr>
                <w:rFonts w:cstheme="minorHAnsi"/>
                <w:color w:val="000000" w:themeColor="text1"/>
              </w:rPr>
              <w:t xml:space="preserve">also </w:t>
            </w:r>
            <w:r w:rsidRPr="0056316E">
              <w:rPr>
                <w:rFonts w:cstheme="minorHAnsi"/>
                <w:color w:val="000000" w:themeColor="text1"/>
              </w:rPr>
              <w:t xml:space="preserve">a quarterly newsletter for regulation 7 family consultants, outlining </w:t>
            </w:r>
            <w:r>
              <w:rPr>
                <w:rFonts w:cstheme="minorHAnsi"/>
                <w:color w:val="000000" w:themeColor="text1"/>
              </w:rPr>
              <w:t>operational and clinical</w:t>
            </w:r>
            <w:r w:rsidRPr="0056316E">
              <w:rPr>
                <w:rFonts w:cstheme="minorHAnsi"/>
                <w:color w:val="000000" w:themeColor="text1"/>
              </w:rPr>
              <w:t xml:space="preserve"> issues </w:t>
            </w:r>
            <w:r>
              <w:rPr>
                <w:rFonts w:cstheme="minorHAnsi"/>
                <w:color w:val="000000" w:themeColor="text1"/>
              </w:rPr>
              <w:t>as well as</w:t>
            </w:r>
            <w:r w:rsidRPr="0056316E">
              <w:rPr>
                <w:rFonts w:cstheme="minorHAnsi"/>
                <w:color w:val="000000" w:themeColor="text1"/>
              </w:rPr>
              <w:t xml:space="preserve"> emerging research. </w:t>
            </w:r>
          </w:p>
          <w:p w14:paraId="2D8C2C7F" w14:textId="77777777" w:rsidR="00BE48EE" w:rsidRPr="008E5410" w:rsidRDefault="00BE48EE" w:rsidP="00BE48EE">
            <w:pPr>
              <w:jc w:val="left"/>
              <w:rPr>
                <w:rFonts w:cstheme="minorHAnsi"/>
                <w:color w:val="000000" w:themeColor="text1"/>
              </w:rPr>
            </w:pPr>
            <w:r>
              <w:rPr>
                <w:rFonts w:cstheme="minorHAnsi"/>
                <w:color w:val="000000" w:themeColor="text1"/>
              </w:rPr>
              <w:t>I</w:t>
            </w:r>
            <w:r w:rsidRPr="0056316E">
              <w:rPr>
                <w:rFonts w:cstheme="minorHAnsi"/>
                <w:color w:val="000000" w:themeColor="text1"/>
              </w:rPr>
              <w:t xml:space="preserve">nvitations to attend </w:t>
            </w:r>
            <w:r>
              <w:rPr>
                <w:rFonts w:cstheme="minorHAnsi"/>
                <w:color w:val="000000" w:themeColor="text1"/>
              </w:rPr>
              <w:t xml:space="preserve">monthly CCS </w:t>
            </w:r>
            <w:r w:rsidRPr="0056316E">
              <w:rPr>
                <w:rFonts w:cstheme="minorHAnsi"/>
                <w:color w:val="000000" w:themeColor="text1"/>
              </w:rPr>
              <w:t>pro</w:t>
            </w:r>
            <w:r>
              <w:rPr>
                <w:rFonts w:cstheme="minorHAnsi"/>
                <w:color w:val="000000" w:themeColor="text1"/>
              </w:rPr>
              <w:t>fessional development seminars.</w:t>
            </w:r>
          </w:p>
        </w:tc>
      </w:tr>
    </w:tbl>
    <w:p w14:paraId="4419789B" w14:textId="77777777" w:rsidR="00BE48EE" w:rsidRPr="00C73D06" w:rsidRDefault="00BE48EE" w:rsidP="00BE48EE">
      <w:r w:rsidRPr="00AE1415">
        <w:rPr>
          <w:rFonts w:cstheme="minorHAnsi"/>
          <w:color w:val="000000" w:themeColor="text1"/>
          <w:sz w:val="18"/>
          <w:szCs w:val="18"/>
        </w:rPr>
        <w:t>*</w:t>
      </w:r>
      <w:r>
        <w:rPr>
          <w:rFonts w:cstheme="minorHAnsi"/>
          <w:color w:val="000000" w:themeColor="text1"/>
          <w:sz w:val="18"/>
          <w:szCs w:val="18"/>
        </w:rPr>
        <w:t>Since February 2021, a</w:t>
      </w:r>
      <w:r w:rsidRPr="00AE1415">
        <w:rPr>
          <w:rFonts w:cstheme="minorHAnsi"/>
          <w:color w:val="000000" w:themeColor="text1"/>
          <w:sz w:val="18"/>
          <w:szCs w:val="18"/>
        </w:rPr>
        <w:t xml:space="preserve"> National Regulation 7 Family Consultant Coordinator manages many of the mechanisms outlined above for regulation 7 family consultants.</w:t>
      </w:r>
    </w:p>
    <w:p w14:paraId="2034A841" w14:textId="77777777" w:rsidR="00BE48EE" w:rsidRDefault="00BE48EE" w:rsidP="00BE48EE">
      <w:pPr>
        <w:rPr>
          <w:szCs w:val="22"/>
        </w:rPr>
      </w:pPr>
      <w:r w:rsidRPr="00C73D06">
        <w:rPr>
          <w:szCs w:val="22"/>
        </w:rPr>
        <w:t xml:space="preserve">While the courts can set expectations and requirements relevant to the role, there is no statutory regime for the management and </w:t>
      </w:r>
      <w:r w:rsidRPr="0094220D">
        <w:rPr>
          <w:szCs w:val="22"/>
        </w:rPr>
        <w:t>removal of regulation 7 family consultants once they are appointed</w:t>
      </w:r>
      <w:r w:rsidRPr="00C73D06">
        <w:rPr>
          <w:szCs w:val="22"/>
        </w:rPr>
        <w:t xml:space="preserve">. As a statutory appointment, any decision to remove a person from appointment is </w:t>
      </w:r>
      <w:r>
        <w:rPr>
          <w:szCs w:val="22"/>
        </w:rPr>
        <w:t xml:space="preserve">potentially </w:t>
      </w:r>
      <w:r w:rsidRPr="00C73D06">
        <w:rPr>
          <w:szCs w:val="22"/>
        </w:rPr>
        <w:t xml:space="preserve">subject to administrative review. </w:t>
      </w:r>
    </w:p>
    <w:p w14:paraId="1F278634" w14:textId="77777777" w:rsidR="00BE48EE" w:rsidRDefault="00BE48EE" w:rsidP="00BE48EE">
      <w:pPr>
        <w:spacing w:after="0"/>
        <w:rPr>
          <w:szCs w:val="22"/>
        </w:rPr>
      </w:pPr>
      <w:r>
        <w:rPr>
          <w:szCs w:val="22"/>
        </w:rPr>
        <w:t xml:space="preserve">For FCCCS, quality assurance includes </w:t>
      </w:r>
      <w:r>
        <w:t xml:space="preserve">regular </w:t>
      </w:r>
      <w:r w:rsidRPr="002802E3">
        <w:t xml:space="preserve">supervision </w:t>
      </w:r>
      <w:r>
        <w:t>by a line manager, regular review and approval of reports by a line manager, and t</w:t>
      </w:r>
      <w:r w:rsidRPr="002802E3">
        <w:t>raining</w:t>
      </w:r>
      <w:r>
        <w:t xml:space="preserve"> and professional development opportunities as required and relevant.</w:t>
      </w:r>
    </w:p>
    <w:p w14:paraId="4A544265" w14:textId="77777777" w:rsidR="00BE48EE" w:rsidRPr="00C73D06" w:rsidRDefault="00BE48EE" w:rsidP="00BE48EE">
      <w:pPr>
        <w:pStyle w:val="Heading3"/>
      </w:pPr>
      <w:bookmarkStart w:id="41" w:name="_Toc67657904"/>
      <w:r w:rsidRPr="00C73D06">
        <w:t>Single expert witnesses</w:t>
      </w:r>
      <w:bookmarkEnd w:id="41"/>
    </w:p>
    <w:p w14:paraId="1D83FDCD" w14:textId="77777777" w:rsidR="00BE48EE" w:rsidRPr="00C73D06" w:rsidRDefault="00BE48EE" w:rsidP="00BE48EE">
      <w:pPr>
        <w:rPr>
          <w:szCs w:val="22"/>
        </w:rPr>
      </w:pPr>
      <w:r w:rsidRPr="00C73D06">
        <w:rPr>
          <w:szCs w:val="22"/>
        </w:rPr>
        <w:t xml:space="preserve">There is no independent professional quality oversight for family reports prepared by single expert witnesses. </w:t>
      </w:r>
      <w:r>
        <w:rPr>
          <w:szCs w:val="22"/>
        </w:rPr>
        <w:t xml:space="preserve">The Psychology Board requires psychologists to participate in a minimum of 10 hours of peer consultation to meet registration standards. RANZCP requires psychiatrists to complete 10 hours of formal peer review activities. These requirements do not mandate supervision in family report writing. </w:t>
      </w:r>
      <w:r w:rsidRPr="00C73D06">
        <w:rPr>
          <w:szCs w:val="22"/>
        </w:rPr>
        <w:t xml:space="preserve">If the expert </w:t>
      </w:r>
      <w:r>
        <w:rPr>
          <w:szCs w:val="22"/>
        </w:rPr>
        <w:t>has an</w:t>
      </w:r>
      <w:r w:rsidRPr="00C73D06">
        <w:rPr>
          <w:szCs w:val="22"/>
        </w:rPr>
        <w:t xml:space="preserve"> </w:t>
      </w:r>
      <w:r>
        <w:rPr>
          <w:szCs w:val="22"/>
        </w:rPr>
        <w:t>employer, they may be</w:t>
      </w:r>
      <w:r w:rsidRPr="00C73D06">
        <w:rPr>
          <w:szCs w:val="22"/>
        </w:rPr>
        <w:t xml:space="preserve"> require</w:t>
      </w:r>
      <w:r>
        <w:rPr>
          <w:szCs w:val="22"/>
        </w:rPr>
        <w:t>d</w:t>
      </w:r>
      <w:r w:rsidRPr="00C73D06">
        <w:rPr>
          <w:szCs w:val="22"/>
        </w:rPr>
        <w:t xml:space="preserve"> to engage in additional supervision as a requirement of their contract.</w:t>
      </w:r>
    </w:p>
    <w:p w14:paraId="6BAC6488" w14:textId="77777777" w:rsidR="00BE48EE" w:rsidRPr="00C73D06" w:rsidRDefault="00BE48EE" w:rsidP="004C5C6E">
      <w:pPr>
        <w:keepNext/>
        <w:pBdr>
          <w:top w:val="single" w:sz="4" w:space="1" w:color="auto"/>
          <w:left w:val="single" w:sz="4" w:space="4" w:color="auto"/>
          <w:bottom w:val="single" w:sz="4" w:space="1" w:color="auto"/>
          <w:right w:val="single" w:sz="4" w:space="4" w:color="auto"/>
        </w:pBdr>
        <w:shd w:val="clear" w:color="auto" w:fill="ECF1F4"/>
        <w:spacing w:after="0"/>
      </w:pPr>
      <w:r w:rsidRPr="00C73D06">
        <w:rPr>
          <w:b/>
          <w:color w:val="C87200"/>
          <w:sz w:val="28"/>
        </w:rPr>
        <w:t>Question 9: Need for quality assurance mechanism</w:t>
      </w:r>
      <w:r>
        <w:rPr>
          <w:b/>
          <w:color w:val="C87200"/>
          <w:sz w:val="28"/>
        </w:rPr>
        <w:t>s</w:t>
      </w:r>
      <w:r w:rsidRPr="00C73D06">
        <w:rPr>
          <w:b/>
          <w:color w:val="C87200"/>
          <w:sz w:val="28"/>
        </w:rPr>
        <w:t xml:space="preserve"> for family report writers</w:t>
      </w:r>
    </w:p>
    <w:p w14:paraId="4F99A50C" w14:textId="77777777" w:rsidR="00BE48EE" w:rsidRPr="00F65D4D" w:rsidRDefault="00BE48EE" w:rsidP="004C5C6E">
      <w:pPr>
        <w:pBdr>
          <w:top w:val="single" w:sz="4" w:space="1" w:color="auto"/>
          <w:left w:val="single" w:sz="4" w:space="4" w:color="auto"/>
          <w:bottom w:val="single" w:sz="4" w:space="1" w:color="auto"/>
          <w:right w:val="single" w:sz="4" w:space="4" w:color="auto"/>
        </w:pBdr>
        <w:shd w:val="clear" w:color="auto" w:fill="ECF1F4"/>
        <w:spacing w:after="0"/>
        <w:rPr>
          <w:sz w:val="28"/>
        </w:rPr>
      </w:pPr>
      <w:r w:rsidRPr="00F65D4D">
        <w:rPr>
          <w:sz w:val="28"/>
        </w:rPr>
        <w:t>Should all family report writers be subject to quality assurance mechanisms as part of their appointment/employment?</w:t>
      </w:r>
    </w:p>
    <w:p w14:paraId="545DB013" w14:textId="6BB90D85" w:rsidR="00BE48EE" w:rsidRPr="00F65D4D" w:rsidRDefault="00BE48EE" w:rsidP="004C5C6E">
      <w:pPr>
        <w:pBdr>
          <w:top w:val="single" w:sz="4" w:space="1" w:color="auto"/>
          <w:left w:val="single" w:sz="4" w:space="4" w:color="auto"/>
          <w:bottom w:val="single" w:sz="4" w:space="1" w:color="auto"/>
          <w:right w:val="single" w:sz="4" w:space="4" w:color="auto"/>
        </w:pBdr>
        <w:shd w:val="clear" w:color="auto" w:fill="ECF1F4"/>
      </w:pPr>
      <w:r w:rsidRPr="00F65D4D">
        <w:t>Questions on how this may be achieved are located on pages 2</w:t>
      </w:r>
      <w:r w:rsidR="00843079" w:rsidRPr="00F65D4D">
        <w:t>6</w:t>
      </w:r>
      <w:r w:rsidRPr="00F65D4D">
        <w:t xml:space="preserve"> and 2</w:t>
      </w:r>
      <w:r w:rsidR="00843079" w:rsidRPr="00F65D4D">
        <w:t>7</w:t>
      </w:r>
      <w:r w:rsidRPr="00F65D4D">
        <w:t>.</w:t>
      </w:r>
    </w:p>
    <w:p w14:paraId="2938A644" w14:textId="77777777" w:rsidR="00BE48EE" w:rsidRPr="00C73D06" w:rsidRDefault="00BE48EE" w:rsidP="00BE48EE">
      <w:pPr>
        <w:pStyle w:val="Heading2"/>
        <w:spacing w:before="240"/>
      </w:pPr>
      <w:bookmarkStart w:id="42" w:name="_Toc67657905"/>
      <w:bookmarkStart w:id="43" w:name="_Toc73542505"/>
      <w:r w:rsidRPr="00C73D06">
        <w:t>Transparency</w:t>
      </w:r>
      <w:bookmarkEnd w:id="42"/>
      <w:bookmarkEnd w:id="43"/>
    </w:p>
    <w:p w14:paraId="7D4F3E9D" w14:textId="77777777" w:rsidR="00BE48EE" w:rsidRPr="00C73D06" w:rsidRDefault="00BE48EE" w:rsidP="00BE48EE">
      <w:pPr>
        <w:rPr>
          <w:szCs w:val="22"/>
        </w:rPr>
      </w:pPr>
      <w:r w:rsidRPr="00C73D06">
        <w:rPr>
          <w:szCs w:val="22"/>
        </w:rPr>
        <w:t>Prior to the appointment of a family report writer, the extent to which all parties are aware of the report writer’s qualifications, experiences, competencies and specialisations is unclear.</w:t>
      </w:r>
    </w:p>
    <w:p w14:paraId="64220AEA" w14:textId="77777777" w:rsidR="00BE48EE" w:rsidRPr="00C73D06" w:rsidRDefault="00BE48EE" w:rsidP="00BE48EE">
      <w:pPr>
        <w:autoSpaceDE w:val="0"/>
        <w:autoSpaceDN w:val="0"/>
        <w:adjustRightInd w:val="0"/>
        <w:rPr>
          <w:rFonts w:cstheme="minorHAnsi"/>
          <w:szCs w:val="22"/>
          <w:lang w:val="en-GB"/>
        </w:rPr>
      </w:pPr>
      <w:r w:rsidRPr="00C73D06">
        <w:rPr>
          <w:rFonts w:cstheme="minorHAnsi"/>
          <w:szCs w:val="22"/>
          <w:lang w:val="en-GB"/>
        </w:rPr>
        <w:t xml:space="preserve">The ALRC family law report proposed that the department maintain a publicly available list of accredited family report writers </w:t>
      </w:r>
      <w:r>
        <w:rPr>
          <w:rFonts w:cstheme="minorHAnsi"/>
          <w:szCs w:val="22"/>
          <w:lang w:val="en-GB"/>
        </w:rPr>
        <w:t>including details on</w:t>
      </w:r>
      <w:r w:rsidRPr="00C73D06">
        <w:rPr>
          <w:rFonts w:cstheme="minorHAnsi"/>
          <w:szCs w:val="22"/>
          <w:lang w:val="en-GB"/>
        </w:rPr>
        <w:t xml:space="preserve"> qualifications and experience.</w:t>
      </w:r>
      <w:r w:rsidRPr="00C73D06">
        <w:rPr>
          <w:rStyle w:val="FootnoteReference"/>
          <w:rFonts w:cstheme="minorHAnsi"/>
          <w:szCs w:val="22"/>
          <w:lang w:val="en-GB"/>
        </w:rPr>
        <w:footnoteReference w:id="63"/>
      </w:r>
      <w:r w:rsidRPr="00C73D06">
        <w:rPr>
          <w:rFonts w:cstheme="minorHAnsi"/>
          <w:szCs w:val="22"/>
          <w:lang w:val="en-GB"/>
        </w:rPr>
        <w:t xml:space="preserve"> This would enable parties to ascertain </w:t>
      </w:r>
      <w:r>
        <w:rPr>
          <w:rFonts w:cstheme="minorHAnsi"/>
          <w:szCs w:val="22"/>
          <w:lang w:val="en-GB"/>
        </w:rPr>
        <w:t>whether</w:t>
      </w:r>
      <w:r w:rsidRPr="00C73D06">
        <w:rPr>
          <w:rFonts w:cstheme="minorHAnsi"/>
          <w:szCs w:val="22"/>
          <w:lang w:val="en-GB"/>
        </w:rPr>
        <w:t xml:space="preserve"> a proposed report writer has acquired and maintained the relevant competencies and </w:t>
      </w:r>
      <w:r>
        <w:rPr>
          <w:rFonts w:cstheme="minorHAnsi"/>
          <w:szCs w:val="22"/>
          <w:lang w:val="en-GB"/>
        </w:rPr>
        <w:t xml:space="preserve">would </w:t>
      </w:r>
      <w:r w:rsidRPr="00C73D06">
        <w:rPr>
          <w:rFonts w:cstheme="minorHAnsi"/>
          <w:szCs w:val="22"/>
          <w:lang w:val="en-GB"/>
        </w:rPr>
        <w:t xml:space="preserve">address calls for greater transparency and consumer choice in the selection of family report writers. The JSC also noted that professionals </w:t>
      </w:r>
      <w:r>
        <w:rPr>
          <w:rFonts w:cstheme="minorHAnsi"/>
          <w:szCs w:val="22"/>
          <w:lang w:val="en-GB"/>
        </w:rPr>
        <w:lastRenderedPageBreak/>
        <w:t xml:space="preserve">who are </w:t>
      </w:r>
      <w:r w:rsidRPr="00C73D06">
        <w:rPr>
          <w:rFonts w:cstheme="minorHAnsi"/>
          <w:szCs w:val="22"/>
          <w:lang w:val="en-GB"/>
        </w:rPr>
        <w:t xml:space="preserve">appropriately qualified and </w:t>
      </w:r>
      <w:r>
        <w:rPr>
          <w:rFonts w:cstheme="minorHAnsi"/>
          <w:szCs w:val="22"/>
          <w:lang w:val="en-GB"/>
        </w:rPr>
        <w:t>have undertaken</w:t>
      </w:r>
      <w:r w:rsidRPr="00C73D06">
        <w:rPr>
          <w:rFonts w:cstheme="minorHAnsi"/>
          <w:szCs w:val="22"/>
          <w:lang w:val="en-GB"/>
        </w:rPr>
        <w:t xml:space="preserve"> family violence training should be easily identifiable </w:t>
      </w:r>
      <w:r>
        <w:rPr>
          <w:rFonts w:cstheme="minorHAnsi"/>
          <w:szCs w:val="22"/>
          <w:lang w:val="en-GB"/>
        </w:rPr>
        <w:t>to</w:t>
      </w:r>
      <w:r w:rsidRPr="00C73D06">
        <w:rPr>
          <w:rFonts w:cstheme="minorHAnsi"/>
          <w:szCs w:val="22"/>
          <w:lang w:val="en-GB"/>
        </w:rPr>
        <w:t xml:space="preserve"> parties </w:t>
      </w:r>
      <w:r>
        <w:rPr>
          <w:rFonts w:cstheme="minorHAnsi"/>
          <w:szCs w:val="22"/>
          <w:lang w:val="en-GB"/>
        </w:rPr>
        <w:t xml:space="preserve">who </w:t>
      </w:r>
      <w:r w:rsidRPr="00C73D06">
        <w:rPr>
          <w:rFonts w:cstheme="minorHAnsi"/>
          <w:szCs w:val="22"/>
          <w:lang w:val="en-GB"/>
        </w:rPr>
        <w:t>wish to use their own expert.</w:t>
      </w:r>
      <w:r w:rsidRPr="00C73D06">
        <w:rPr>
          <w:rStyle w:val="FootnoteReference"/>
          <w:rFonts w:cstheme="minorHAnsi"/>
          <w:szCs w:val="22"/>
          <w:lang w:val="en-GB"/>
        </w:rPr>
        <w:footnoteReference w:id="64"/>
      </w:r>
    </w:p>
    <w:p w14:paraId="090992D8" w14:textId="77777777" w:rsidR="00BE48EE" w:rsidRPr="00C73D06" w:rsidRDefault="00BE48EE" w:rsidP="00BE48EE">
      <w:pPr>
        <w:rPr>
          <w:szCs w:val="22"/>
        </w:rPr>
      </w:pPr>
      <w:r w:rsidRPr="00C73D06">
        <w:rPr>
          <w:szCs w:val="22"/>
        </w:rPr>
        <w:t>All family report writers are advised that they should provide particulars of their qualifications and experience as part of their report.</w:t>
      </w:r>
      <w:r w:rsidRPr="00C73D06">
        <w:rPr>
          <w:rStyle w:val="FootnoteReference"/>
          <w:szCs w:val="22"/>
        </w:rPr>
        <w:footnoteReference w:id="65"/>
      </w:r>
      <w:r w:rsidRPr="00C73D06">
        <w:rPr>
          <w:szCs w:val="22"/>
        </w:rPr>
        <w:t xml:space="preserve"> Single expert witnesses are also required by the rules to state their qualifications.</w:t>
      </w:r>
      <w:r w:rsidRPr="00C73D06">
        <w:rPr>
          <w:rStyle w:val="FootnoteReference"/>
          <w:szCs w:val="22"/>
        </w:rPr>
        <w:footnoteReference w:id="66"/>
      </w:r>
      <w:r w:rsidRPr="00C73D06">
        <w:rPr>
          <w:szCs w:val="22"/>
        </w:rPr>
        <w:t xml:space="preserve"> </w:t>
      </w:r>
    </w:p>
    <w:p w14:paraId="4F532828" w14:textId="77777777" w:rsidR="00BE48EE" w:rsidRPr="00C73D06" w:rsidRDefault="00BE48EE" w:rsidP="00BE48EE">
      <w:pPr>
        <w:pStyle w:val="Heading3"/>
        <w:spacing w:before="240"/>
      </w:pPr>
      <w:bookmarkStart w:id="44" w:name="_Toc67657906"/>
      <w:r w:rsidRPr="00C73D06">
        <w:t xml:space="preserve">Publicly available information </w:t>
      </w:r>
      <w:bookmarkEnd w:id="44"/>
    </w:p>
    <w:p w14:paraId="44386F81" w14:textId="77777777" w:rsidR="00BE48EE" w:rsidRPr="00C73D06" w:rsidRDefault="00BE48EE" w:rsidP="00BE48EE">
      <w:pPr>
        <w:spacing w:after="0"/>
        <w:rPr>
          <w:szCs w:val="22"/>
        </w:rPr>
      </w:pPr>
      <w:r w:rsidRPr="00C73D06">
        <w:rPr>
          <w:szCs w:val="22"/>
        </w:rPr>
        <w:t>Ahpra maintains a public register of practitioners, which includes all individuals registered as psychologists and psychiatrists.</w:t>
      </w:r>
      <w:r w:rsidRPr="00C73D06">
        <w:rPr>
          <w:rStyle w:val="FootnoteReference"/>
          <w:szCs w:val="22"/>
        </w:rPr>
        <w:footnoteReference w:id="67"/>
      </w:r>
      <w:r w:rsidRPr="00C73D06">
        <w:rPr>
          <w:szCs w:val="22"/>
        </w:rPr>
        <w:t xml:space="preserve"> The public register provides information on: </w:t>
      </w:r>
    </w:p>
    <w:p w14:paraId="441A940F" w14:textId="77777777" w:rsidR="00BE48EE" w:rsidRPr="00C73D06" w:rsidRDefault="00BE48EE" w:rsidP="00BE48EE">
      <w:pPr>
        <w:pStyle w:val="ListParagraph"/>
        <w:numPr>
          <w:ilvl w:val="0"/>
          <w:numId w:val="32"/>
        </w:numPr>
        <w:rPr>
          <w:szCs w:val="22"/>
        </w:rPr>
      </w:pPr>
      <w:r w:rsidRPr="00C73D06">
        <w:rPr>
          <w:szCs w:val="22"/>
        </w:rPr>
        <w:t>the reg</w:t>
      </w:r>
      <w:r>
        <w:rPr>
          <w:szCs w:val="22"/>
        </w:rPr>
        <w:t>istration type and expiry date</w:t>
      </w:r>
    </w:p>
    <w:p w14:paraId="4AAEE861" w14:textId="77777777" w:rsidR="00BE48EE" w:rsidRPr="00C73D06" w:rsidRDefault="00BE48EE" w:rsidP="00BE48EE">
      <w:pPr>
        <w:pStyle w:val="ListParagraph"/>
        <w:numPr>
          <w:ilvl w:val="0"/>
          <w:numId w:val="32"/>
        </w:numPr>
        <w:rPr>
          <w:szCs w:val="22"/>
        </w:rPr>
      </w:pPr>
      <w:r>
        <w:rPr>
          <w:szCs w:val="22"/>
        </w:rPr>
        <w:t>the status of the practitioner</w:t>
      </w:r>
    </w:p>
    <w:p w14:paraId="33159E6A" w14:textId="77777777" w:rsidR="00BE48EE" w:rsidRPr="00C73D06" w:rsidRDefault="00BE48EE" w:rsidP="00BE48EE">
      <w:pPr>
        <w:pStyle w:val="ListParagraph"/>
        <w:numPr>
          <w:ilvl w:val="0"/>
          <w:numId w:val="32"/>
        </w:numPr>
        <w:rPr>
          <w:szCs w:val="22"/>
        </w:rPr>
      </w:pPr>
      <w:r w:rsidRPr="00C73D06">
        <w:rPr>
          <w:szCs w:val="22"/>
        </w:rPr>
        <w:t>any endor</w:t>
      </w:r>
      <w:r>
        <w:rPr>
          <w:szCs w:val="22"/>
        </w:rPr>
        <w:t xml:space="preserve">sements </w:t>
      </w:r>
    </w:p>
    <w:p w14:paraId="5F6B25CB" w14:textId="77777777" w:rsidR="00BE48EE" w:rsidRPr="00C73D06" w:rsidRDefault="00BE48EE" w:rsidP="00BE48EE">
      <w:pPr>
        <w:pStyle w:val="ListParagraph"/>
        <w:numPr>
          <w:ilvl w:val="0"/>
          <w:numId w:val="32"/>
        </w:numPr>
        <w:rPr>
          <w:szCs w:val="22"/>
        </w:rPr>
      </w:pPr>
      <w:r>
        <w:rPr>
          <w:szCs w:val="22"/>
        </w:rPr>
        <w:t>notations</w:t>
      </w:r>
    </w:p>
    <w:p w14:paraId="2C95BC0E" w14:textId="77777777" w:rsidR="00BE48EE" w:rsidRPr="00C73D06" w:rsidRDefault="00BE48EE" w:rsidP="00BE48EE">
      <w:pPr>
        <w:pStyle w:val="ListParagraph"/>
        <w:numPr>
          <w:ilvl w:val="0"/>
          <w:numId w:val="32"/>
        </w:numPr>
        <w:rPr>
          <w:szCs w:val="22"/>
        </w:rPr>
      </w:pPr>
      <w:r>
        <w:rPr>
          <w:szCs w:val="22"/>
        </w:rPr>
        <w:t>conditions</w:t>
      </w:r>
    </w:p>
    <w:p w14:paraId="075C40BA" w14:textId="77777777" w:rsidR="00BE48EE" w:rsidRPr="00C73D06" w:rsidRDefault="00BE48EE" w:rsidP="00BE48EE">
      <w:pPr>
        <w:pStyle w:val="ListParagraph"/>
        <w:numPr>
          <w:ilvl w:val="0"/>
          <w:numId w:val="32"/>
        </w:numPr>
        <w:rPr>
          <w:szCs w:val="22"/>
        </w:rPr>
      </w:pPr>
      <w:r>
        <w:rPr>
          <w:szCs w:val="22"/>
        </w:rPr>
        <w:t>any</w:t>
      </w:r>
      <w:r w:rsidRPr="00C73D06">
        <w:rPr>
          <w:szCs w:val="22"/>
        </w:rPr>
        <w:t xml:space="preserve"> undertakings or reprimands as a resu</w:t>
      </w:r>
      <w:r>
        <w:rPr>
          <w:szCs w:val="22"/>
        </w:rPr>
        <w:t>lt of complaint investigations.</w:t>
      </w:r>
    </w:p>
    <w:p w14:paraId="792BD8AA" w14:textId="77777777" w:rsidR="00BE48EE" w:rsidRPr="00C73D06" w:rsidRDefault="00BE48EE" w:rsidP="00BE48EE">
      <w:pPr>
        <w:rPr>
          <w:rFonts w:cstheme="minorHAnsi"/>
          <w:szCs w:val="22"/>
        </w:rPr>
      </w:pPr>
      <w:r w:rsidRPr="00C73D06">
        <w:rPr>
          <w:rFonts w:cstheme="minorHAnsi"/>
          <w:szCs w:val="22"/>
        </w:rPr>
        <w:t xml:space="preserve">The list does not specifically identify family report writers or competencies relevant to family report writing. </w:t>
      </w:r>
    </w:p>
    <w:p w14:paraId="2223DB55" w14:textId="77777777" w:rsidR="00BE48EE" w:rsidRPr="00C73D06" w:rsidRDefault="00BE48EE" w:rsidP="00BE48EE">
      <w:pPr>
        <w:rPr>
          <w:szCs w:val="22"/>
        </w:rPr>
      </w:pPr>
      <w:r w:rsidRPr="00C73D06">
        <w:rPr>
          <w:rFonts w:cstheme="minorHAnsi"/>
          <w:szCs w:val="22"/>
        </w:rPr>
        <w:t>Ahpra also publishes a list of practitioners who have had their registration cancelled</w:t>
      </w:r>
      <w:r>
        <w:rPr>
          <w:rFonts w:cstheme="minorHAnsi"/>
          <w:szCs w:val="22"/>
        </w:rPr>
        <w:t>.</w:t>
      </w:r>
      <w:r w:rsidRPr="00C73D06">
        <w:rPr>
          <w:rStyle w:val="FootnoteReference"/>
          <w:rFonts w:eastAsiaTheme="minorHAnsi" w:cstheme="minorHAnsi"/>
          <w:szCs w:val="22"/>
        </w:rPr>
        <w:footnoteReference w:id="68"/>
      </w:r>
      <w:r>
        <w:rPr>
          <w:rFonts w:cstheme="minorHAnsi"/>
          <w:szCs w:val="22"/>
          <w:lang w:val="en"/>
        </w:rPr>
        <w:t xml:space="preserve"> </w:t>
      </w:r>
      <w:r w:rsidRPr="00C73D06">
        <w:rPr>
          <w:rFonts w:cstheme="minorHAnsi"/>
          <w:szCs w:val="22"/>
          <w:lang w:val="en"/>
        </w:rPr>
        <w:t xml:space="preserve">However, if a practitioner has not renewed their registration, or has surrendered their registration, any subsequent adverse findings are not available on this register unless </w:t>
      </w:r>
      <w:r>
        <w:rPr>
          <w:rFonts w:cstheme="minorHAnsi"/>
          <w:szCs w:val="22"/>
          <w:lang w:val="en"/>
        </w:rPr>
        <w:t>ordered by a</w:t>
      </w:r>
      <w:r w:rsidRPr="00C73D06">
        <w:rPr>
          <w:rFonts w:cstheme="minorHAnsi"/>
          <w:szCs w:val="22"/>
          <w:lang w:val="en"/>
        </w:rPr>
        <w:t xml:space="preserve"> tribunal, in which case the practitioner</w:t>
      </w:r>
      <w:r>
        <w:rPr>
          <w:rFonts w:cstheme="minorHAnsi"/>
          <w:szCs w:val="22"/>
          <w:lang w:val="en"/>
        </w:rPr>
        <w:t>’</w:t>
      </w:r>
      <w:r w:rsidRPr="00C73D06">
        <w:rPr>
          <w:rFonts w:cstheme="minorHAnsi"/>
          <w:szCs w:val="22"/>
          <w:lang w:val="en"/>
        </w:rPr>
        <w:t>s name and</w:t>
      </w:r>
      <w:r>
        <w:rPr>
          <w:rFonts w:cstheme="minorHAnsi"/>
          <w:szCs w:val="22"/>
          <w:lang w:val="en"/>
        </w:rPr>
        <w:t xml:space="preserve"> any</w:t>
      </w:r>
      <w:r w:rsidRPr="00C73D06">
        <w:rPr>
          <w:rFonts w:cstheme="minorHAnsi"/>
          <w:szCs w:val="22"/>
          <w:lang w:val="en"/>
        </w:rPr>
        <w:t xml:space="preserve"> adverse findings will be published. </w:t>
      </w:r>
    </w:p>
    <w:p w14:paraId="54A2232B" w14:textId="77777777" w:rsidR="00BE48EE" w:rsidRPr="00C73D06" w:rsidRDefault="00BE48EE" w:rsidP="00BE48EE">
      <w:pPr>
        <w:rPr>
          <w:szCs w:val="22"/>
        </w:rPr>
      </w:pPr>
      <w:r w:rsidRPr="00C73D06">
        <w:rPr>
          <w:szCs w:val="22"/>
        </w:rPr>
        <w:t>Names of professionals who are members of associations may be available on membership lists. However</w:t>
      </w:r>
      <w:r>
        <w:rPr>
          <w:szCs w:val="22"/>
        </w:rPr>
        <w:t>, these lists do</w:t>
      </w:r>
      <w:r w:rsidRPr="00C73D06">
        <w:rPr>
          <w:szCs w:val="22"/>
        </w:rPr>
        <w:t xml:space="preserve"> not provide advice on whether </w:t>
      </w:r>
      <w:r>
        <w:rPr>
          <w:szCs w:val="22"/>
        </w:rPr>
        <w:t>their members</w:t>
      </w:r>
      <w:r w:rsidRPr="00C73D06">
        <w:rPr>
          <w:szCs w:val="22"/>
        </w:rPr>
        <w:t xml:space="preserve"> are family report writers. </w:t>
      </w:r>
    </w:p>
    <w:p w14:paraId="6B2C19E9" w14:textId="77777777" w:rsidR="00BE48EE" w:rsidRPr="00C73D06" w:rsidRDefault="00BE48EE" w:rsidP="00BE48EE">
      <w:pPr>
        <w:ind w:left="426"/>
        <w:rPr>
          <w:szCs w:val="22"/>
        </w:rPr>
      </w:pPr>
      <w:r w:rsidRPr="0003197A">
        <w:rPr>
          <w:szCs w:val="22"/>
        </w:rPr>
        <w:t>The</w:t>
      </w:r>
      <w:r>
        <w:rPr>
          <w:b/>
          <w:szCs w:val="22"/>
        </w:rPr>
        <w:t xml:space="preserve"> </w:t>
      </w:r>
      <w:r w:rsidRPr="00C73D06">
        <w:rPr>
          <w:b/>
          <w:szCs w:val="22"/>
        </w:rPr>
        <w:t>RANZCP member list</w:t>
      </w:r>
      <w:r w:rsidRPr="00C73D06">
        <w:rPr>
          <w:rStyle w:val="FootnoteReference"/>
          <w:b/>
          <w:szCs w:val="22"/>
        </w:rPr>
        <w:footnoteReference w:id="69"/>
      </w:r>
      <w:r w:rsidRPr="00C73D06">
        <w:rPr>
          <w:szCs w:val="22"/>
        </w:rPr>
        <w:t xml:space="preserve"> provides a list of psychiatrists, with search functions including languages </w:t>
      </w:r>
      <w:r>
        <w:rPr>
          <w:szCs w:val="22"/>
        </w:rPr>
        <w:t>spoken</w:t>
      </w:r>
      <w:r w:rsidRPr="00C73D06" w:rsidDel="001C2958">
        <w:rPr>
          <w:szCs w:val="22"/>
        </w:rPr>
        <w:t xml:space="preserve"> </w:t>
      </w:r>
      <w:r w:rsidRPr="00C73D06">
        <w:rPr>
          <w:szCs w:val="22"/>
        </w:rPr>
        <w:t>, location, experience, expertise, treating age groups and the services they offer. The list requires practitioners to ‘opt in’. A search of all Australian members (without filters) resulted in only 1</w:t>
      </w:r>
      <w:r>
        <w:rPr>
          <w:szCs w:val="22"/>
        </w:rPr>
        <w:t>103</w:t>
      </w:r>
      <w:r w:rsidRPr="00C73D06">
        <w:rPr>
          <w:szCs w:val="22"/>
        </w:rPr>
        <w:t xml:space="preserve"> practitioners out of a possible </w:t>
      </w:r>
      <w:r>
        <w:rPr>
          <w:szCs w:val="22"/>
        </w:rPr>
        <w:t>5353</w:t>
      </w:r>
      <w:r w:rsidRPr="00C73D06">
        <w:rPr>
          <w:szCs w:val="22"/>
        </w:rPr>
        <w:t>.</w:t>
      </w:r>
      <w:r w:rsidRPr="00C73D06">
        <w:rPr>
          <w:rStyle w:val="FootnoteReference"/>
          <w:szCs w:val="22"/>
        </w:rPr>
        <w:footnoteReference w:id="70"/>
      </w:r>
      <w:r w:rsidRPr="00C73D06">
        <w:rPr>
          <w:szCs w:val="22"/>
        </w:rPr>
        <w:t xml:space="preserve"> </w:t>
      </w:r>
    </w:p>
    <w:p w14:paraId="15EAF210" w14:textId="77777777" w:rsidR="00BE48EE" w:rsidRPr="00C73D06" w:rsidRDefault="00BE48EE" w:rsidP="00BE48EE">
      <w:pPr>
        <w:ind w:left="426"/>
        <w:rPr>
          <w:szCs w:val="22"/>
        </w:rPr>
      </w:pPr>
      <w:r>
        <w:rPr>
          <w:szCs w:val="22"/>
        </w:rPr>
        <w:t xml:space="preserve">The </w:t>
      </w:r>
      <w:r w:rsidRPr="00C73D06">
        <w:rPr>
          <w:b/>
          <w:szCs w:val="22"/>
        </w:rPr>
        <w:t>AASW membership practitioner list</w:t>
      </w:r>
      <w:r w:rsidRPr="00C73D06">
        <w:rPr>
          <w:rStyle w:val="FootnoteReference"/>
          <w:b/>
          <w:szCs w:val="22"/>
        </w:rPr>
        <w:footnoteReference w:id="71"/>
      </w:r>
      <w:r w:rsidRPr="00C73D06">
        <w:rPr>
          <w:szCs w:val="22"/>
        </w:rPr>
        <w:t xml:space="preserve"> provides a search fun</w:t>
      </w:r>
      <w:r>
        <w:rPr>
          <w:szCs w:val="22"/>
        </w:rPr>
        <w:t>ction that filters for location,</w:t>
      </w:r>
      <w:r w:rsidRPr="00C73D06">
        <w:rPr>
          <w:szCs w:val="22"/>
        </w:rPr>
        <w:t xml:space="preserve"> client type and expertise or interest areas including mental health, substance abuse, trauma/harm, skill development, relationships, and workplace needs. It provides a filter for specialist support such as legal (including family law and court reports), consulting, and language preference.</w:t>
      </w:r>
    </w:p>
    <w:p w14:paraId="7155115F" w14:textId="77777777" w:rsidR="00BE48EE" w:rsidRPr="00C73D06" w:rsidRDefault="00BE48EE" w:rsidP="00BE48EE">
      <w:pPr>
        <w:ind w:left="426"/>
        <w:rPr>
          <w:szCs w:val="22"/>
        </w:rPr>
      </w:pPr>
      <w:r>
        <w:rPr>
          <w:rFonts w:cstheme="minorHAnsi"/>
          <w:szCs w:val="22"/>
          <w:lang w:val="en-GB"/>
        </w:rPr>
        <w:lastRenderedPageBreak/>
        <w:t xml:space="preserve">The </w:t>
      </w:r>
      <w:r w:rsidRPr="00DD4AA4">
        <w:rPr>
          <w:rFonts w:cstheme="minorHAnsi"/>
          <w:b/>
          <w:szCs w:val="22"/>
          <w:lang w:val="en-GB"/>
        </w:rPr>
        <w:t>Australian Psychological Society (APS)</w:t>
      </w:r>
      <w:r>
        <w:rPr>
          <w:rFonts w:cstheme="minorHAnsi"/>
          <w:szCs w:val="22"/>
          <w:lang w:val="en-GB"/>
        </w:rPr>
        <w:t xml:space="preserve"> </w:t>
      </w:r>
      <w:r w:rsidRPr="00C73D06">
        <w:rPr>
          <w:b/>
          <w:szCs w:val="22"/>
        </w:rPr>
        <w:t>membership list</w:t>
      </w:r>
      <w:r w:rsidRPr="00C73D06">
        <w:rPr>
          <w:rStyle w:val="FootnoteReference"/>
          <w:b/>
          <w:szCs w:val="22"/>
        </w:rPr>
        <w:footnoteReference w:id="72"/>
      </w:r>
      <w:r w:rsidRPr="00C73D06">
        <w:rPr>
          <w:szCs w:val="22"/>
        </w:rPr>
        <w:t xml:space="preserve"> is an optional list for members and includes the ability to search by issue, name, location and area of practice.</w:t>
      </w:r>
    </w:p>
    <w:p w14:paraId="6788673D" w14:textId="77777777" w:rsidR="00BE48EE" w:rsidRPr="00C73D06" w:rsidRDefault="00BE48EE" w:rsidP="004C5C6E">
      <w:pPr>
        <w:keepNext/>
        <w:pBdr>
          <w:top w:val="single" w:sz="4" w:space="1" w:color="auto"/>
          <w:left w:val="single" w:sz="4" w:space="4" w:color="auto"/>
          <w:bottom w:val="single" w:sz="4" w:space="1" w:color="auto"/>
          <w:right w:val="single" w:sz="4" w:space="4" w:color="auto"/>
        </w:pBdr>
        <w:shd w:val="clear" w:color="auto" w:fill="ECF1F4"/>
        <w:spacing w:after="0"/>
        <w:rPr>
          <w:b/>
          <w:color w:val="C87200"/>
          <w:sz w:val="28"/>
        </w:rPr>
      </w:pPr>
      <w:r w:rsidRPr="00C73D06">
        <w:rPr>
          <w:b/>
          <w:color w:val="C87200"/>
          <w:sz w:val="28"/>
        </w:rPr>
        <w:t>Question 10: Public sources of information on family report writers</w:t>
      </w:r>
    </w:p>
    <w:p w14:paraId="76ED8791" w14:textId="77777777" w:rsidR="00BE48EE" w:rsidRPr="004C5C6E" w:rsidRDefault="00BE48EE" w:rsidP="004C5C6E">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CF1F4"/>
        <w:autoSpaceDE w:val="0"/>
        <w:autoSpaceDN w:val="0"/>
        <w:adjustRightInd w:val="0"/>
        <w:ind w:left="390"/>
        <w:rPr>
          <w:rFonts w:cstheme="minorHAnsi"/>
          <w:sz w:val="28"/>
        </w:rPr>
      </w:pPr>
      <w:r w:rsidRPr="004C5C6E">
        <w:rPr>
          <w:rFonts w:cstheme="minorHAnsi"/>
          <w:sz w:val="28"/>
        </w:rPr>
        <w:t>Is there sufficient information available to families about the skills and qualifications of family report writers? Where is this information available?</w:t>
      </w:r>
    </w:p>
    <w:p w14:paraId="1176C1E9" w14:textId="77777777" w:rsidR="00BE48EE" w:rsidRPr="004C5C6E" w:rsidRDefault="00BE48EE" w:rsidP="004C5C6E">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CF1F4"/>
        <w:autoSpaceDE w:val="0"/>
        <w:autoSpaceDN w:val="0"/>
        <w:adjustRightInd w:val="0"/>
        <w:spacing w:after="0"/>
        <w:ind w:left="390"/>
        <w:rPr>
          <w:rFonts w:cstheme="minorHAnsi"/>
          <w:sz w:val="28"/>
        </w:rPr>
      </w:pPr>
      <w:r w:rsidRPr="004C5C6E">
        <w:rPr>
          <w:rFonts w:cstheme="minorHAnsi"/>
          <w:sz w:val="28"/>
        </w:rPr>
        <w:t>What information should be available to the public and parties about family report writers that is not currently available?</w:t>
      </w:r>
    </w:p>
    <w:p w14:paraId="13F9C16B" w14:textId="68D55940" w:rsidR="00BE48EE" w:rsidRPr="004C5C6E" w:rsidRDefault="00BE48EE" w:rsidP="004C5C6E">
      <w:pPr>
        <w:pBdr>
          <w:top w:val="single" w:sz="4" w:space="1" w:color="auto"/>
          <w:left w:val="single" w:sz="4" w:space="4" w:color="auto"/>
          <w:bottom w:val="single" w:sz="4" w:space="1" w:color="auto"/>
          <w:right w:val="single" w:sz="4" w:space="4" w:color="auto"/>
        </w:pBdr>
        <w:shd w:val="clear" w:color="auto" w:fill="ECF1F4"/>
        <w:rPr>
          <w:szCs w:val="22"/>
        </w:rPr>
      </w:pPr>
      <w:r w:rsidRPr="004C5C6E">
        <w:rPr>
          <w:rFonts w:cstheme="minorHAnsi"/>
        </w:rPr>
        <w:t>Questions on how this may be achieved are located on pages 2</w:t>
      </w:r>
      <w:r w:rsidR="00843079" w:rsidRPr="004C5C6E">
        <w:rPr>
          <w:rFonts w:cstheme="minorHAnsi"/>
        </w:rPr>
        <w:t>6</w:t>
      </w:r>
      <w:r w:rsidRPr="004C5C6E">
        <w:rPr>
          <w:rFonts w:cstheme="minorHAnsi"/>
        </w:rPr>
        <w:t xml:space="preserve"> and 2</w:t>
      </w:r>
      <w:r w:rsidR="00843079" w:rsidRPr="004C5C6E">
        <w:rPr>
          <w:rFonts w:cstheme="minorHAnsi"/>
        </w:rPr>
        <w:t>7</w:t>
      </w:r>
      <w:r w:rsidRPr="004C5C6E">
        <w:rPr>
          <w:rFonts w:cstheme="minorHAnsi"/>
        </w:rPr>
        <w:t>.</w:t>
      </w:r>
    </w:p>
    <w:p w14:paraId="6F7DDB11" w14:textId="77777777" w:rsidR="00BE48EE" w:rsidRPr="00C73D06" w:rsidRDefault="00BE48EE" w:rsidP="00BE48EE">
      <w:pPr>
        <w:pStyle w:val="Heading2"/>
        <w:spacing w:before="240"/>
        <w:rPr>
          <w:szCs w:val="24"/>
        </w:rPr>
      </w:pPr>
      <w:bookmarkStart w:id="45" w:name="_Toc67657907"/>
      <w:bookmarkStart w:id="46" w:name="_Toc73542506"/>
      <w:r w:rsidRPr="00C73D06">
        <w:t>Implementing options for enhancing competency and quality assurance mechanisms</w:t>
      </w:r>
      <w:bookmarkEnd w:id="45"/>
      <w:bookmarkEnd w:id="46"/>
    </w:p>
    <w:p w14:paraId="4A4A1A07" w14:textId="77777777" w:rsidR="00BE48EE" w:rsidRPr="00C73D06" w:rsidRDefault="00BE48EE" w:rsidP="00BE48EE">
      <w:pPr>
        <w:pStyle w:val="ListParagraph"/>
        <w:keepNext/>
        <w:keepLines/>
        <w:ind w:left="0"/>
        <w:rPr>
          <w:szCs w:val="24"/>
        </w:rPr>
      </w:pPr>
      <w:r w:rsidRPr="00C73D06">
        <w:rPr>
          <w:szCs w:val="24"/>
        </w:rPr>
        <w:t>This paper has outlined the various areas in which the competency of family report writers could be demonstrated or improved. The mechanisms needed to assure the competency of family report writers and quality of family reports, and which entity, or combination of entities, is best placed to oversee implementation and compliance must be considered. The choice of mechanism and entity needs to account for the cost and benefits of implementation, and include consideration of existing resources and regulatory frameworks, with a view to minimise duplication of functions and ensur</w:t>
      </w:r>
      <w:r>
        <w:rPr>
          <w:szCs w:val="24"/>
        </w:rPr>
        <w:t>e</w:t>
      </w:r>
      <w:r w:rsidRPr="00C73D06">
        <w:rPr>
          <w:szCs w:val="24"/>
        </w:rPr>
        <w:t xml:space="preserve"> a proportionate and efficient regulatory response. </w:t>
      </w:r>
    </w:p>
    <w:p w14:paraId="17D56C51" w14:textId="77777777" w:rsidR="00BE48EE" w:rsidRPr="00C73D06" w:rsidRDefault="00BE48EE" w:rsidP="00BE48EE">
      <w:pPr>
        <w:pStyle w:val="Heading3"/>
        <w:spacing w:before="240"/>
      </w:pPr>
      <w:bookmarkStart w:id="47" w:name="_Toc67657908"/>
      <w:r w:rsidRPr="00C73D06">
        <w:t>List of mechanisms</w:t>
      </w:r>
      <w:bookmarkEnd w:id="47"/>
    </w:p>
    <w:p w14:paraId="71A916DF" w14:textId="77777777" w:rsidR="00BE48EE" w:rsidRPr="001B1F22" w:rsidRDefault="00BE48EE" w:rsidP="00BE48EE">
      <w:pPr>
        <w:spacing w:after="0"/>
        <w:rPr>
          <w:szCs w:val="24"/>
        </w:rPr>
      </w:pPr>
      <w:r>
        <w:rPr>
          <w:b/>
          <w:szCs w:val="24"/>
        </w:rPr>
        <w:t xml:space="preserve">Revised standards: </w:t>
      </w:r>
      <w:r>
        <w:rPr>
          <w:szCs w:val="24"/>
        </w:rPr>
        <w:t xml:space="preserve">The standards, which are now 6 years old, could be revised in line with stakeholder feedback to ensure they are fit for purpose. </w:t>
      </w:r>
    </w:p>
    <w:p w14:paraId="7EDF52BB" w14:textId="77777777" w:rsidR="00BE48EE" w:rsidRPr="00C73D06" w:rsidRDefault="00BE48EE" w:rsidP="00BE48EE">
      <w:pPr>
        <w:spacing w:before="160" w:after="0"/>
        <w:rPr>
          <w:szCs w:val="24"/>
        </w:rPr>
      </w:pPr>
      <w:r w:rsidRPr="00C73D06">
        <w:rPr>
          <w:b/>
          <w:szCs w:val="24"/>
        </w:rPr>
        <w:t>Mandated standards:</w:t>
      </w:r>
      <w:r w:rsidRPr="00C73D06">
        <w:rPr>
          <w:szCs w:val="24"/>
        </w:rPr>
        <w:t xml:space="preserve"> All professionals engaged in family report writing could be required to meet a minimum standard prescribed by regulations. Standards could include:</w:t>
      </w:r>
    </w:p>
    <w:p w14:paraId="5875DB86" w14:textId="77777777" w:rsidR="00BE48EE" w:rsidRPr="00C73D06" w:rsidRDefault="00BE48EE" w:rsidP="00BE48EE">
      <w:pPr>
        <w:pStyle w:val="ListParagraph"/>
        <w:numPr>
          <w:ilvl w:val="0"/>
          <w:numId w:val="29"/>
        </w:numPr>
        <w:rPr>
          <w:szCs w:val="24"/>
        </w:rPr>
      </w:pPr>
      <w:r w:rsidRPr="00C73D06">
        <w:rPr>
          <w:szCs w:val="24"/>
        </w:rPr>
        <w:t>minimum qualifications, skills and competencies</w:t>
      </w:r>
    </w:p>
    <w:p w14:paraId="3C738CCE" w14:textId="77777777" w:rsidR="00BE48EE" w:rsidRPr="00C73D06" w:rsidRDefault="00BE48EE" w:rsidP="00BE48EE">
      <w:pPr>
        <w:pStyle w:val="ListParagraph"/>
        <w:numPr>
          <w:ilvl w:val="0"/>
          <w:numId w:val="29"/>
        </w:numPr>
        <w:rPr>
          <w:szCs w:val="24"/>
        </w:rPr>
      </w:pPr>
      <w:r w:rsidRPr="00C73D06">
        <w:rPr>
          <w:szCs w:val="24"/>
        </w:rPr>
        <w:t>required training on specific competencies</w:t>
      </w:r>
    </w:p>
    <w:p w14:paraId="37ED8E9B" w14:textId="77777777" w:rsidR="00BE48EE" w:rsidRPr="00C73D06" w:rsidRDefault="00BE48EE" w:rsidP="00BE48EE">
      <w:pPr>
        <w:pStyle w:val="ListParagraph"/>
        <w:numPr>
          <w:ilvl w:val="0"/>
          <w:numId w:val="29"/>
        </w:numPr>
        <w:rPr>
          <w:szCs w:val="24"/>
        </w:rPr>
      </w:pPr>
      <w:r w:rsidRPr="00C73D06">
        <w:rPr>
          <w:szCs w:val="24"/>
        </w:rPr>
        <w:t>registration requirements</w:t>
      </w:r>
    </w:p>
    <w:p w14:paraId="2F84ACFF" w14:textId="77777777" w:rsidR="00BE48EE" w:rsidRPr="00C73D06" w:rsidRDefault="00BE48EE" w:rsidP="00BE48EE">
      <w:pPr>
        <w:pStyle w:val="ListParagraph"/>
        <w:numPr>
          <w:ilvl w:val="0"/>
          <w:numId w:val="29"/>
        </w:numPr>
        <w:rPr>
          <w:szCs w:val="24"/>
        </w:rPr>
      </w:pPr>
      <w:r w:rsidRPr="00C73D06">
        <w:rPr>
          <w:szCs w:val="24"/>
        </w:rPr>
        <w:t>the need for a vul</w:t>
      </w:r>
      <w:r>
        <w:rPr>
          <w:szCs w:val="24"/>
        </w:rPr>
        <w:t>nerable persons/children check</w:t>
      </w:r>
    </w:p>
    <w:p w14:paraId="0FED8091" w14:textId="77777777" w:rsidR="00BE48EE" w:rsidRPr="00C73D06" w:rsidRDefault="00BE48EE" w:rsidP="00BE48EE">
      <w:pPr>
        <w:rPr>
          <w:szCs w:val="24"/>
        </w:rPr>
      </w:pPr>
      <w:r w:rsidRPr="00C73D06">
        <w:rPr>
          <w:szCs w:val="24"/>
        </w:rPr>
        <w:t xml:space="preserve">For example, elements or extracts of the </w:t>
      </w:r>
      <w:r w:rsidRPr="00C73D06">
        <w:rPr>
          <w:i/>
          <w:szCs w:val="24"/>
        </w:rPr>
        <w:t xml:space="preserve">Standards of Practice for Family Assessments and Reporting </w:t>
      </w:r>
      <w:r w:rsidRPr="00C73D06">
        <w:rPr>
          <w:szCs w:val="24"/>
        </w:rPr>
        <w:t xml:space="preserve">could be made legally binding, or the </w:t>
      </w:r>
      <w:r w:rsidRPr="00617714">
        <w:rPr>
          <w:szCs w:val="24"/>
        </w:rPr>
        <w:t>Practice Guidelines or Professional Directions</w:t>
      </w:r>
      <w:r w:rsidRPr="00C73D06">
        <w:rPr>
          <w:szCs w:val="24"/>
        </w:rPr>
        <w:t xml:space="preserve"> relevant to family report writing could be extended to single expert witnesses.</w:t>
      </w:r>
    </w:p>
    <w:p w14:paraId="2569EA8F" w14:textId="77777777" w:rsidR="00BE48EE" w:rsidRPr="00C73D06" w:rsidRDefault="00BE48EE" w:rsidP="00BE48EE">
      <w:pPr>
        <w:rPr>
          <w:szCs w:val="24"/>
        </w:rPr>
      </w:pPr>
      <w:r w:rsidRPr="00C73D06">
        <w:rPr>
          <w:b/>
          <w:szCs w:val="24"/>
        </w:rPr>
        <w:t>Declaration</w:t>
      </w:r>
      <w:r w:rsidRPr="00C73D06">
        <w:rPr>
          <w:szCs w:val="24"/>
        </w:rPr>
        <w:t xml:space="preserve">: All professionals engaged in family report writing could be required to complete a competency declaration prior to being able to be appointed as a family report writer. A pro forma declaration could require information specific to the professional’s education, qualifications and work experience relevant to report writing; identify relevant competencies, training and </w:t>
      </w:r>
      <w:r>
        <w:rPr>
          <w:szCs w:val="24"/>
        </w:rPr>
        <w:t>CPD</w:t>
      </w:r>
      <w:r w:rsidRPr="00C73D06">
        <w:rPr>
          <w:szCs w:val="24"/>
        </w:rPr>
        <w:t xml:space="preserve"> acquired; declare any registrations or memberships; outline </w:t>
      </w:r>
      <w:r w:rsidRPr="00C73D06">
        <w:rPr>
          <w:szCs w:val="24"/>
        </w:rPr>
        <w:lastRenderedPageBreak/>
        <w:t>relevant screening checks; and confirm any quality assurance requirements that have been met (</w:t>
      </w:r>
      <w:r>
        <w:rPr>
          <w:szCs w:val="24"/>
        </w:rPr>
        <w:t>for example,</w:t>
      </w:r>
      <w:r w:rsidRPr="00C73D06">
        <w:rPr>
          <w:szCs w:val="24"/>
        </w:rPr>
        <w:t xml:space="preserve"> employer oversight, peer review and mentoring/supervision). </w:t>
      </w:r>
    </w:p>
    <w:p w14:paraId="6B58260C" w14:textId="77777777" w:rsidR="00BE48EE" w:rsidRPr="00C73D06" w:rsidRDefault="00BE48EE" w:rsidP="00BE48EE">
      <w:pPr>
        <w:rPr>
          <w:szCs w:val="24"/>
        </w:rPr>
      </w:pPr>
      <w:r w:rsidRPr="00C73D06">
        <w:rPr>
          <w:b/>
          <w:szCs w:val="24"/>
        </w:rPr>
        <w:t xml:space="preserve">Training and </w:t>
      </w:r>
      <w:r>
        <w:rPr>
          <w:b/>
          <w:szCs w:val="24"/>
        </w:rPr>
        <w:t>CPD</w:t>
      </w:r>
      <w:r w:rsidRPr="00C73D06">
        <w:rPr>
          <w:b/>
          <w:szCs w:val="24"/>
        </w:rPr>
        <w:t xml:space="preserve">: </w:t>
      </w:r>
      <w:r w:rsidRPr="00C73D06">
        <w:rPr>
          <w:szCs w:val="24"/>
        </w:rPr>
        <w:t xml:space="preserve">Key industry bodies could establish or endorse training sufficient to meet relevant family report writing competencies. A specific family report writer training program aimed at achieving or recognising agreed competencies could also be developed. </w:t>
      </w:r>
    </w:p>
    <w:p w14:paraId="2FB879BF" w14:textId="77777777" w:rsidR="00BE48EE" w:rsidRPr="00C73D06" w:rsidRDefault="00BE48EE" w:rsidP="00BE48EE">
      <w:pPr>
        <w:rPr>
          <w:szCs w:val="24"/>
        </w:rPr>
      </w:pPr>
      <w:r w:rsidRPr="00C73D06">
        <w:rPr>
          <w:b/>
          <w:szCs w:val="24"/>
        </w:rPr>
        <w:t>Quality assurance documents:</w:t>
      </w:r>
      <w:r w:rsidRPr="00C73D06">
        <w:rPr>
          <w:szCs w:val="24"/>
        </w:rPr>
        <w:t xml:space="preserve"> Quality assurance checklists could be developed and made available to support all family report writers to produce high quality family reports and assessments.</w:t>
      </w:r>
    </w:p>
    <w:p w14:paraId="532350B4" w14:textId="77777777" w:rsidR="00BE48EE" w:rsidRPr="00C73D06" w:rsidRDefault="00BE48EE" w:rsidP="00BE48EE">
      <w:pPr>
        <w:rPr>
          <w:szCs w:val="22"/>
        </w:rPr>
      </w:pPr>
      <w:r w:rsidRPr="00C73D06">
        <w:rPr>
          <w:b/>
          <w:szCs w:val="24"/>
        </w:rPr>
        <w:t xml:space="preserve">Quality assurance processes: </w:t>
      </w:r>
      <w:r w:rsidRPr="00C73D06">
        <w:rPr>
          <w:szCs w:val="24"/>
        </w:rPr>
        <w:t xml:space="preserve">Family report writers could be required to have all or some of their reports reviewed by another professional at specified periods. Similar to </w:t>
      </w:r>
      <w:r>
        <w:rPr>
          <w:szCs w:val="24"/>
        </w:rPr>
        <w:t>CCS</w:t>
      </w:r>
      <w:r w:rsidRPr="00C73D06">
        <w:rPr>
          <w:szCs w:val="24"/>
        </w:rPr>
        <w:t xml:space="preserve"> and FCCCS processes, new family report writers could be required to work under the supervision of a more experienced report writer for their first few reports.</w:t>
      </w:r>
    </w:p>
    <w:p w14:paraId="0CDBEBB3" w14:textId="77777777" w:rsidR="00BE48EE" w:rsidRPr="00C73D06" w:rsidRDefault="00BE48EE" w:rsidP="00BE48EE">
      <w:pPr>
        <w:rPr>
          <w:b/>
          <w:szCs w:val="24"/>
        </w:rPr>
      </w:pPr>
      <w:r w:rsidRPr="00C73D06">
        <w:rPr>
          <w:b/>
          <w:szCs w:val="24"/>
        </w:rPr>
        <w:t xml:space="preserve">Auditing of reports: </w:t>
      </w:r>
      <w:r w:rsidRPr="00C73D06">
        <w:rPr>
          <w:szCs w:val="24"/>
        </w:rPr>
        <w:t>Family report writers could be required to provide their reports to a suitably qualified auditing entity on a prescribed basis for the purposes of quality assurance.</w:t>
      </w:r>
    </w:p>
    <w:p w14:paraId="6BEDF17D" w14:textId="77777777" w:rsidR="00BE48EE" w:rsidRPr="00C73D06" w:rsidRDefault="00BE48EE" w:rsidP="00BE48EE">
      <w:pPr>
        <w:rPr>
          <w:szCs w:val="24"/>
        </w:rPr>
      </w:pPr>
      <w:r w:rsidRPr="00C73D06">
        <w:rPr>
          <w:b/>
          <w:szCs w:val="24"/>
        </w:rPr>
        <w:t xml:space="preserve">Public register: </w:t>
      </w:r>
      <w:r w:rsidRPr="00C73D06">
        <w:rPr>
          <w:szCs w:val="24"/>
        </w:rPr>
        <w:t xml:space="preserve">A public register of family report writers could be developed where professionals outline their relevant qualifications and expertise. </w:t>
      </w:r>
    </w:p>
    <w:p w14:paraId="225642D8" w14:textId="77777777" w:rsidR="00BE48EE" w:rsidRPr="00C73D06" w:rsidRDefault="00BE48EE" w:rsidP="00BE48EE">
      <w:pPr>
        <w:rPr>
          <w:szCs w:val="24"/>
        </w:rPr>
      </w:pPr>
      <w:r w:rsidRPr="00C73D06">
        <w:rPr>
          <w:b/>
          <w:szCs w:val="24"/>
        </w:rPr>
        <w:t xml:space="preserve">Registration requirements: </w:t>
      </w:r>
      <w:r w:rsidRPr="00C73D06">
        <w:rPr>
          <w:szCs w:val="24"/>
        </w:rPr>
        <w:t xml:space="preserve">Family report writers could be required to register with a relevant registration body. Registration could provide recognition that a person engages in </w:t>
      </w:r>
      <w:r>
        <w:rPr>
          <w:szCs w:val="24"/>
        </w:rPr>
        <w:t>CPD</w:t>
      </w:r>
      <w:r w:rsidRPr="00C73D06">
        <w:rPr>
          <w:szCs w:val="24"/>
        </w:rPr>
        <w:t>, has certain competencies, and meets relevant screening tests.</w:t>
      </w:r>
    </w:p>
    <w:p w14:paraId="624F2AD0" w14:textId="77777777" w:rsidR="00BE48EE" w:rsidRPr="00C73D06" w:rsidRDefault="00BE48EE" w:rsidP="00BE48EE">
      <w:pPr>
        <w:rPr>
          <w:szCs w:val="24"/>
        </w:rPr>
      </w:pPr>
      <w:r w:rsidRPr="00C73D06">
        <w:rPr>
          <w:b/>
          <w:szCs w:val="24"/>
        </w:rPr>
        <w:t xml:space="preserve">Accreditation scheme: </w:t>
      </w:r>
      <w:r w:rsidRPr="00C73D06">
        <w:rPr>
          <w:szCs w:val="24"/>
        </w:rPr>
        <w:t>A</w:t>
      </w:r>
      <w:r w:rsidRPr="00C73D06">
        <w:t>ccreditation is the act of granting formal recognition that the services provided by that entity or person, are delivered to or exceed a pre-determined set of minimum quality standards covering a range of service delivery aspects.</w:t>
      </w:r>
      <w:r w:rsidRPr="00C73D06">
        <w:rPr>
          <w:szCs w:val="24"/>
        </w:rPr>
        <w:t xml:space="preserve"> Similar to and an extension of a registration process, this could involve an application and assessment process showing the individual has appropriate qualifications and competencies</w:t>
      </w:r>
      <w:r>
        <w:rPr>
          <w:szCs w:val="24"/>
        </w:rPr>
        <w:t xml:space="preserve"> and</w:t>
      </w:r>
      <w:r w:rsidRPr="00C73D06">
        <w:rPr>
          <w:szCs w:val="24"/>
        </w:rPr>
        <w:t xml:space="preserve"> has met relevant screening tests. </w:t>
      </w:r>
      <w:r>
        <w:rPr>
          <w:szCs w:val="24"/>
        </w:rPr>
        <w:t>An</w:t>
      </w:r>
      <w:r w:rsidRPr="00C73D06">
        <w:rPr>
          <w:szCs w:val="24"/>
        </w:rPr>
        <w:t xml:space="preserve"> individual</w:t>
      </w:r>
      <w:r>
        <w:rPr>
          <w:szCs w:val="24"/>
        </w:rPr>
        <w:t xml:space="preserve"> could be required to verify</w:t>
      </w:r>
      <w:r w:rsidRPr="00C73D06">
        <w:rPr>
          <w:szCs w:val="24"/>
        </w:rPr>
        <w:t xml:space="preserve"> that they have undertaken </w:t>
      </w:r>
      <w:r>
        <w:rPr>
          <w:szCs w:val="24"/>
        </w:rPr>
        <w:t>CPD</w:t>
      </w:r>
      <w:r w:rsidRPr="00C73D06">
        <w:rPr>
          <w:szCs w:val="24"/>
        </w:rPr>
        <w:t xml:space="preserve"> to maintain accreditation. </w:t>
      </w:r>
    </w:p>
    <w:p w14:paraId="2FDDF4F1" w14:textId="77777777" w:rsidR="004C5C6E" w:rsidRDefault="004C5C6E">
      <w:pPr>
        <w:spacing w:line="300" w:lineRule="auto"/>
        <w:jc w:val="left"/>
        <w:rPr>
          <w:b/>
          <w:color w:val="C87200"/>
          <w:sz w:val="28"/>
        </w:rPr>
      </w:pPr>
      <w:r>
        <w:rPr>
          <w:b/>
          <w:color w:val="C87200"/>
          <w:sz w:val="28"/>
        </w:rPr>
        <w:br w:type="page"/>
      </w:r>
    </w:p>
    <w:p w14:paraId="122A5F4F" w14:textId="3CD76F84" w:rsidR="00BE48EE" w:rsidRPr="00C73D06" w:rsidRDefault="00BE48EE" w:rsidP="004C5C6E">
      <w:pPr>
        <w:pBdr>
          <w:top w:val="single" w:sz="4" w:space="1" w:color="auto"/>
          <w:left w:val="single" w:sz="4" w:space="4" w:color="auto"/>
          <w:bottom w:val="single" w:sz="4" w:space="1" w:color="auto"/>
          <w:right w:val="single" w:sz="4" w:space="4" w:color="auto"/>
        </w:pBdr>
        <w:shd w:val="clear" w:color="auto" w:fill="ECF1F4"/>
        <w:spacing w:after="0"/>
        <w:rPr>
          <w:b/>
          <w:color w:val="C87200"/>
          <w:sz w:val="28"/>
        </w:rPr>
      </w:pPr>
      <w:r w:rsidRPr="00C73D06">
        <w:rPr>
          <w:b/>
          <w:color w:val="C87200"/>
          <w:sz w:val="28"/>
        </w:rPr>
        <w:lastRenderedPageBreak/>
        <w:t>Question 11: Mechanisms to ensure competent writers and quality reports</w:t>
      </w:r>
    </w:p>
    <w:p w14:paraId="7E9702D5" w14:textId="77777777" w:rsidR="00BE48EE" w:rsidRPr="004C5C6E" w:rsidRDefault="00BE48EE" w:rsidP="004C5C6E">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CF1F4"/>
        <w:rPr>
          <w:sz w:val="28"/>
          <w:szCs w:val="24"/>
        </w:rPr>
      </w:pPr>
      <w:r w:rsidRPr="004C5C6E">
        <w:rPr>
          <w:sz w:val="28"/>
          <w:szCs w:val="24"/>
        </w:rPr>
        <w:t xml:space="preserve">What approaches would best assure family report writer competency and report quality? </w:t>
      </w:r>
    </w:p>
    <w:p w14:paraId="02549ADF" w14:textId="77777777" w:rsidR="00BE48EE" w:rsidRPr="004C5C6E" w:rsidRDefault="00BE48EE" w:rsidP="004C5C6E">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CF1F4"/>
        <w:rPr>
          <w:sz w:val="28"/>
          <w:szCs w:val="24"/>
        </w:rPr>
      </w:pPr>
      <w:r w:rsidRPr="004C5C6E">
        <w:rPr>
          <w:sz w:val="28"/>
          <w:szCs w:val="24"/>
        </w:rPr>
        <w:t xml:space="preserve">To what extent can existing approaches be utilised or enhanced, or do new ones need to be established? </w:t>
      </w:r>
    </w:p>
    <w:p w14:paraId="02C6094C" w14:textId="77777777" w:rsidR="00BE48EE" w:rsidRPr="004C5C6E" w:rsidRDefault="00BE48EE" w:rsidP="004C5C6E">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CF1F4"/>
        <w:rPr>
          <w:sz w:val="28"/>
          <w:szCs w:val="24"/>
        </w:rPr>
      </w:pPr>
      <w:r w:rsidRPr="004C5C6E">
        <w:rPr>
          <w:sz w:val="28"/>
          <w:szCs w:val="24"/>
        </w:rPr>
        <w:t xml:space="preserve">How would the approach(es) apply consistently and fairly for all report writers and manage the risk of deterring qualified professionals from undertaking the family report writer role? Do different mechanisms need to apply based on appointment type or profession? </w:t>
      </w:r>
    </w:p>
    <w:p w14:paraId="025F6981" w14:textId="77777777" w:rsidR="00BE48EE" w:rsidRPr="0059473C" w:rsidRDefault="00BE48EE" w:rsidP="004C5C6E">
      <w:pPr>
        <w:keepNext/>
        <w:pBdr>
          <w:top w:val="single" w:sz="4" w:space="1" w:color="auto"/>
          <w:left w:val="single" w:sz="4" w:space="4" w:color="auto"/>
          <w:bottom w:val="single" w:sz="4" w:space="1" w:color="auto"/>
          <w:right w:val="single" w:sz="4" w:space="4" w:color="auto"/>
        </w:pBdr>
        <w:shd w:val="clear" w:color="auto" w:fill="ECF1F4"/>
        <w:spacing w:after="0"/>
        <w:rPr>
          <w:b/>
          <w:color w:val="C87200"/>
          <w:sz w:val="28"/>
        </w:rPr>
      </w:pPr>
      <w:r w:rsidRPr="0059473C">
        <w:rPr>
          <w:b/>
          <w:color w:val="C87200"/>
          <w:sz w:val="28"/>
        </w:rPr>
        <w:t>Question 12: Information availability</w:t>
      </w:r>
    </w:p>
    <w:p w14:paraId="215F2984" w14:textId="77777777" w:rsidR="00BE48EE" w:rsidRPr="004C5C6E" w:rsidRDefault="00BE48EE" w:rsidP="004C5C6E">
      <w:pPr>
        <w:pBdr>
          <w:top w:val="single" w:sz="4" w:space="1" w:color="auto"/>
          <w:left w:val="single" w:sz="4" w:space="4" w:color="auto"/>
          <w:bottom w:val="single" w:sz="4" w:space="1" w:color="auto"/>
          <w:right w:val="single" w:sz="4" w:space="4" w:color="auto"/>
        </w:pBdr>
        <w:shd w:val="clear" w:color="auto" w:fill="ECF1F4"/>
        <w:rPr>
          <w:sz w:val="28"/>
          <w:szCs w:val="24"/>
        </w:rPr>
      </w:pPr>
      <w:r w:rsidRPr="004C5C6E">
        <w:rPr>
          <w:sz w:val="28"/>
          <w:szCs w:val="24"/>
        </w:rPr>
        <w:t xml:space="preserve">What approaches would best ensure that information about family report writer qualifications/skills/competencies is made available for family law system users (for example, a public register, a declaration)? </w:t>
      </w:r>
    </w:p>
    <w:p w14:paraId="5AC86CE2" w14:textId="77777777" w:rsidR="00BE48EE" w:rsidRPr="00C73D06" w:rsidRDefault="00BE48EE" w:rsidP="00BE48EE">
      <w:pPr>
        <w:pStyle w:val="Heading3"/>
        <w:spacing w:before="240"/>
      </w:pPr>
      <w:bookmarkStart w:id="48" w:name="_Toc67657909"/>
      <w:r w:rsidRPr="00C73D06">
        <w:t>Establishment and oversight</w:t>
      </w:r>
      <w:bookmarkEnd w:id="48"/>
    </w:p>
    <w:p w14:paraId="5605F926" w14:textId="77777777" w:rsidR="00BE48EE" w:rsidRPr="00C73D06" w:rsidRDefault="00BE48EE" w:rsidP="00BE48EE">
      <w:pPr>
        <w:rPr>
          <w:szCs w:val="24"/>
        </w:rPr>
      </w:pPr>
      <w:r w:rsidRPr="00C73D06">
        <w:rPr>
          <w:szCs w:val="24"/>
        </w:rPr>
        <w:t xml:space="preserve">A range of </w:t>
      </w:r>
      <w:r>
        <w:rPr>
          <w:szCs w:val="24"/>
        </w:rPr>
        <w:t>individuals</w:t>
      </w:r>
      <w:r w:rsidRPr="00C73D06">
        <w:rPr>
          <w:szCs w:val="24"/>
        </w:rPr>
        <w:t xml:space="preserve"> and entities, from family report writers themselves through to a statutory regulator, could have a role in establishing competency requirements for family report writers and overseeing compliance. The department seeks feedback on the most appropriate mechanisms and entities to implement or manage these approaches. </w:t>
      </w:r>
    </w:p>
    <w:p w14:paraId="3E33FD46" w14:textId="77777777" w:rsidR="00BE48EE" w:rsidRPr="00C73D06" w:rsidRDefault="00BE48EE" w:rsidP="00BE48EE">
      <w:pPr>
        <w:spacing w:line="300" w:lineRule="auto"/>
        <w:rPr>
          <w:b/>
          <w:szCs w:val="24"/>
        </w:rPr>
      </w:pPr>
      <w:r w:rsidRPr="00C73D06">
        <w:rPr>
          <w:b/>
          <w:szCs w:val="24"/>
        </w:rPr>
        <w:br w:type="page"/>
      </w:r>
    </w:p>
    <w:p w14:paraId="6B88316E" w14:textId="77777777" w:rsidR="00BE48EE" w:rsidRPr="00C73D06" w:rsidRDefault="00BE48EE" w:rsidP="00BE48EE">
      <w:pPr>
        <w:spacing w:after="0"/>
        <w:rPr>
          <w:szCs w:val="24"/>
        </w:rPr>
      </w:pPr>
      <w:r w:rsidRPr="00C73D06">
        <w:rPr>
          <w:b/>
          <w:szCs w:val="24"/>
        </w:rPr>
        <w:lastRenderedPageBreak/>
        <w:t xml:space="preserve">Table </w:t>
      </w:r>
      <w:r>
        <w:rPr>
          <w:b/>
          <w:szCs w:val="24"/>
        </w:rPr>
        <w:t>5</w:t>
      </w:r>
      <w:r w:rsidRPr="00C73D06">
        <w:rPr>
          <w:b/>
          <w:szCs w:val="24"/>
        </w:rPr>
        <w:t>:</w:t>
      </w:r>
      <w:r w:rsidRPr="00C73D06">
        <w:t xml:space="preserve"> </w:t>
      </w:r>
      <w:r w:rsidRPr="00C73D06">
        <w:rPr>
          <w:b/>
        </w:rPr>
        <w:t>Entities that could provide for competency and quality assurance of family reports and report writers.</w:t>
      </w:r>
      <w:r w:rsidRPr="00C73D06">
        <w:t xml:space="preserve"> </w:t>
      </w:r>
    </w:p>
    <w:tbl>
      <w:tblPr>
        <w:tblStyle w:val="TableGrid"/>
        <w:tblW w:w="10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group 1: Entities that could provide for competency and quality assurance of family reports and report writers"/>
        <w:tblDescription w:val="First three entities - family report writers, parties/lawyers, and judges - that could play a role in competency requirements and quality assurance. Dot point of what each entity could do."/>
      </w:tblPr>
      <w:tblGrid>
        <w:gridCol w:w="3608"/>
        <w:gridCol w:w="240"/>
        <w:gridCol w:w="3174"/>
        <w:gridCol w:w="240"/>
        <w:gridCol w:w="3319"/>
      </w:tblGrid>
      <w:tr w:rsidR="00BE48EE" w:rsidRPr="00C73D06" w14:paraId="0E25C068" w14:textId="77777777" w:rsidTr="00BE48EE">
        <w:trPr>
          <w:trHeight w:val="320"/>
          <w:tblHeader/>
        </w:trPr>
        <w:tc>
          <w:tcPr>
            <w:tcW w:w="3608" w:type="dxa"/>
            <w:shd w:val="clear" w:color="auto" w:fill="4D738A"/>
          </w:tcPr>
          <w:p w14:paraId="62DD4258" w14:textId="77777777" w:rsidR="00BE48EE" w:rsidRPr="00C73D06" w:rsidRDefault="00BE48EE" w:rsidP="00BE48EE">
            <w:pPr>
              <w:jc w:val="center"/>
              <w:rPr>
                <w:color w:val="FFFFFF" w:themeColor="background1"/>
                <w:szCs w:val="24"/>
              </w:rPr>
            </w:pPr>
            <w:r w:rsidRPr="00C73D06">
              <w:rPr>
                <w:color w:val="FFFFFF" w:themeColor="background1"/>
                <w:szCs w:val="24"/>
              </w:rPr>
              <w:t>Family report writers</w:t>
            </w:r>
          </w:p>
        </w:tc>
        <w:tc>
          <w:tcPr>
            <w:tcW w:w="240" w:type="dxa"/>
            <w:tcBorders>
              <w:left w:val="nil"/>
            </w:tcBorders>
            <w:shd w:val="clear" w:color="auto" w:fill="FFFFFF" w:themeFill="background1"/>
          </w:tcPr>
          <w:p w14:paraId="5D470DB2" w14:textId="77777777" w:rsidR="00BE48EE" w:rsidRPr="00C73D06" w:rsidRDefault="00BE48EE" w:rsidP="00BE48EE">
            <w:pPr>
              <w:jc w:val="center"/>
              <w:rPr>
                <w:color w:val="FFFFFF" w:themeColor="background1"/>
                <w:szCs w:val="24"/>
              </w:rPr>
            </w:pPr>
          </w:p>
        </w:tc>
        <w:tc>
          <w:tcPr>
            <w:tcW w:w="3174" w:type="dxa"/>
            <w:shd w:val="clear" w:color="auto" w:fill="4D738A"/>
          </w:tcPr>
          <w:p w14:paraId="09E55CCE" w14:textId="77777777" w:rsidR="00BE48EE" w:rsidRPr="00C73D06" w:rsidRDefault="00BE48EE" w:rsidP="00BE48EE">
            <w:pPr>
              <w:jc w:val="center"/>
              <w:rPr>
                <w:color w:val="FFFFFF" w:themeColor="background1"/>
                <w:szCs w:val="24"/>
              </w:rPr>
            </w:pPr>
            <w:r w:rsidRPr="00C73D06">
              <w:rPr>
                <w:color w:val="FFFFFF" w:themeColor="background1"/>
                <w:szCs w:val="24"/>
              </w:rPr>
              <w:t>Parties/</w:t>
            </w:r>
            <w:r>
              <w:rPr>
                <w:color w:val="FFFFFF" w:themeColor="background1"/>
                <w:szCs w:val="24"/>
              </w:rPr>
              <w:t>l</w:t>
            </w:r>
            <w:r w:rsidRPr="00C73D06">
              <w:rPr>
                <w:color w:val="FFFFFF" w:themeColor="background1"/>
                <w:szCs w:val="24"/>
              </w:rPr>
              <w:t>awyers</w:t>
            </w:r>
          </w:p>
        </w:tc>
        <w:tc>
          <w:tcPr>
            <w:tcW w:w="240" w:type="dxa"/>
            <w:shd w:val="clear" w:color="auto" w:fill="FFFFFF" w:themeFill="background1"/>
          </w:tcPr>
          <w:p w14:paraId="3F25F6F8" w14:textId="77777777" w:rsidR="00BE48EE" w:rsidRPr="00C73D06" w:rsidRDefault="00BE48EE" w:rsidP="00BE48EE">
            <w:pPr>
              <w:jc w:val="center"/>
              <w:rPr>
                <w:color w:val="FFFFFF" w:themeColor="background1"/>
                <w:szCs w:val="24"/>
              </w:rPr>
            </w:pPr>
          </w:p>
        </w:tc>
        <w:tc>
          <w:tcPr>
            <w:tcW w:w="3319" w:type="dxa"/>
            <w:shd w:val="clear" w:color="auto" w:fill="4D738A"/>
          </w:tcPr>
          <w:p w14:paraId="2E806169" w14:textId="77777777" w:rsidR="00BE48EE" w:rsidRPr="00C73D06" w:rsidRDefault="00BE48EE" w:rsidP="00BE48EE">
            <w:pPr>
              <w:jc w:val="center"/>
              <w:rPr>
                <w:color w:val="FFFFFF" w:themeColor="background1"/>
                <w:szCs w:val="24"/>
              </w:rPr>
            </w:pPr>
            <w:r w:rsidRPr="00C73D06">
              <w:rPr>
                <w:color w:val="FFFFFF" w:themeColor="background1"/>
                <w:szCs w:val="24"/>
              </w:rPr>
              <w:t>Judges</w:t>
            </w:r>
          </w:p>
        </w:tc>
      </w:tr>
      <w:tr w:rsidR="00BE48EE" w:rsidRPr="00C73D06" w14:paraId="2DA3CDFD" w14:textId="77777777" w:rsidTr="00BE48EE">
        <w:trPr>
          <w:trHeight w:val="1659"/>
        </w:trPr>
        <w:tc>
          <w:tcPr>
            <w:tcW w:w="3608" w:type="dxa"/>
            <w:shd w:val="clear" w:color="auto" w:fill="D5E0E7"/>
          </w:tcPr>
          <w:p w14:paraId="5952FF4A" w14:textId="77777777" w:rsidR="00BE48EE" w:rsidRPr="00103906" w:rsidRDefault="00BE48EE" w:rsidP="00BE48EE">
            <w:pPr>
              <w:pStyle w:val="ListParagraph"/>
              <w:numPr>
                <w:ilvl w:val="0"/>
                <w:numId w:val="30"/>
              </w:numPr>
              <w:ind w:left="176" w:hanging="176"/>
              <w:jc w:val="left"/>
              <w:rPr>
                <w:sz w:val="21"/>
                <w:szCs w:val="21"/>
              </w:rPr>
            </w:pPr>
            <w:r w:rsidRPr="00103906">
              <w:rPr>
                <w:sz w:val="21"/>
                <w:szCs w:val="21"/>
              </w:rPr>
              <w:t>Self-declaration provided to parties and the court before an appointment can be finalised</w:t>
            </w:r>
          </w:p>
          <w:p w14:paraId="6018ABD9" w14:textId="77777777" w:rsidR="00BE48EE" w:rsidRPr="00C73D06" w:rsidRDefault="00BE48EE" w:rsidP="00BE48EE">
            <w:pPr>
              <w:pStyle w:val="ListParagraph"/>
              <w:numPr>
                <w:ilvl w:val="0"/>
                <w:numId w:val="30"/>
              </w:numPr>
              <w:ind w:left="176" w:hanging="176"/>
              <w:jc w:val="left"/>
            </w:pPr>
            <w:r w:rsidRPr="00103906">
              <w:rPr>
                <w:sz w:val="21"/>
                <w:szCs w:val="21"/>
                <w:lang w:val="en-AU" w:eastAsia="en-AU"/>
              </w:rPr>
              <w:t>Self-declaration completed and published on a public website for access by parties/lawyers</w:t>
            </w:r>
            <w:r w:rsidRPr="00C73D06">
              <w:rPr>
                <w:lang w:val="en-AU" w:eastAsia="en-AU"/>
              </w:rPr>
              <w:t xml:space="preserve"> </w:t>
            </w:r>
          </w:p>
        </w:tc>
        <w:tc>
          <w:tcPr>
            <w:tcW w:w="240" w:type="dxa"/>
            <w:tcBorders>
              <w:left w:val="nil"/>
            </w:tcBorders>
            <w:shd w:val="clear" w:color="auto" w:fill="FFFFFF" w:themeFill="background1"/>
          </w:tcPr>
          <w:p w14:paraId="2D85883D" w14:textId="77777777" w:rsidR="00BE48EE" w:rsidRPr="00C73D06" w:rsidRDefault="00BE48EE" w:rsidP="00BE48EE"/>
        </w:tc>
        <w:tc>
          <w:tcPr>
            <w:tcW w:w="3174" w:type="dxa"/>
            <w:shd w:val="clear" w:color="auto" w:fill="D5E0E7"/>
          </w:tcPr>
          <w:p w14:paraId="76C84EEB" w14:textId="77777777" w:rsidR="00BE48EE" w:rsidRPr="00CA6DA0" w:rsidRDefault="00BE48EE" w:rsidP="00BE48EE">
            <w:pPr>
              <w:pStyle w:val="ListParagraph"/>
              <w:numPr>
                <w:ilvl w:val="0"/>
                <w:numId w:val="30"/>
              </w:numPr>
              <w:ind w:left="176" w:hanging="176"/>
              <w:jc w:val="left"/>
              <w:rPr>
                <w:sz w:val="21"/>
                <w:szCs w:val="21"/>
              </w:rPr>
            </w:pPr>
            <w:r w:rsidRPr="00CA6DA0">
              <w:rPr>
                <w:sz w:val="21"/>
                <w:szCs w:val="21"/>
              </w:rPr>
              <w:t>Provided with a report writer's declaration/</w:t>
            </w:r>
            <w:r w:rsidRPr="00CA6DA0">
              <w:rPr>
                <w:sz w:val="21"/>
                <w:szCs w:val="21"/>
                <w:lang w:val="en-AU" w:eastAsia="en-AU"/>
              </w:rPr>
              <w:t>qualifications</w:t>
            </w:r>
            <w:r w:rsidRPr="00CA6DA0">
              <w:rPr>
                <w:sz w:val="21"/>
                <w:szCs w:val="21"/>
              </w:rPr>
              <w:t xml:space="preserve"> before an appointment is confirmed</w:t>
            </w:r>
          </w:p>
          <w:p w14:paraId="7D888780" w14:textId="77777777" w:rsidR="00BE48EE" w:rsidRPr="00C73D06" w:rsidRDefault="00BE48EE" w:rsidP="00BE48EE">
            <w:pPr>
              <w:pStyle w:val="ListParagraph"/>
              <w:numPr>
                <w:ilvl w:val="0"/>
                <w:numId w:val="30"/>
              </w:numPr>
              <w:ind w:left="176" w:hanging="176"/>
              <w:jc w:val="left"/>
            </w:pPr>
            <w:r w:rsidRPr="00CA6DA0">
              <w:rPr>
                <w:sz w:val="21"/>
                <w:szCs w:val="21"/>
              </w:rPr>
              <w:t>May cross-examine the report writer at trial</w:t>
            </w:r>
          </w:p>
        </w:tc>
        <w:tc>
          <w:tcPr>
            <w:tcW w:w="240" w:type="dxa"/>
            <w:shd w:val="clear" w:color="auto" w:fill="FFFFFF" w:themeFill="background1"/>
          </w:tcPr>
          <w:p w14:paraId="79C33CB2" w14:textId="77777777" w:rsidR="00BE48EE" w:rsidRPr="00C73D06" w:rsidRDefault="00BE48EE" w:rsidP="00BE48EE">
            <w:pPr>
              <w:jc w:val="left"/>
            </w:pPr>
          </w:p>
        </w:tc>
        <w:tc>
          <w:tcPr>
            <w:tcW w:w="3319" w:type="dxa"/>
            <w:shd w:val="clear" w:color="auto" w:fill="D5E0E7"/>
          </w:tcPr>
          <w:p w14:paraId="51FC7AF7" w14:textId="77777777" w:rsidR="00BE48EE" w:rsidRPr="00C73D06" w:rsidRDefault="00BE48EE" w:rsidP="00BE48EE">
            <w:pPr>
              <w:pStyle w:val="ListParagraph"/>
              <w:numPr>
                <w:ilvl w:val="0"/>
                <w:numId w:val="30"/>
              </w:numPr>
              <w:ind w:left="176" w:hanging="176"/>
              <w:jc w:val="left"/>
            </w:pPr>
            <w:r w:rsidRPr="00C73D06">
              <w:t xml:space="preserve">Require </w:t>
            </w:r>
            <w:r>
              <w:t xml:space="preserve">a </w:t>
            </w:r>
            <w:r w:rsidRPr="00C73D06">
              <w:t>declaration from a report writer that they meet relevant standards, prior to an appointment</w:t>
            </w:r>
          </w:p>
          <w:p w14:paraId="5E062AC6" w14:textId="77777777" w:rsidR="00BE48EE" w:rsidRPr="00C73D06" w:rsidRDefault="00BE48EE" w:rsidP="00BE48EE">
            <w:pPr>
              <w:jc w:val="left"/>
            </w:pPr>
          </w:p>
        </w:tc>
      </w:tr>
    </w:tbl>
    <w:p w14:paraId="00223782" w14:textId="77777777" w:rsidR="00BE48EE" w:rsidRPr="003825E6" w:rsidRDefault="00BE48EE" w:rsidP="00BE48EE">
      <w:pPr>
        <w:spacing w:after="0"/>
        <w:rPr>
          <w:sz w:val="12"/>
        </w:rPr>
      </w:pPr>
    </w:p>
    <w:tbl>
      <w:tblPr>
        <w:tblStyle w:val="TableGrid"/>
        <w:tblW w:w="10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Entities that could provide for competency and quality assurance of family reports and report writers.  "/>
        <w:tblDescription w:val="Second three entities - court employment services, private employers, and industry associations - that could play a role in competency requirements and quality assurance. Dot point of what each entity could do."/>
      </w:tblPr>
      <w:tblGrid>
        <w:gridCol w:w="3606"/>
        <w:gridCol w:w="238"/>
        <w:gridCol w:w="3175"/>
        <w:gridCol w:w="268"/>
        <w:gridCol w:w="3317"/>
      </w:tblGrid>
      <w:tr w:rsidR="00BE48EE" w:rsidRPr="00C73D06" w14:paraId="61D6931D" w14:textId="77777777" w:rsidTr="00BE48EE">
        <w:trPr>
          <w:trHeight w:val="312"/>
          <w:tblHeader/>
        </w:trPr>
        <w:tc>
          <w:tcPr>
            <w:tcW w:w="3606" w:type="dxa"/>
            <w:shd w:val="clear" w:color="auto" w:fill="4D738A"/>
          </w:tcPr>
          <w:p w14:paraId="3BB82C7A" w14:textId="77777777" w:rsidR="00BE48EE" w:rsidRPr="00C73D06" w:rsidRDefault="00BE48EE" w:rsidP="00BE48EE">
            <w:pPr>
              <w:jc w:val="center"/>
              <w:rPr>
                <w:color w:val="FFFFFF" w:themeColor="background1"/>
                <w:szCs w:val="24"/>
              </w:rPr>
            </w:pPr>
            <w:r w:rsidRPr="00C73D06">
              <w:rPr>
                <w:color w:val="FFFFFF" w:themeColor="background1"/>
                <w:szCs w:val="24"/>
              </w:rPr>
              <w:t>Court employment services</w:t>
            </w:r>
          </w:p>
        </w:tc>
        <w:tc>
          <w:tcPr>
            <w:tcW w:w="238" w:type="dxa"/>
            <w:tcBorders>
              <w:left w:val="nil"/>
            </w:tcBorders>
            <w:shd w:val="clear" w:color="auto" w:fill="FFFFFF" w:themeFill="background1"/>
          </w:tcPr>
          <w:p w14:paraId="238F0B48" w14:textId="77777777" w:rsidR="00BE48EE" w:rsidRPr="00C73D06" w:rsidRDefault="00BE48EE" w:rsidP="00BE48EE">
            <w:pPr>
              <w:jc w:val="center"/>
              <w:rPr>
                <w:color w:val="FFFFFF" w:themeColor="background1"/>
                <w:szCs w:val="24"/>
              </w:rPr>
            </w:pPr>
          </w:p>
        </w:tc>
        <w:tc>
          <w:tcPr>
            <w:tcW w:w="3175" w:type="dxa"/>
            <w:shd w:val="clear" w:color="auto" w:fill="4D738A"/>
          </w:tcPr>
          <w:p w14:paraId="41B08B8B" w14:textId="77777777" w:rsidR="00BE48EE" w:rsidRPr="00C73D06" w:rsidRDefault="00BE48EE" w:rsidP="00BE48EE">
            <w:pPr>
              <w:jc w:val="center"/>
              <w:rPr>
                <w:color w:val="FFFFFF" w:themeColor="background1"/>
                <w:szCs w:val="24"/>
                <w:lang w:val="en-AU"/>
              </w:rPr>
            </w:pPr>
            <w:r w:rsidRPr="00C73D06">
              <w:rPr>
                <w:color w:val="FFFFFF" w:themeColor="background1"/>
                <w:szCs w:val="24"/>
              </w:rPr>
              <w:t>Private employers</w:t>
            </w:r>
          </w:p>
        </w:tc>
        <w:tc>
          <w:tcPr>
            <w:tcW w:w="268" w:type="dxa"/>
            <w:shd w:val="clear" w:color="auto" w:fill="FFFFFF" w:themeFill="background1"/>
          </w:tcPr>
          <w:p w14:paraId="2CE62ACA" w14:textId="77777777" w:rsidR="00BE48EE" w:rsidRPr="00C73D06" w:rsidRDefault="00BE48EE" w:rsidP="00BE48EE">
            <w:pPr>
              <w:jc w:val="center"/>
              <w:rPr>
                <w:color w:val="FFFFFF" w:themeColor="background1"/>
                <w:szCs w:val="24"/>
              </w:rPr>
            </w:pPr>
          </w:p>
        </w:tc>
        <w:tc>
          <w:tcPr>
            <w:tcW w:w="3317" w:type="dxa"/>
            <w:shd w:val="clear" w:color="auto" w:fill="4D738A"/>
          </w:tcPr>
          <w:p w14:paraId="15045250" w14:textId="77777777" w:rsidR="00BE48EE" w:rsidRPr="003825E6" w:rsidRDefault="00BE48EE" w:rsidP="00BE48EE">
            <w:pPr>
              <w:jc w:val="center"/>
              <w:rPr>
                <w:color w:val="FFFFFF" w:themeColor="background1"/>
              </w:rPr>
            </w:pPr>
            <w:r w:rsidRPr="00C73D06">
              <w:rPr>
                <w:color w:val="FFFFFF" w:themeColor="background1"/>
              </w:rPr>
              <w:t>Professional training providers</w:t>
            </w:r>
          </w:p>
        </w:tc>
      </w:tr>
      <w:tr w:rsidR="00BE48EE" w:rsidRPr="00C73D06" w14:paraId="36DC1137" w14:textId="77777777" w:rsidTr="00BE48EE">
        <w:trPr>
          <w:trHeight w:val="2773"/>
        </w:trPr>
        <w:tc>
          <w:tcPr>
            <w:tcW w:w="3606" w:type="dxa"/>
            <w:shd w:val="clear" w:color="auto" w:fill="D5E0E7"/>
          </w:tcPr>
          <w:p w14:paraId="7FD6A762" w14:textId="77777777" w:rsidR="00BE48EE" w:rsidRPr="00103906" w:rsidRDefault="00BE48EE" w:rsidP="00BE48EE">
            <w:pPr>
              <w:pStyle w:val="ListParagraph"/>
              <w:numPr>
                <w:ilvl w:val="0"/>
                <w:numId w:val="30"/>
              </w:numPr>
              <w:ind w:left="176" w:hanging="176"/>
              <w:jc w:val="left"/>
              <w:rPr>
                <w:sz w:val="21"/>
                <w:szCs w:val="21"/>
                <w:lang w:val="en-AU" w:eastAsia="en-AU"/>
              </w:rPr>
            </w:pPr>
            <w:r w:rsidRPr="00103906">
              <w:rPr>
                <w:sz w:val="21"/>
                <w:szCs w:val="21"/>
                <w:lang w:val="en-AU" w:eastAsia="en-AU"/>
              </w:rPr>
              <w:t xml:space="preserve">Establish and provide relevant training courses </w:t>
            </w:r>
          </w:p>
          <w:p w14:paraId="68E0515C" w14:textId="77777777" w:rsidR="00BE48EE" w:rsidRPr="00103906" w:rsidRDefault="00BE48EE" w:rsidP="00BE48EE">
            <w:pPr>
              <w:pStyle w:val="ListParagraph"/>
              <w:numPr>
                <w:ilvl w:val="0"/>
                <w:numId w:val="30"/>
              </w:numPr>
              <w:ind w:left="176" w:hanging="176"/>
              <w:jc w:val="left"/>
              <w:rPr>
                <w:sz w:val="21"/>
                <w:szCs w:val="21"/>
                <w:lang w:val="en-AU" w:eastAsia="en-AU"/>
              </w:rPr>
            </w:pPr>
            <w:r w:rsidRPr="00103906">
              <w:rPr>
                <w:sz w:val="21"/>
                <w:szCs w:val="21"/>
                <w:lang w:val="en-AU" w:eastAsia="en-AU"/>
              </w:rPr>
              <w:t>Quality assure family reports</w:t>
            </w:r>
          </w:p>
          <w:p w14:paraId="009E32E2" w14:textId="77777777" w:rsidR="00BE48EE" w:rsidRPr="00103906" w:rsidRDefault="00BE48EE" w:rsidP="00BE48EE">
            <w:pPr>
              <w:pStyle w:val="ListParagraph"/>
              <w:numPr>
                <w:ilvl w:val="0"/>
                <w:numId w:val="30"/>
              </w:numPr>
              <w:ind w:left="176" w:hanging="176"/>
              <w:jc w:val="left"/>
              <w:rPr>
                <w:sz w:val="21"/>
                <w:szCs w:val="21"/>
                <w:lang w:val="en-AU" w:eastAsia="en-AU"/>
              </w:rPr>
            </w:pPr>
            <w:r w:rsidRPr="00103906">
              <w:rPr>
                <w:sz w:val="21"/>
                <w:szCs w:val="21"/>
                <w:lang w:val="en-AU" w:eastAsia="en-AU"/>
              </w:rPr>
              <w:t>Facilitate audits of reports</w:t>
            </w:r>
          </w:p>
          <w:p w14:paraId="5012B043" w14:textId="77777777" w:rsidR="00BE48EE" w:rsidRPr="00103906" w:rsidRDefault="00BE48EE" w:rsidP="00BE48EE">
            <w:pPr>
              <w:pStyle w:val="ListParagraph"/>
              <w:numPr>
                <w:ilvl w:val="0"/>
                <w:numId w:val="30"/>
              </w:numPr>
              <w:ind w:left="176" w:hanging="176"/>
              <w:jc w:val="left"/>
              <w:rPr>
                <w:sz w:val="21"/>
                <w:szCs w:val="21"/>
                <w:lang w:val="en-AU" w:eastAsia="en-AU"/>
              </w:rPr>
            </w:pPr>
            <w:r w:rsidRPr="00103906">
              <w:rPr>
                <w:sz w:val="21"/>
                <w:szCs w:val="21"/>
                <w:lang w:val="en-AU" w:eastAsia="en-AU"/>
              </w:rPr>
              <w:t>Maintain declaration register for family consultants</w:t>
            </w:r>
          </w:p>
          <w:p w14:paraId="7800E1F7" w14:textId="77777777" w:rsidR="00BE48EE" w:rsidRPr="00C73D06" w:rsidRDefault="00BE48EE" w:rsidP="00BE48EE">
            <w:pPr>
              <w:pStyle w:val="ListParagraph"/>
              <w:numPr>
                <w:ilvl w:val="0"/>
                <w:numId w:val="30"/>
              </w:numPr>
              <w:ind w:left="176" w:hanging="176"/>
              <w:jc w:val="left"/>
            </w:pPr>
            <w:r w:rsidRPr="00103906">
              <w:rPr>
                <w:sz w:val="21"/>
                <w:szCs w:val="21"/>
                <w:lang w:val="en-AU" w:eastAsia="en-AU"/>
              </w:rPr>
              <w:t>Ensure currency of criminal record and working with children/ vulnerable people checks</w:t>
            </w:r>
          </w:p>
        </w:tc>
        <w:tc>
          <w:tcPr>
            <w:tcW w:w="238" w:type="dxa"/>
            <w:tcBorders>
              <w:left w:val="nil"/>
            </w:tcBorders>
            <w:shd w:val="clear" w:color="auto" w:fill="FFFFFF" w:themeFill="background1"/>
          </w:tcPr>
          <w:p w14:paraId="54E9AE0D" w14:textId="77777777" w:rsidR="00BE48EE" w:rsidRPr="00C73D06" w:rsidRDefault="00BE48EE" w:rsidP="00BE48EE">
            <w:pPr>
              <w:jc w:val="left"/>
            </w:pPr>
          </w:p>
        </w:tc>
        <w:tc>
          <w:tcPr>
            <w:tcW w:w="3175" w:type="dxa"/>
            <w:shd w:val="clear" w:color="auto" w:fill="D5E0E7"/>
          </w:tcPr>
          <w:p w14:paraId="23C7032A" w14:textId="77777777" w:rsidR="00BE48EE" w:rsidRPr="003825E6" w:rsidRDefault="00BE48EE" w:rsidP="00BE48EE">
            <w:pPr>
              <w:pStyle w:val="ListParagraph"/>
              <w:numPr>
                <w:ilvl w:val="0"/>
                <w:numId w:val="30"/>
              </w:numPr>
              <w:ind w:left="176" w:hanging="176"/>
              <w:jc w:val="left"/>
              <w:rPr>
                <w:sz w:val="21"/>
                <w:szCs w:val="21"/>
                <w:lang w:val="en-AU"/>
              </w:rPr>
            </w:pPr>
            <w:r w:rsidRPr="003825E6">
              <w:rPr>
                <w:sz w:val="21"/>
                <w:szCs w:val="21"/>
              </w:rPr>
              <w:t xml:space="preserve">Ensure </w:t>
            </w:r>
            <w:r>
              <w:rPr>
                <w:sz w:val="21"/>
                <w:szCs w:val="21"/>
              </w:rPr>
              <w:t>CPD</w:t>
            </w:r>
            <w:r w:rsidRPr="003825E6">
              <w:rPr>
                <w:sz w:val="21"/>
                <w:szCs w:val="21"/>
              </w:rPr>
              <w:t xml:space="preserve"> in relevant courses concerning family report writers</w:t>
            </w:r>
          </w:p>
          <w:p w14:paraId="24D11EF4" w14:textId="77777777" w:rsidR="00BE48EE" w:rsidRPr="00C73D06" w:rsidRDefault="00BE48EE" w:rsidP="00BE48EE">
            <w:pPr>
              <w:pStyle w:val="ListParagraph"/>
              <w:numPr>
                <w:ilvl w:val="0"/>
                <w:numId w:val="30"/>
              </w:numPr>
              <w:ind w:left="176" w:hanging="176"/>
              <w:jc w:val="left"/>
              <w:rPr>
                <w:lang w:val="en-AU"/>
              </w:rPr>
            </w:pPr>
            <w:r w:rsidRPr="003825E6">
              <w:rPr>
                <w:sz w:val="21"/>
                <w:szCs w:val="21"/>
              </w:rPr>
              <w:t>Ensure quality assura</w:t>
            </w:r>
            <w:r w:rsidRPr="00103906">
              <w:rPr>
                <w:sz w:val="21"/>
                <w:szCs w:val="21"/>
              </w:rPr>
              <w:t>nce requirements</w:t>
            </w:r>
            <w:r w:rsidRPr="003825E6">
              <w:rPr>
                <w:sz w:val="21"/>
                <w:szCs w:val="21"/>
              </w:rPr>
              <w:t xml:space="preserve"> are met</w:t>
            </w:r>
            <w:r w:rsidRPr="00103906">
              <w:rPr>
                <w:sz w:val="21"/>
                <w:szCs w:val="21"/>
              </w:rPr>
              <w:t>, including</w:t>
            </w:r>
            <w:r w:rsidRPr="003825E6">
              <w:rPr>
                <w:sz w:val="21"/>
                <w:szCs w:val="21"/>
              </w:rPr>
              <w:t xml:space="preserve"> working with children/vulnerable people checks</w:t>
            </w:r>
          </w:p>
        </w:tc>
        <w:tc>
          <w:tcPr>
            <w:tcW w:w="268" w:type="dxa"/>
            <w:shd w:val="clear" w:color="auto" w:fill="FFFFFF" w:themeFill="background1"/>
          </w:tcPr>
          <w:p w14:paraId="059D2F11" w14:textId="77777777" w:rsidR="00BE48EE" w:rsidRPr="00C73D06" w:rsidRDefault="00BE48EE" w:rsidP="00BE48EE">
            <w:pPr>
              <w:jc w:val="left"/>
            </w:pPr>
          </w:p>
        </w:tc>
        <w:tc>
          <w:tcPr>
            <w:tcW w:w="3317" w:type="dxa"/>
            <w:shd w:val="clear" w:color="auto" w:fill="D5E0E7"/>
          </w:tcPr>
          <w:p w14:paraId="7A234A08" w14:textId="77777777" w:rsidR="00BE48EE" w:rsidRPr="003825E6" w:rsidRDefault="00BE48EE" w:rsidP="00BE48EE">
            <w:pPr>
              <w:pStyle w:val="ListParagraph"/>
              <w:numPr>
                <w:ilvl w:val="0"/>
                <w:numId w:val="30"/>
              </w:numPr>
              <w:ind w:left="176" w:hanging="176"/>
              <w:jc w:val="left"/>
              <w:rPr>
                <w:lang w:val="en-AU"/>
              </w:rPr>
            </w:pPr>
            <w:r w:rsidRPr="00C73D06">
              <w:t xml:space="preserve">Develop and provide training and </w:t>
            </w:r>
            <w:r>
              <w:t>CPD</w:t>
            </w:r>
            <w:r w:rsidRPr="00C73D06">
              <w:t xml:space="preserve"> courses relevant to report writing </w:t>
            </w:r>
          </w:p>
        </w:tc>
      </w:tr>
    </w:tbl>
    <w:p w14:paraId="338D2BA5" w14:textId="77777777" w:rsidR="00BE48EE" w:rsidRPr="003825E6" w:rsidRDefault="00BE48EE" w:rsidP="00BE48EE">
      <w:pPr>
        <w:spacing w:after="0"/>
        <w:rPr>
          <w:sz w:val="12"/>
        </w:rPr>
      </w:pPr>
    </w:p>
    <w:tbl>
      <w:tblPr>
        <w:tblStyle w:val="TableGrid"/>
        <w:tblW w:w="10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Entities that could provide for competency and quality assurance of family reports and report writers."/>
        <w:tblDescription w:val="Third three entities - professional training providers, existing regulators of family report writer professions, and government/a new statutory regulator - that could play a role in competency requirements and quality assurance. Dot point of what each entity could do."/>
      </w:tblPr>
      <w:tblGrid>
        <w:gridCol w:w="3617"/>
        <w:gridCol w:w="236"/>
        <w:gridCol w:w="3184"/>
        <w:gridCol w:w="236"/>
        <w:gridCol w:w="3327"/>
      </w:tblGrid>
      <w:tr w:rsidR="00BE48EE" w:rsidRPr="00C73D06" w14:paraId="0A6A0CBB" w14:textId="77777777" w:rsidTr="00BE48EE">
        <w:trPr>
          <w:trHeight w:val="630"/>
          <w:tblHeader/>
        </w:trPr>
        <w:tc>
          <w:tcPr>
            <w:tcW w:w="3617" w:type="dxa"/>
            <w:shd w:val="clear" w:color="auto" w:fill="4D738A"/>
            <w:vAlign w:val="center"/>
          </w:tcPr>
          <w:p w14:paraId="49D0296A" w14:textId="77777777" w:rsidR="00BE48EE" w:rsidRPr="00C73D06" w:rsidRDefault="00BE48EE" w:rsidP="00BE48EE">
            <w:pPr>
              <w:jc w:val="center"/>
              <w:rPr>
                <w:color w:val="FFFFFF" w:themeColor="background1"/>
              </w:rPr>
            </w:pPr>
            <w:r w:rsidRPr="00C73D06">
              <w:rPr>
                <w:color w:val="FFFFFF" w:themeColor="background1"/>
                <w:szCs w:val="24"/>
              </w:rPr>
              <w:t>Industry associations</w:t>
            </w:r>
          </w:p>
        </w:tc>
        <w:tc>
          <w:tcPr>
            <w:tcW w:w="236" w:type="dxa"/>
            <w:shd w:val="clear" w:color="auto" w:fill="FFFFFF" w:themeFill="background1"/>
          </w:tcPr>
          <w:p w14:paraId="51D1A47E" w14:textId="77777777" w:rsidR="00BE48EE" w:rsidRPr="00C73D06" w:rsidRDefault="00BE48EE" w:rsidP="00BE48EE">
            <w:pPr>
              <w:jc w:val="center"/>
              <w:rPr>
                <w:color w:val="FFFFFF" w:themeColor="background1"/>
              </w:rPr>
            </w:pPr>
          </w:p>
        </w:tc>
        <w:tc>
          <w:tcPr>
            <w:tcW w:w="3184" w:type="dxa"/>
            <w:shd w:val="clear" w:color="auto" w:fill="4D738A"/>
          </w:tcPr>
          <w:p w14:paraId="72A05F92" w14:textId="77777777" w:rsidR="00BE48EE" w:rsidRPr="00C73D06" w:rsidRDefault="00BE48EE" w:rsidP="00BE48EE">
            <w:pPr>
              <w:jc w:val="center"/>
              <w:rPr>
                <w:color w:val="FFFFFF" w:themeColor="background1"/>
              </w:rPr>
            </w:pPr>
            <w:r w:rsidRPr="00C73D06">
              <w:rPr>
                <w:color w:val="FFFFFF" w:themeColor="background1"/>
              </w:rPr>
              <w:t>Existing regulators of family report writer professions</w:t>
            </w:r>
          </w:p>
        </w:tc>
        <w:tc>
          <w:tcPr>
            <w:tcW w:w="236" w:type="dxa"/>
            <w:shd w:val="clear" w:color="auto" w:fill="FFFFFF" w:themeFill="background1"/>
          </w:tcPr>
          <w:p w14:paraId="0D7F502A" w14:textId="77777777" w:rsidR="00BE48EE" w:rsidRPr="00C73D06" w:rsidRDefault="00BE48EE" w:rsidP="00BE48EE">
            <w:pPr>
              <w:jc w:val="center"/>
              <w:rPr>
                <w:color w:val="FFFFFF" w:themeColor="background1"/>
              </w:rPr>
            </w:pPr>
          </w:p>
        </w:tc>
        <w:tc>
          <w:tcPr>
            <w:tcW w:w="3327" w:type="dxa"/>
            <w:shd w:val="clear" w:color="auto" w:fill="4D738A"/>
          </w:tcPr>
          <w:p w14:paraId="683312ED" w14:textId="77777777" w:rsidR="00BE48EE" w:rsidRPr="00C73D06" w:rsidRDefault="00BE48EE" w:rsidP="00BE48EE">
            <w:pPr>
              <w:jc w:val="center"/>
              <w:rPr>
                <w:color w:val="FFFFFF" w:themeColor="background1"/>
              </w:rPr>
            </w:pPr>
            <w:r w:rsidRPr="00C73D06">
              <w:rPr>
                <w:color w:val="FFFFFF" w:themeColor="background1"/>
              </w:rPr>
              <w:t>Government/new statutory regulator</w:t>
            </w:r>
          </w:p>
        </w:tc>
      </w:tr>
      <w:tr w:rsidR="00BE48EE" w:rsidRPr="00C73D06" w14:paraId="783219E1" w14:textId="77777777" w:rsidTr="00BE48EE">
        <w:trPr>
          <w:trHeight w:val="2739"/>
        </w:trPr>
        <w:tc>
          <w:tcPr>
            <w:tcW w:w="3617" w:type="dxa"/>
            <w:shd w:val="clear" w:color="auto" w:fill="D5E0E7"/>
          </w:tcPr>
          <w:p w14:paraId="2177145D" w14:textId="77777777" w:rsidR="00BE48EE" w:rsidRPr="00103906" w:rsidRDefault="00BE48EE" w:rsidP="00BE48EE">
            <w:pPr>
              <w:pStyle w:val="ListParagraph"/>
              <w:numPr>
                <w:ilvl w:val="0"/>
                <w:numId w:val="30"/>
              </w:numPr>
              <w:ind w:left="176" w:hanging="176"/>
              <w:jc w:val="left"/>
              <w:rPr>
                <w:sz w:val="21"/>
                <w:szCs w:val="21"/>
                <w:lang w:val="en-AU" w:eastAsia="en-AU"/>
              </w:rPr>
            </w:pPr>
            <w:r w:rsidRPr="00103906">
              <w:rPr>
                <w:sz w:val="21"/>
                <w:szCs w:val="21"/>
                <w:lang w:val="en-AU" w:eastAsia="en-AU"/>
              </w:rPr>
              <w:t>Establish or recognise training in relevant report writing competencies</w:t>
            </w:r>
          </w:p>
          <w:p w14:paraId="7054F0A0" w14:textId="77777777" w:rsidR="00BE48EE" w:rsidRPr="00103906" w:rsidRDefault="00BE48EE" w:rsidP="00BE48EE">
            <w:pPr>
              <w:pStyle w:val="ListParagraph"/>
              <w:numPr>
                <w:ilvl w:val="0"/>
                <w:numId w:val="30"/>
              </w:numPr>
              <w:ind w:left="176" w:hanging="176"/>
              <w:jc w:val="left"/>
              <w:rPr>
                <w:sz w:val="21"/>
                <w:szCs w:val="21"/>
                <w:lang w:val="en-AU" w:eastAsia="en-AU"/>
              </w:rPr>
            </w:pPr>
            <w:r w:rsidRPr="00103906">
              <w:rPr>
                <w:sz w:val="21"/>
                <w:szCs w:val="21"/>
                <w:lang w:val="en-AU" w:eastAsia="en-AU"/>
              </w:rPr>
              <w:t>Maintain register of declarations and information of report writer professionals including competenc</w:t>
            </w:r>
            <w:r>
              <w:rPr>
                <w:sz w:val="21"/>
                <w:szCs w:val="21"/>
                <w:lang w:val="en-AU" w:eastAsia="en-AU"/>
              </w:rPr>
              <w:t>ies and CPD</w:t>
            </w:r>
          </w:p>
          <w:p w14:paraId="05A016DA" w14:textId="77777777" w:rsidR="00BE48EE" w:rsidRPr="00C73D06" w:rsidRDefault="00BE48EE" w:rsidP="00BE48EE">
            <w:pPr>
              <w:pStyle w:val="ListParagraph"/>
              <w:numPr>
                <w:ilvl w:val="0"/>
                <w:numId w:val="30"/>
              </w:numPr>
              <w:ind w:left="176" w:hanging="176"/>
              <w:jc w:val="left"/>
              <w:rPr>
                <w:lang w:val="en-AU"/>
              </w:rPr>
            </w:pPr>
            <w:r w:rsidRPr="00103906">
              <w:rPr>
                <w:sz w:val="21"/>
                <w:szCs w:val="21"/>
                <w:lang w:val="en-AU" w:eastAsia="en-AU"/>
              </w:rPr>
              <w:t xml:space="preserve">Provide a quality assurance </w:t>
            </w:r>
            <w:r>
              <w:rPr>
                <w:sz w:val="21"/>
                <w:szCs w:val="21"/>
                <w:lang w:val="en-AU" w:eastAsia="en-AU"/>
              </w:rPr>
              <w:t>or</w:t>
            </w:r>
            <w:r w:rsidRPr="00103906">
              <w:rPr>
                <w:sz w:val="21"/>
                <w:szCs w:val="21"/>
                <w:lang w:val="en-AU" w:eastAsia="en-AU"/>
              </w:rPr>
              <w:t xml:space="preserve"> audit function</w:t>
            </w:r>
          </w:p>
        </w:tc>
        <w:tc>
          <w:tcPr>
            <w:tcW w:w="236" w:type="dxa"/>
            <w:shd w:val="clear" w:color="auto" w:fill="FFFFFF" w:themeFill="background1"/>
          </w:tcPr>
          <w:p w14:paraId="69994BE3" w14:textId="77777777" w:rsidR="00BE48EE" w:rsidRPr="00C73D06" w:rsidRDefault="00BE48EE" w:rsidP="00BE48EE">
            <w:pPr>
              <w:jc w:val="left"/>
            </w:pPr>
          </w:p>
        </w:tc>
        <w:tc>
          <w:tcPr>
            <w:tcW w:w="3184" w:type="dxa"/>
            <w:shd w:val="clear" w:color="auto" w:fill="D5E0E7"/>
          </w:tcPr>
          <w:p w14:paraId="39012120" w14:textId="77777777" w:rsidR="00BE48EE" w:rsidRPr="00103906" w:rsidRDefault="00BE48EE" w:rsidP="00BE48EE">
            <w:pPr>
              <w:pStyle w:val="ListParagraph"/>
              <w:numPr>
                <w:ilvl w:val="0"/>
                <w:numId w:val="30"/>
              </w:numPr>
              <w:ind w:left="176" w:hanging="176"/>
              <w:jc w:val="left"/>
              <w:rPr>
                <w:sz w:val="21"/>
                <w:szCs w:val="21"/>
              </w:rPr>
            </w:pPr>
            <w:r w:rsidRPr="00103906">
              <w:rPr>
                <w:sz w:val="21"/>
                <w:szCs w:val="21"/>
              </w:rPr>
              <w:t>Maintain criminal history checks as part of professional registration</w:t>
            </w:r>
          </w:p>
          <w:p w14:paraId="7B60A469" w14:textId="77777777" w:rsidR="00BE48EE" w:rsidRPr="00C73D06" w:rsidRDefault="00BE48EE" w:rsidP="00BE48EE">
            <w:pPr>
              <w:pStyle w:val="ListParagraph"/>
              <w:numPr>
                <w:ilvl w:val="0"/>
                <w:numId w:val="30"/>
              </w:numPr>
              <w:ind w:left="176" w:hanging="176"/>
              <w:jc w:val="left"/>
              <w:rPr>
                <w:lang w:val="en-AU"/>
              </w:rPr>
            </w:pPr>
            <w:r w:rsidRPr="00103906">
              <w:rPr>
                <w:sz w:val="21"/>
                <w:szCs w:val="21"/>
              </w:rPr>
              <w:t>Auditing and review of family reports when a complaint has been made and evidence received</w:t>
            </w:r>
          </w:p>
        </w:tc>
        <w:tc>
          <w:tcPr>
            <w:tcW w:w="236" w:type="dxa"/>
            <w:shd w:val="clear" w:color="auto" w:fill="FFFFFF" w:themeFill="background1"/>
          </w:tcPr>
          <w:p w14:paraId="45903D8A" w14:textId="77777777" w:rsidR="00BE48EE" w:rsidRPr="00C73D06" w:rsidRDefault="00BE48EE" w:rsidP="00BE48EE">
            <w:pPr>
              <w:jc w:val="left"/>
            </w:pPr>
          </w:p>
        </w:tc>
        <w:tc>
          <w:tcPr>
            <w:tcW w:w="3327" w:type="dxa"/>
            <w:shd w:val="clear" w:color="auto" w:fill="D5E0E7"/>
          </w:tcPr>
          <w:p w14:paraId="4995B877" w14:textId="77777777" w:rsidR="00BE48EE" w:rsidRPr="00103906" w:rsidRDefault="00BE48EE" w:rsidP="00BE48EE">
            <w:pPr>
              <w:pStyle w:val="ListParagraph"/>
              <w:numPr>
                <w:ilvl w:val="0"/>
                <w:numId w:val="30"/>
              </w:numPr>
              <w:ind w:left="176" w:hanging="176"/>
              <w:jc w:val="left"/>
              <w:rPr>
                <w:sz w:val="21"/>
                <w:szCs w:val="21"/>
              </w:rPr>
            </w:pPr>
            <w:r w:rsidRPr="00103906">
              <w:rPr>
                <w:sz w:val="21"/>
                <w:szCs w:val="21"/>
              </w:rPr>
              <w:t>Facilitate family report audits</w:t>
            </w:r>
          </w:p>
          <w:p w14:paraId="0FD28533" w14:textId="77777777" w:rsidR="00BE48EE" w:rsidRPr="00103906" w:rsidRDefault="00BE48EE" w:rsidP="00BE48EE">
            <w:pPr>
              <w:pStyle w:val="ListParagraph"/>
              <w:numPr>
                <w:ilvl w:val="0"/>
                <w:numId w:val="30"/>
              </w:numPr>
              <w:ind w:left="176" w:hanging="176"/>
              <w:jc w:val="left"/>
              <w:rPr>
                <w:sz w:val="21"/>
                <w:szCs w:val="21"/>
              </w:rPr>
            </w:pPr>
            <w:r w:rsidRPr="00103906">
              <w:rPr>
                <w:sz w:val="21"/>
                <w:szCs w:val="21"/>
              </w:rPr>
              <w:t>Establish and maintain a public registration</w:t>
            </w:r>
            <w:r>
              <w:rPr>
                <w:sz w:val="21"/>
                <w:szCs w:val="21"/>
              </w:rPr>
              <w:t>/</w:t>
            </w:r>
            <w:r w:rsidRPr="00103906">
              <w:rPr>
                <w:sz w:val="21"/>
                <w:szCs w:val="21"/>
              </w:rPr>
              <w:t>accreditation scheme</w:t>
            </w:r>
          </w:p>
          <w:p w14:paraId="1A4CB272" w14:textId="77777777" w:rsidR="00BE48EE" w:rsidRPr="00103906" w:rsidRDefault="00BE48EE" w:rsidP="00BE48EE">
            <w:pPr>
              <w:pStyle w:val="ListParagraph"/>
              <w:numPr>
                <w:ilvl w:val="0"/>
                <w:numId w:val="30"/>
              </w:numPr>
              <w:ind w:left="176" w:hanging="176"/>
              <w:jc w:val="left"/>
              <w:rPr>
                <w:sz w:val="21"/>
                <w:szCs w:val="21"/>
              </w:rPr>
            </w:pPr>
            <w:r w:rsidRPr="00103906">
              <w:rPr>
                <w:sz w:val="21"/>
                <w:szCs w:val="21"/>
              </w:rPr>
              <w:t xml:space="preserve">Establish and maintain a website of declarations, or registered or accredited family report writers </w:t>
            </w:r>
          </w:p>
          <w:p w14:paraId="0B668CBE" w14:textId="77777777" w:rsidR="00BE48EE" w:rsidRPr="00C73D06" w:rsidRDefault="00BE48EE" w:rsidP="00BE48EE">
            <w:pPr>
              <w:pStyle w:val="ListParagraph"/>
              <w:numPr>
                <w:ilvl w:val="0"/>
                <w:numId w:val="30"/>
              </w:numPr>
              <w:ind w:left="176" w:hanging="176"/>
              <w:jc w:val="left"/>
              <w:rPr>
                <w:lang w:val="en-AU"/>
              </w:rPr>
            </w:pPr>
            <w:r w:rsidRPr="00103906">
              <w:rPr>
                <w:sz w:val="21"/>
                <w:szCs w:val="21"/>
              </w:rPr>
              <w:t xml:space="preserve">Implement legislation to establish and underpin competency requirements </w:t>
            </w:r>
          </w:p>
        </w:tc>
      </w:tr>
    </w:tbl>
    <w:p w14:paraId="3517CA2B" w14:textId="77777777" w:rsidR="00BE48EE" w:rsidRDefault="00BE48EE" w:rsidP="00BE48EE">
      <w:pPr>
        <w:spacing w:after="0"/>
      </w:pPr>
    </w:p>
    <w:p w14:paraId="6CB3B028" w14:textId="77777777" w:rsidR="00BE48EE" w:rsidRPr="00CA6DA0" w:rsidRDefault="00BE48EE" w:rsidP="004C5C6E">
      <w:pPr>
        <w:pBdr>
          <w:top w:val="single" w:sz="4" w:space="1" w:color="auto"/>
          <w:left w:val="single" w:sz="4" w:space="4" w:color="auto"/>
          <w:bottom w:val="single" w:sz="4" w:space="1" w:color="auto"/>
          <w:right w:val="single" w:sz="4" w:space="4" w:color="auto"/>
        </w:pBdr>
        <w:shd w:val="clear" w:color="auto" w:fill="ECF1F4"/>
        <w:spacing w:after="0"/>
        <w:contextualSpacing/>
        <w:rPr>
          <w:b/>
          <w:color w:val="C87200"/>
          <w:sz w:val="28"/>
          <w:szCs w:val="28"/>
        </w:rPr>
      </w:pPr>
      <w:bookmarkStart w:id="49" w:name="_Toc73542617"/>
      <w:r w:rsidRPr="00CA6DA0">
        <w:rPr>
          <w:b/>
          <w:color w:val="C87200"/>
          <w:sz w:val="28"/>
          <w:szCs w:val="28"/>
        </w:rPr>
        <w:t>Question 1</w:t>
      </w:r>
      <w:r>
        <w:rPr>
          <w:b/>
          <w:color w:val="C87200"/>
          <w:sz w:val="28"/>
          <w:szCs w:val="28"/>
        </w:rPr>
        <w:t>3</w:t>
      </w:r>
      <w:r w:rsidRPr="00CA6DA0">
        <w:rPr>
          <w:b/>
          <w:color w:val="C87200"/>
          <w:sz w:val="28"/>
          <w:szCs w:val="28"/>
        </w:rPr>
        <w:t>: Appropriate entities to establish and oversee competency and quality</w:t>
      </w:r>
      <w:bookmarkEnd w:id="49"/>
      <w:r w:rsidRPr="00CA6DA0">
        <w:rPr>
          <w:b/>
          <w:color w:val="C87200"/>
          <w:sz w:val="28"/>
          <w:szCs w:val="28"/>
        </w:rPr>
        <w:tab/>
      </w:r>
    </w:p>
    <w:p w14:paraId="4479D4E2" w14:textId="77777777" w:rsidR="00BE48EE" w:rsidRPr="004C5C6E" w:rsidRDefault="00BE48EE" w:rsidP="004C5C6E">
      <w:pPr>
        <w:pBdr>
          <w:top w:val="single" w:sz="4" w:space="1" w:color="auto"/>
          <w:left w:val="single" w:sz="4" w:space="4" w:color="auto"/>
          <w:bottom w:val="single" w:sz="4" w:space="1" w:color="auto"/>
          <w:right w:val="single" w:sz="4" w:space="4" w:color="auto"/>
        </w:pBdr>
        <w:shd w:val="clear" w:color="auto" w:fill="ECF1F4"/>
        <w:spacing w:after="0" w:line="240" w:lineRule="auto"/>
        <w:rPr>
          <w:sz w:val="28"/>
          <w:szCs w:val="28"/>
        </w:rPr>
      </w:pPr>
      <w:r w:rsidRPr="004C5C6E">
        <w:rPr>
          <w:sz w:val="28"/>
          <w:szCs w:val="28"/>
        </w:rPr>
        <w:t>Which entity or combination of entities is well placed to:</w:t>
      </w:r>
    </w:p>
    <w:p w14:paraId="10E8C0BD" w14:textId="77777777" w:rsidR="00BE48EE" w:rsidRPr="004C5C6E" w:rsidRDefault="00BE48EE" w:rsidP="004C5C6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CF1F4"/>
        <w:spacing w:line="240" w:lineRule="auto"/>
        <w:rPr>
          <w:sz w:val="28"/>
          <w:szCs w:val="28"/>
        </w:rPr>
      </w:pPr>
      <w:r w:rsidRPr="004C5C6E">
        <w:rPr>
          <w:sz w:val="28"/>
          <w:szCs w:val="28"/>
        </w:rPr>
        <w:t>ensure and assess competency</w:t>
      </w:r>
    </w:p>
    <w:p w14:paraId="4C36D5F2" w14:textId="77777777" w:rsidR="00BE48EE" w:rsidRPr="004C5C6E" w:rsidRDefault="00BE48EE" w:rsidP="004C5C6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CF1F4"/>
        <w:spacing w:line="240" w:lineRule="auto"/>
        <w:rPr>
          <w:sz w:val="28"/>
          <w:szCs w:val="28"/>
        </w:rPr>
      </w:pPr>
      <w:r w:rsidRPr="004C5C6E">
        <w:rPr>
          <w:sz w:val="28"/>
          <w:szCs w:val="28"/>
        </w:rPr>
        <w:t>establish training modules to address identified competency requirements</w:t>
      </w:r>
    </w:p>
    <w:p w14:paraId="6EBA8319" w14:textId="77777777" w:rsidR="00BE48EE" w:rsidRPr="004C5C6E" w:rsidRDefault="00BE48EE" w:rsidP="004C5C6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CF1F4"/>
        <w:spacing w:line="240" w:lineRule="auto"/>
        <w:rPr>
          <w:sz w:val="28"/>
          <w:szCs w:val="28"/>
        </w:rPr>
      </w:pPr>
      <w:r w:rsidRPr="004C5C6E">
        <w:rPr>
          <w:sz w:val="28"/>
          <w:szCs w:val="28"/>
        </w:rPr>
        <w:t>conduct training in identified competency requirements</w:t>
      </w:r>
    </w:p>
    <w:p w14:paraId="04443C4A" w14:textId="77777777" w:rsidR="00BE48EE" w:rsidRPr="004C5C6E" w:rsidRDefault="00BE48EE" w:rsidP="004C5C6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CF1F4"/>
        <w:spacing w:line="240" w:lineRule="auto"/>
        <w:rPr>
          <w:sz w:val="28"/>
          <w:szCs w:val="28"/>
        </w:rPr>
      </w:pPr>
      <w:r w:rsidRPr="004C5C6E">
        <w:rPr>
          <w:sz w:val="28"/>
          <w:szCs w:val="28"/>
        </w:rPr>
        <w:t>screen family report writers for suitability</w:t>
      </w:r>
    </w:p>
    <w:p w14:paraId="48C98D11" w14:textId="77777777" w:rsidR="00BE48EE" w:rsidRPr="004C5C6E" w:rsidRDefault="00BE48EE" w:rsidP="004C5C6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CF1F4"/>
        <w:spacing w:line="240" w:lineRule="auto"/>
        <w:rPr>
          <w:sz w:val="28"/>
          <w:szCs w:val="28"/>
        </w:rPr>
      </w:pPr>
      <w:r w:rsidRPr="004C5C6E">
        <w:rPr>
          <w:sz w:val="28"/>
          <w:szCs w:val="28"/>
        </w:rPr>
        <w:t xml:space="preserve">assess the quality of reports, and/or </w:t>
      </w:r>
    </w:p>
    <w:p w14:paraId="7735A921" w14:textId="77777777" w:rsidR="00BE48EE" w:rsidRPr="004C5C6E" w:rsidRDefault="00BE48EE" w:rsidP="004C5C6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CF1F4"/>
        <w:spacing w:line="240" w:lineRule="auto"/>
        <w:rPr>
          <w:sz w:val="28"/>
          <w:szCs w:val="28"/>
        </w:rPr>
      </w:pPr>
      <w:r w:rsidRPr="004C5C6E">
        <w:rPr>
          <w:sz w:val="28"/>
          <w:szCs w:val="28"/>
        </w:rPr>
        <w:t xml:space="preserve">maintain and facilitate public visibility of family report writers and their competencies. </w:t>
      </w:r>
    </w:p>
    <w:p w14:paraId="60A63CAA" w14:textId="77777777" w:rsidR="00BE48EE" w:rsidRPr="00C73D06" w:rsidRDefault="00BE48EE" w:rsidP="00BE48EE">
      <w:pPr>
        <w:pStyle w:val="Heading1"/>
        <w:spacing w:before="240"/>
      </w:pPr>
      <w:bookmarkStart w:id="50" w:name="_Toc67657910"/>
      <w:bookmarkStart w:id="51" w:name="_Toc73542507"/>
      <w:r w:rsidRPr="00C73D06">
        <w:lastRenderedPageBreak/>
        <w:t>Part III – Complaints and Accountability</w:t>
      </w:r>
      <w:bookmarkEnd w:id="50"/>
      <w:bookmarkEnd w:id="51"/>
      <w:r w:rsidRPr="00C73D06">
        <w:t xml:space="preserve"> </w:t>
      </w:r>
    </w:p>
    <w:p w14:paraId="64723254" w14:textId="77777777" w:rsidR="00BE48EE" w:rsidRPr="00C73D06" w:rsidRDefault="00BE48EE" w:rsidP="00BE48EE">
      <w:pPr>
        <w:rPr>
          <w:szCs w:val="22"/>
        </w:rPr>
      </w:pPr>
      <w:r w:rsidRPr="00C73D06">
        <w:rPr>
          <w:szCs w:val="22"/>
        </w:rPr>
        <w:t>A complaint mechanism for professional services enables relevant members of the public to raise issues and have these investigated and resolved. An effective complaint mechanism is particularly important where a decision or service of a professional can impact on an individual’s or the public’s health and wellbeing. An effective complaint mechanism can improve the reputation of a profession, enhance public trust, increase the satisfaction of users, and provide data on scope for improvement.</w:t>
      </w:r>
      <w:r w:rsidRPr="00C73D06">
        <w:rPr>
          <w:rStyle w:val="FootnoteReference"/>
          <w:rFonts w:cstheme="minorHAnsi"/>
          <w:szCs w:val="22"/>
        </w:rPr>
        <w:footnoteReference w:id="73"/>
      </w:r>
      <w:r w:rsidRPr="00C73D06">
        <w:rPr>
          <w:szCs w:val="22"/>
        </w:rPr>
        <w:t xml:space="preserve"> Good complaint handling is accessible, timely and fair.</w:t>
      </w:r>
      <w:r w:rsidRPr="00C73D06">
        <w:rPr>
          <w:rStyle w:val="FootnoteReference"/>
          <w:rFonts w:cstheme="minorHAnsi"/>
          <w:szCs w:val="22"/>
        </w:rPr>
        <w:footnoteReference w:id="74"/>
      </w:r>
      <w:r w:rsidRPr="00C73D06">
        <w:rPr>
          <w:szCs w:val="22"/>
        </w:rPr>
        <w:t xml:space="preserve"> </w:t>
      </w:r>
    </w:p>
    <w:p w14:paraId="0C01A1ED" w14:textId="77777777" w:rsidR="00BE48EE" w:rsidRPr="00C73D06" w:rsidRDefault="00BE48EE" w:rsidP="00BE48EE">
      <w:pPr>
        <w:rPr>
          <w:b/>
          <w:bCs/>
          <w:color w:val="000000"/>
          <w:szCs w:val="22"/>
          <w:lang w:val="en-US"/>
        </w:rPr>
      </w:pPr>
      <w:r w:rsidRPr="00C73D06">
        <w:rPr>
          <w:szCs w:val="22"/>
        </w:rPr>
        <w:t xml:space="preserve">There is currently no single complaints entity for family report writers. The available complaints mechanisms vary based on the profession of the report writer (psychologist, psychiatrist or social worker) and how they are appointed (as a court employee, regulation 7 appointment or appointed by the parties as a single expert witness). The courts, regulatory authorities, professional associations and employers may receive and investigate complaints related to the competency, performance and conduct of professionals who undertake family reports. However, each of these entities has limitations in how they can assess and respond to the complaint. </w:t>
      </w:r>
      <w:r w:rsidRPr="00C73D06">
        <w:rPr>
          <w:bCs/>
          <w:color w:val="000000"/>
          <w:szCs w:val="22"/>
          <w:lang w:val="en-US"/>
        </w:rPr>
        <w:t>The complaint process for family report writers has been described by stakeholders as ‘unclear’ and ‘almost impossible’.</w:t>
      </w:r>
      <w:r w:rsidRPr="00C73D06">
        <w:rPr>
          <w:rStyle w:val="FootnoteReference"/>
          <w:rFonts w:cstheme="minorHAnsi"/>
          <w:bCs/>
          <w:color w:val="000000"/>
          <w:szCs w:val="22"/>
          <w:lang w:val="en-US"/>
        </w:rPr>
        <w:footnoteReference w:id="75"/>
      </w:r>
      <w:r w:rsidRPr="00C73D06">
        <w:rPr>
          <w:b/>
          <w:bCs/>
          <w:color w:val="000000"/>
          <w:szCs w:val="22"/>
          <w:lang w:val="en-US"/>
        </w:rPr>
        <w:t xml:space="preserve"> </w:t>
      </w:r>
      <w:r w:rsidRPr="00C73D06">
        <w:rPr>
          <w:szCs w:val="22"/>
        </w:rPr>
        <w:t xml:space="preserve">The JSC recommended the establishment of complaints mechanisms for all categories of family report writers, noting this would </w:t>
      </w:r>
      <w:r w:rsidRPr="00C73D06">
        <w:rPr>
          <w:color w:val="000000"/>
          <w:szCs w:val="22"/>
          <w:lang w:val="en-US"/>
        </w:rPr>
        <w:t>provide parties with an avenue to address perceived bias or incompetenc</w:t>
      </w:r>
      <w:r>
        <w:rPr>
          <w:color w:val="000000"/>
          <w:szCs w:val="22"/>
          <w:lang w:val="en-US"/>
        </w:rPr>
        <w:t>e</w:t>
      </w:r>
      <w:r w:rsidRPr="00C73D06">
        <w:rPr>
          <w:szCs w:val="22"/>
        </w:rPr>
        <w:t>.</w:t>
      </w:r>
      <w:r w:rsidRPr="00C73D06">
        <w:rPr>
          <w:rStyle w:val="FootnoteReference"/>
          <w:rFonts w:cstheme="minorHAnsi"/>
          <w:szCs w:val="22"/>
        </w:rPr>
        <w:footnoteReference w:id="76"/>
      </w:r>
    </w:p>
    <w:p w14:paraId="35ADB9AB" w14:textId="77777777" w:rsidR="00BE48EE" w:rsidRPr="00C73D06" w:rsidRDefault="00BE48EE" w:rsidP="00BE48EE">
      <w:pPr>
        <w:rPr>
          <w:color w:val="000000"/>
          <w:szCs w:val="22"/>
          <w:lang w:val="en-US"/>
        </w:rPr>
      </w:pPr>
      <w:r w:rsidRPr="00C73D06">
        <w:rPr>
          <w:szCs w:val="22"/>
        </w:rPr>
        <w:t>Types of complaints that have been made about family report writers include report writers misconstruing facts, short interviews</w:t>
      </w:r>
      <w:r>
        <w:rPr>
          <w:szCs w:val="22"/>
        </w:rPr>
        <w:t xml:space="preserve"> which are</w:t>
      </w:r>
      <w:r w:rsidRPr="00C73D06">
        <w:rPr>
          <w:szCs w:val="22"/>
        </w:rPr>
        <w:t xml:space="preserve"> insufficient to make appropriate recommendations and minimising allegations of family violence and abuse.</w:t>
      </w:r>
      <w:r w:rsidRPr="00C73D06">
        <w:rPr>
          <w:rStyle w:val="FootnoteReference"/>
          <w:szCs w:val="22"/>
        </w:rPr>
        <w:footnoteReference w:id="77"/>
      </w:r>
    </w:p>
    <w:p w14:paraId="64B8B447" w14:textId="77777777" w:rsidR="00BE48EE" w:rsidRPr="00C73D06" w:rsidRDefault="00BE48EE" w:rsidP="00BE48EE">
      <w:pPr>
        <w:rPr>
          <w:szCs w:val="22"/>
        </w:rPr>
      </w:pPr>
      <w:r w:rsidRPr="00C73D06">
        <w:rPr>
          <w:szCs w:val="22"/>
        </w:rPr>
        <w:t>This section sets out information about the existing avenues of complaint for family report writers, their limitations, and the risks and issues that must be addressed in considering the potential establishment of new or enhanced complaints mechanisms.</w:t>
      </w:r>
    </w:p>
    <w:p w14:paraId="1CE8FBDC" w14:textId="77777777" w:rsidR="00BE48EE" w:rsidRPr="00C73D06" w:rsidRDefault="00BE48EE" w:rsidP="00BE48EE">
      <w:pPr>
        <w:pStyle w:val="Heading2"/>
        <w:spacing w:before="240"/>
        <w:rPr>
          <w:b/>
          <w:bCs/>
          <w:color w:val="000000"/>
          <w:szCs w:val="22"/>
          <w:lang w:val="en-US"/>
        </w:rPr>
      </w:pPr>
      <w:bookmarkStart w:id="52" w:name="_Toc67657911"/>
      <w:bookmarkStart w:id="53" w:name="_Toc73542508"/>
      <w:r w:rsidRPr="00C73D06">
        <w:t>Court-based review of family report writer complaints</w:t>
      </w:r>
      <w:bookmarkEnd w:id="52"/>
      <w:bookmarkEnd w:id="53"/>
    </w:p>
    <w:p w14:paraId="3112E843" w14:textId="77777777" w:rsidR="00BE48EE" w:rsidRPr="00C73D06" w:rsidRDefault="00BE48EE" w:rsidP="00BE48EE">
      <w:pPr>
        <w:pStyle w:val="Heading3"/>
        <w:spacing w:before="240"/>
      </w:pPr>
      <w:bookmarkStart w:id="54" w:name="_Toc67657912"/>
      <w:r w:rsidRPr="00C73D06">
        <w:t>Cross-examination</w:t>
      </w:r>
      <w:bookmarkEnd w:id="54"/>
    </w:p>
    <w:p w14:paraId="3D6514CD" w14:textId="77777777" w:rsidR="00BE48EE" w:rsidRPr="00C73D06" w:rsidRDefault="00BE48EE" w:rsidP="00BE48EE">
      <w:pPr>
        <w:rPr>
          <w:rFonts w:cstheme="minorHAnsi"/>
          <w:szCs w:val="22"/>
          <w:lang w:val="en-GB"/>
        </w:rPr>
      </w:pPr>
      <w:r w:rsidRPr="00C73D06">
        <w:rPr>
          <w:szCs w:val="22"/>
        </w:rPr>
        <w:t>Family reports and assessments are admitted into evidence and the court’s role is to establish</w:t>
      </w:r>
      <w:r>
        <w:rPr>
          <w:szCs w:val="22"/>
        </w:rPr>
        <w:t xml:space="preserve"> the</w:t>
      </w:r>
      <w:r w:rsidRPr="00C73D06">
        <w:rPr>
          <w:szCs w:val="22"/>
        </w:rPr>
        <w:t xml:space="preserve"> truth of the evidence and the weight it will be given.</w:t>
      </w:r>
      <w:r w:rsidRPr="00C73D06">
        <w:rPr>
          <w:rStyle w:val="FootnoteReference"/>
          <w:szCs w:val="22"/>
        </w:rPr>
        <w:footnoteReference w:id="78"/>
      </w:r>
      <w:r w:rsidRPr="00C73D06">
        <w:rPr>
          <w:szCs w:val="22"/>
        </w:rPr>
        <w:t xml:space="preserve"> </w:t>
      </w:r>
      <w:r>
        <w:rPr>
          <w:szCs w:val="22"/>
        </w:rPr>
        <w:t xml:space="preserve">The expectation is that </w:t>
      </w:r>
      <w:r w:rsidRPr="00C73D06">
        <w:rPr>
          <w:rFonts w:cstheme="minorHAnsi"/>
          <w:szCs w:val="22"/>
          <w:lang w:val="en-GB"/>
        </w:rPr>
        <w:t>concerns relating to a family report</w:t>
      </w:r>
      <w:r>
        <w:rPr>
          <w:rFonts w:cstheme="minorHAnsi"/>
          <w:szCs w:val="22"/>
          <w:lang w:val="en-GB"/>
        </w:rPr>
        <w:t xml:space="preserve"> or family report</w:t>
      </w:r>
      <w:r w:rsidRPr="00C73D06">
        <w:rPr>
          <w:rFonts w:cstheme="minorHAnsi"/>
          <w:szCs w:val="22"/>
          <w:lang w:val="en-GB"/>
        </w:rPr>
        <w:t xml:space="preserve"> writer are to be raised within proceedings and tested through cross-examination.</w:t>
      </w:r>
      <w:r w:rsidRPr="00C73D06">
        <w:rPr>
          <w:rStyle w:val="FootnoteReference"/>
          <w:rFonts w:cstheme="minorHAnsi"/>
          <w:szCs w:val="22"/>
          <w:lang w:val="en-GB"/>
        </w:rPr>
        <w:footnoteReference w:id="79"/>
      </w:r>
      <w:r w:rsidRPr="00C73D06">
        <w:rPr>
          <w:rFonts w:cstheme="minorHAnsi"/>
          <w:szCs w:val="22"/>
          <w:lang w:val="en-GB"/>
        </w:rPr>
        <w:t xml:space="preserve"> </w:t>
      </w:r>
    </w:p>
    <w:p w14:paraId="69DBDABB" w14:textId="77777777" w:rsidR="00BE48EE" w:rsidRPr="00C73D06" w:rsidRDefault="00BE48EE" w:rsidP="00BE48EE">
      <w:pPr>
        <w:rPr>
          <w:rFonts w:cstheme="minorHAnsi"/>
          <w:szCs w:val="22"/>
          <w:lang w:val="en-GB"/>
        </w:rPr>
      </w:pPr>
      <w:r w:rsidRPr="00C73D06">
        <w:lastRenderedPageBreak/>
        <w:t xml:space="preserve">Cross-examination is an essential feature of the adversarial trial system. </w:t>
      </w:r>
      <w:r w:rsidRPr="00C73D06">
        <w:rPr>
          <w:rFonts w:cstheme="minorHAnsi"/>
          <w:szCs w:val="22"/>
          <w:lang w:val="en-GB"/>
        </w:rPr>
        <w:t>The purpose of cross-examination is to test and challenge evidence, and to obtain the response of the witness.</w:t>
      </w:r>
      <w:r w:rsidRPr="00C73D06">
        <w:rPr>
          <w:rStyle w:val="FootnoteReference"/>
          <w:rFonts w:cstheme="minorHAnsi"/>
          <w:szCs w:val="22"/>
          <w:lang w:val="en-GB"/>
        </w:rPr>
        <w:footnoteReference w:id="80"/>
      </w:r>
      <w:r w:rsidRPr="00C73D06">
        <w:rPr>
          <w:rFonts w:cstheme="minorHAnsi"/>
          <w:szCs w:val="22"/>
          <w:lang w:val="en-GB"/>
        </w:rPr>
        <w:t xml:space="preserve"> The benefits of this approach for family reports is that a complaint can be raised and addressed within </w:t>
      </w:r>
      <w:r>
        <w:rPr>
          <w:rFonts w:cstheme="minorHAnsi"/>
          <w:szCs w:val="22"/>
          <w:lang w:val="en-GB"/>
        </w:rPr>
        <w:t>a reasonable</w:t>
      </w:r>
      <w:r w:rsidRPr="00C73D06">
        <w:rPr>
          <w:rFonts w:cstheme="minorHAnsi"/>
          <w:szCs w:val="22"/>
          <w:lang w:val="en-GB"/>
        </w:rPr>
        <w:t xml:space="preserve"> timeframe, and considered with other evidence. The judge takes into account all issues and evidence and makes decisions in the best interests of the child. Cross-examination also retains the privacy of the parties in the matter. This approach is consistent with the way other expert evidence is treated by the courts. </w:t>
      </w:r>
    </w:p>
    <w:p w14:paraId="3263251B" w14:textId="77777777" w:rsidR="00BE48EE" w:rsidRPr="00C73D06" w:rsidRDefault="00BE48EE" w:rsidP="00BE48EE">
      <w:pPr>
        <w:spacing w:after="0"/>
        <w:rPr>
          <w:rFonts w:cstheme="minorHAnsi"/>
          <w:szCs w:val="22"/>
          <w:lang w:val="en-GB"/>
        </w:rPr>
      </w:pPr>
      <w:r w:rsidRPr="00C73D06">
        <w:rPr>
          <w:rFonts w:cstheme="minorHAnsi"/>
          <w:szCs w:val="22"/>
          <w:lang w:val="en-GB"/>
        </w:rPr>
        <w:t xml:space="preserve">However, </w:t>
      </w:r>
      <w:r w:rsidRPr="00C73D06">
        <w:rPr>
          <w:szCs w:val="22"/>
        </w:rPr>
        <w:t>as a mechanism to address complaints</w:t>
      </w:r>
      <w:r>
        <w:rPr>
          <w:szCs w:val="22"/>
        </w:rPr>
        <w:t>,</w:t>
      </w:r>
      <w:r w:rsidRPr="00C73D06">
        <w:rPr>
          <w:szCs w:val="22"/>
        </w:rPr>
        <w:t xml:space="preserve"> </w:t>
      </w:r>
      <w:r w:rsidRPr="00C73D06">
        <w:rPr>
          <w:rFonts w:cstheme="minorHAnsi"/>
          <w:szCs w:val="22"/>
          <w:lang w:val="en-GB"/>
        </w:rPr>
        <w:t>c</w:t>
      </w:r>
      <w:r w:rsidRPr="00C73D06">
        <w:rPr>
          <w:szCs w:val="22"/>
        </w:rPr>
        <w:t xml:space="preserve">ross-examination of family report writers and their reports has a number of limitations: </w:t>
      </w:r>
    </w:p>
    <w:p w14:paraId="2093493D" w14:textId="77777777" w:rsidR="00BE48EE" w:rsidRPr="00C73D06" w:rsidRDefault="00BE48EE" w:rsidP="00BE48EE">
      <w:pPr>
        <w:pStyle w:val="ListParagraph"/>
        <w:numPr>
          <w:ilvl w:val="0"/>
          <w:numId w:val="20"/>
        </w:numPr>
        <w:ind w:left="714" w:hanging="357"/>
        <w:rPr>
          <w:szCs w:val="22"/>
        </w:rPr>
      </w:pPr>
      <w:r w:rsidRPr="00C73D06">
        <w:rPr>
          <w:szCs w:val="22"/>
        </w:rPr>
        <w:t>It can be difficult for unrepresented litigants to conduct effective cross-examination.</w:t>
      </w:r>
    </w:p>
    <w:p w14:paraId="4D6D6720" w14:textId="77777777" w:rsidR="00BE48EE" w:rsidRPr="00C73D06" w:rsidRDefault="00BE48EE" w:rsidP="00BE48EE">
      <w:pPr>
        <w:pStyle w:val="ListParagraph"/>
        <w:numPr>
          <w:ilvl w:val="0"/>
          <w:numId w:val="20"/>
        </w:numPr>
        <w:ind w:left="714" w:hanging="357"/>
        <w:rPr>
          <w:szCs w:val="22"/>
        </w:rPr>
      </w:pPr>
      <w:r w:rsidRPr="00C73D06">
        <w:rPr>
          <w:rFonts w:cstheme="minorHAnsi"/>
          <w:szCs w:val="22"/>
          <w:lang w:val="en-GB"/>
        </w:rPr>
        <w:t>While capable of testing the evidence base for assertions in the report, lawyers or litigants may not have the skills or knowledge to test the professional competency of the report writer properly.</w:t>
      </w:r>
    </w:p>
    <w:p w14:paraId="791A18C7" w14:textId="77777777" w:rsidR="00BE48EE" w:rsidRPr="00C73D06" w:rsidRDefault="00BE48EE" w:rsidP="00BE48EE">
      <w:pPr>
        <w:pStyle w:val="ListParagraph"/>
        <w:numPr>
          <w:ilvl w:val="0"/>
          <w:numId w:val="20"/>
        </w:numPr>
        <w:ind w:left="714" w:hanging="357"/>
        <w:rPr>
          <w:szCs w:val="22"/>
        </w:rPr>
      </w:pPr>
      <w:r w:rsidRPr="00C73D06">
        <w:rPr>
          <w:rFonts w:cstheme="minorHAnsi"/>
          <w:szCs w:val="22"/>
          <w:lang w:val="en-GB"/>
        </w:rPr>
        <w:t xml:space="preserve">Most matters resolve before trial and parties are frequently encouraged to resolve matters before trial once a family report is available, therefore reports and </w:t>
      </w:r>
      <w:r>
        <w:rPr>
          <w:rFonts w:cstheme="minorHAnsi"/>
          <w:szCs w:val="22"/>
          <w:lang w:val="en-GB"/>
        </w:rPr>
        <w:t xml:space="preserve">report </w:t>
      </w:r>
      <w:r w:rsidRPr="00C73D06">
        <w:rPr>
          <w:rFonts w:cstheme="minorHAnsi"/>
          <w:szCs w:val="22"/>
          <w:lang w:val="en-GB"/>
        </w:rPr>
        <w:t xml:space="preserve">writers may not be subject to cross-examination. </w:t>
      </w:r>
    </w:p>
    <w:p w14:paraId="7935888B" w14:textId="77777777" w:rsidR="00BE48EE" w:rsidRPr="00C73D06" w:rsidRDefault="00BE48EE" w:rsidP="00BE48EE">
      <w:pPr>
        <w:pStyle w:val="ListParagraph"/>
        <w:numPr>
          <w:ilvl w:val="0"/>
          <w:numId w:val="20"/>
        </w:numPr>
        <w:ind w:left="714" w:hanging="357"/>
        <w:rPr>
          <w:rFonts w:cstheme="minorHAnsi"/>
          <w:szCs w:val="22"/>
          <w:lang w:val="en-GB"/>
        </w:rPr>
      </w:pPr>
      <w:r w:rsidRPr="00C73D06">
        <w:rPr>
          <w:rFonts w:cstheme="minorHAnsi"/>
          <w:szCs w:val="22"/>
          <w:lang w:val="en-GB"/>
        </w:rPr>
        <w:t>The cost of cross-examination is to be met by the cross-examining party and therefore their ability to challenge the report is subject to their ability to pay for the expert’s attendance.</w:t>
      </w:r>
      <w:r w:rsidRPr="00C73D06">
        <w:rPr>
          <w:rStyle w:val="FootnoteReference"/>
          <w:rFonts w:cstheme="minorHAnsi"/>
          <w:szCs w:val="22"/>
          <w:lang w:val="en-GB"/>
        </w:rPr>
        <w:footnoteReference w:id="81"/>
      </w:r>
    </w:p>
    <w:p w14:paraId="15C43F40" w14:textId="77777777" w:rsidR="00BE48EE" w:rsidRPr="00C73D06" w:rsidRDefault="00BE48EE" w:rsidP="00BE48EE">
      <w:pPr>
        <w:pStyle w:val="ListParagraph"/>
        <w:numPr>
          <w:ilvl w:val="0"/>
          <w:numId w:val="20"/>
        </w:numPr>
        <w:ind w:left="714" w:hanging="357"/>
        <w:rPr>
          <w:rFonts w:cstheme="minorHAnsi"/>
          <w:szCs w:val="22"/>
          <w:lang w:val="en-GB"/>
        </w:rPr>
      </w:pPr>
      <w:r w:rsidRPr="00C73D06">
        <w:rPr>
          <w:rFonts w:cstheme="minorHAnsi"/>
          <w:szCs w:val="22"/>
          <w:lang w:val="en-GB"/>
        </w:rPr>
        <w:t>As any issue or complaint may be cross</w:t>
      </w:r>
      <w:r>
        <w:rPr>
          <w:rFonts w:cstheme="minorHAnsi"/>
          <w:szCs w:val="22"/>
          <w:lang w:val="en-GB"/>
        </w:rPr>
        <w:t>-</w:t>
      </w:r>
      <w:r w:rsidRPr="00C73D06">
        <w:rPr>
          <w:rFonts w:cstheme="minorHAnsi"/>
          <w:szCs w:val="22"/>
          <w:lang w:val="en-GB"/>
        </w:rPr>
        <w:t xml:space="preserve">examined, the cross-examination process enables litigants to raise and prosecute vexatious complaints </w:t>
      </w:r>
      <w:r>
        <w:rPr>
          <w:rFonts w:cstheme="minorHAnsi"/>
          <w:szCs w:val="22"/>
          <w:lang w:val="en-GB"/>
        </w:rPr>
        <w:t xml:space="preserve">concerning the family report writer </w:t>
      </w:r>
      <w:r w:rsidRPr="00C73D06">
        <w:rPr>
          <w:rFonts w:cstheme="minorHAnsi"/>
          <w:szCs w:val="22"/>
          <w:lang w:val="en-GB"/>
        </w:rPr>
        <w:t xml:space="preserve">that may not relate to the competency of the report writer or their assessment. </w:t>
      </w:r>
    </w:p>
    <w:p w14:paraId="24BB2C61" w14:textId="77777777" w:rsidR="00BE48EE" w:rsidRPr="00C73D06" w:rsidRDefault="00BE48EE" w:rsidP="00BE48EE">
      <w:pPr>
        <w:pStyle w:val="ListParagraph"/>
        <w:numPr>
          <w:ilvl w:val="0"/>
          <w:numId w:val="20"/>
        </w:numPr>
        <w:ind w:left="714" w:hanging="357"/>
        <w:rPr>
          <w:rFonts w:cstheme="minorHAnsi"/>
          <w:szCs w:val="22"/>
          <w:lang w:val="en-GB"/>
        </w:rPr>
      </w:pPr>
      <w:r w:rsidRPr="00C73D06">
        <w:rPr>
          <w:rFonts w:cstheme="minorHAnsi"/>
          <w:szCs w:val="22"/>
          <w:lang w:val="en-GB"/>
        </w:rPr>
        <w:t xml:space="preserve">Cross-examination requires the professional report writer to defend their competency, if it is challenged, </w:t>
      </w:r>
      <w:r>
        <w:rPr>
          <w:rFonts w:cstheme="minorHAnsi"/>
          <w:szCs w:val="22"/>
          <w:lang w:val="en-GB"/>
        </w:rPr>
        <w:t xml:space="preserve">potentially </w:t>
      </w:r>
      <w:r w:rsidRPr="00C73D06">
        <w:rPr>
          <w:rFonts w:cstheme="minorHAnsi"/>
          <w:szCs w:val="22"/>
          <w:lang w:val="en-GB"/>
        </w:rPr>
        <w:t>in an emotional, hostile and adversarial environment.</w:t>
      </w:r>
    </w:p>
    <w:p w14:paraId="3BA24C92" w14:textId="77777777" w:rsidR="00BE48EE" w:rsidRPr="00C73D06" w:rsidRDefault="00BE48EE" w:rsidP="00BE48EE">
      <w:pPr>
        <w:pStyle w:val="ListParagraph"/>
        <w:numPr>
          <w:ilvl w:val="0"/>
          <w:numId w:val="20"/>
        </w:numPr>
        <w:ind w:left="714" w:hanging="357"/>
        <w:rPr>
          <w:rFonts w:cstheme="minorHAnsi"/>
          <w:szCs w:val="22"/>
          <w:lang w:val="en-GB"/>
        </w:rPr>
      </w:pPr>
      <w:r w:rsidRPr="00C73D06">
        <w:rPr>
          <w:rFonts w:cstheme="minorHAnsi"/>
          <w:szCs w:val="22"/>
          <w:lang w:val="en-GB"/>
        </w:rPr>
        <w:t>Cross-examination does not enable a broader picture to be gained of professionals who are subject to multiple complaints.</w:t>
      </w:r>
      <w:r w:rsidRPr="00C73D06">
        <w:rPr>
          <w:rStyle w:val="FootnoteReference"/>
          <w:rFonts w:cstheme="minorHAnsi"/>
          <w:szCs w:val="22"/>
          <w:lang w:val="en-GB"/>
        </w:rPr>
        <w:footnoteReference w:id="82"/>
      </w:r>
    </w:p>
    <w:p w14:paraId="5C6053E1" w14:textId="77777777" w:rsidR="00BE48EE" w:rsidRPr="00C73D06" w:rsidRDefault="00BE48EE" w:rsidP="00BE48EE">
      <w:pPr>
        <w:pStyle w:val="Heading3"/>
        <w:spacing w:before="240"/>
        <w:rPr>
          <w:lang w:val="en-GB"/>
        </w:rPr>
      </w:pPr>
      <w:r>
        <w:rPr>
          <w:lang w:val="en-GB"/>
        </w:rPr>
        <w:t>Complaints to the family law courts</w:t>
      </w:r>
    </w:p>
    <w:p w14:paraId="767ECC95" w14:textId="77777777" w:rsidR="00BE48EE" w:rsidRDefault="00BE48EE" w:rsidP="00BE48EE">
      <w:pPr>
        <w:autoSpaceDE w:val="0"/>
        <w:autoSpaceDN w:val="0"/>
        <w:adjustRightInd w:val="0"/>
        <w:rPr>
          <w:rFonts w:cstheme="minorHAnsi"/>
          <w:szCs w:val="22"/>
          <w:lang w:val="en-GB"/>
        </w:rPr>
      </w:pPr>
      <w:r w:rsidRPr="00C73D06">
        <w:t xml:space="preserve">A senior practitioner at </w:t>
      </w:r>
      <w:r>
        <w:t>CCS</w:t>
      </w:r>
      <w:r w:rsidRPr="00C73D06">
        <w:t xml:space="preserve"> or FCCCS will review all complaints made to the court about family consultants.</w:t>
      </w:r>
      <w:r w:rsidRPr="00C73D06">
        <w:rPr>
          <w:rStyle w:val="FootnoteReference"/>
          <w:rFonts w:cstheme="minorHAnsi"/>
          <w:szCs w:val="22"/>
        </w:rPr>
        <w:footnoteReference w:id="83"/>
      </w:r>
      <w:r w:rsidRPr="00C73D06">
        <w:t xml:space="preserve"> This includes reviewing the report and any other relevant documents. </w:t>
      </w:r>
      <w:r>
        <w:t>CCS or FCCCS</w:t>
      </w:r>
      <w:r w:rsidRPr="00C73D06">
        <w:t xml:space="preserve"> may take </w:t>
      </w:r>
      <w:r>
        <w:t>a number of internal actions</w:t>
      </w:r>
      <w:r w:rsidRPr="00C73D06">
        <w:t xml:space="preserve"> if </w:t>
      </w:r>
      <w:r>
        <w:t xml:space="preserve">considered </w:t>
      </w:r>
      <w:r w:rsidRPr="00C73D06">
        <w:t xml:space="preserve">warranted. This includes raising thematic issues with the family consultant </w:t>
      </w:r>
      <w:r>
        <w:t>during</w:t>
      </w:r>
      <w:r w:rsidRPr="00C73D06">
        <w:t xml:space="preserve"> supervision or </w:t>
      </w:r>
      <w:r>
        <w:t>providing</w:t>
      </w:r>
      <w:r w:rsidRPr="00C73D06">
        <w:t xml:space="preserve"> specific training. </w:t>
      </w:r>
      <w:r>
        <w:t>T</w:t>
      </w:r>
      <w:r w:rsidRPr="00C73D06">
        <w:t>he complainant is advised that their complaint has been closely reviewed by a senior practitioner and t</w:t>
      </w:r>
      <w:r>
        <w:t>hat their feedback will be used</w:t>
      </w:r>
      <w:r w:rsidRPr="00C73D06">
        <w:t xml:space="preserve"> for continual improvement and training purposes. They are also advised that the appropriate forum for raising their concerns is in </w:t>
      </w:r>
      <w:r>
        <w:t>the course of the proceedings</w:t>
      </w:r>
      <w:r w:rsidRPr="00C73D06">
        <w:t>.</w:t>
      </w:r>
      <w:r w:rsidRPr="00C73D06">
        <w:rPr>
          <w:rFonts w:cstheme="minorHAnsi"/>
          <w:szCs w:val="22"/>
          <w:lang w:val="en-GB"/>
        </w:rPr>
        <w:t xml:space="preserve"> </w:t>
      </w:r>
      <w:r>
        <w:t>F</w:t>
      </w:r>
      <w:r w:rsidRPr="00C73D06">
        <w:t xml:space="preserve">amily consultants are not advised </w:t>
      </w:r>
      <w:r>
        <w:t xml:space="preserve">that there is a </w:t>
      </w:r>
      <w:r w:rsidRPr="00C73D06">
        <w:t>complaint</w:t>
      </w:r>
      <w:r>
        <w:t xml:space="preserve"> against them</w:t>
      </w:r>
      <w:r w:rsidRPr="00C73D06">
        <w:t xml:space="preserve"> while the matter is still before the</w:t>
      </w:r>
      <w:r>
        <w:t xml:space="preserve"> c</w:t>
      </w:r>
      <w:r w:rsidRPr="00C73D06">
        <w:t>ourt</w:t>
      </w:r>
      <w:r>
        <w:t>.</w:t>
      </w:r>
    </w:p>
    <w:p w14:paraId="797B54E7" w14:textId="77777777" w:rsidR="00BE48EE" w:rsidRDefault="00BE48EE" w:rsidP="00BE48EE">
      <w:pPr>
        <w:autoSpaceDE w:val="0"/>
        <w:autoSpaceDN w:val="0"/>
        <w:adjustRightInd w:val="0"/>
        <w:rPr>
          <w:szCs w:val="22"/>
        </w:rPr>
      </w:pPr>
      <w:r w:rsidRPr="00C73D06">
        <w:rPr>
          <w:rFonts w:cstheme="minorHAnsi"/>
          <w:szCs w:val="22"/>
        </w:rPr>
        <w:t>The courts,</w:t>
      </w:r>
      <w:r w:rsidRPr="00C73D06">
        <w:rPr>
          <w:szCs w:val="22"/>
        </w:rPr>
        <w:t xml:space="preserve"> </w:t>
      </w:r>
      <w:r>
        <w:rPr>
          <w:rFonts w:cstheme="minorHAnsi"/>
          <w:szCs w:val="22"/>
        </w:rPr>
        <w:t>CCS</w:t>
      </w:r>
      <w:r w:rsidRPr="00C73D06">
        <w:rPr>
          <w:rFonts w:cstheme="minorHAnsi"/>
          <w:szCs w:val="22"/>
        </w:rPr>
        <w:t xml:space="preserve"> or FCCCS </w:t>
      </w:r>
      <w:r w:rsidRPr="00C73D06">
        <w:rPr>
          <w:szCs w:val="22"/>
        </w:rPr>
        <w:t xml:space="preserve">may notify Ahpra if they have specific concerns about a psychologist’s professionalism or conduct. As social workers do not have a regulator, they cannot be referred to one. </w:t>
      </w:r>
    </w:p>
    <w:p w14:paraId="0B752DF6" w14:textId="77777777" w:rsidR="00BE48EE" w:rsidRPr="00C73D06" w:rsidRDefault="00BE48EE" w:rsidP="00BE48EE">
      <w:pPr>
        <w:autoSpaceDE w:val="0"/>
        <w:autoSpaceDN w:val="0"/>
        <w:adjustRightInd w:val="0"/>
        <w:rPr>
          <w:rFonts w:cstheme="minorHAnsi"/>
          <w:szCs w:val="22"/>
        </w:rPr>
      </w:pPr>
      <w:r w:rsidRPr="00C73D06">
        <w:rPr>
          <w:rFonts w:cstheme="minorHAnsi"/>
          <w:szCs w:val="22"/>
        </w:rPr>
        <w:lastRenderedPageBreak/>
        <w:t xml:space="preserve">Complaints about single expert witnesses are not considered by </w:t>
      </w:r>
      <w:r>
        <w:rPr>
          <w:rFonts w:cstheme="minorHAnsi"/>
          <w:szCs w:val="22"/>
        </w:rPr>
        <w:t>CCS</w:t>
      </w:r>
      <w:r w:rsidRPr="00C73D06">
        <w:rPr>
          <w:rFonts w:cstheme="minorHAnsi"/>
          <w:szCs w:val="22"/>
        </w:rPr>
        <w:t xml:space="preserve"> or FCCCS, unless the single expert witness is also on the Regulation 7 Family Consultant Register.</w:t>
      </w:r>
    </w:p>
    <w:p w14:paraId="2970FC94" w14:textId="77777777" w:rsidR="00BE48EE" w:rsidRPr="00C73D06" w:rsidRDefault="00BE48EE" w:rsidP="00BE48EE">
      <w:pPr>
        <w:pStyle w:val="Heading2"/>
        <w:spacing w:before="240"/>
        <w:rPr>
          <w:lang w:val="en-GB"/>
        </w:rPr>
      </w:pPr>
      <w:bookmarkStart w:id="55" w:name="_Toc67657914"/>
      <w:bookmarkStart w:id="56" w:name="_Toc73542509"/>
      <w:r w:rsidRPr="00C73D06">
        <w:rPr>
          <w:lang w:val="en-GB"/>
        </w:rPr>
        <w:t>Review of complaints by external authorities</w:t>
      </w:r>
      <w:bookmarkEnd w:id="55"/>
      <w:bookmarkEnd w:id="56"/>
    </w:p>
    <w:p w14:paraId="6E9674CE" w14:textId="77777777" w:rsidR="00BE48EE" w:rsidRPr="00C73D06" w:rsidRDefault="00BE48EE" w:rsidP="00BE48EE">
      <w:pPr>
        <w:pStyle w:val="Heading3"/>
        <w:spacing w:before="240"/>
        <w:rPr>
          <w:lang w:val="en-GB"/>
        </w:rPr>
      </w:pPr>
      <w:bookmarkStart w:id="57" w:name="_Toc67657915"/>
      <w:r w:rsidRPr="00C73D06">
        <w:rPr>
          <w:lang w:val="en-GB"/>
        </w:rPr>
        <w:t>Ahpra</w:t>
      </w:r>
      <w:r w:rsidRPr="00C73D06">
        <w:t xml:space="preserve"> (excluding N</w:t>
      </w:r>
      <w:r>
        <w:t xml:space="preserve">ew </w:t>
      </w:r>
      <w:r w:rsidRPr="00C73D06">
        <w:t>S</w:t>
      </w:r>
      <w:r>
        <w:t xml:space="preserve">outh </w:t>
      </w:r>
      <w:r w:rsidRPr="00C73D06">
        <w:t>W</w:t>
      </w:r>
      <w:r>
        <w:t>ales</w:t>
      </w:r>
      <w:r w:rsidRPr="00C73D06">
        <w:t xml:space="preserve"> and Q</w:t>
      </w:r>
      <w:r>
        <w:t>ueenslan</w:t>
      </w:r>
      <w:r w:rsidRPr="00C73D06">
        <w:t>d)</w:t>
      </w:r>
      <w:bookmarkEnd w:id="57"/>
    </w:p>
    <w:p w14:paraId="1D0C0823" w14:textId="77777777" w:rsidR="00BE48EE" w:rsidRPr="00C73D06" w:rsidRDefault="00BE48EE" w:rsidP="00BE48EE">
      <w:pPr>
        <w:autoSpaceDE w:val="0"/>
        <w:autoSpaceDN w:val="0"/>
        <w:adjustRightInd w:val="0"/>
        <w:rPr>
          <w:rFonts w:cstheme="minorHAnsi"/>
          <w:sz w:val="24"/>
          <w:szCs w:val="22"/>
          <w:lang w:val="en-GB"/>
        </w:rPr>
      </w:pPr>
      <w:r w:rsidRPr="00C73D06">
        <w:rPr>
          <w:szCs w:val="22"/>
        </w:rPr>
        <w:t xml:space="preserve">A National Board can determine whether a psychologist or psychiatrist should be investigated. An investigation may be undertaken because the relevant National Board receives a notification about a practitioner, or for any reason. </w:t>
      </w:r>
      <w:r w:rsidRPr="00C73D06">
        <w:rPr>
          <w:rFonts w:cstheme="minorHAnsi"/>
          <w:szCs w:val="22"/>
          <w:lang w:val="en-GB"/>
        </w:rPr>
        <w:t xml:space="preserve">Social workers are not regulated by Ahpra or another regulatory body. As noted above, the AASW has been </w:t>
      </w:r>
      <w:r w:rsidRPr="00C73D06">
        <w:t xml:space="preserve">campaigning to join the National Regulation and Accreditation Scheme, to improve the regulatory requirements for social workers. </w:t>
      </w:r>
    </w:p>
    <w:p w14:paraId="71A0DF95" w14:textId="77777777" w:rsidR="00BE48EE" w:rsidRPr="00C73D06" w:rsidRDefault="00BE48EE" w:rsidP="00BE48EE">
      <w:pPr>
        <w:pStyle w:val="Heading4"/>
        <w:rPr>
          <w:rFonts w:eastAsiaTheme="minorHAnsi"/>
          <w:szCs w:val="22"/>
        </w:rPr>
      </w:pPr>
      <w:r w:rsidRPr="00C73D06">
        <w:t xml:space="preserve">General complaints process </w:t>
      </w:r>
    </w:p>
    <w:p w14:paraId="43AE5229" w14:textId="77777777" w:rsidR="00BE48EE" w:rsidRPr="00C73D06" w:rsidRDefault="00BE48EE" w:rsidP="00BE48EE">
      <w:pPr>
        <w:pStyle w:val="Heading5"/>
      </w:pPr>
      <w:r w:rsidRPr="00C73D06">
        <w:t>Notifiable conduct</w:t>
      </w:r>
    </w:p>
    <w:p w14:paraId="1192D2A1" w14:textId="77777777" w:rsidR="00BE48EE" w:rsidRPr="00C73D06" w:rsidRDefault="00BE48EE" w:rsidP="00BE48EE">
      <w:pPr>
        <w:keepNext/>
        <w:spacing w:after="0"/>
        <w:rPr>
          <w:szCs w:val="22"/>
        </w:rPr>
      </w:pPr>
      <w:r w:rsidRPr="00C73D06">
        <w:rPr>
          <w:szCs w:val="22"/>
        </w:rPr>
        <w:t>A notification made to a National Board is managed administratively by Ahpra. The grounds for notifications are set out in sections 141-144 of the National Law, including:</w:t>
      </w:r>
    </w:p>
    <w:p w14:paraId="48A714E6" w14:textId="77777777" w:rsidR="00BE48EE" w:rsidRPr="00C73D06" w:rsidRDefault="00BE48EE" w:rsidP="00BE48EE">
      <w:pPr>
        <w:pStyle w:val="ListParagraph"/>
        <w:numPr>
          <w:ilvl w:val="0"/>
          <w:numId w:val="28"/>
        </w:numPr>
        <w:spacing w:after="0"/>
        <w:contextualSpacing w:val="0"/>
        <w:rPr>
          <w:szCs w:val="22"/>
        </w:rPr>
      </w:pPr>
      <w:r w:rsidRPr="00C73D06">
        <w:rPr>
          <w:szCs w:val="22"/>
        </w:rPr>
        <w:t>Mandatory notifications:</w:t>
      </w:r>
    </w:p>
    <w:p w14:paraId="4CD98E0D" w14:textId="77777777" w:rsidR="00BE48EE" w:rsidRPr="00C73D06" w:rsidRDefault="00BE48EE" w:rsidP="00BE48EE">
      <w:pPr>
        <w:pStyle w:val="ListParagraph"/>
        <w:numPr>
          <w:ilvl w:val="1"/>
          <w:numId w:val="28"/>
        </w:numPr>
        <w:spacing w:after="0"/>
        <w:contextualSpacing w:val="0"/>
        <w:rPr>
          <w:szCs w:val="22"/>
        </w:rPr>
      </w:pPr>
      <w:r w:rsidRPr="00C73D06">
        <w:rPr>
          <w:szCs w:val="22"/>
        </w:rPr>
        <w:t>Practi</w:t>
      </w:r>
      <w:r>
        <w:rPr>
          <w:szCs w:val="22"/>
        </w:rPr>
        <w:t>s</w:t>
      </w:r>
      <w:r w:rsidRPr="00C73D06">
        <w:rPr>
          <w:szCs w:val="22"/>
        </w:rPr>
        <w:t>ing while intoxicated by alcohol or drugs</w:t>
      </w:r>
    </w:p>
    <w:p w14:paraId="512B6209" w14:textId="77777777" w:rsidR="00BE48EE" w:rsidRPr="00C73D06" w:rsidRDefault="00BE48EE" w:rsidP="00BE48EE">
      <w:pPr>
        <w:pStyle w:val="ListParagraph"/>
        <w:numPr>
          <w:ilvl w:val="1"/>
          <w:numId w:val="28"/>
        </w:numPr>
        <w:spacing w:after="0"/>
        <w:contextualSpacing w:val="0"/>
        <w:rPr>
          <w:szCs w:val="22"/>
        </w:rPr>
      </w:pPr>
      <w:r w:rsidRPr="00C73D06">
        <w:rPr>
          <w:szCs w:val="22"/>
        </w:rPr>
        <w:t>Engaging in sexual misconduct in connection with the professional’s practice</w:t>
      </w:r>
    </w:p>
    <w:p w14:paraId="085CE0E5" w14:textId="77777777" w:rsidR="00BE48EE" w:rsidRPr="00C73D06" w:rsidRDefault="00BE48EE" w:rsidP="00BE48EE">
      <w:pPr>
        <w:pStyle w:val="ListParagraph"/>
        <w:numPr>
          <w:ilvl w:val="1"/>
          <w:numId w:val="28"/>
        </w:numPr>
        <w:spacing w:after="0"/>
        <w:contextualSpacing w:val="0"/>
        <w:rPr>
          <w:szCs w:val="22"/>
        </w:rPr>
      </w:pPr>
      <w:r w:rsidRPr="00C73D06">
        <w:rPr>
          <w:szCs w:val="22"/>
        </w:rPr>
        <w:t>Placing the public at risk of substantial harm because of an impairment</w:t>
      </w:r>
    </w:p>
    <w:p w14:paraId="6E2C5AB3" w14:textId="77777777" w:rsidR="00BE48EE" w:rsidRPr="00C73D06" w:rsidRDefault="00BE48EE" w:rsidP="00BE48EE">
      <w:pPr>
        <w:pStyle w:val="ListParagraph"/>
        <w:numPr>
          <w:ilvl w:val="1"/>
          <w:numId w:val="28"/>
        </w:numPr>
        <w:spacing w:after="0"/>
        <w:rPr>
          <w:szCs w:val="22"/>
        </w:rPr>
      </w:pPr>
      <w:r w:rsidRPr="00C73D06">
        <w:rPr>
          <w:szCs w:val="22"/>
        </w:rPr>
        <w:t>Placing the public at risk of harm by practi</w:t>
      </w:r>
      <w:r>
        <w:rPr>
          <w:szCs w:val="22"/>
        </w:rPr>
        <w:t>s</w:t>
      </w:r>
      <w:r w:rsidRPr="00C73D06">
        <w:rPr>
          <w:szCs w:val="22"/>
        </w:rPr>
        <w:t>ing in a way that constitutes a significant departure from accepted professional standards</w:t>
      </w:r>
      <w:r>
        <w:rPr>
          <w:szCs w:val="22"/>
        </w:rPr>
        <w:t>.</w:t>
      </w:r>
    </w:p>
    <w:p w14:paraId="36A076FF" w14:textId="77777777" w:rsidR="00BE48EE" w:rsidRPr="00C73D06" w:rsidRDefault="00BE48EE" w:rsidP="00BE48EE">
      <w:pPr>
        <w:pStyle w:val="ListParagraph"/>
        <w:numPr>
          <w:ilvl w:val="0"/>
          <w:numId w:val="28"/>
        </w:numPr>
        <w:spacing w:after="0"/>
        <w:rPr>
          <w:szCs w:val="22"/>
        </w:rPr>
      </w:pPr>
      <w:r w:rsidRPr="00C73D06">
        <w:rPr>
          <w:szCs w:val="22"/>
        </w:rPr>
        <w:t>Voluntary notifications:</w:t>
      </w:r>
    </w:p>
    <w:p w14:paraId="4501D2C1" w14:textId="77777777" w:rsidR="00BE48EE" w:rsidRPr="00C73D06" w:rsidRDefault="00BE48EE" w:rsidP="00BE48EE">
      <w:pPr>
        <w:pStyle w:val="ListParagraph"/>
        <w:numPr>
          <w:ilvl w:val="1"/>
          <w:numId w:val="28"/>
        </w:numPr>
        <w:spacing w:after="0"/>
        <w:rPr>
          <w:szCs w:val="22"/>
        </w:rPr>
      </w:pPr>
      <w:r>
        <w:rPr>
          <w:szCs w:val="22"/>
        </w:rPr>
        <w:t>Conduct</w:t>
      </w:r>
      <w:r w:rsidRPr="00C73D06">
        <w:rPr>
          <w:szCs w:val="22"/>
        </w:rPr>
        <w:t>, knowledge, skills or judgement of a lesser standard than that which might reasonably be expected of the practitioner</w:t>
      </w:r>
    </w:p>
    <w:p w14:paraId="71FEFFD7" w14:textId="77777777" w:rsidR="00BE48EE" w:rsidRPr="00C73D06" w:rsidRDefault="00BE48EE" w:rsidP="00BE48EE">
      <w:pPr>
        <w:pStyle w:val="ListParagraph"/>
        <w:numPr>
          <w:ilvl w:val="1"/>
          <w:numId w:val="28"/>
        </w:numPr>
        <w:rPr>
          <w:szCs w:val="22"/>
        </w:rPr>
      </w:pPr>
      <w:r w:rsidRPr="00C73D06">
        <w:rPr>
          <w:szCs w:val="22"/>
        </w:rPr>
        <w:t>Contraventions of the National Law or a condition of the practitioner’s registration</w:t>
      </w:r>
      <w:r>
        <w:rPr>
          <w:szCs w:val="22"/>
        </w:rPr>
        <w:t>.</w:t>
      </w:r>
    </w:p>
    <w:p w14:paraId="5EA9D11E" w14:textId="77777777" w:rsidR="00BE48EE" w:rsidRPr="00C73D06" w:rsidRDefault="00BE48EE" w:rsidP="00BE48EE">
      <w:pPr>
        <w:rPr>
          <w:szCs w:val="22"/>
        </w:rPr>
      </w:pPr>
      <w:r w:rsidRPr="00C73D06">
        <w:rPr>
          <w:szCs w:val="22"/>
        </w:rPr>
        <w:t>Each notification is presented by Ahpra to a delegate of the National Board. The delegate will determine the pathway a notification will follow under the National Law.</w:t>
      </w:r>
      <w:r w:rsidRPr="00C73D06">
        <w:rPr>
          <w:rStyle w:val="FootnoteReference"/>
          <w:szCs w:val="22"/>
        </w:rPr>
        <w:footnoteReference w:id="84"/>
      </w:r>
    </w:p>
    <w:p w14:paraId="33C84909" w14:textId="77777777" w:rsidR="00BE48EE" w:rsidRPr="00C73D06" w:rsidRDefault="00BE48EE" w:rsidP="00BE48EE">
      <w:pPr>
        <w:pStyle w:val="Heading5"/>
      </w:pPr>
      <w:r w:rsidRPr="00C73D06">
        <w:t>Assessment</w:t>
      </w:r>
    </w:p>
    <w:p w14:paraId="25A6AFA5" w14:textId="77777777" w:rsidR="00BE48EE" w:rsidRPr="00C73D06" w:rsidRDefault="00BE48EE" w:rsidP="00BE48EE">
      <w:pPr>
        <w:rPr>
          <w:szCs w:val="22"/>
        </w:rPr>
      </w:pPr>
      <w:r w:rsidRPr="00C73D06">
        <w:rPr>
          <w:szCs w:val="22"/>
        </w:rPr>
        <w:t xml:space="preserve">All notifications received are assessed. The practitioner who is the subject of a notification will usually be contacted to respond to the information contained in the notification. </w:t>
      </w:r>
    </w:p>
    <w:p w14:paraId="06AD0A76" w14:textId="77777777" w:rsidR="00BE48EE" w:rsidRPr="00C73D06" w:rsidRDefault="00BE48EE" w:rsidP="00BE48EE">
      <w:pPr>
        <w:pStyle w:val="ahprabody"/>
        <w:spacing w:before="0" w:beforeAutospacing="0" w:after="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t>Assessment involves considering:</w:t>
      </w:r>
      <w:r>
        <w:rPr>
          <w:rStyle w:val="FootnoteReference"/>
          <w:rFonts w:asciiTheme="minorHAnsi" w:hAnsiTheme="minorHAnsi" w:cstheme="minorHAnsi"/>
          <w:sz w:val="22"/>
          <w:szCs w:val="21"/>
        </w:rPr>
        <w:footnoteReference w:id="85"/>
      </w:r>
      <w:r w:rsidRPr="00C73D06">
        <w:rPr>
          <w:rFonts w:asciiTheme="minorHAnsi" w:hAnsiTheme="minorHAnsi" w:cstheme="minorHAnsi"/>
          <w:sz w:val="22"/>
          <w:szCs w:val="21"/>
        </w:rPr>
        <w:t xml:space="preserve"> </w:t>
      </w:r>
    </w:p>
    <w:p w14:paraId="37770937" w14:textId="77777777" w:rsidR="00BE48EE" w:rsidRPr="00C73D06" w:rsidRDefault="00BE48EE" w:rsidP="00BE48EE">
      <w:pPr>
        <w:pStyle w:val="ahprabody"/>
        <w:numPr>
          <w:ilvl w:val="0"/>
          <w:numId w:val="28"/>
        </w:numPr>
        <w:spacing w:before="0" w:beforeAutospacing="0" w:after="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t>the information provided with the notifica</w:t>
      </w:r>
      <w:r>
        <w:rPr>
          <w:rFonts w:asciiTheme="minorHAnsi" w:hAnsiTheme="minorHAnsi" w:cstheme="minorHAnsi"/>
          <w:sz w:val="22"/>
          <w:szCs w:val="21"/>
        </w:rPr>
        <w:t>tion</w:t>
      </w:r>
    </w:p>
    <w:p w14:paraId="6CA94D3B" w14:textId="77777777" w:rsidR="00BE48EE" w:rsidRPr="00C73D06" w:rsidRDefault="00BE48EE" w:rsidP="00BE48EE">
      <w:pPr>
        <w:pStyle w:val="ahprabody"/>
        <w:numPr>
          <w:ilvl w:val="0"/>
          <w:numId w:val="28"/>
        </w:numPr>
        <w:spacing w:before="0" w:beforeAutospacing="0" w:after="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t>the response provided by the practitioner (where this is sought)</w:t>
      </w:r>
    </w:p>
    <w:p w14:paraId="3604D0DD" w14:textId="77777777" w:rsidR="00BE48EE" w:rsidRPr="00C73D06" w:rsidRDefault="00BE48EE" w:rsidP="00BE48EE">
      <w:pPr>
        <w:pStyle w:val="ahprabody"/>
        <w:numPr>
          <w:ilvl w:val="0"/>
          <w:numId w:val="28"/>
        </w:numPr>
        <w:spacing w:before="0" w:beforeAutospacing="0" w:after="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t xml:space="preserve">the </w:t>
      </w:r>
      <w:r w:rsidRPr="00EB0C81">
        <w:rPr>
          <w:rFonts w:asciiTheme="minorHAnsi" w:hAnsiTheme="minorHAnsi" w:cstheme="minorHAnsi"/>
          <w:sz w:val="22"/>
          <w:szCs w:val="21"/>
        </w:rPr>
        <w:t>practice setting and the nature of the</w:t>
      </w:r>
      <w:r>
        <w:rPr>
          <w:rFonts w:asciiTheme="minorHAnsi" w:hAnsiTheme="minorHAnsi" w:cstheme="minorHAnsi"/>
          <w:sz w:val="22"/>
          <w:szCs w:val="21"/>
        </w:rPr>
        <w:t xml:space="preserve"> practitioner’s</w:t>
      </w:r>
      <w:r w:rsidRPr="00EB0C81">
        <w:rPr>
          <w:rFonts w:asciiTheme="minorHAnsi" w:hAnsiTheme="minorHAnsi" w:cstheme="minorHAnsi"/>
          <w:sz w:val="22"/>
          <w:szCs w:val="21"/>
        </w:rPr>
        <w:t xml:space="preserve"> practice</w:t>
      </w:r>
    </w:p>
    <w:p w14:paraId="71CD6EA5" w14:textId="77777777" w:rsidR="00BE48EE" w:rsidRPr="00C73D06" w:rsidRDefault="00BE48EE" w:rsidP="00BE48EE">
      <w:pPr>
        <w:pStyle w:val="ahprabody"/>
        <w:numPr>
          <w:ilvl w:val="0"/>
          <w:numId w:val="28"/>
        </w:numPr>
        <w:spacing w:before="0" w:beforeAutospacing="0" w:after="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t>regulatory history information about the practitioner, including their notification and disclosure history</w:t>
      </w:r>
    </w:p>
    <w:p w14:paraId="711AB144" w14:textId="77777777" w:rsidR="00BE48EE" w:rsidRPr="00C73D06" w:rsidRDefault="00BE48EE" w:rsidP="00BE48EE">
      <w:pPr>
        <w:pStyle w:val="ahprabody"/>
        <w:numPr>
          <w:ilvl w:val="0"/>
          <w:numId w:val="28"/>
        </w:numPr>
        <w:spacing w:before="0" w:beforeAutospacing="0" w:after="16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lastRenderedPageBreak/>
        <w:t xml:space="preserve">whether appropriate risk controls have been implemented by the practitioner in response to the notified information or by an organisation responsible for </w:t>
      </w:r>
      <w:r>
        <w:rPr>
          <w:rFonts w:asciiTheme="minorHAnsi" w:hAnsiTheme="minorHAnsi" w:cstheme="minorHAnsi"/>
          <w:sz w:val="22"/>
          <w:szCs w:val="21"/>
        </w:rPr>
        <w:t>the delivery of health services.</w:t>
      </w:r>
    </w:p>
    <w:p w14:paraId="280F6B53" w14:textId="77777777" w:rsidR="00BE48EE" w:rsidRPr="00C73D06" w:rsidRDefault="00BE48EE" w:rsidP="00BE48EE">
      <w:pPr>
        <w:pStyle w:val="ahprabody"/>
        <w:keepNext/>
        <w:spacing w:before="0" w:beforeAutospacing="0" w:after="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t>After assessment, a National Board can:</w:t>
      </w:r>
    </w:p>
    <w:p w14:paraId="72951F19" w14:textId="77777777" w:rsidR="00BE48EE" w:rsidRPr="00C73D06" w:rsidRDefault="00BE48EE" w:rsidP="00BE48EE">
      <w:pPr>
        <w:keepNext/>
        <w:numPr>
          <w:ilvl w:val="0"/>
          <w:numId w:val="25"/>
        </w:numPr>
        <w:spacing w:after="0"/>
        <w:rPr>
          <w:rFonts w:cstheme="minorHAnsi"/>
        </w:rPr>
      </w:pPr>
      <w:r>
        <w:rPr>
          <w:rFonts w:cstheme="minorHAnsi"/>
          <w:b/>
        </w:rPr>
        <w:t>C</w:t>
      </w:r>
      <w:r w:rsidRPr="00C73D06">
        <w:rPr>
          <w:rFonts w:cstheme="minorHAnsi"/>
          <w:b/>
        </w:rPr>
        <w:t>lose the matter</w:t>
      </w:r>
      <w:r w:rsidRPr="00C73D06">
        <w:rPr>
          <w:rFonts w:cstheme="minorHAnsi"/>
        </w:rPr>
        <w:t>, where the concern is misconceived, lacking in substance, frivolous, vexatious, has been adequately dealt with by the practitioner, their workplace or another entity</w:t>
      </w:r>
      <w:r>
        <w:rPr>
          <w:rFonts w:cstheme="minorHAnsi"/>
        </w:rPr>
        <w:t>, or if there is no risk to the public.</w:t>
      </w:r>
    </w:p>
    <w:p w14:paraId="5DD6FB04" w14:textId="77777777" w:rsidR="00BE48EE" w:rsidRPr="00C73D06" w:rsidRDefault="00BE48EE" w:rsidP="00BE48EE">
      <w:pPr>
        <w:numPr>
          <w:ilvl w:val="0"/>
          <w:numId w:val="25"/>
        </w:numPr>
        <w:spacing w:after="0"/>
        <w:rPr>
          <w:rFonts w:cstheme="minorHAnsi"/>
        </w:rPr>
      </w:pPr>
      <w:r>
        <w:rPr>
          <w:rFonts w:cstheme="minorHAnsi"/>
          <w:b/>
        </w:rPr>
        <w:t>T</w:t>
      </w:r>
      <w:r w:rsidRPr="00C73D06">
        <w:rPr>
          <w:rFonts w:cstheme="minorHAnsi"/>
          <w:b/>
        </w:rPr>
        <w:t>ake a regulatory action</w:t>
      </w:r>
      <w:r w:rsidRPr="00C73D06">
        <w:rPr>
          <w:rFonts w:cstheme="minorHAnsi"/>
        </w:rPr>
        <w:t xml:space="preserve"> under the National Law, which can include issuing a caution, accepting an undertaking, or imposing conditions with a focus on improvement when the actions of an individual o</w:t>
      </w:r>
      <w:r>
        <w:rPr>
          <w:rFonts w:cstheme="minorHAnsi"/>
        </w:rPr>
        <w:t>r health service are not enough.</w:t>
      </w:r>
    </w:p>
    <w:p w14:paraId="1B68A8E3" w14:textId="77777777" w:rsidR="00BE48EE" w:rsidRPr="00C73D06" w:rsidRDefault="00BE48EE" w:rsidP="00BE48EE">
      <w:pPr>
        <w:numPr>
          <w:ilvl w:val="0"/>
          <w:numId w:val="25"/>
        </w:numPr>
        <w:spacing w:after="0"/>
        <w:rPr>
          <w:rFonts w:cstheme="minorHAnsi"/>
        </w:rPr>
      </w:pPr>
      <w:r>
        <w:rPr>
          <w:rFonts w:cstheme="minorHAnsi"/>
        </w:rPr>
        <w:t>R</w:t>
      </w:r>
      <w:r w:rsidRPr="00C73D06">
        <w:rPr>
          <w:rFonts w:cstheme="minorHAnsi"/>
        </w:rPr>
        <w:t xml:space="preserve">efer the health practitioner </w:t>
      </w:r>
      <w:r w:rsidRPr="00C73D06">
        <w:rPr>
          <w:rFonts w:cstheme="minorHAnsi"/>
          <w:b/>
        </w:rPr>
        <w:t>for investigation</w:t>
      </w:r>
      <w:r>
        <w:rPr>
          <w:rFonts w:cstheme="minorHAnsi"/>
        </w:rPr>
        <w:t>.</w:t>
      </w:r>
    </w:p>
    <w:p w14:paraId="1923DD8A" w14:textId="77777777" w:rsidR="00BE48EE" w:rsidRPr="00C73D06" w:rsidRDefault="00BE48EE" w:rsidP="00BE48EE">
      <w:pPr>
        <w:numPr>
          <w:ilvl w:val="0"/>
          <w:numId w:val="25"/>
        </w:numPr>
        <w:rPr>
          <w:rFonts w:cstheme="minorHAnsi"/>
        </w:rPr>
      </w:pPr>
      <w:r>
        <w:rPr>
          <w:rFonts w:cstheme="minorHAnsi"/>
        </w:rPr>
        <w:t>R</w:t>
      </w:r>
      <w:r w:rsidRPr="00C73D06">
        <w:rPr>
          <w:rFonts w:cstheme="minorHAnsi"/>
        </w:rPr>
        <w:t xml:space="preserve">efer the health practitioner </w:t>
      </w:r>
      <w:r w:rsidRPr="00C73D06">
        <w:rPr>
          <w:rFonts w:cstheme="minorHAnsi"/>
          <w:b/>
        </w:rPr>
        <w:t>for a health or performance assessment</w:t>
      </w:r>
      <w:r w:rsidRPr="00C73D06">
        <w:rPr>
          <w:rFonts w:cstheme="minorHAnsi"/>
        </w:rPr>
        <w:t>.</w:t>
      </w:r>
    </w:p>
    <w:p w14:paraId="0FF6BF24" w14:textId="77777777" w:rsidR="00BE48EE" w:rsidRPr="00C73D06" w:rsidRDefault="00BE48EE" w:rsidP="00BE48EE">
      <w:pPr>
        <w:pStyle w:val="ahprabody"/>
        <w:spacing w:before="0" w:beforeAutospacing="0" w:after="160" w:afterAutospacing="0" w:line="259" w:lineRule="auto"/>
        <w:rPr>
          <w:rFonts w:asciiTheme="minorHAnsi" w:hAnsiTheme="minorHAnsi" w:cstheme="minorHAnsi"/>
          <w:sz w:val="22"/>
          <w:szCs w:val="21"/>
        </w:rPr>
      </w:pPr>
      <w:r w:rsidRPr="00C73D06">
        <w:rPr>
          <w:rFonts w:asciiTheme="minorHAnsi" w:hAnsiTheme="minorHAnsi" w:cstheme="minorHAnsi"/>
          <w:sz w:val="22"/>
          <w:szCs w:val="21"/>
        </w:rPr>
        <w:t xml:space="preserve">Where the concerns are serious and the risk to the public is significant, an investigation is likely to occur. National Boards can also take immediate action to limit or restrict a practitioner from practising their profession while an investigation is carried out where the risk is serious or there are public interest grounds for taking interim action. </w:t>
      </w:r>
    </w:p>
    <w:p w14:paraId="080F90EA" w14:textId="77777777" w:rsidR="00BE48EE" w:rsidRPr="00C73D06" w:rsidRDefault="00BE48EE" w:rsidP="00BE48EE">
      <w:pPr>
        <w:pStyle w:val="Heading5"/>
      </w:pPr>
      <w:r w:rsidRPr="00C73D06">
        <w:t>Investigation</w:t>
      </w:r>
    </w:p>
    <w:p w14:paraId="58370366" w14:textId="77777777" w:rsidR="00BE48EE" w:rsidRPr="00C73D06" w:rsidRDefault="00BE48EE" w:rsidP="00BE48EE">
      <w:pPr>
        <w:spacing w:after="0"/>
        <w:rPr>
          <w:rFonts w:cstheme="minorHAnsi"/>
          <w:szCs w:val="22"/>
        </w:rPr>
      </w:pPr>
      <w:r w:rsidRPr="00C73D06">
        <w:rPr>
          <w:rFonts w:cstheme="minorHAnsi"/>
          <w:szCs w:val="22"/>
        </w:rPr>
        <w:t>An investigation will consider whether a practitioner has complied with a National Board’s registration standards, codes and guidelines.</w:t>
      </w:r>
      <w:r w:rsidRPr="00C73D06">
        <w:rPr>
          <w:rStyle w:val="FootnoteReference"/>
          <w:rFonts w:cstheme="minorHAnsi"/>
          <w:szCs w:val="22"/>
        </w:rPr>
        <w:footnoteReference w:id="86"/>
      </w:r>
      <w:r w:rsidRPr="00C73D06">
        <w:rPr>
          <w:rFonts w:cstheme="minorHAnsi"/>
          <w:szCs w:val="22"/>
        </w:rPr>
        <w:t xml:space="preserve"> Information required for the investigation may include:</w:t>
      </w:r>
    </w:p>
    <w:p w14:paraId="518A4834" w14:textId="77777777" w:rsidR="00BE48EE" w:rsidRPr="00C73D06" w:rsidRDefault="00BE48EE" w:rsidP="00BE48EE">
      <w:pPr>
        <w:numPr>
          <w:ilvl w:val="0"/>
          <w:numId w:val="26"/>
        </w:numPr>
        <w:spacing w:after="0"/>
        <w:rPr>
          <w:rFonts w:eastAsia="Times New Roman" w:cstheme="minorHAnsi"/>
          <w:szCs w:val="22"/>
        </w:rPr>
      </w:pPr>
      <w:r w:rsidRPr="00C73D06">
        <w:rPr>
          <w:rFonts w:eastAsia="Times New Roman" w:cstheme="minorHAnsi"/>
          <w:szCs w:val="22"/>
        </w:rPr>
        <w:t>information from the person who raised their concern with the National Board (the notifier)</w:t>
      </w:r>
    </w:p>
    <w:p w14:paraId="4100DF2A" w14:textId="77777777" w:rsidR="00BE48EE" w:rsidRPr="00C73D06" w:rsidRDefault="00BE48EE" w:rsidP="00BE48EE">
      <w:pPr>
        <w:numPr>
          <w:ilvl w:val="0"/>
          <w:numId w:val="26"/>
        </w:numPr>
        <w:spacing w:after="0"/>
        <w:rPr>
          <w:rFonts w:eastAsia="Times New Roman" w:cstheme="minorHAnsi"/>
          <w:szCs w:val="22"/>
        </w:rPr>
      </w:pPr>
      <w:r w:rsidRPr="00C73D06">
        <w:rPr>
          <w:rFonts w:eastAsia="Times New Roman" w:cstheme="minorHAnsi"/>
          <w:szCs w:val="22"/>
        </w:rPr>
        <w:t>responses and explanations from the practitioner being investigated</w:t>
      </w:r>
    </w:p>
    <w:p w14:paraId="597E13CA" w14:textId="77777777" w:rsidR="00BE48EE" w:rsidRPr="00C73D06" w:rsidRDefault="00BE48EE" w:rsidP="00BE48EE">
      <w:pPr>
        <w:numPr>
          <w:ilvl w:val="0"/>
          <w:numId w:val="26"/>
        </w:numPr>
        <w:spacing w:after="0"/>
        <w:rPr>
          <w:rFonts w:eastAsia="Times New Roman" w:cstheme="minorHAnsi"/>
          <w:szCs w:val="22"/>
        </w:rPr>
      </w:pPr>
      <w:r w:rsidRPr="00C73D06">
        <w:rPr>
          <w:rFonts w:eastAsia="Times New Roman" w:cstheme="minorHAnsi"/>
          <w:szCs w:val="22"/>
        </w:rPr>
        <w:t>contents of patient records</w:t>
      </w:r>
    </w:p>
    <w:p w14:paraId="54CA1BCD" w14:textId="77777777" w:rsidR="00BE48EE" w:rsidRPr="00C73D06" w:rsidRDefault="00BE48EE" w:rsidP="00BE48EE">
      <w:pPr>
        <w:numPr>
          <w:ilvl w:val="0"/>
          <w:numId w:val="26"/>
        </w:numPr>
        <w:spacing w:after="0"/>
        <w:rPr>
          <w:rFonts w:eastAsia="Times New Roman" w:cstheme="minorHAnsi"/>
          <w:szCs w:val="22"/>
        </w:rPr>
      </w:pPr>
      <w:r w:rsidRPr="00C73D06">
        <w:rPr>
          <w:rFonts w:eastAsia="Times New Roman" w:cstheme="minorHAnsi"/>
          <w:szCs w:val="22"/>
        </w:rPr>
        <w:t>information or statements from other practitioners who may be involved</w:t>
      </w:r>
    </w:p>
    <w:p w14:paraId="68996522" w14:textId="77777777" w:rsidR="00BE48EE" w:rsidRPr="00C73D06" w:rsidRDefault="00BE48EE" w:rsidP="00BE48EE">
      <w:pPr>
        <w:numPr>
          <w:ilvl w:val="0"/>
          <w:numId w:val="26"/>
        </w:numPr>
        <w:spacing w:after="0"/>
        <w:rPr>
          <w:rFonts w:eastAsia="Times New Roman" w:cstheme="minorHAnsi"/>
          <w:szCs w:val="22"/>
        </w:rPr>
      </w:pPr>
      <w:r w:rsidRPr="00C73D06">
        <w:rPr>
          <w:rFonts w:eastAsia="Times New Roman" w:cstheme="minorHAnsi"/>
          <w:szCs w:val="22"/>
        </w:rPr>
        <w:t>information or statements from witnesses (for example, family members, other patients or staff members)</w:t>
      </w:r>
    </w:p>
    <w:p w14:paraId="5FC9A523" w14:textId="77777777" w:rsidR="00BE48EE" w:rsidRPr="00C73D06" w:rsidRDefault="00BE48EE" w:rsidP="00BE48EE">
      <w:pPr>
        <w:numPr>
          <w:ilvl w:val="0"/>
          <w:numId w:val="26"/>
        </w:numPr>
        <w:spacing w:after="0"/>
        <w:rPr>
          <w:rFonts w:eastAsia="Times New Roman" w:cstheme="minorHAnsi"/>
          <w:szCs w:val="22"/>
        </w:rPr>
      </w:pPr>
      <w:r w:rsidRPr="00C73D06">
        <w:rPr>
          <w:rFonts w:eastAsia="Times New Roman" w:cstheme="minorHAnsi"/>
          <w:szCs w:val="22"/>
        </w:rPr>
        <w:t>independent opinions from experts or information from professional bodies</w:t>
      </w:r>
    </w:p>
    <w:p w14:paraId="55D11D1C" w14:textId="77777777" w:rsidR="00BE48EE" w:rsidRPr="00C73D06" w:rsidRDefault="00BE48EE" w:rsidP="00BE48EE">
      <w:pPr>
        <w:numPr>
          <w:ilvl w:val="0"/>
          <w:numId w:val="26"/>
        </w:numPr>
        <w:spacing w:after="0"/>
        <w:rPr>
          <w:rFonts w:eastAsia="Times New Roman" w:cstheme="minorHAnsi"/>
          <w:szCs w:val="22"/>
        </w:rPr>
      </w:pPr>
      <w:r w:rsidRPr="00C73D06">
        <w:rPr>
          <w:rFonts w:eastAsia="Times New Roman" w:cstheme="minorHAnsi"/>
          <w:szCs w:val="22"/>
        </w:rPr>
        <w:t>police reports</w:t>
      </w:r>
      <w:r>
        <w:rPr>
          <w:rFonts w:eastAsia="Times New Roman" w:cstheme="minorHAnsi"/>
          <w:szCs w:val="22"/>
        </w:rPr>
        <w:t>, and/or</w:t>
      </w:r>
    </w:p>
    <w:p w14:paraId="52569C81" w14:textId="77777777" w:rsidR="00BE48EE" w:rsidRPr="00C73D06" w:rsidRDefault="00BE48EE" w:rsidP="00BE48EE">
      <w:pPr>
        <w:numPr>
          <w:ilvl w:val="0"/>
          <w:numId w:val="26"/>
        </w:numPr>
        <w:rPr>
          <w:rFonts w:cstheme="minorHAnsi"/>
          <w:szCs w:val="22"/>
        </w:rPr>
      </w:pPr>
      <w:r w:rsidRPr="00C73D06">
        <w:rPr>
          <w:rFonts w:eastAsia="Times New Roman" w:cstheme="minorHAnsi"/>
          <w:szCs w:val="22"/>
        </w:rPr>
        <w:t>information from other sources such as pharmacy records, health insurer</w:t>
      </w:r>
      <w:r>
        <w:rPr>
          <w:rFonts w:eastAsia="Times New Roman" w:cstheme="minorHAnsi"/>
          <w:szCs w:val="22"/>
        </w:rPr>
        <w:t>s or Medicare Australia.</w:t>
      </w:r>
    </w:p>
    <w:p w14:paraId="5FBED8D4" w14:textId="77777777" w:rsidR="00BE48EE" w:rsidRPr="00C73D06" w:rsidRDefault="00BE48EE" w:rsidP="00BE48EE">
      <w:pPr>
        <w:pStyle w:val="ahprabody"/>
        <w:spacing w:before="0" w:beforeAutospacing="0" w:after="160" w:afterAutospacing="0" w:line="259" w:lineRule="auto"/>
        <w:rPr>
          <w:rFonts w:asciiTheme="minorHAnsi" w:hAnsiTheme="minorHAnsi" w:cstheme="minorHAnsi"/>
          <w:sz w:val="22"/>
          <w:szCs w:val="22"/>
        </w:rPr>
      </w:pPr>
      <w:r w:rsidRPr="00C73D06">
        <w:rPr>
          <w:rFonts w:asciiTheme="minorHAnsi" w:hAnsiTheme="minorHAnsi" w:cstheme="minorHAnsi"/>
          <w:sz w:val="22"/>
          <w:szCs w:val="22"/>
        </w:rPr>
        <w:t xml:space="preserve">The investigator will prepare a confidential report for the relevant National Board. </w:t>
      </w:r>
    </w:p>
    <w:p w14:paraId="3791204C" w14:textId="77777777" w:rsidR="00BE48EE" w:rsidRPr="00C73D06" w:rsidRDefault="00BE48EE" w:rsidP="00BE48EE">
      <w:pPr>
        <w:pStyle w:val="Heading5"/>
      </w:pPr>
      <w:r w:rsidRPr="00C73D06">
        <w:t xml:space="preserve">Complaints process – </w:t>
      </w:r>
      <w:r>
        <w:t>F</w:t>
      </w:r>
      <w:r w:rsidRPr="00C73D06">
        <w:t>amily report writers</w:t>
      </w:r>
    </w:p>
    <w:p w14:paraId="5590D0EF" w14:textId="77777777" w:rsidR="00BE48EE" w:rsidRPr="00C73D06" w:rsidRDefault="00BE48EE" w:rsidP="00BE48EE">
      <w:pPr>
        <w:rPr>
          <w:rFonts w:ascii="Arial" w:hAnsi="Arial" w:cs="Arial"/>
          <w:color w:val="000000"/>
          <w:sz w:val="20"/>
          <w:szCs w:val="20"/>
        </w:rPr>
      </w:pPr>
      <w:r w:rsidRPr="00C73D06">
        <w:t>When Ahpra receives a complaint about a psychologist or psychiatrist in the context of preparing a family report, it is mindful of the need to ensure family law proceedings that might be on</w:t>
      </w:r>
      <w:r>
        <w:t xml:space="preserve"> </w:t>
      </w:r>
      <w:r w:rsidRPr="00C73D06">
        <w:t xml:space="preserve">foot are not prejudiced. </w:t>
      </w:r>
      <w:r w:rsidRPr="00C73D06">
        <w:rPr>
          <w:rFonts w:cstheme="minorHAnsi"/>
          <w:szCs w:val="22"/>
        </w:rPr>
        <w:t xml:space="preserve">During assessment, Ahpra writes to the relevant court to enquire as to the status of proceedings, and may enquire as to the practitioner’s method of engagement for the purposes of preparing the family report. </w:t>
      </w:r>
      <w:r w:rsidRPr="00C73D06">
        <w:t xml:space="preserve">Ahpra will also ask if there has been any comment made within a judgment of the court about the conduct of the practitioner or the contents of the practitioner’s </w:t>
      </w:r>
      <w:r>
        <w:t xml:space="preserve">report, and if so, asks the court to provide a copy or </w:t>
      </w:r>
      <w:r w:rsidRPr="00C73D06">
        <w:t>details of</w:t>
      </w:r>
      <w:r>
        <w:t xml:space="preserve"> that section of the judgment.</w:t>
      </w:r>
      <w:r w:rsidRPr="00C73D06">
        <w:t xml:space="preserve"> Where such comment or judgment has been made, this is provided to Ahpra.</w:t>
      </w:r>
      <w:r w:rsidRPr="00C73D06">
        <w:rPr>
          <w:rFonts w:ascii="Arial" w:hAnsi="Arial" w:cs="Arial"/>
          <w:color w:val="000000"/>
          <w:sz w:val="20"/>
          <w:szCs w:val="20"/>
        </w:rPr>
        <w:t xml:space="preserve"> </w:t>
      </w:r>
    </w:p>
    <w:p w14:paraId="2FAC4C0C" w14:textId="77777777" w:rsidR="00BE48EE" w:rsidRPr="00EB0C81" w:rsidRDefault="00BE48EE" w:rsidP="00BE48EE">
      <w:pPr>
        <w:rPr>
          <w:rFonts w:cstheme="minorHAnsi"/>
          <w:szCs w:val="22"/>
        </w:rPr>
      </w:pPr>
      <w:r w:rsidRPr="00C73D06">
        <w:t xml:space="preserve">Historically, complaints were often put on hold and were not investigated until the court matter had been finalised. Today, with information sourced from the relevant courts, Ahpra tends to recommend that the relevant National </w:t>
      </w:r>
      <w:r w:rsidRPr="00C73D06">
        <w:lastRenderedPageBreak/>
        <w:t xml:space="preserve">Board takes no action on the notification if the complainant is involved in ongoing proceedings and can challenge the recommendations of the family report through cross-examination. </w:t>
      </w:r>
      <w:r w:rsidRPr="00C73D06">
        <w:rPr>
          <w:rFonts w:cstheme="minorHAnsi"/>
          <w:szCs w:val="22"/>
        </w:rPr>
        <w:t>If the complaint concerns a serious risk, including inappropriate behaviour towards parties, a preliminary assessment will be undertaken and immediate action will be taken if it is necessary to protect the public and ensure t</w:t>
      </w:r>
      <w:r>
        <w:rPr>
          <w:rFonts w:cstheme="minorHAnsi"/>
          <w:szCs w:val="22"/>
        </w:rPr>
        <w:t xml:space="preserve">he behaviour is not continued. </w:t>
      </w:r>
    </w:p>
    <w:p w14:paraId="7FEE3F6C" w14:textId="77777777" w:rsidR="00BE48EE" w:rsidRPr="00C73D06" w:rsidRDefault="00BE48EE" w:rsidP="00BE48EE">
      <w:r w:rsidRPr="00C73D06">
        <w:t xml:space="preserve">Where proceedings are concluded, Ahpra is more likely to recommend action by the relevant National Board in relation to a registered practitioner if the </w:t>
      </w:r>
      <w:r>
        <w:t>c</w:t>
      </w:r>
      <w:r w:rsidRPr="00C73D06">
        <w:t>ourt had been critical of the behaviour, conduct or performance of the practitioner during their engagement to prepare the family report.</w:t>
      </w:r>
    </w:p>
    <w:p w14:paraId="720414FB" w14:textId="77777777" w:rsidR="00BE48EE" w:rsidRPr="00C73D06" w:rsidRDefault="00BE48EE" w:rsidP="00BE48EE">
      <w:pPr>
        <w:pStyle w:val="Heading5"/>
      </w:pPr>
      <w:r w:rsidRPr="00C73D06">
        <w:t>Powers and actions available to National Boards</w:t>
      </w:r>
    </w:p>
    <w:p w14:paraId="21A5E00A" w14:textId="77777777" w:rsidR="00BE48EE" w:rsidRPr="00C73D06" w:rsidRDefault="00BE48EE" w:rsidP="00BE48EE">
      <w:pPr>
        <w:spacing w:after="0"/>
        <w:rPr>
          <w:szCs w:val="22"/>
        </w:rPr>
      </w:pPr>
      <w:r w:rsidRPr="00C73D06">
        <w:rPr>
          <w:szCs w:val="22"/>
        </w:rPr>
        <w:t>Once a concern is raised with a National Board regarding a practitioner’s behaviour or conduct, action may be taken resulting in a number of possible outcomes:</w:t>
      </w:r>
      <w:r w:rsidRPr="00C73D06">
        <w:rPr>
          <w:rStyle w:val="FootnoteReference"/>
          <w:szCs w:val="22"/>
        </w:rPr>
        <w:footnoteReference w:id="87"/>
      </w:r>
    </w:p>
    <w:p w14:paraId="7390A709" w14:textId="77777777" w:rsidR="00BE48EE" w:rsidRPr="00C73D06" w:rsidRDefault="00BE48EE" w:rsidP="00BE48EE">
      <w:pPr>
        <w:pStyle w:val="ListParagraph"/>
        <w:numPr>
          <w:ilvl w:val="0"/>
          <w:numId w:val="27"/>
        </w:numPr>
        <w:spacing w:after="0"/>
        <w:contextualSpacing w:val="0"/>
        <w:rPr>
          <w:rFonts w:cstheme="minorHAnsi"/>
          <w:szCs w:val="22"/>
        </w:rPr>
      </w:pPr>
      <w:r w:rsidRPr="00C73D06">
        <w:rPr>
          <w:rFonts w:cstheme="minorHAnsi"/>
          <w:b/>
          <w:szCs w:val="22"/>
        </w:rPr>
        <w:t>No further action:</w:t>
      </w:r>
      <w:r w:rsidRPr="00C73D06">
        <w:rPr>
          <w:rFonts w:cstheme="minorHAnsi"/>
          <w:szCs w:val="22"/>
        </w:rPr>
        <w:t xml:space="preserve"> </w:t>
      </w:r>
      <w:r>
        <w:rPr>
          <w:rFonts w:cstheme="minorHAnsi"/>
          <w:szCs w:val="22"/>
        </w:rPr>
        <w:t>E</w:t>
      </w:r>
      <w:r w:rsidRPr="00C73D06">
        <w:rPr>
          <w:rFonts w:cstheme="minorHAnsi"/>
          <w:szCs w:val="22"/>
        </w:rPr>
        <w:t>ither because there is no ongoing risk identified, or the actions taken by the practitioner and their workplace are enough to manage future risk</w:t>
      </w:r>
      <w:r w:rsidRPr="00C73D06">
        <w:rPr>
          <w:rFonts w:cstheme="minorHAnsi"/>
          <w:szCs w:val="22"/>
          <w:shd w:val="clear" w:color="auto" w:fill="F0F0F0"/>
        </w:rPr>
        <w:t>.</w:t>
      </w:r>
    </w:p>
    <w:p w14:paraId="0F650872" w14:textId="77777777" w:rsidR="00BE48EE" w:rsidRPr="00C73D06" w:rsidRDefault="00BE48EE" w:rsidP="00BE48EE">
      <w:pPr>
        <w:pStyle w:val="ListParagraph"/>
        <w:numPr>
          <w:ilvl w:val="0"/>
          <w:numId w:val="27"/>
        </w:numPr>
        <w:spacing w:after="0"/>
        <w:contextualSpacing w:val="0"/>
        <w:rPr>
          <w:rFonts w:cstheme="minorHAnsi"/>
          <w:szCs w:val="22"/>
        </w:rPr>
      </w:pPr>
      <w:r w:rsidRPr="00C73D06">
        <w:rPr>
          <w:rFonts w:cstheme="minorHAnsi"/>
          <w:b/>
          <w:szCs w:val="22"/>
        </w:rPr>
        <w:t>Undertaking:</w:t>
      </w:r>
      <w:r w:rsidRPr="00C73D06">
        <w:rPr>
          <w:rFonts w:cstheme="minorHAnsi"/>
          <w:szCs w:val="22"/>
        </w:rPr>
        <w:t xml:space="preserve"> A National Board may accept a voluntary undertaking from a practitioner. This becomes a legal obligation on the practitioner and there is no right of appeal. Accepted undertakings are published on the register of practitioners. </w:t>
      </w:r>
    </w:p>
    <w:p w14:paraId="3201C0C7" w14:textId="77777777" w:rsidR="00BE48EE" w:rsidRPr="00C73D06" w:rsidRDefault="00BE48EE" w:rsidP="00BE48EE">
      <w:pPr>
        <w:pStyle w:val="ListParagraph"/>
        <w:numPr>
          <w:ilvl w:val="0"/>
          <w:numId w:val="27"/>
        </w:numPr>
        <w:spacing w:after="0"/>
        <w:contextualSpacing w:val="0"/>
        <w:rPr>
          <w:rFonts w:cstheme="minorHAnsi"/>
          <w:szCs w:val="22"/>
        </w:rPr>
      </w:pPr>
      <w:r w:rsidRPr="00C73D06">
        <w:rPr>
          <w:rFonts w:cstheme="minorHAnsi"/>
          <w:b/>
          <w:szCs w:val="22"/>
        </w:rPr>
        <w:t>Conditions</w:t>
      </w:r>
      <w:r w:rsidRPr="00C73D06">
        <w:rPr>
          <w:rFonts w:cstheme="minorHAnsi"/>
          <w:szCs w:val="22"/>
        </w:rPr>
        <w:t xml:space="preserve">: A National Board may impose a condition on a practitioner’s registration to either compel or prevent them from doing something. Conditions are published on the public register but are removed when a National Board decides they are no longer necessary to protect the public. </w:t>
      </w:r>
    </w:p>
    <w:p w14:paraId="084D5116" w14:textId="77777777" w:rsidR="00BE48EE" w:rsidRPr="00C73D06" w:rsidRDefault="00BE48EE" w:rsidP="00BE48EE">
      <w:pPr>
        <w:pStyle w:val="ListParagraph"/>
        <w:numPr>
          <w:ilvl w:val="0"/>
          <w:numId w:val="27"/>
        </w:numPr>
        <w:spacing w:after="0"/>
        <w:contextualSpacing w:val="0"/>
        <w:rPr>
          <w:rFonts w:cstheme="minorHAnsi"/>
          <w:szCs w:val="22"/>
        </w:rPr>
      </w:pPr>
      <w:r w:rsidRPr="00C73D06">
        <w:rPr>
          <w:rFonts w:cstheme="minorHAnsi"/>
          <w:b/>
          <w:szCs w:val="22"/>
        </w:rPr>
        <w:t>Caution</w:t>
      </w:r>
      <w:r w:rsidRPr="00C73D06">
        <w:rPr>
          <w:rFonts w:cstheme="minorHAnsi"/>
          <w:szCs w:val="22"/>
        </w:rPr>
        <w:t xml:space="preserve">: A National Board may caution a practitioner with a written warning. Cautions are not usually recorded on the public register but may be if the Board considers it appropriate. </w:t>
      </w:r>
    </w:p>
    <w:p w14:paraId="192C74B6" w14:textId="77777777" w:rsidR="00BE48EE" w:rsidRPr="00C73D06" w:rsidRDefault="00BE48EE" w:rsidP="00BE48EE">
      <w:pPr>
        <w:pStyle w:val="ListParagraph"/>
        <w:numPr>
          <w:ilvl w:val="0"/>
          <w:numId w:val="27"/>
        </w:numPr>
        <w:spacing w:after="0"/>
        <w:contextualSpacing w:val="0"/>
        <w:rPr>
          <w:rFonts w:cstheme="minorHAnsi"/>
          <w:szCs w:val="22"/>
        </w:rPr>
      </w:pPr>
      <w:r w:rsidRPr="00C73D06">
        <w:rPr>
          <w:rFonts w:cstheme="minorHAnsi"/>
          <w:b/>
          <w:szCs w:val="22"/>
        </w:rPr>
        <w:t xml:space="preserve">Suspension: </w:t>
      </w:r>
      <w:r w:rsidRPr="00C73D06">
        <w:rPr>
          <w:rFonts w:cstheme="minorHAnsi"/>
          <w:szCs w:val="22"/>
        </w:rPr>
        <w:t>A National Board may suspend a practitioner if they believe the practitioner presents a serious and immediate risk to the public and a suspension is the proportionate way to address that risk. A National Board may refer a matter to a tribunal or health panel, who may suspend the practitioner’s registration.</w:t>
      </w:r>
    </w:p>
    <w:p w14:paraId="59863B0A" w14:textId="77777777" w:rsidR="00BE48EE" w:rsidRPr="00C73D06" w:rsidRDefault="00BE48EE" w:rsidP="00BE48EE">
      <w:pPr>
        <w:pStyle w:val="ListParagraph"/>
        <w:numPr>
          <w:ilvl w:val="0"/>
          <w:numId w:val="27"/>
        </w:numPr>
        <w:spacing w:after="0"/>
        <w:contextualSpacing w:val="0"/>
        <w:rPr>
          <w:rFonts w:cstheme="minorHAnsi"/>
          <w:szCs w:val="22"/>
        </w:rPr>
      </w:pPr>
      <w:r w:rsidRPr="00C73D06">
        <w:rPr>
          <w:rFonts w:cstheme="minorHAnsi"/>
          <w:b/>
          <w:szCs w:val="22"/>
        </w:rPr>
        <w:t>Reprimand</w:t>
      </w:r>
      <w:r w:rsidRPr="00C73D06">
        <w:rPr>
          <w:rFonts w:cstheme="minorHAnsi"/>
          <w:szCs w:val="22"/>
        </w:rPr>
        <w:t xml:space="preserve">: A National Board can issue a reprimand as a formal way of rebuking or expressing disapproval of a practitioners conduct. A reprimand can occur after a performance or professional standards panel by a National Board, or after a hearing by a tribunal. Reprimands are published on the public register. </w:t>
      </w:r>
    </w:p>
    <w:p w14:paraId="0D93CF12" w14:textId="77777777" w:rsidR="00BE48EE" w:rsidRPr="00C73D06" w:rsidRDefault="00BE48EE" w:rsidP="00BE48EE">
      <w:pPr>
        <w:pStyle w:val="ListParagraph"/>
        <w:numPr>
          <w:ilvl w:val="0"/>
          <w:numId w:val="27"/>
        </w:numPr>
        <w:contextualSpacing w:val="0"/>
        <w:rPr>
          <w:rFonts w:cstheme="minorHAnsi"/>
          <w:szCs w:val="22"/>
        </w:rPr>
      </w:pPr>
      <w:r w:rsidRPr="00C73D06">
        <w:rPr>
          <w:rFonts w:cstheme="minorHAnsi"/>
          <w:b/>
          <w:szCs w:val="22"/>
        </w:rPr>
        <w:t>Cancellation of registration:</w:t>
      </w:r>
      <w:r w:rsidRPr="00C73D06">
        <w:rPr>
          <w:rFonts w:cstheme="minorHAnsi"/>
          <w:szCs w:val="22"/>
        </w:rPr>
        <w:t xml:space="preserve"> Health practitioners’ registrations can only be cancelled by a court or tribunal. Once registration has been cancelled, the practitioner is forbidden from practising</w:t>
      </w:r>
      <w:r>
        <w:rPr>
          <w:rFonts w:cstheme="minorHAnsi"/>
          <w:szCs w:val="22"/>
        </w:rPr>
        <w:t xml:space="preserve"> in</w:t>
      </w:r>
      <w:r w:rsidRPr="00C73D06">
        <w:rPr>
          <w:rFonts w:cstheme="minorHAnsi"/>
          <w:szCs w:val="22"/>
        </w:rPr>
        <w:t xml:space="preserve"> the profession. This is recorded on the ‘Register of cancelled, disqualified and/or prohibited health practitioners’.</w:t>
      </w:r>
    </w:p>
    <w:p w14:paraId="7A7B903F" w14:textId="77777777" w:rsidR="00BE48EE" w:rsidRPr="00C73D06" w:rsidRDefault="00BE48EE" w:rsidP="00BE48EE">
      <w:pPr>
        <w:pStyle w:val="Heading3"/>
        <w:spacing w:before="240"/>
      </w:pPr>
      <w:bookmarkStart w:id="58" w:name="_Toc67657916"/>
      <w:r w:rsidRPr="00C73D06">
        <w:t>Health complaints processes in New South Wales and Queensland</w:t>
      </w:r>
      <w:bookmarkEnd w:id="58"/>
      <w:r w:rsidRPr="00C73D06">
        <w:t xml:space="preserve"> </w:t>
      </w:r>
    </w:p>
    <w:p w14:paraId="7159AF41" w14:textId="77777777" w:rsidR="00BE48EE" w:rsidRPr="00C73D06" w:rsidRDefault="00BE48EE" w:rsidP="00BE48EE">
      <w:r w:rsidRPr="00C73D06">
        <w:t xml:space="preserve">Notifications processes are different in </w:t>
      </w:r>
      <w:r>
        <w:t>New South Wales</w:t>
      </w:r>
      <w:r w:rsidRPr="00C73D06">
        <w:t xml:space="preserve"> and Queensland. </w:t>
      </w:r>
    </w:p>
    <w:p w14:paraId="18A53FE2" w14:textId="77777777" w:rsidR="00BE48EE" w:rsidRPr="00C73D06" w:rsidRDefault="00BE48EE" w:rsidP="00BE48EE">
      <w:pPr>
        <w:pStyle w:val="Heading4"/>
      </w:pPr>
      <w:r w:rsidRPr="00C73D06">
        <w:t>New South Wales</w:t>
      </w:r>
    </w:p>
    <w:p w14:paraId="169090E7" w14:textId="77777777" w:rsidR="00BE48EE" w:rsidRPr="00C73D06" w:rsidRDefault="00BE48EE" w:rsidP="00BE48EE">
      <w:r w:rsidRPr="00C73D06">
        <w:t xml:space="preserve">In NSW, all investigations of notifications or complaints of health practitioners are undertaken by the Health Professional Councils (supported by the Health Professional Councils Authority) </w:t>
      </w:r>
      <w:r>
        <w:t>or</w:t>
      </w:r>
      <w:r w:rsidRPr="00C73D06">
        <w:t xml:space="preserve"> the Health Care Complaints Commission, not Ahpra and National Boards.</w:t>
      </w:r>
      <w:r w:rsidRPr="00C73D06">
        <w:rPr>
          <w:rStyle w:val="FootnoteReference"/>
        </w:rPr>
        <w:footnoteReference w:id="88"/>
      </w:r>
    </w:p>
    <w:p w14:paraId="4313B28D" w14:textId="77777777" w:rsidR="00BE48EE" w:rsidRPr="00C73D06" w:rsidRDefault="00BE48EE" w:rsidP="00BE48EE">
      <w:r w:rsidRPr="00C73D06">
        <w:lastRenderedPageBreak/>
        <w:t xml:space="preserve">Grounds for making a notification or complaint in NSW are outlined in section 7 of the </w:t>
      </w:r>
      <w:r w:rsidRPr="00C73D06">
        <w:rPr>
          <w:i/>
        </w:rPr>
        <w:t>Health Care Complaints Act 1993</w:t>
      </w:r>
      <w:r w:rsidRPr="00C73D06">
        <w:t xml:space="preserve"> and include complaints concerning the professional conduct of a health practitioner or health service which affects or is likely to affect, the clinical management or care of an individual client. </w:t>
      </w:r>
    </w:p>
    <w:p w14:paraId="65B5B3BF" w14:textId="77777777" w:rsidR="00BE48EE" w:rsidRPr="00C73D06" w:rsidRDefault="00BE48EE" w:rsidP="00BE48EE">
      <w:r w:rsidRPr="00C73D06">
        <w:t xml:space="preserve">The Health Care Complaints Commission in NSW notes on its website that the Commission may determine not to take further action on a complaint about medico-legal assessments and family court reports, as ‘it is not uncommon for people to disagree with the content of a medico-legal or </w:t>
      </w:r>
      <w:r>
        <w:t>f</w:t>
      </w:r>
      <w:r w:rsidRPr="00C73D06">
        <w:t xml:space="preserve">amily </w:t>
      </w:r>
      <w:r>
        <w:t>c</w:t>
      </w:r>
      <w:r w:rsidRPr="00C73D06">
        <w:t>ourt report’.</w:t>
      </w:r>
      <w:r w:rsidRPr="00C73D06">
        <w:rPr>
          <w:rStyle w:val="FootnoteReference"/>
        </w:rPr>
        <w:footnoteReference w:id="89"/>
      </w:r>
      <w:r w:rsidRPr="00C73D06">
        <w:t xml:space="preserve"> The website</w:t>
      </w:r>
      <w:r>
        <w:t xml:space="preserve"> states that</w:t>
      </w:r>
      <w:r w:rsidRPr="00C73D06">
        <w:t xml:space="preserve"> ‘the correct body to make a complaint or appeal to is the body that has requested the report’</w:t>
      </w:r>
      <w:r>
        <w:t xml:space="preserve"> and </w:t>
      </w:r>
      <w:r w:rsidRPr="00C73D06">
        <w:t xml:space="preserve">refers visitors to the </w:t>
      </w:r>
      <w:r>
        <w:t xml:space="preserve">website of the </w:t>
      </w:r>
      <w:r w:rsidRPr="00C73D06">
        <w:t xml:space="preserve">Federal Circuit and Family </w:t>
      </w:r>
      <w:r>
        <w:t xml:space="preserve">Court </w:t>
      </w:r>
      <w:r w:rsidRPr="00C73D06">
        <w:t>of Australia.</w:t>
      </w:r>
    </w:p>
    <w:p w14:paraId="06BD8F24" w14:textId="77777777" w:rsidR="00BE48EE" w:rsidRPr="00C73D06" w:rsidRDefault="00BE48EE" w:rsidP="00BE48EE">
      <w:pPr>
        <w:pStyle w:val="Heading4"/>
      </w:pPr>
      <w:r w:rsidRPr="00C73D06">
        <w:t>Queensland</w:t>
      </w:r>
    </w:p>
    <w:p w14:paraId="31290902" w14:textId="77777777" w:rsidR="00BE48EE" w:rsidRPr="00C73D06" w:rsidRDefault="00BE48EE" w:rsidP="00BE48EE">
      <w:r w:rsidRPr="00C73D06">
        <w:t>In Queensland, complaints are first made to the Queensland Office of the Health Ombudsman who is required to retain serious matters and may manage any matter directly or refer it to the appropriate National Board for action.</w:t>
      </w:r>
      <w:r w:rsidRPr="00C73D06">
        <w:rPr>
          <w:rStyle w:val="FootnoteReference"/>
        </w:rPr>
        <w:footnoteReference w:id="90"/>
      </w:r>
      <w:r w:rsidRPr="00C73D06">
        <w:t xml:space="preserve"> </w:t>
      </w:r>
    </w:p>
    <w:p w14:paraId="0E4B5CA9" w14:textId="77777777" w:rsidR="00BE48EE" w:rsidRPr="00C73D06" w:rsidRDefault="00BE48EE" w:rsidP="00BE48EE">
      <w:pPr>
        <w:pStyle w:val="Heading3"/>
        <w:spacing w:before="240"/>
        <w:rPr>
          <w:lang w:val="en-GB"/>
        </w:rPr>
      </w:pPr>
      <w:bookmarkStart w:id="59" w:name="_Toc67657917"/>
      <w:r w:rsidRPr="00C73D06">
        <w:rPr>
          <w:lang w:val="en-GB"/>
        </w:rPr>
        <w:t>Professional associations</w:t>
      </w:r>
      <w:bookmarkEnd w:id="59"/>
    </w:p>
    <w:p w14:paraId="7C2E6515" w14:textId="77777777" w:rsidR="00BE48EE" w:rsidRPr="00C73D06" w:rsidRDefault="00BE48EE" w:rsidP="00BE48EE">
      <w:pPr>
        <w:autoSpaceDE w:val="0"/>
        <w:autoSpaceDN w:val="0"/>
        <w:adjustRightInd w:val="0"/>
        <w:rPr>
          <w:rFonts w:cstheme="minorHAnsi"/>
          <w:szCs w:val="22"/>
          <w:lang w:val="en-GB"/>
        </w:rPr>
      </w:pPr>
      <w:r w:rsidRPr="00C73D06">
        <w:rPr>
          <w:rFonts w:cstheme="minorHAnsi"/>
          <w:szCs w:val="22"/>
          <w:lang w:val="en-GB"/>
        </w:rPr>
        <w:t xml:space="preserve">Complaints about family report writers can also be made to relevant professional bodies, such as the AASW or the APS. However, this is contingent on the professionals having a membership with that organisation. </w:t>
      </w:r>
    </w:p>
    <w:p w14:paraId="1AE8BE7B" w14:textId="77777777" w:rsidR="00BE48EE" w:rsidRPr="00C73D06" w:rsidRDefault="00BE48EE" w:rsidP="00BE48EE">
      <w:pPr>
        <w:ind w:left="567"/>
        <w:rPr>
          <w:rFonts w:cstheme="minorHAnsi"/>
          <w:szCs w:val="22"/>
        </w:rPr>
      </w:pPr>
      <w:r w:rsidRPr="00C73D06">
        <w:rPr>
          <w:rFonts w:cstheme="minorHAnsi"/>
          <w:b/>
          <w:szCs w:val="22"/>
        </w:rPr>
        <w:t>Social workers</w:t>
      </w:r>
      <w:r w:rsidRPr="00C73D06">
        <w:rPr>
          <w:rFonts w:cstheme="minorHAnsi"/>
          <w:szCs w:val="22"/>
        </w:rPr>
        <w:t xml:space="preserve"> who are members of the AASW may be subject to complaints of serious professional misconduct under the AASW Code of Ethics, which can result in suspension or cancellation of their AASW membership.</w:t>
      </w:r>
      <w:r w:rsidRPr="00C73D06">
        <w:rPr>
          <w:rStyle w:val="FootnoteReference"/>
          <w:rFonts w:cstheme="minorHAnsi"/>
          <w:szCs w:val="22"/>
        </w:rPr>
        <w:footnoteReference w:id="91"/>
      </w:r>
    </w:p>
    <w:p w14:paraId="6DE0453B" w14:textId="77777777" w:rsidR="00BE48EE" w:rsidRPr="00C73D06" w:rsidRDefault="00BE48EE" w:rsidP="00BE48EE">
      <w:pPr>
        <w:ind w:left="567"/>
        <w:rPr>
          <w:szCs w:val="22"/>
        </w:rPr>
      </w:pPr>
      <w:r w:rsidRPr="00C73D06">
        <w:rPr>
          <w:b/>
          <w:szCs w:val="22"/>
        </w:rPr>
        <w:t>Psychologists</w:t>
      </w:r>
      <w:r w:rsidRPr="00C73D06">
        <w:rPr>
          <w:szCs w:val="22"/>
        </w:rPr>
        <w:t xml:space="preserve"> who are members of the APS can have complaints made against them by other members for breaches of the APS Code of Ethics. These complaints are considered by the APS Ethics Committee. Complaints are usually referred to Ahpra and the Psychology Board of Australia.</w:t>
      </w:r>
      <w:r w:rsidRPr="00C73D06">
        <w:rPr>
          <w:rStyle w:val="FootnoteReference"/>
          <w:szCs w:val="22"/>
        </w:rPr>
        <w:footnoteReference w:id="92"/>
      </w:r>
    </w:p>
    <w:p w14:paraId="4FCCCC63" w14:textId="77777777" w:rsidR="00BE48EE" w:rsidRPr="00C73D06" w:rsidRDefault="00BE48EE" w:rsidP="00BE48EE">
      <w:pPr>
        <w:ind w:left="567"/>
        <w:rPr>
          <w:szCs w:val="22"/>
        </w:rPr>
      </w:pPr>
      <w:r w:rsidRPr="00C73D06">
        <w:rPr>
          <w:rFonts w:cstheme="minorHAnsi"/>
          <w:b/>
          <w:szCs w:val="22"/>
        </w:rPr>
        <w:t>Psychiatrists</w:t>
      </w:r>
      <w:r w:rsidRPr="00C73D06">
        <w:rPr>
          <w:rFonts w:cstheme="minorHAnsi"/>
          <w:szCs w:val="22"/>
        </w:rPr>
        <w:t xml:space="preserve"> can only be investigated by Ahpra and the National Medical Board. RANZCP does not have the authority to investigate complaints about psychiatrists.</w:t>
      </w:r>
      <w:r w:rsidRPr="00C73D06">
        <w:rPr>
          <w:rStyle w:val="FootnoteReference"/>
          <w:rFonts w:cstheme="minorHAnsi"/>
          <w:szCs w:val="22"/>
        </w:rPr>
        <w:footnoteReference w:id="93"/>
      </w:r>
    </w:p>
    <w:p w14:paraId="7EC9D7CA" w14:textId="77777777" w:rsidR="00BE48EE" w:rsidRPr="00C73D06" w:rsidRDefault="00BE48EE" w:rsidP="00BE48EE">
      <w:pPr>
        <w:pStyle w:val="Heading2"/>
        <w:spacing w:before="240"/>
      </w:pPr>
      <w:bookmarkStart w:id="60" w:name="_Toc67657918"/>
      <w:bookmarkStart w:id="61" w:name="_Toc73542510"/>
      <w:r w:rsidRPr="00C73D06">
        <w:t>Limitations on receiving evidence from family law matters</w:t>
      </w:r>
      <w:bookmarkEnd w:id="60"/>
      <w:bookmarkEnd w:id="61"/>
      <w:r w:rsidRPr="00C73D06">
        <w:t xml:space="preserve"> </w:t>
      </w:r>
    </w:p>
    <w:p w14:paraId="20685AD1" w14:textId="77777777" w:rsidR="00BE48EE" w:rsidRPr="00C73D06" w:rsidRDefault="00BE48EE" w:rsidP="00BE48EE">
      <w:pPr>
        <w:autoSpaceDE w:val="0"/>
        <w:autoSpaceDN w:val="0"/>
        <w:adjustRightInd w:val="0"/>
        <w:rPr>
          <w:szCs w:val="22"/>
        </w:rPr>
      </w:pPr>
      <w:bookmarkStart w:id="62" w:name="_Toc67657919"/>
      <w:r w:rsidRPr="00C73D06">
        <w:rPr>
          <w:szCs w:val="22"/>
        </w:rPr>
        <w:t>Restrictions apply to the sharing of family reports</w:t>
      </w:r>
      <w:r>
        <w:rPr>
          <w:szCs w:val="22"/>
        </w:rPr>
        <w:t>. In practice this limits reports being received by Ahpra and the AASW for complaint investigation</w:t>
      </w:r>
      <w:r w:rsidRPr="00C73D06">
        <w:rPr>
          <w:szCs w:val="22"/>
        </w:rPr>
        <w:t xml:space="preserve">. </w:t>
      </w:r>
    </w:p>
    <w:p w14:paraId="5E70D645" w14:textId="77777777" w:rsidR="00BE48EE" w:rsidRPr="00C73D06" w:rsidRDefault="00BE48EE" w:rsidP="00BE48EE">
      <w:pPr>
        <w:pStyle w:val="Heading3"/>
        <w:spacing w:before="240"/>
      </w:pPr>
      <w:r w:rsidRPr="00C73D06">
        <w:t xml:space="preserve">Section 121 </w:t>
      </w:r>
    </w:p>
    <w:p w14:paraId="29D906CF" w14:textId="77777777" w:rsidR="00BE48EE" w:rsidRPr="00C73D06" w:rsidRDefault="00BE48EE" w:rsidP="00BE48EE">
      <w:r w:rsidRPr="00C73D06">
        <w:t xml:space="preserve">Section 121 of the Family Law Act provides that a person who publishes (or otherwise disseminates to the public or a section of the public), any personal identifying information of a family law proceedings or any part of the proceedings commits an offence. This applies to information identifying a party to the proceedings, as well as a </w:t>
      </w:r>
      <w:r w:rsidRPr="00C73D06">
        <w:lastRenderedPageBreak/>
        <w:t>witness in the proceedings or a person who is ‘in any other way concerned in the matter to which the proceedings relate’. This includes family report writers.</w:t>
      </w:r>
    </w:p>
    <w:p w14:paraId="05E702B4" w14:textId="77777777" w:rsidR="00BE48EE" w:rsidRPr="00C73D06" w:rsidRDefault="00BE48EE" w:rsidP="00BE48EE">
      <w:pPr>
        <w:pStyle w:val="Heading4"/>
      </w:pPr>
      <w:r w:rsidRPr="00C73D06">
        <w:t>Provision of evidence</w:t>
      </w:r>
    </w:p>
    <w:p w14:paraId="0A5F5C28" w14:textId="77777777" w:rsidR="00BE48EE" w:rsidRPr="00C73D06" w:rsidRDefault="00BE48EE" w:rsidP="00BE48EE">
      <w:r w:rsidRPr="00C73D06">
        <w:t>Section 121 is designed to protect the privacy of families and children from sensational and intrusive media reporting. Case law provides that the prohibition in section 121 ‘should be taken as a reference to widespread communication with the aim of reaching a large audience’.</w:t>
      </w:r>
      <w:r w:rsidRPr="00C73D06">
        <w:rPr>
          <w:rStyle w:val="FootnoteReference"/>
          <w:rFonts w:cstheme="minorHAnsi"/>
          <w:szCs w:val="22"/>
        </w:rPr>
        <w:footnoteReference w:id="94"/>
      </w:r>
      <w:r w:rsidRPr="00C73D06">
        <w:t xml:space="preserve"> Section 121 expressly does not apply to communications to a disciplining body of the legal profession.</w:t>
      </w:r>
      <w:r w:rsidRPr="00C73D06">
        <w:rPr>
          <w:rStyle w:val="FootnoteReference"/>
          <w:rFonts w:cstheme="minorHAnsi"/>
          <w:szCs w:val="22"/>
        </w:rPr>
        <w:footnoteReference w:id="95"/>
      </w:r>
      <w:r w:rsidRPr="00C73D06">
        <w:t xml:space="preserve"> There is no such express exclusion for social science or medical professionals or regulators. The ALRC noted that section 121 has caused ‘considerable confusion’,</w:t>
      </w:r>
      <w:r w:rsidRPr="00C73D06">
        <w:rPr>
          <w:rStyle w:val="FootnoteReference"/>
          <w:rFonts w:cstheme="minorHAnsi"/>
          <w:szCs w:val="22"/>
        </w:rPr>
        <w:footnoteReference w:id="96"/>
      </w:r>
      <w:r w:rsidRPr="00C73D06">
        <w:t xml:space="preserve"> and differing views persist, including that a report cannot be provided to other statutory bodies unless the court has made an order authorising it.</w:t>
      </w:r>
      <w:r w:rsidRPr="00C73D06">
        <w:rPr>
          <w:rStyle w:val="FootnoteReference"/>
          <w:rFonts w:cstheme="minorHAnsi"/>
          <w:szCs w:val="22"/>
        </w:rPr>
        <w:footnoteReference w:id="97"/>
      </w:r>
      <w:r w:rsidRPr="00C73D06">
        <w:t xml:space="preserve"> The ALRC recommend</w:t>
      </w:r>
      <w:r>
        <w:t>ed</w:t>
      </w:r>
      <w:r w:rsidRPr="00C73D06">
        <w:t xml:space="preserve"> that section 121 be redrafted to clarify the scope and operation of the privacy obligations owed under the Act.</w:t>
      </w:r>
      <w:r w:rsidRPr="00C73D06">
        <w:rPr>
          <w:rStyle w:val="FootnoteReference"/>
        </w:rPr>
        <w:footnoteReference w:id="98"/>
      </w:r>
      <w:r w:rsidRPr="00C73D06">
        <w:t xml:space="preserve"> The Government has agreed to this recommendation.</w:t>
      </w:r>
      <w:r w:rsidRPr="00C73D06">
        <w:rPr>
          <w:rStyle w:val="FootnoteReference"/>
        </w:rPr>
        <w:footnoteReference w:id="99"/>
      </w:r>
    </w:p>
    <w:p w14:paraId="075F16D1" w14:textId="77777777" w:rsidR="00BE48EE" w:rsidRPr="00C73D06" w:rsidRDefault="00BE48EE" w:rsidP="00BE48EE">
      <w:pPr>
        <w:rPr>
          <w:rFonts w:ascii="Calibri" w:hAnsi="Calibri" w:cs="Calibri"/>
          <w:color w:val="000000"/>
          <w:szCs w:val="22"/>
          <w:lang w:val="en-US"/>
        </w:rPr>
      </w:pPr>
      <w:r w:rsidRPr="00C73D06">
        <w:rPr>
          <w:rFonts w:ascii="Calibri" w:hAnsi="Calibri" w:cs="Calibri"/>
          <w:color w:val="000000"/>
          <w:szCs w:val="22"/>
          <w:lang w:val="en-US"/>
        </w:rPr>
        <w:t xml:space="preserve">The JSC noted that while the Standards provide that a social worker should be a member of the AASW, the AASW considers it is not able to investigate complaints if investigation would require access to </w:t>
      </w:r>
      <w:r>
        <w:rPr>
          <w:rFonts w:ascii="Calibri" w:hAnsi="Calibri" w:cs="Calibri"/>
          <w:color w:val="000000"/>
          <w:szCs w:val="22"/>
          <w:lang w:val="en-US"/>
        </w:rPr>
        <w:t>a</w:t>
      </w:r>
      <w:r w:rsidRPr="00C73D06">
        <w:rPr>
          <w:rFonts w:ascii="Calibri" w:hAnsi="Calibri" w:cs="Calibri"/>
          <w:color w:val="000000"/>
          <w:szCs w:val="22"/>
          <w:lang w:val="en-US"/>
        </w:rPr>
        <w:t xml:space="preserve"> family report.</w:t>
      </w:r>
      <w:r w:rsidRPr="00C73D06">
        <w:rPr>
          <w:rStyle w:val="FootnoteReference"/>
          <w:rFonts w:ascii="Calibri" w:hAnsi="Calibri" w:cs="Calibri"/>
          <w:color w:val="000000"/>
          <w:szCs w:val="22"/>
          <w:lang w:val="en-US"/>
        </w:rPr>
        <w:footnoteReference w:id="100"/>
      </w:r>
      <w:r w:rsidRPr="00C73D06">
        <w:rPr>
          <w:rFonts w:ascii="Calibri" w:hAnsi="Calibri" w:cs="Calibri"/>
          <w:color w:val="000000"/>
          <w:szCs w:val="22"/>
          <w:lang w:val="en-US"/>
        </w:rPr>
        <w:t xml:space="preserve"> </w:t>
      </w:r>
      <w:r w:rsidRPr="00C73D06">
        <w:t xml:space="preserve">If a social worker who prepares a family report engages in professional ethical misconduct </w:t>
      </w:r>
      <w:r w:rsidRPr="00C73D06">
        <w:rPr>
          <w:i/>
        </w:rPr>
        <w:t>incidental</w:t>
      </w:r>
      <w:r w:rsidRPr="00C73D06">
        <w:t xml:space="preserve"> to the contents of a report, but not directly related to</w:t>
      </w:r>
      <w:r>
        <w:t xml:space="preserve"> the content of a report, this</w:t>
      </w:r>
      <w:r w:rsidRPr="00C73D06">
        <w:t xml:space="preserve"> may be addressed either by the courts or the AASW, as appropriate, following the </w:t>
      </w:r>
      <w:r>
        <w:t>conclusion of the court matter.</w:t>
      </w:r>
    </w:p>
    <w:p w14:paraId="65FB10D0" w14:textId="77777777" w:rsidR="00BE48EE" w:rsidRPr="00C73D06" w:rsidRDefault="00BE48EE" w:rsidP="00BE48EE">
      <w:pPr>
        <w:rPr>
          <w:rFonts w:ascii="Calibri" w:hAnsi="Calibri" w:cs="Calibri"/>
          <w:color w:val="000000"/>
          <w:szCs w:val="22"/>
          <w:lang w:val="en-US"/>
        </w:rPr>
      </w:pPr>
      <w:r w:rsidRPr="00C73D06">
        <w:rPr>
          <w:rFonts w:ascii="Calibri" w:hAnsi="Calibri" w:cs="Calibri"/>
          <w:color w:val="000000"/>
          <w:szCs w:val="22"/>
          <w:lang w:val="en-US"/>
        </w:rPr>
        <w:t>The JSC supported further consideration of an amendment to section 121 to allow independent professional bodies to consider misconduct of their members.</w:t>
      </w:r>
      <w:r w:rsidRPr="00C73D06">
        <w:rPr>
          <w:rStyle w:val="FootnoteReference"/>
          <w:rFonts w:ascii="Calibri" w:hAnsi="Calibri" w:cs="Calibri"/>
          <w:color w:val="000000"/>
          <w:szCs w:val="22"/>
          <w:lang w:val="en-US"/>
        </w:rPr>
        <w:footnoteReference w:id="101"/>
      </w:r>
    </w:p>
    <w:p w14:paraId="6BC0E0F0" w14:textId="77777777" w:rsidR="00BE48EE" w:rsidRPr="00C73D06" w:rsidRDefault="00BE48EE" w:rsidP="00BE48EE">
      <w:pPr>
        <w:pStyle w:val="Heading4"/>
        <w:rPr>
          <w:lang w:val="en-US"/>
        </w:rPr>
      </w:pPr>
      <w:r w:rsidRPr="00C73D06">
        <w:rPr>
          <w:lang w:val="en-US"/>
        </w:rPr>
        <w:t xml:space="preserve">Publishing the identity of a family report writer </w:t>
      </w:r>
    </w:p>
    <w:p w14:paraId="61824E2C" w14:textId="77777777" w:rsidR="00BE48EE" w:rsidRPr="00C73D06" w:rsidRDefault="00BE48EE" w:rsidP="00BE48EE">
      <w:pPr>
        <w:rPr>
          <w:rFonts w:ascii="Calibri" w:hAnsi="Calibri" w:cs="Calibri"/>
          <w:color w:val="000000"/>
          <w:szCs w:val="22"/>
          <w:lang w:val="en-US"/>
        </w:rPr>
      </w:pPr>
      <w:r w:rsidRPr="00C73D06">
        <w:rPr>
          <w:rFonts w:ascii="Calibri" w:hAnsi="Calibri" w:cs="Calibri"/>
          <w:color w:val="000000"/>
          <w:szCs w:val="22"/>
          <w:lang w:val="en-US"/>
        </w:rPr>
        <w:t>The JSC also supported further consideration of amendments to section 121 that would allow independent professional bodies to report publicly on any negative findings. Section 121 currently operates to prevent publishing the identity of a family report writer who has been disciplined by a regulator or professional body,</w:t>
      </w:r>
      <w:r>
        <w:rPr>
          <w:rFonts w:ascii="Calibri" w:hAnsi="Calibri" w:cs="Calibri"/>
          <w:color w:val="000000"/>
          <w:szCs w:val="22"/>
          <w:lang w:val="en-US"/>
        </w:rPr>
        <w:t xml:space="preserve"> or</w:t>
      </w:r>
      <w:r w:rsidRPr="00C73D06">
        <w:rPr>
          <w:rFonts w:ascii="Calibri" w:hAnsi="Calibri" w:cs="Calibri"/>
          <w:color w:val="000000"/>
          <w:szCs w:val="22"/>
          <w:lang w:val="en-US"/>
        </w:rPr>
        <w:t xml:space="preserve"> charged or convicted.</w:t>
      </w:r>
      <w:r w:rsidRPr="00C73D06">
        <w:rPr>
          <w:rFonts w:ascii="Calibri" w:hAnsi="Calibri" w:cs="Calibri"/>
          <w:vertAlign w:val="superscript"/>
        </w:rPr>
        <w:footnoteReference w:id="102"/>
      </w:r>
      <w:r w:rsidRPr="00C73D06">
        <w:rPr>
          <w:rFonts w:ascii="Calibri" w:hAnsi="Calibri" w:cs="Calibri"/>
          <w:color w:val="000000"/>
          <w:sz w:val="20"/>
          <w:szCs w:val="22"/>
          <w:vertAlign w:val="superscript"/>
          <w:lang w:val="en-US"/>
        </w:rPr>
        <w:t xml:space="preserve"> </w:t>
      </w:r>
      <w:r w:rsidRPr="00C73D06">
        <w:rPr>
          <w:rFonts w:ascii="Calibri" w:hAnsi="Calibri" w:cs="Calibri"/>
          <w:color w:val="000000"/>
          <w:szCs w:val="22"/>
          <w:lang w:val="en-US"/>
        </w:rPr>
        <w:t xml:space="preserve">This prevents parties from having full information before engaging a report writer. The JSC stated that the identification of these family report writers would be in the public interest as it would increase transparency and parties’ confidence in the family report writer. </w:t>
      </w:r>
    </w:p>
    <w:p w14:paraId="5EFDD8E8" w14:textId="77777777" w:rsidR="00BE48EE" w:rsidRPr="00C73D06" w:rsidRDefault="00BE48EE" w:rsidP="00BE48EE">
      <w:pPr>
        <w:rPr>
          <w:rFonts w:cstheme="minorHAnsi"/>
          <w:color w:val="000000"/>
          <w:szCs w:val="22"/>
          <w:lang w:val="en-US"/>
        </w:rPr>
      </w:pPr>
      <w:r w:rsidRPr="00C73D06">
        <w:rPr>
          <w:rFonts w:cstheme="minorHAnsi"/>
          <w:color w:val="000000"/>
          <w:szCs w:val="22"/>
          <w:lang w:val="en-US"/>
        </w:rPr>
        <w:t xml:space="preserve">Some stakeholders have suggested that section 121 should be amended so it does not apply to family consultants and expert </w:t>
      </w:r>
      <w:r w:rsidRPr="00C73D06">
        <w:rPr>
          <w:rFonts w:ascii="Calibri" w:hAnsi="Calibri" w:cs="Calibri"/>
          <w:color w:val="000000"/>
          <w:szCs w:val="22"/>
          <w:lang w:val="en-US"/>
        </w:rPr>
        <w:t>witnesses</w:t>
      </w:r>
      <w:r w:rsidRPr="00C73D06">
        <w:rPr>
          <w:rFonts w:cstheme="minorHAnsi"/>
          <w:color w:val="000000"/>
          <w:szCs w:val="22"/>
          <w:lang w:val="en-US"/>
        </w:rPr>
        <w:t xml:space="preserve"> at all.</w:t>
      </w:r>
      <w:r w:rsidRPr="00C73D06">
        <w:rPr>
          <w:rStyle w:val="FootnoteReference"/>
          <w:rFonts w:cstheme="minorHAnsi"/>
          <w:color w:val="000000"/>
          <w:szCs w:val="22"/>
          <w:lang w:val="en-US"/>
        </w:rPr>
        <w:footnoteReference w:id="103"/>
      </w:r>
      <w:r w:rsidRPr="00C73D06">
        <w:rPr>
          <w:rFonts w:cstheme="minorHAnsi"/>
          <w:color w:val="000000"/>
          <w:szCs w:val="22"/>
          <w:lang w:val="en-US"/>
        </w:rPr>
        <w:t xml:space="preserve"> This would mean journalists could publish the names of family report writers, regardless of any negative findings by a professional body. These stakeholders argue that the current lack of transparency prevents journalists from informing the public when an independent expert witness is found guilty of </w:t>
      </w:r>
      <w:r w:rsidRPr="00C73D06">
        <w:rPr>
          <w:rFonts w:cstheme="minorHAnsi"/>
          <w:color w:val="000000"/>
          <w:szCs w:val="22"/>
          <w:lang w:val="en-US"/>
        </w:rPr>
        <w:lastRenderedPageBreak/>
        <w:t>misconduct or charged with criminal offences.</w:t>
      </w:r>
      <w:r w:rsidRPr="00C73D06">
        <w:rPr>
          <w:rStyle w:val="FootnoteReference"/>
          <w:rFonts w:cstheme="minorHAnsi"/>
          <w:color w:val="000000"/>
          <w:szCs w:val="22"/>
          <w:lang w:val="en-US"/>
        </w:rPr>
        <w:footnoteReference w:id="104"/>
      </w:r>
      <w:r w:rsidRPr="00C73D06">
        <w:rPr>
          <w:rFonts w:cstheme="minorHAnsi"/>
          <w:color w:val="000000"/>
          <w:szCs w:val="22"/>
          <w:lang w:val="en-US"/>
        </w:rPr>
        <w:t xml:space="preserve"> </w:t>
      </w:r>
      <w:r>
        <w:rPr>
          <w:rFonts w:cstheme="minorHAnsi"/>
          <w:color w:val="000000"/>
          <w:szCs w:val="22"/>
          <w:lang w:val="en-US"/>
        </w:rPr>
        <w:t>These stakeholders also argue that s 121</w:t>
      </w:r>
      <w:r w:rsidRPr="00C73D06">
        <w:rPr>
          <w:rFonts w:cstheme="minorHAnsi"/>
          <w:color w:val="000000"/>
          <w:szCs w:val="22"/>
          <w:lang w:val="en-US"/>
        </w:rPr>
        <w:t xml:space="preserve"> prevents the id</w:t>
      </w:r>
      <w:r>
        <w:rPr>
          <w:rFonts w:cstheme="minorHAnsi"/>
          <w:color w:val="000000"/>
          <w:szCs w:val="22"/>
          <w:lang w:val="en-US"/>
        </w:rPr>
        <w:t>entification of patterns</w:t>
      </w:r>
      <w:r w:rsidRPr="00C73D06">
        <w:rPr>
          <w:rFonts w:cstheme="minorHAnsi"/>
          <w:color w:val="000000"/>
          <w:szCs w:val="22"/>
          <w:lang w:val="en-US"/>
        </w:rPr>
        <w:t xml:space="preserve"> by researchers, including the frequency of reports provided by particular experts, and how they are used and applied in the judge’s decision. </w:t>
      </w:r>
    </w:p>
    <w:p w14:paraId="4B771DD6" w14:textId="77777777" w:rsidR="00BE48EE" w:rsidRPr="00C73D06" w:rsidRDefault="00BE48EE" w:rsidP="00BE48EE">
      <w:pPr>
        <w:pStyle w:val="Heading3"/>
        <w:spacing w:before="240"/>
      </w:pPr>
      <w:bookmarkStart w:id="63" w:name="_Toc67657920"/>
      <w:bookmarkEnd w:id="62"/>
      <w:r w:rsidRPr="00C73D06">
        <w:t>Rules of court</w:t>
      </w:r>
      <w:bookmarkEnd w:id="63"/>
    </w:p>
    <w:p w14:paraId="33C0879D" w14:textId="77777777" w:rsidR="00BE48EE" w:rsidRPr="00C73D06" w:rsidRDefault="00BE48EE" w:rsidP="00BE48EE">
      <w:pPr>
        <w:autoSpaceDE w:val="0"/>
        <w:autoSpaceDN w:val="0"/>
        <w:rPr>
          <w:rFonts w:cstheme="minorHAnsi"/>
          <w:color w:val="000000" w:themeColor="text1"/>
          <w:szCs w:val="22"/>
        </w:rPr>
      </w:pPr>
      <w:r w:rsidRPr="00C73D06">
        <w:rPr>
          <w:rFonts w:cstheme="minorHAnsi"/>
          <w:color w:val="000000" w:themeColor="text1"/>
          <w:szCs w:val="22"/>
        </w:rPr>
        <w:t xml:space="preserve">The </w:t>
      </w:r>
      <w:r w:rsidRPr="008A22AA">
        <w:rPr>
          <w:rFonts w:cstheme="minorHAnsi"/>
          <w:i/>
          <w:color w:val="000000" w:themeColor="text1"/>
          <w:szCs w:val="22"/>
        </w:rPr>
        <w:t>Federal Circuit and Family Court of Australia (Family Law) Rules 2021</w:t>
      </w:r>
      <w:r>
        <w:rPr>
          <w:rFonts w:cstheme="minorHAnsi"/>
          <w:i/>
          <w:color w:val="000000" w:themeColor="text1"/>
          <w:szCs w:val="22"/>
        </w:rPr>
        <w:t xml:space="preserve"> </w:t>
      </w:r>
      <w:r w:rsidRPr="00892052">
        <w:rPr>
          <w:rFonts w:cstheme="minorHAnsi"/>
          <w:color w:val="000000" w:themeColor="text1"/>
          <w:szCs w:val="22"/>
        </w:rPr>
        <w:t>and</w:t>
      </w:r>
      <w:r>
        <w:rPr>
          <w:rFonts w:cstheme="minorHAnsi"/>
          <w:i/>
          <w:color w:val="000000" w:themeColor="text1"/>
          <w:szCs w:val="22"/>
        </w:rPr>
        <w:t xml:space="preserve"> Family Court Rules 2021 </w:t>
      </w:r>
      <w:r w:rsidRPr="00892052">
        <w:rPr>
          <w:rFonts w:cstheme="minorHAnsi"/>
          <w:color w:val="000000" w:themeColor="text1"/>
          <w:szCs w:val="22"/>
        </w:rPr>
        <w:t>(WA)</w:t>
      </w:r>
      <w:r>
        <w:rPr>
          <w:rFonts w:cstheme="minorHAnsi"/>
          <w:i/>
          <w:color w:val="000000" w:themeColor="text1"/>
          <w:szCs w:val="22"/>
        </w:rPr>
        <w:t xml:space="preserve"> </w:t>
      </w:r>
      <w:r w:rsidRPr="00C73D06">
        <w:rPr>
          <w:rFonts w:cstheme="minorHAnsi"/>
          <w:color w:val="000000" w:themeColor="text1"/>
          <w:szCs w:val="22"/>
        </w:rPr>
        <w:t>provide that the court may identify who a copy of a family report</w:t>
      </w:r>
      <w:r>
        <w:rPr>
          <w:rFonts w:cstheme="minorHAnsi"/>
          <w:color w:val="000000" w:themeColor="text1"/>
          <w:szCs w:val="22"/>
        </w:rPr>
        <w:t xml:space="preserve"> prepared by a family consultant</w:t>
      </w:r>
      <w:r w:rsidRPr="00C73D06">
        <w:rPr>
          <w:rFonts w:cstheme="minorHAnsi"/>
          <w:color w:val="000000" w:themeColor="text1"/>
          <w:szCs w:val="22"/>
        </w:rPr>
        <w:t xml:space="preserve"> may or may not be shared with.</w:t>
      </w:r>
      <w:r>
        <w:rPr>
          <w:rStyle w:val="FootnoteReference"/>
          <w:rFonts w:cstheme="minorHAnsi"/>
          <w:color w:val="000000" w:themeColor="text1"/>
          <w:szCs w:val="22"/>
        </w:rPr>
        <w:footnoteReference w:id="105"/>
      </w:r>
      <w:r w:rsidRPr="00C73D06">
        <w:rPr>
          <w:rFonts w:cstheme="minorHAnsi"/>
          <w:color w:val="000000" w:themeColor="text1"/>
          <w:szCs w:val="22"/>
        </w:rPr>
        <w:t xml:space="preserve"> </w:t>
      </w:r>
      <w:r>
        <w:rPr>
          <w:rFonts w:cstheme="minorHAnsi"/>
          <w:color w:val="000000" w:themeColor="text1"/>
          <w:szCs w:val="22"/>
        </w:rPr>
        <w:t>I</w:t>
      </w:r>
      <w:r w:rsidRPr="00C73D06">
        <w:rPr>
          <w:rFonts w:cstheme="minorHAnsi"/>
          <w:color w:val="000000" w:themeColor="text1"/>
          <w:szCs w:val="22"/>
        </w:rPr>
        <w:t>f the court gives a copy of a family report to a person, a notice stating the people who may receive a copy of the report</w:t>
      </w:r>
      <w:r>
        <w:rPr>
          <w:rFonts w:cstheme="minorHAnsi"/>
          <w:color w:val="000000" w:themeColor="text1"/>
          <w:szCs w:val="22"/>
        </w:rPr>
        <w:t>,</w:t>
      </w:r>
      <w:r w:rsidRPr="00C73D06">
        <w:rPr>
          <w:rFonts w:cstheme="minorHAnsi"/>
          <w:color w:val="000000" w:themeColor="text1"/>
          <w:szCs w:val="22"/>
        </w:rPr>
        <w:t xml:space="preserve"> along with the potential consequences for unauthorised publication of information contained in the report</w:t>
      </w:r>
      <w:r>
        <w:rPr>
          <w:rFonts w:cstheme="minorHAnsi"/>
          <w:color w:val="000000" w:themeColor="text1"/>
          <w:szCs w:val="22"/>
        </w:rPr>
        <w:t>,</w:t>
      </w:r>
      <w:r w:rsidRPr="00C73D06">
        <w:rPr>
          <w:rFonts w:cstheme="minorHAnsi"/>
          <w:color w:val="000000" w:themeColor="text1"/>
          <w:szCs w:val="22"/>
        </w:rPr>
        <w:t xml:space="preserve"> must be included. </w:t>
      </w:r>
      <w:r>
        <w:rPr>
          <w:rFonts w:cstheme="minorHAnsi"/>
          <w:color w:val="000000" w:themeColor="text1"/>
          <w:szCs w:val="22"/>
        </w:rPr>
        <w:t xml:space="preserve">The rules also </w:t>
      </w:r>
      <w:r w:rsidRPr="00C73D06">
        <w:rPr>
          <w:rFonts w:cstheme="minorHAnsi"/>
          <w:color w:val="000000" w:themeColor="text1"/>
          <w:szCs w:val="22"/>
        </w:rPr>
        <w:t xml:space="preserve">provide that the court may order that a </w:t>
      </w:r>
      <w:r>
        <w:rPr>
          <w:rFonts w:cstheme="minorHAnsi"/>
          <w:color w:val="000000" w:themeColor="text1"/>
          <w:szCs w:val="22"/>
        </w:rPr>
        <w:t>report prepared by a single expert witness</w:t>
      </w:r>
      <w:r w:rsidRPr="00C73D06">
        <w:rPr>
          <w:rFonts w:cstheme="minorHAnsi"/>
          <w:color w:val="000000" w:themeColor="text1"/>
          <w:szCs w:val="22"/>
        </w:rPr>
        <w:t xml:space="preserve"> </w:t>
      </w:r>
      <w:r w:rsidRPr="00C73D06">
        <w:rPr>
          <w:rFonts w:cstheme="minorHAnsi"/>
          <w:color w:val="000000" w:themeColor="text1"/>
          <w:szCs w:val="22"/>
          <w:u w:val="single"/>
        </w:rPr>
        <w:t>not</w:t>
      </w:r>
      <w:r w:rsidRPr="00C73D06">
        <w:rPr>
          <w:rFonts w:cstheme="minorHAnsi"/>
          <w:color w:val="000000" w:themeColor="text1"/>
          <w:szCs w:val="22"/>
        </w:rPr>
        <w:t xml:space="preserve"> be released to a person, or that access to the report be restricted.</w:t>
      </w:r>
      <w:r w:rsidRPr="00C73D06">
        <w:rPr>
          <w:rStyle w:val="FootnoteReference"/>
          <w:rFonts w:cstheme="minorHAnsi"/>
          <w:szCs w:val="22"/>
        </w:rPr>
        <w:footnoteReference w:id="106"/>
      </w:r>
      <w:r w:rsidRPr="00C73D06">
        <w:rPr>
          <w:rFonts w:cstheme="minorHAnsi"/>
          <w:color w:val="000000" w:themeColor="text1"/>
          <w:szCs w:val="22"/>
        </w:rPr>
        <w:t xml:space="preserve"> </w:t>
      </w:r>
    </w:p>
    <w:p w14:paraId="7C1F68F3" w14:textId="77777777" w:rsidR="00BE48EE" w:rsidRPr="00C73D06" w:rsidRDefault="00BE48EE" w:rsidP="00BE48EE">
      <w:pPr>
        <w:pStyle w:val="Heading3"/>
        <w:spacing w:before="240"/>
      </w:pPr>
      <w:bookmarkStart w:id="64" w:name="_Toc67657921"/>
      <w:r w:rsidRPr="00C73D06">
        <w:t xml:space="preserve">Standing orders </w:t>
      </w:r>
      <w:bookmarkEnd w:id="64"/>
    </w:p>
    <w:p w14:paraId="5C0A2717" w14:textId="77777777" w:rsidR="00BE48EE" w:rsidRPr="00C73D06" w:rsidRDefault="00BE48EE" w:rsidP="00BE48EE">
      <w:pPr>
        <w:autoSpaceDE w:val="0"/>
        <w:autoSpaceDN w:val="0"/>
        <w:spacing w:after="0"/>
        <w:rPr>
          <w:rFonts w:cstheme="minorHAnsi"/>
          <w:szCs w:val="22"/>
        </w:rPr>
      </w:pPr>
      <w:r w:rsidRPr="00C73D06">
        <w:rPr>
          <w:rFonts w:cstheme="minorHAnsi"/>
          <w:szCs w:val="22"/>
        </w:rPr>
        <w:t>In the Family Court of Western Australia, there are standing orders prohibiting the sharing of single experts</w:t>
      </w:r>
      <w:r>
        <w:rPr>
          <w:rFonts w:cstheme="minorHAnsi"/>
          <w:szCs w:val="22"/>
        </w:rPr>
        <w:t>’</w:t>
      </w:r>
      <w:r w:rsidRPr="00C73D06">
        <w:rPr>
          <w:rFonts w:cstheme="minorHAnsi"/>
          <w:szCs w:val="22"/>
        </w:rPr>
        <w:t xml:space="preserve"> reports or complaints being made about single expert witnesses without first obtaining leave of the court.</w:t>
      </w:r>
      <w:r w:rsidRPr="00C73D06">
        <w:rPr>
          <w:rStyle w:val="FootnoteReference"/>
          <w:rFonts w:cstheme="minorHAnsi"/>
          <w:szCs w:val="22"/>
        </w:rPr>
        <w:footnoteReference w:id="107"/>
      </w:r>
      <w:r w:rsidRPr="00C73D06">
        <w:rPr>
          <w:rFonts w:cstheme="minorHAnsi"/>
          <w:szCs w:val="22"/>
        </w:rPr>
        <w:t xml:space="preserve"> </w:t>
      </w:r>
      <w:r>
        <w:rPr>
          <w:rFonts w:cstheme="minorHAnsi"/>
          <w:szCs w:val="22"/>
        </w:rPr>
        <w:t>The standing orders provide:</w:t>
      </w:r>
    </w:p>
    <w:p w14:paraId="0C8A7E17" w14:textId="77777777" w:rsidR="00BE48EE" w:rsidRPr="00C73D06" w:rsidRDefault="00BE48EE" w:rsidP="00BE48EE">
      <w:pPr>
        <w:pStyle w:val="ListParagraph"/>
        <w:numPr>
          <w:ilvl w:val="1"/>
          <w:numId w:val="34"/>
        </w:numPr>
        <w:ind w:left="851" w:hanging="284"/>
        <w:rPr>
          <w:rFonts w:cstheme="minorHAnsi"/>
          <w:szCs w:val="22"/>
        </w:rPr>
      </w:pPr>
      <w:r w:rsidRPr="00C73D06">
        <w:rPr>
          <w:rFonts w:cstheme="minorHAnsi"/>
          <w:szCs w:val="22"/>
        </w:rPr>
        <w:t xml:space="preserve">The parties and the Independent Children’s Lawyer be restrained and an injunction is hereby granted restraining each of them from providing copies of any Single Expert's report prepared for the purpose of these proceedings, or permitting any other person to do so, to any person or entity other than their solicitor or counsel in these proceedings, without first obtaining leave of the </w:t>
      </w:r>
      <w:r>
        <w:rPr>
          <w:rFonts w:cstheme="minorHAnsi"/>
          <w:szCs w:val="22"/>
        </w:rPr>
        <w:t>c</w:t>
      </w:r>
      <w:r w:rsidRPr="00C73D06">
        <w:rPr>
          <w:rFonts w:cstheme="minorHAnsi"/>
          <w:szCs w:val="22"/>
        </w:rPr>
        <w:t>ourt.</w:t>
      </w:r>
    </w:p>
    <w:p w14:paraId="3813FEF0" w14:textId="77777777" w:rsidR="00BE48EE" w:rsidRPr="00C73D06" w:rsidRDefault="00BE48EE" w:rsidP="00BE48EE">
      <w:pPr>
        <w:pStyle w:val="ListParagraph"/>
        <w:numPr>
          <w:ilvl w:val="1"/>
          <w:numId w:val="34"/>
        </w:numPr>
        <w:ind w:left="851" w:hanging="284"/>
        <w:rPr>
          <w:szCs w:val="22"/>
        </w:rPr>
      </w:pPr>
      <w:r w:rsidRPr="00C73D06">
        <w:rPr>
          <w:rFonts w:cstheme="minorHAnsi"/>
          <w:szCs w:val="22"/>
        </w:rPr>
        <w:t>The parties and the Independent Children’s Lawyer be restrained and an injunction is hereby granted restraining each of them from making any complaint to a professional body or association concerning the</w:t>
      </w:r>
      <w:r w:rsidRPr="00C73D06">
        <w:rPr>
          <w:szCs w:val="22"/>
        </w:rPr>
        <w:t xml:space="preserve"> conduct of the Single Expert or concerning the content of the Single Expert's report, or permitting any other person to do so, without first obtaining leave of the </w:t>
      </w:r>
      <w:r>
        <w:rPr>
          <w:szCs w:val="22"/>
        </w:rPr>
        <w:t>c</w:t>
      </w:r>
      <w:r w:rsidRPr="00C73D06">
        <w:rPr>
          <w:szCs w:val="22"/>
        </w:rPr>
        <w:t>ourt.</w:t>
      </w:r>
    </w:p>
    <w:p w14:paraId="72281B12" w14:textId="77777777" w:rsidR="00BE48EE" w:rsidRPr="00C73D06" w:rsidRDefault="00BE48EE" w:rsidP="00BE48EE">
      <w:pPr>
        <w:pStyle w:val="ListParagraph"/>
        <w:numPr>
          <w:ilvl w:val="1"/>
          <w:numId w:val="34"/>
        </w:numPr>
        <w:ind w:left="851" w:hanging="284"/>
        <w:rPr>
          <w:szCs w:val="22"/>
        </w:rPr>
      </w:pPr>
      <w:r w:rsidRPr="00C73D06">
        <w:rPr>
          <w:szCs w:val="22"/>
        </w:rPr>
        <w:t>The preceding orders shall remain in full force and effect following completion of the proceedings.</w:t>
      </w:r>
    </w:p>
    <w:p w14:paraId="07A3723C" w14:textId="77777777" w:rsidR="00BE48EE" w:rsidRPr="00C73D06" w:rsidRDefault="00BE48EE" w:rsidP="00BE48EE">
      <w:pPr>
        <w:pStyle w:val="ListParagraph"/>
        <w:numPr>
          <w:ilvl w:val="1"/>
          <w:numId w:val="34"/>
        </w:numPr>
        <w:ind w:left="851" w:hanging="284"/>
        <w:rPr>
          <w:szCs w:val="22"/>
        </w:rPr>
      </w:pPr>
      <w:r w:rsidRPr="00C73D06">
        <w:rPr>
          <w:szCs w:val="22"/>
        </w:rPr>
        <w:t xml:space="preserve">For the purposes of the preceding orders, leave of the </w:t>
      </w:r>
      <w:r>
        <w:rPr>
          <w:szCs w:val="22"/>
        </w:rPr>
        <w:t>c</w:t>
      </w:r>
      <w:r w:rsidRPr="00C73D06">
        <w:rPr>
          <w:szCs w:val="22"/>
        </w:rPr>
        <w:t>ourt may be sought by:</w:t>
      </w:r>
    </w:p>
    <w:p w14:paraId="24622278" w14:textId="77777777" w:rsidR="00BE48EE" w:rsidRPr="00C73D06" w:rsidRDefault="00BE48EE" w:rsidP="00BE48EE">
      <w:pPr>
        <w:pStyle w:val="ListParagraph"/>
        <w:numPr>
          <w:ilvl w:val="0"/>
          <w:numId w:val="31"/>
        </w:numPr>
        <w:rPr>
          <w:szCs w:val="22"/>
        </w:rPr>
      </w:pPr>
      <w:r w:rsidRPr="00C73D06">
        <w:rPr>
          <w:szCs w:val="22"/>
        </w:rPr>
        <w:t>the filing of a written request by the Independent Children's Lawyer, copied to both parties to the proceedings;</w:t>
      </w:r>
    </w:p>
    <w:p w14:paraId="63D111AF" w14:textId="77777777" w:rsidR="00BE48EE" w:rsidRPr="00C73D06" w:rsidRDefault="00BE48EE" w:rsidP="00BE48EE">
      <w:pPr>
        <w:pStyle w:val="ListParagraph"/>
        <w:numPr>
          <w:ilvl w:val="0"/>
          <w:numId w:val="31"/>
        </w:numPr>
        <w:rPr>
          <w:szCs w:val="22"/>
        </w:rPr>
      </w:pPr>
      <w:r w:rsidRPr="00C73D06">
        <w:rPr>
          <w:szCs w:val="22"/>
        </w:rPr>
        <w:t>the filing of a Minute of Consent orders signed by the Independent Children’s Lawyer and all parties or their legal representatives; or</w:t>
      </w:r>
    </w:p>
    <w:p w14:paraId="66A05A56" w14:textId="77777777" w:rsidR="00BE48EE" w:rsidRPr="00C73D06" w:rsidRDefault="00BE48EE" w:rsidP="00BE48EE">
      <w:pPr>
        <w:pStyle w:val="ListParagraph"/>
        <w:numPr>
          <w:ilvl w:val="0"/>
          <w:numId w:val="31"/>
        </w:numPr>
        <w:rPr>
          <w:szCs w:val="22"/>
        </w:rPr>
      </w:pPr>
      <w:r w:rsidRPr="00C73D06">
        <w:rPr>
          <w:szCs w:val="22"/>
        </w:rPr>
        <w:t>by a formal application with a brief affidavit in support.</w:t>
      </w:r>
    </w:p>
    <w:p w14:paraId="30B6876F" w14:textId="77777777" w:rsidR="00BE48EE" w:rsidRPr="00C73D06" w:rsidRDefault="00BE48EE" w:rsidP="00BE48EE">
      <w:pPr>
        <w:pStyle w:val="Heading2"/>
        <w:spacing w:before="240"/>
      </w:pPr>
      <w:bookmarkStart w:id="65" w:name="_Toc67657922"/>
      <w:bookmarkStart w:id="66" w:name="_Toc73542511"/>
      <w:r w:rsidRPr="00C73D06">
        <w:lastRenderedPageBreak/>
        <w:t>Issues and risks in investigating complaints</w:t>
      </w:r>
      <w:bookmarkEnd w:id="65"/>
      <w:bookmarkEnd w:id="66"/>
      <w:r w:rsidRPr="00C73D06">
        <w:t xml:space="preserve"> about family report writers</w:t>
      </w:r>
    </w:p>
    <w:p w14:paraId="65768045" w14:textId="77777777" w:rsidR="00BE48EE" w:rsidRPr="00C73D06" w:rsidRDefault="00BE48EE" w:rsidP="00BE48EE">
      <w:r w:rsidRPr="00C73D06">
        <w:rPr>
          <w:szCs w:val="22"/>
        </w:rPr>
        <w:t>The investigation of complaints about family report writers arising from family law proceedings presents a range of challenges and issues, particularly in fairly and appropriately balancing the needs of the parties, the courts, the report writer and the public. Particular issues and challenges are discussed below.</w:t>
      </w:r>
    </w:p>
    <w:p w14:paraId="0E23B3D5" w14:textId="77777777" w:rsidR="00BE48EE" w:rsidRPr="00C73D06" w:rsidRDefault="00BE48EE" w:rsidP="00BE48EE">
      <w:pPr>
        <w:pStyle w:val="Heading3"/>
        <w:rPr>
          <w:sz w:val="28"/>
        </w:rPr>
      </w:pPr>
      <w:r w:rsidRPr="00C73D06">
        <w:rPr>
          <w:sz w:val="28"/>
        </w:rPr>
        <w:t>Vexatious and malicious complaints</w:t>
      </w:r>
    </w:p>
    <w:p w14:paraId="0AB6A0EA" w14:textId="77777777" w:rsidR="00BE48EE" w:rsidRPr="00C73D06" w:rsidRDefault="00BE48EE" w:rsidP="00BE48EE">
      <w:pPr>
        <w:autoSpaceDE w:val="0"/>
        <w:autoSpaceDN w:val="0"/>
        <w:rPr>
          <w:szCs w:val="22"/>
        </w:rPr>
      </w:pPr>
      <w:r w:rsidRPr="00C73D06">
        <w:rPr>
          <w:szCs w:val="22"/>
        </w:rPr>
        <w:t>The nature of family report writing, which assesses and critiques parenting capabilities and recommends parenting arrangements, is prone to attracting complaints from dissatisfied parties.</w:t>
      </w:r>
      <w:r w:rsidRPr="00C73D06">
        <w:rPr>
          <w:rStyle w:val="FootnoteReference"/>
          <w:szCs w:val="22"/>
        </w:rPr>
        <w:footnoteReference w:id="108"/>
      </w:r>
      <w:r w:rsidRPr="00C73D06">
        <w:rPr>
          <w:rStyle w:val="FootnoteReference"/>
          <w:szCs w:val="22"/>
        </w:rPr>
        <w:t xml:space="preserve"> </w:t>
      </w:r>
      <w:r w:rsidRPr="00C73D06">
        <w:rPr>
          <w:szCs w:val="22"/>
        </w:rPr>
        <w:t>This is reportedly at a greater rate than complaints received for other areas of professional practice, and theoretically could apply to every matter where a report writer is involved.</w:t>
      </w:r>
      <w:r w:rsidRPr="00C73D06">
        <w:rPr>
          <w:rStyle w:val="FootnoteReference"/>
          <w:szCs w:val="22"/>
        </w:rPr>
        <w:footnoteReference w:id="109"/>
      </w:r>
      <w:r w:rsidRPr="00C73D06">
        <w:rPr>
          <w:szCs w:val="22"/>
        </w:rPr>
        <w:t xml:space="preserve"> Complaints may not be truthful and may be made for strategic reasons of delaying proceedings, or in the </w:t>
      </w:r>
      <w:r w:rsidRPr="00C73D06">
        <w:rPr>
          <w:rFonts w:cstheme="minorHAnsi"/>
          <w:color w:val="000000" w:themeColor="text1"/>
          <w:szCs w:val="22"/>
        </w:rPr>
        <w:t>hope</w:t>
      </w:r>
      <w:r w:rsidRPr="00C73D06">
        <w:rPr>
          <w:szCs w:val="22"/>
        </w:rPr>
        <w:t xml:space="preserve"> that a new family </w:t>
      </w:r>
      <w:r>
        <w:rPr>
          <w:szCs w:val="22"/>
        </w:rPr>
        <w:t>report writer</w:t>
      </w:r>
      <w:r w:rsidRPr="00C73D06">
        <w:rPr>
          <w:szCs w:val="22"/>
        </w:rPr>
        <w:t xml:space="preserve"> may be appointed that may be more favourable to the complainant.</w:t>
      </w:r>
      <w:r w:rsidRPr="00C73D06">
        <w:rPr>
          <w:rStyle w:val="FootnoteReference"/>
          <w:szCs w:val="22"/>
        </w:rPr>
        <w:footnoteReference w:id="110"/>
      </w:r>
      <w:r w:rsidRPr="00C73D06">
        <w:rPr>
          <w:szCs w:val="22"/>
        </w:rPr>
        <w:t xml:space="preserve"> Other complaints may be made with malicious intent, seeking revenge on the report writer. </w:t>
      </w:r>
      <w:r>
        <w:rPr>
          <w:szCs w:val="22"/>
        </w:rPr>
        <w:t>Social media is a tool frequently used by disgruntled parties to vilify a report writer. Exposure to this type of criticism can be a disincentive to professionals practicing in this area.</w:t>
      </w:r>
    </w:p>
    <w:p w14:paraId="1B47DCC5" w14:textId="77777777" w:rsidR="00BE48EE" w:rsidRPr="00C73D06" w:rsidRDefault="00BE48EE" w:rsidP="00BE48EE">
      <w:pPr>
        <w:pStyle w:val="Heading3"/>
        <w:rPr>
          <w:sz w:val="28"/>
        </w:rPr>
      </w:pPr>
      <w:r>
        <w:rPr>
          <w:sz w:val="28"/>
        </w:rPr>
        <w:t xml:space="preserve">Complaints and delayed resolution can </w:t>
      </w:r>
      <w:r w:rsidRPr="00C73D06">
        <w:rPr>
          <w:sz w:val="28"/>
        </w:rPr>
        <w:t>deter professionals from undertaking the report writing function</w:t>
      </w:r>
    </w:p>
    <w:p w14:paraId="2EED280A" w14:textId="77777777" w:rsidR="00BE48EE" w:rsidRPr="00C73D06" w:rsidRDefault="00BE48EE" w:rsidP="00BE48EE">
      <w:pPr>
        <w:autoSpaceDE w:val="0"/>
        <w:autoSpaceDN w:val="0"/>
        <w:rPr>
          <w:rFonts w:cstheme="minorHAnsi"/>
          <w:color w:val="000000" w:themeColor="text1"/>
          <w:szCs w:val="22"/>
        </w:rPr>
      </w:pPr>
      <w:r w:rsidRPr="00C73D06">
        <w:rPr>
          <w:rFonts w:cstheme="minorHAnsi"/>
          <w:color w:val="000000" w:themeColor="text1"/>
          <w:szCs w:val="22"/>
        </w:rPr>
        <w:t xml:space="preserve">Being </w:t>
      </w:r>
      <w:r>
        <w:rPr>
          <w:rFonts w:cstheme="minorHAnsi"/>
          <w:color w:val="000000" w:themeColor="text1"/>
          <w:szCs w:val="22"/>
        </w:rPr>
        <w:t xml:space="preserve">the </w:t>
      </w:r>
      <w:r w:rsidRPr="00C73D06">
        <w:rPr>
          <w:rFonts w:cstheme="minorHAnsi"/>
          <w:color w:val="000000" w:themeColor="text1"/>
          <w:szCs w:val="22"/>
        </w:rPr>
        <w:t xml:space="preserve">subject </w:t>
      </w:r>
      <w:r>
        <w:rPr>
          <w:rFonts w:cstheme="minorHAnsi"/>
          <w:color w:val="000000" w:themeColor="text1"/>
          <w:szCs w:val="22"/>
        </w:rPr>
        <w:t>of</w:t>
      </w:r>
      <w:r w:rsidRPr="00C73D06">
        <w:rPr>
          <w:rFonts w:cstheme="minorHAnsi"/>
          <w:color w:val="000000" w:themeColor="text1"/>
          <w:szCs w:val="22"/>
        </w:rPr>
        <w:t xml:space="preserve"> a complaint to a regulator or authority can be a stressful and time-consuming process. The average time taken to complete an investigation by Ahpra is 175 days.</w:t>
      </w:r>
      <w:r w:rsidRPr="00C73D06">
        <w:rPr>
          <w:rStyle w:val="FootnoteReference"/>
          <w:rFonts w:cstheme="minorHAnsi"/>
          <w:color w:val="000000" w:themeColor="text1"/>
          <w:szCs w:val="22"/>
        </w:rPr>
        <w:footnoteReference w:id="111"/>
      </w:r>
      <w:r w:rsidRPr="00C73D06">
        <w:rPr>
          <w:rFonts w:cstheme="minorHAnsi"/>
          <w:color w:val="000000" w:themeColor="text1"/>
          <w:szCs w:val="22"/>
        </w:rPr>
        <w:t xml:space="preserve"> Having a report writer subject to multiple unmeritorious or malicious complaints, unless they are resolved early in the process, would be a</w:t>
      </w:r>
      <w:r>
        <w:rPr>
          <w:rFonts w:cstheme="minorHAnsi"/>
          <w:color w:val="000000" w:themeColor="text1"/>
          <w:szCs w:val="22"/>
        </w:rPr>
        <w:t xml:space="preserve"> further</w:t>
      </w:r>
      <w:r w:rsidRPr="00C73D06">
        <w:rPr>
          <w:rFonts w:cstheme="minorHAnsi"/>
          <w:color w:val="000000" w:themeColor="text1"/>
          <w:szCs w:val="22"/>
        </w:rPr>
        <w:t xml:space="preserve"> disincentive to undertaking such a role, and there is a risk that professionals would opt out of report writing. A long delay in assessing complaints is also problematic for families where the report is crucial to the establishment of parenting arrangements. Family report writers who are social workers are not currently subject to</w:t>
      </w:r>
      <w:r>
        <w:rPr>
          <w:rFonts w:cstheme="minorHAnsi"/>
          <w:color w:val="000000" w:themeColor="text1"/>
          <w:szCs w:val="22"/>
        </w:rPr>
        <w:t xml:space="preserve"> similar</w:t>
      </w:r>
      <w:r w:rsidRPr="00C73D06">
        <w:rPr>
          <w:rFonts w:cstheme="minorHAnsi"/>
          <w:color w:val="000000" w:themeColor="text1"/>
          <w:szCs w:val="22"/>
        </w:rPr>
        <w:t xml:space="preserve"> regulatory review. </w:t>
      </w:r>
    </w:p>
    <w:p w14:paraId="5B25E37E" w14:textId="77777777" w:rsidR="00BE48EE" w:rsidRPr="00C73D06" w:rsidRDefault="00BE48EE" w:rsidP="00BE48EE">
      <w:pPr>
        <w:autoSpaceDE w:val="0"/>
        <w:autoSpaceDN w:val="0"/>
        <w:rPr>
          <w:rFonts w:cstheme="minorHAnsi"/>
          <w:color w:val="000000" w:themeColor="text1"/>
          <w:szCs w:val="22"/>
        </w:rPr>
      </w:pPr>
      <w:r w:rsidRPr="00C73D06">
        <w:rPr>
          <w:rFonts w:cstheme="minorHAnsi"/>
          <w:color w:val="000000" w:themeColor="text1"/>
          <w:szCs w:val="22"/>
        </w:rPr>
        <w:t xml:space="preserve">Some family report writers </w:t>
      </w:r>
      <w:r>
        <w:rPr>
          <w:rFonts w:cstheme="minorHAnsi"/>
          <w:color w:val="000000" w:themeColor="text1"/>
          <w:szCs w:val="22"/>
        </w:rPr>
        <w:t xml:space="preserve">are </w:t>
      </w:r>
      <w:r w:rsidRPr="00C73D06">
        <w:rPr>
          <w:rFonts w:cstheme="minorHAnsi"/>
          <w:color w:val="000000" w:themeColor="text1"/>
          <w:szCs w:val="22"/>
        </w:rPr>
        <w:t xml:space="preserve">potentially subject to multiple </w:t>
      </w:r>
      <w:r>
        <w:rPr>
          <w:rFonts w:cstheme="minorHAnsi"/>
          <w:color w:val="000000" w:themeColor="text1"/>
          <w:szCs w:val="22"/>
        </w:rPr>
        <w:t>complaint</w:t>
      </w:r>
      <w:r w:rsidRPr="00C73D06">
        <w:rPr>
          <w:rFonts w:cstheme="minorHAnsi"/>
          <w:color w:val="000000" w:themeColor="text1"/>
          <w:szCs w:val="22"/>
        </w:rPr>
        <w:t xml:space="preserve"> avenues. For psychologists this includes cross-examination (which is often an adversarial interrogation); review by an employer such as </w:t>
      </w:r>
      <w:r>
        <w:rPr>
          <w:rFonts w:cstheme="minorHAnsi"/>
          <w:color w:val="000000" w:themeColor="text1"/>
          <w:szCs w:val="22"/>
        </w:rPr>
        <w:t>CCS</w:t>
      </w:r>
      <w:r w:rsidRPr="00C73D06">
        <w:rPr>
          <w:rFonts w:cstheme="minorHAnsi"/>
          <w:color w:val="000000" w:themeColor="text1"/>
          <w:szCs w:val="22"/>
        </w:rPr>
        <w:t xml:space="preserve"> for in-house family consultants; Ahpra if a complaint is made to the regulator and also potentially the APS if they are a member. An investigation by Ahpra also has implications for the psychologist’s entire professional practice, and not just family report writing. </w:t>
      </w:r>
    </w:p>
    <w:p w14:paraId="57954D23" w14:textId="77777777" w:rsidR="00BE48EE" w:rsidRPr="00C73D06" w:rsidRDefault="00BE48EE" w:rsidP="00BE48EE">
      <w:pPr>
        <w:pStyle w:val="Heading3"/>
        <w:rPr>
          <w:sz w:val="28"/>
        </w:rPr>
      </w:pPr>
      <w:r w:rsidRPr="00C73D06">
        <w:rPr>
          <w:sz w:val="28"/>
        </w:rPr>
        <w:t xml:space="preserve">A legal and evidentiary process </w:t>
      </w:r>
    </w:p>
    <w:p w14:paraId="15BD14EE" w14:textId="77777777" w:rsidR="00BE48EE" w:rsidRPr="00C73D06" w:rsidRDefault="00BE48EE" w:rsidP="00BE48EE">
      <w:pPr>
        <w:autoSpaceDE w:val="0"/>
        <w:autoSpaceDN w:val="0"/>
      </w:pPr>
      <w:r w:rsidRPr="00C73D06">
        <w:t xml:space="preserve">Family </w:t>
      </w:r>
      <w:r w:rsidRPr="00C73D06">
        <w:rPr>
          <w:szCs w:val="22"/>
        </w:rPr>
        <w:t>report</w:t>
      </w:r>
      <w:r w:rsidRPr="00C73D06">
        <w:t xml:space="preserve"> writers provide forensic services for the purpose of providing expert evidence to the court.</w:t>
      </w:r>
      <w:r w:rsidRPr="00C73D06">
        <w:rPr>
          <w:rStyle w:val="FootnoteReference"/>
        </w:rPr>
        <w:footnoteReference w:id="112"/>
      </w:r>
      <w:r w:rsidRPr="00C73D06">
        <w:t xml:space="preserve"> A family report aims to assist the court by providing an assessment from </w:t>
      </w:r>
      <w:r>
        <w:t>a</w:t>
      </w:r>
      <w:r w:rsidRPr="00C73D06">
        <w:t xml:space="preserve"> social science perspective and is considered in the </w:t>
      </w:r>
      <w:r w:rsidRPr="00C73D06">
        <w:lastRenderedPageBreak/>
        <w:t>broader context of evidence. This forensic role is different to a health care and therapeutic treatment model of practice, although clearly draws on those assessment skills.</w:t>
      </w:r>
    </w:p>
    <w:p w14:paraId="11D8A071" w14:textId="77777777" w:rsidR="00BE48EE" w:rsidRPr="00C73D06" w:rsidRDefault="00BE48EE" w:rsidP="00BE48EE">
      <w:pPr>
        <w:pStyle w:val="Heading3"/>
        <w:rPr>
          <w:sz w:val="28"/>
        </w:rPr>
      </w:pPr>
      <w:r w:rsidRPr="00C73D06">
        <w:rPr>
          <w:sz w:val="28"/>
        </w:rPr>
        <w:t>Risk of impeding court proceedings</w:t>
      </w:r>
    </w:p>
    <w:p w14:paraId="3E8FC872" w14:textId="77777777" w:rsidR="00BE48EE" w:rsidRPr="00C73D06" w:rsidRDefault="00BE48EE" w:rsidP="00BE48EE">
      <w:pPr>
        <w:autoSpaceDE w:val="0"/>
        <w:autoSpaceDN w:val="0"/>
      </w:pPr>
      <w:r w:rsidRPr="00C73D06">
        <w:t xml:space="preserve">The best timeframe for investigation of complaints is an important and complex consideration. While it is desirable that investigations do not stall parenting proceedings, which are already often long in duration, adverse conduct or performance affecting a family report may also need to be addressed as soon as possible. </w:t>
      </w:r>
    </w:p>
    <w:p w14:paraId="2D099C80" w14:textId="77777777" w:rsidR="00BE48EE" w:rsidRPr="00C73D06" w:rsidRDefault="00BE48EE" w:rsidP="00BE48EE">
      <w:pPr>
        <w:pStyle w:val="Heading3"/>
        <w:rPr>
          <w:sz w:val="28"/>
        </w:rPr>
      </w:pPr>
      <w:r w:rsidRPr="00C73D06">
        <w:rPr>
          <w:sz w:val="28"/>
        </w:rPr>
        <w:t>Impact on judicial decision if a complaint is upheld</w:t>
      </w:r>
    </w:p>
    <w:p w14:paraId="64C5A13B" w14:textId="77777777" w:rsidR="00BE48EE" w:rsidRPr="00C73D06" w:rsidRDefault="00BE48EE" w:rsidP="00BE48EE">
      <w:pPr>
        <w:autoSpaceDE w:val="0"/>
        <w:autoSpaceDN w:val="0"/>
      </w:pPr>
      <w:r w:rsidRPr="00C73D06">
        <w:t xml:space="preserve">If an investigation of a complaint results in a finding that the report writer’s professional standards or conduct did not meet professional requirements, it does not necessarily follow that the decision in the matter was compromised. Judges rely on reports to varying degrees that differ from matter to matter. </w:t>
      </w:r>
    </w:p>
    <w:p w14:paraId="0CC74042" w14:textId="77777777" w:rsidR="00BE48EE" w:rsidRPr="00C73D06" w:rsidRDefault="00BE48EE" w:rsidP="00BE48EE">
      <w:pPr>
        <w:pStyle w:val="Heading3"/>
        <w:rPr>
          <w:sz w:val="28"/>
        </w:rPr>
      </w:pPr>
      <w:r w:rsidRPr="00C73D06">
        <w:rPr>
          <w:sz w:val="28"/>
        </w:rPr>
        <w:t>Managing risk of bias</w:t>
      </w:r>
    </w:p>
    <w:p w14:paraId="52F8E610" w14:textId="77777777" w:rsidR="00BE48EE" w:rsidRPr="00C73D06" w:rsidRDefault="00BE48EE" w:rsidP="00BE48EE">
      <w:pPr>
        <w:autoSpaceDE w:val="0"/>
        <w:autoSpaceDN w:val="0"/>
      </w:pPr>
      <w:r w:rsidRPr="00C73D06">
        <w:t>Becoming aware of a complaint lodged during proceedings could risk the objective and impartial assessment of a report writer. Contacting</w:t>
      </w:r>
      <w:r w:rsidRPr="00C73D06">
        <w:rPr>
          <w:szCs w:val="22"/>
        </w:rPr>
        <w:t xml:space="preserve"> a family report writer to inform them of a complaint by a family law litigant during proceedings may compromise the practitioner and raise issues of apprehended bias.</w:t>
      </w:r>
      <w:r w:rsidRPr="00C73D06">
        <w:rPr>
          <w:rStyle w:val="FootnoteReference"/>
          <w:szCs w:val="22"/>
        </w:rPr>
        <w:footnoteReference w:id="113"/>
      </w:r>
      <w:r w:rsidRPr="00C73D06">
        <w:t xml:space="preserve"> This may impact the quality and integrity of a report, or performance as a witness at a trial, or otherwise result in the removal of a family report writer from the matter, adding further cost and delay.</w:t>
      </w:r>
    </w:p>
    <w:p w14:paraId="319ED598" w14:textId="77777777" w:rsidR="00BE48EE" w:rsidRPr="00C73D06" w:rsidRDefault="00BE48EE" w:rsidP="00BE48EE">
      <w:pPr>
        <w:pStyle w:val="Heading3"/>
        <w:rPr>
          <w:sz w:val="28"/>
        </w:rPr>
      </w:pPr>
      <w:r w:rsidRPr="00C73D06">
        <w:rPr>
          <w:sz w:val="28"/>
        </w:rPr>
        <w:t>Privacy considerations</w:t>
      </w:r>
    </w:p>
    <w:p w14:paraId="357503A2" w14:textId="77777777" w:rsidR="00BE48EE" w:rsidRPr="00C73D06" w:rsidRDefault="00BE48EE" w:rsidP="00BE48EE">
      <w:pPr>
        <w:autoSpaceDE w:val="0"/>
        <w:autoSpaceDN w:val="0"/>
      </w:pPr>
      <w:r w:rsidRPr="00C73D06">
        <w:t>The privacy of parties to family law matters is to be protected during and after proceedings. Family reports often contain sensitive information about family violence and other personal issues</w:t>
      </w:r>
      <w:r>
        <w:t>. A</w:t>
      </w:r>
      <w:r w:rsidRPr="00C73D06">
        <w:t xml:space="preserve">ny use of a family report outside </w:t>
      </w:r>
      <w:r>
        <w:t xml:space="preserve">of </w:t>
      </w:r>
      <w:r w:rsidRPr="00C73D06">
        <w:t xml:space="preserve">the court system </w:t>
      </w:r>
      <w:r>
        <w:t>should account for this</w:t>
      </w:r>
      <w:r w:rsidRPr="00C73D06">
        <w:t>. The JSC stated that it would be in the public interest for independent professional bodies to report publicly on negative findings and identify particular family consultants, and this could be done without identifying the parties to the proceedings.</w:t>
      </w:r>
      <w:r w:rsidRPr="00C73D06">
        <w:rPr>
          <w:rStyle w:val="FootnoteReference"/>
        </w:rPr>
        <w:footnoteReference w:id="114"/>
      </w:r>
      <w:r w:rsidRPr="00C73D06">
        <w:t xml:space="preserve"> </w:t>
      </w:r>
    </w:p>
    <w:p w14:paraId="65192867" w14:textId="77777777" w:rsidR="00BE48EE" w:rsidRPr="00C73D06" w:rsidRDefault="00BE48EE" w:rsidP="00BE48EE">
      <w:pPr>
        <w:pStyle w:val="Heading3"/>
        <w:rPr>
          <w:sz w:val="28"/>
        </w:rPr>
      </w:pPr>
      <w:r w:rsidRPr="00C73D06">
        <w:rPr>
          <w:sz w:val="28"/>
        </w:rPr>
        <w:t xml:space="preserve">Ensuring accountability of practitioners and protecting parties and children </w:t>
      </w:r>
    </w:p>
    <w:p w14:paraId="112FED5C" w14:textId="77777777" w:rsidR="00BE48EE" w:rsidRPr="00C73D06" w:rsidRDefault="00BE48EE" w:rsidP="00BE48EE">
      <w:r w:rsidRPr="00C73D06">
        <w:t xml:space="preserve">If family report writers are not subject to an appropriately robust complaints review process, there is </w:t>
      </w:r>
      <w:r>
        <w:t xml:space="preserve">a </w:t>
      </w:r>
      <w:r w:rsidRPr="00C73D06">
        <w:t>risk that some may be able to practice at a low or dangerous standard. In those matters where judges place significant reliance on a report, this could severely compromise the wellbeing of children and their caregivers. Some stakeholders speak of the difficulty in complaining about ‘repeat offender’ family report writers whose reports seem to repeatedly deal inadequately, or minimise, allegations of family violence and child abuse.</w:t>
      </w:r>
      <w:r w:rsidRPr="00C73D06">
        <w:rPr>
          <w:rStyle w:val="FootnoteReference"/>
        </w:rPr>
        <w:footnoteReference w:id="115"/>
      </w:r>
      <w:r w:rsidRPr="00C73D06">
        <w:t xml:space="preserve"> </w:t>
      </w:r>
    </w:p>
    <w:p w14:paraId="76B19226" w14:textId="77777777" w:rsidR="00BE48EE" w:rsidRPr="00C73D06" w:rsidRDefault="00BE48EE" w:rsidP="00BE48EE">
      <w:pPr>
        <w:pStyle w:val="Heading2"/>
        <w:spacing w:before="240"/>
      </w:pPr>
      <w:bookmarkStart w:id="67" w:name="_Toc67657923"/>
      <w:bookmarkStart w:id="68" w:name="_Toc73542512"/>
      <w:r w:rsidRPr="00C73D06">
        <w:lastRenderedPageBreak/>
        <w:t>Establishing effective complaints mechanisms</w:t>
      </w:r>
      <w:bookmarkEnd w:id="67"/>
      <w:bookmarkEnd w:id="68"/>
    </w:p>
    <w:p w14:paraId="1540B0B2" w14:textId="77777777" w:rsidR="00BE48EE" w:rsidRPr="00C73D06" w:rsidRDefault="00BE48EE" w:rsidP="00BE48EE">
      <w:pPr>
        <w:pStyle w:val="Heading3"/>
        <w:spacing w:before="240"/>
      </w:pPr>
      <w:bookmarkStart w:id="69" w:name="_Toc67657924"/>
      <w:r w:rsidRPr="00C73D06">
        <w:rPr>
          <w:rStyle w:val="Heading4Char"/>
          <w:b/>
          <w:iCs w:val="0"/>
          <w:color w:val="auto"/>
          <w:sz w:val="32"/>
          <w:szCs w:val="32"/>
        </w:rPr>
        <w:t>Improving the investigation and assessment of complaints</w:t>
      </w:r>
      <w:bookmarkEnd w:id="69"/>
    </w:p>
    <w:p w14:paraId="6DC75DED" w14:textId="77777777" w:rsidR="00BE48EE" w:rsidRPr="00C73D06" w:rsidRDefault="00BE48EE" w:rsidP="00BE48EE">
      <w:r w:rsidRPr="00C73D06">
        <w:t xml:space="preserve">A number of approaches have been proposed by stakeholders to improve avenues for making complaints and the processes of assessing complaints </w:t>
      </w:r>
      <w:r>
        <w:t>concerning</w:t>
      </w:r>
      <w:r w:rsidRPr="00C73D06">
        <w:t xml:space="preserve"> family report writers. A non-exhaustive list is provided below.</w:t>
      </w:r>
    </w:p>
    <w:p w14:paraId="146B2EF5" w14:textId="77777777" w:rsidR="00BE48EE" w:rsidRPr="00C73D06" w:rsidRDefault="00BE48EE" w:rsidP="00BE48EE">
      <w:r w:rsidRPr="00C73D06">
        <w:rPr>
          <w:b/>
        </w:rPr>
        <w:t xml:space="preserve">Amendments to section 121: </w:t>
      </w:r>
      <w:r w:rsidRPr="00C73D06">
        <w:t>Subsection 121(9) of the Family Law Act could be amended to enable family reports and other relevant evidence to be shared with relevant investigative entities.</w:t>
      </w:r>
    </w:p>
    <w:p w14:paraId="6EF5292B" w14:textId="77777777" w:rsidR="00BE48EE" w:rsidRPr="00C73D06" w:rsidRDefault="00BE48EE" w:rsidP="00BE48EE">
      <w:r w:rsidRPr="00C73D06">
        <w:rPr>
          <w:b/>
        </w:rPr>
        <w:t xml:space="preserve">Complaints screening process: </w:t>
      </w:r>
      <w:r w:rsidRPr="00C73D06">
        <w:t xml:space="preserve">To avoid unnecessary investigations raised by vexatious litigants where there is no merit to the complaint, an initial screening process could be established. This could be operated by an entity </w:t>
      </w:r>
      <w:r>
        <w:t>comprised of individuals with</w:t>
      </w:r>
      <w:r w:rsidRPr="00C73D06">
        <w:t xml:space="preserve"> family law experience and an understanding of the standard expected of the professionals who undertake report writing.</w:t>
      </w:r>
      <w:r w:rsidRPr="00C73D06">
        <w:rPr>
          <w:rStyle w:val="FootnoteReference"/>
        </w:rPr>
        <w:footnoteReference w:id="116"/>
      </w:r>
      <w:r w:rsidRPr="00C73D06">
        <w:t xml:space="preserve"> This may involve a new entity, or enhancing existing functions of Ahpra (for complaints about psychologists and psychiatrists), the family courts and/or </w:t>
      </w:r>
      <w:r>
        <w:t xml:space="preserve">the </w:t>
      </w:r>
      <w:r w:rsidRPr="00C73D06">
        <w:t xml:space="preserve">AASW. </w:t>
      </w:r>
    </w:p>
    <w:p w14:paraId="4E39515A" w14:textId="77777777" w:rsidR="00BE48EE" w:rsidRPr="00C73D06" w:rsidRDefault="00BE48EE" w:rsidP="00BE48EE">
      <w:r w:rsidRPr="00C73D06">
        <w:rPr>
          <w:b/>
        </w:rPr>
        <w:t xml:space="preserve">Specialised investigators: </w:t>
      </w:r>
      <w:r w:rsidRPr="00C73D06">
        <w:t>For complaints warranting further investigation, existing entities and/or new entities could have investigators that are competent in forensic investigations and family law. This could include a multi-disciplinary panel comprised of a legal practitioner with family law experience, a person from the same profession as the professional subject to the complaint, and a person with expertise in the central issue to the complaint, e.g. family violence.</w:t>
      </w:r>
      <w:r w:rsidRPr="00C73D06">
        <w:rPr>
          <w:rStyle w:val="FootnoteReference"/>
        </w:rPr>
        <w:footnoteReference w:id="117"/>
      </w:r>
      <w:r w:rsidRPr="00C73D06">
        <w:t xml:space="preserve"> </w:t>
      </w:r>
    </w:p>
    <w:p w14:paraId="07F2D7EB" w14:textId="77777777" w:rsidR="00BE48EE" w:rsidRPr="00C73D06" w:rsidRDefault="00BE48EE" w:rsidP="00BE48EE">
      <w:r w:rsidRPr="00C73D06">
        <w:rPr>
          <w:b/>
        </w:rPr>
        <w:t xml:space="preserve">Specialised oversight: </w:t>
      </w:r>
      <w:r w:rsidRPr="00C73D06">
        <w:t>To address the lack of general oversight of family report writers, an independent specialist body could be established to deal with complaints. This body could develop a ‘bird’s eye view’ of report writer conduct to take note of practitioners who have had numerous complaints raised about them.</w:t>
      </w:r>
      <w:r w:rsidRPr="00C73D06">
        <w:rPr>
          <w:rStyle w:val="FootnoteReference"/>
        </w:rPr>
        <w:footnoteReference w:id="118"/>
      </w:r>
      <w:r w:rsidRPr="00C73D06">
        <w:t xml:space="preserve"> </w:t>
      </w:r>
    </w:p>
    <w:p w14:paraId="0A520D45" w14:textId="77777777" w:rsidR="00BE48EE" w:rsidRPr="00C73D06" w:rsidRDefault="00BE48EE" w:rsidP="00BE48EE">
      <w:r w:rsidRPr="00C73D06">
        <w:rPr>
          <w:b/>
        </w:rPr>
        <w:t xml:space="preserve">Consistent timing: </w:t>
      </w:r>
      <w:r w:rsidRPr="00C73D06">
        <w:t>Arguably, the timing of complaints investigations should be consistent across practitioner cohorts. Current practice and some stakeholder views are that investigations are (and should be) postponed until the conclusion of a matter.</w:t>
      </w:r>
      <w:r w:rsidRPr="00C73D06">
        <w:rPr>
          <w:rStyle w:val="FootnoteReference"/>
        </w:rPr>
        <w:footnoteReference w:id="119"/>
      </w:r>
      <w:r w:rsidRPr="00C73D06">
        <w:t xml:space="preserve"> However, there is recognition that in high risk matters it may be necessary for investigations to progress while legal proceedings are ongoing.</w:t>
      </w:r>
      <w:r w:rsidRPr="00C73D06">
        <w:rPr>
          <w:rStyle w:val="FootnoteReference"/>
        </w:rPr>
        <w:footnoteReference w:id="120"/>
      </w:r>
      <w:r w:rsidRPr="00C73D06">
        <w:t xml:space="preserve"> </w:t>
      </w:r>
    </w:p>
    <w:p w14:paraId="08D3BAB4" w14:textId="77777777" w:rsidR="00BE48EE" w:rsidRPr="00C73D06" w:rsidRDefault="00BE48EE" w:rsidP="00BE48EE">
      <w:r w:rsidRPr="00C73D06">
        <w:rPr>
          <w:b/>
        </w:rPr>
        <w:t xml:space="preserve">Establish court processes for when complaints are substantiated: </w:t>
      </w:r>
      <w:r w:rsidRPr="00C73D06">
        <w:t>A specific process could be established for those family law matters where a complaint has resulted in an adverse finding against a family report writer.</w:t>
      </w:r>
      <w:r w:rsidRPr="00C73D06">
        <w:rPr>
          <w:rStyle w:val="FootnoteReference"/>
        </w:rPr>
        <w:footnoteReference w:id="121"/>
      </w:r>
      <w:r w:rsidRPr="00C73D06">
        <w:t xml:space="preserve"> This process would need to be consistent with court processes and legal principles. </w:t>
      </w:r>
    </w:p>
    <w:p w14:paraId="3DAE4C6E" w14:textId="77777777" w:rsidR="00BE48EE" w:rsidRPr="00C73D06" w:rsidRDefault="00BE48EE" w:rsidP="00BE48EE">
      <w:pPr>
        <w:rPr>
          <w:color w:val="000000"/>
          <w:lang w:val="en-US"/>
        </w:rPr>
      </w:pPr>
      <w:r w:rsidRPr="00C73D06">
        <w:rPr>
          <w:b/>
        </w:rPr>
        <w:t xml:space="preserve">Recorded interviews: </w:t>
      </w:r>
      <w:r w:rsidRPr="00C73D06">
        <w:t xml:space="preserve">It was proposed to the JSC that </w:t>
      </w:r>
      <w:r w:rsidRPr="00C73D06">
        <w:rPr>
          <w:color w:val="000000"/>
          <w:lang w:val="en-US"/>
        </w:rPr>
        <w:t>interviews with family consultants could be recorded and this evidence made available to investigators of complaints.</w:t>
      </w:r>
      <w:r w:rsidRPr="00C73D06">
        <w:rPr>
          <w:rStyle w:val="FootnoteReference"/>
          <w:color w:val="000000"/>
          <w:lang w:val="en-US"/>
        </w:rPr>
        <w:footnoteReference w:id="122"/>
      </w:r>
      <w:r w:rsidRPr="00C73D06">
        <w:t xml:space="preserve"> </w:t>
      </w:r>
      <w:r>
        <w:t>This approach raises a number of risks that would need to be considered, including that the recording could become evidence and available to both parties, be subject to cross-</w:t>
      </w:r>
      <w:r>
        <w:lastRenderedPageBreak/>
        <w:t xml:space="preserve">examination, increase the risk of abuse of one or more parties, and that vulnerable parties including </w:t>
      </w:r>
      <w:r w:rsidRPr="00C73D06">
        <w:rPr>
          <w:color w:val="000000"/>
          <w:lang w:val="en-US"/>
        </w:rPr>
        <w:t>children may be less likely to disclose critical information in a</w:t>
      </w:r>
      <w:r>
        <w:rPr>
          <w:color w:val="000000"/>
          <w:lang w:val="en-US"/>
        </w:rPr>
        <w:t xml:space="preserve"> recorded</w:t>
      </w:r>
      <w:r w:rsidRPr="00C73D06">
        <w:rPr>
          <w:color w:val="000000"/>
          <w:lang w:val="en-US"/>
        </w:rPr>
        <w:t xml:space="preserve"> interview. </w:t>
      </w:r>
    </w:p>
    <w:p w14:paraId="62B6E4E9" w14:textId="77777777" w:rsidR="00BE48EE" w:rsidRPr="00C73D06" w:rsidRDefault="00BE48EE" w:rsidP="00BE48EE">
      <w:pPr>
        <w:pStyle w:val="Heading3"/>
        <w:spacing w:before="240"/>
      </w:pPr>
      <w:bookmarkStart w:id="70" w:name="_Toc67657925"/>
      <w:r w:rsidRPr="00C73D06">
        <w:t>Establishment and oversight of complaint mechanisms</w:t>
      </w:r>
      <w:bookmarkEnd w:id="70"/>
    </w:p>
    <w:p w14:paraId="1D78AD64" w14:textId="77777777" w:rsidR="00BE48EE" w:rsidRPr="00C73D06" w:rsidRDefault="00BE48EE" w:rsidP="00BE48EE">
      <w:pPr>
        <w:rPr>
          <w:szCs w:val="24"/>
        </w:rPr>
      </w:pPr>
      <w:r w:rsidRPr="00C73D06">
        <w:rPr>
          <w:szCs w:val="24"/>
        </w:rPr>
        <w:t xml:space="preserve">A range of entities could have a role in managing and assessing complaints about family report writers. Some options for who might be best placed to implement or manage these mechanisms is provided in </w:t>
      </w:r>
      <w:r w:rsidRPr="00C73D06">
        <w:rPr>
          <w:b/>
          <w:szCs w:val="24"/>
        </w:rPr>
        <w:t xml:space="preserve">Table </w:t>
      </w:r>
      <w:r>
        <w:rPr>
          <w:b/>
          <w:szCs w:val="24"/>
        </w:rPr>
        <w:t>6</w:t>
      </w:r>
      <w:r w:rsidRPr="00C73D06">
        <w:rPr>
          <w:szCs w:val="24"/>
        </w:rPr>
        <w:t xml:space="preserve"> below. </w:t>
      </w:r>
    </w:p>
    <w:p w14:paraId="39A09AA3" w14:textId="77777777" w:rsidR="00BE48EE" w:rsidRPr="00C73D06" w:rsidRDefault="00BE48EE" w:rsidP="00BE48EE">
      <w:pPr>
        <w:rPr>
          <w:b/>
          <w:szCs w:val="24"/>
        </w:rPr>
      </w:pPr>
      <w:r w:rsidRPr="00C73D06">
        <w:rPr>
          <w:b/>
          <w:szCs w:val="24"/>
        </w:rPr>
        <w:t xml:space="preserve">Table </w:t>
      </w:r>
      <w:r>
        <w:rPr>
          <w:b/>
          <w:szCs w:val="24"/>
        </w:rPr>
        <w:t>6</w:t>
      </w:r>
      <w:r w:rsidRPr="00C73D06">
        <w:rPr>
          <w:b/>
          <w:szCs w:val="24"/>
        </w:rPr>
        <w:t xml:space="preserve">: </w:t>
      </w:r>
      <w:r w:rsidRPr="00C73D06">
        <w:rPr>
          <w:b/>
        </w:rPr>
        <w:t>Entities that could play a role in managing complaints.</w:t>
      </w:r>
      <w:r w:rsidRPr="00C73D06">
        <w:t xml:space="preserve"> </w:t>
      </w:r>
    </w:p>
    <w:tbl>
      <w:tblPr>
        <w:tblStyle w:val="TableGrid"/>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Entities that could play a role in managing complaints "/>
        <w:tblDescription w:val="First three entities - court employment services, employers and industry associations - that could play a role in managing a complaints mechanism. Dot points for what each entity could do. "/>
      </w:tblPr>
      <w:tblGrid>
        <w:gridCol w:w="3402"/>
        <w:gridCol w:w="284"/>
        <w:gridCol w:w="3173"/>
        <w:gridCol w:w="283"/>
        <w:gridCol w:w="3288"/>
      </w:tblGrid>
      <w:tr w:rsidR="00BE48EE" w:rsidRPr="00C73D06" w14:paraId="63F8691F" w14:textId="77777777" w:rsidTr="00BE48EE">
        <w:trPr>
          <w:tblHeader/>
        </w:trPr>
        <w:tc>
          <w:tcPr>
            <w:tcW w:w="3402" w:type="dxa"/>
            <w:shd w:val="clear" w:color="auto" w:fill="4D738A"/>
          </w:tcPr>
          <w:p w14:paraId="615939BA" w14:textId="77777777" w:rsidR="00BE48EE" w:rsidRPr="00C73D06" w:rsidRDefault="00BE48EE" w:rsidP="00BE48EE">
            <w:pPr>
              <w:jc w:val="center"/>
              <w:rPr>
                <w:color w:val="FFFFFF" w:themeColor="background1"/>
                <w:szCs w:val="24"/>
              </w:rPr>
            </w:pPr>
            <w:r w:rsidRPr="00C73D06">
              <w:rPr>
                <w:color w:val="FFFFFF" w:themeColor="background1"/>
                <w:szCs w:val="24"/>
              </w:rPr>
              <w:t>Court employment services</w:t>
            </w:r>
          </w:p>
        </w:tc>
        <w:tc>
          <w:tcPr>
            <w:tcW w:w="284" w:type="dxa"/>
            <w:shd w:val="clear" w:color="auto" w:fill="FFFFFF" w:themeFill="background1"/>
          </w:tcPr>
          <w:p w14:paraId="37087E98" w14:textId="77777777" w:rsidR="00BE48EE" w:rsidRPr="00C73D06" w:rsidRDefault="00BE48EE" w:rsidP="00BE48EE">
            <w:pPr>
              <w:jc w:val="center"/>
              <w:rPr>
                <w:color w:val="FFFFFF" w:themeColor="background1"/>
                <w:szCs w:val="24"/>
              </w:rPr>
            </w:pPr>
          </w:p>
        </w:tc>
        <w:tc>
          <w:tcPr>
            <w:tcW w:w="3173" w:type="dxa"/>
            <w:shd w:val="clear" w:color="auto" w:fill="4D738A"/>
            <w:vAlign w:val="center"/>
          </w:tcPr>
          <w:p w14:paraId="5BED67E1" w14:textId="77777777" w:rsidR="00BE48EE" w:rsidRPr="00C73D06" w:rsidRDefault="00BE48EE" w:rsidP="00BE48EE">
            <w:pPr>
              <w:jc w:val="center"/>
              <w:rPr>
                <w:color w:val="FFFFFF" w:themeColor="background1"/>
                <w:szCs w:val="24"/>
                <w:lang w:val="en-AU"/>
              </w:rPr>
            </w:pPr>
            <w:r w:rsidRPr="00C73D06">
              <w:rPr>
                <w:color w:val="FFFFFF" w:themeColor="background1"/>
                <w:szCs w:val="24"/>
              </w:rPr>
              <w:t>Employers</w:t>
            </w:r>
          </w:p>
        </w:tc>
        <w:tc>
          <w:tcPr>
            <w:tcW w:w="283" w:type="dxa"/>
            <w:shd w:val="clear" w:color="auto" w:fill="FFFFFF" w:themeFill="background1"/>
          </w:tcPr>
          <w:p w14:paraId="3DB71AB3" w14:textId="77777777" w:rsidR="00BE48EE" w:rsidRPr="00C73D06" w:rsidRDefault="00BE48EE" w:rsidP="00BE48EE">
            <w:pPr>
              <w:jc w:val="center"/>
              <w:rPr>
                <w:color w:val="FFFFFF" w:themeColor="background1"/>
                <w:szCs w:val="24"/>
              </w:rPr>
            </w:pPr>
          </w:p>
        </w:tc>
        <w:tc>
          <w:tcPr>
            <w:tcW w:w="3288" w:type="dxa"/>
            <w:shd w:val="clear" w:color="auto" w:fill="4D738A"/>
            <w:vAlign w:val="center"/>
          </w:tcPr>
          <w:p w14:paraId="34881773" w14:textId="77777777" w:rsidR="00BE48EE" w:rsidRPr="00C73D06" w:rsidRDefault="00BE48EE" w:rsidP="00BE48EE">
            <w:pPr>
              <w:jc w:val="center"/>
              <w:rPr>
                <w:color w:val="FFFFFF" w:themeColor="background1"/>
                <w:szCs w:val="24"/>
              </w:rPr>
            </w:pPr>
            <w:r w:rsidRPr="00C73D06">
              <w:rPr>
                <w:color w:val="FFFFFF" w:themeColor="background1"/>
                <w:szCs w:val="24"/>
              </w:rPr>
              <w:t>Industry associations</w:t>
            </w:r>
          </w:p>
        </w:tc>
      </w:tr>
      <w:tr w:rsidR="00BE48EE" w:rsidRPr="00C73D06" w14:paraId="02F2A00F" w14:textId="77777777" w:rsidTr="00BE48EE">
        <w:tc>
          <w:tcPr>
            <w:tcW w:w="3402" w:type="dxa"/>
            <w:shd w:val="clear" w:color="auto" w:fill="D5E0E7"/>
          </w:tcPr>
          <w:p w14:paraId="4BE5BC01" w14:textId="77777777" w:rsidR="00BE48EE" w:rsidRPr="00C73D06" w:rsidRDefault="00BE48EE" w:rsidP="00BE48EE">
            <w:pPr>
              <w:pStyle w:val="ListParagraph"/>
              <w:numPr>
                <w:ilvl w:val="0"/>
                <w:numId w:val="35"/>
              </w:numPr>
              <w:spacing w:line="240" w:lineRule="auto"/>
              <w:ind w:left="176" w:hanging="176"/>
              <w:jc w:val="left"/>
            </w:pPr>
            <w:r w:rsidRPr="00C73D06">
              <w:rPr>
                <w:lang w:val="en-AU" w:eastAsia="en-AU"/>
              </w:rPr>
              <w:t xml:space="preserve">Manage complaints concerning in-house and regulation 7 family consultants including when parties would not otherwise take their matter to trial. </w:t>
            </w:r>
          </w:p>
          <w:p w14:paraId="476A41DD" w14:textId="77777777" w:rsidR="00BE48EE" w:rsidRPr="00C73D06" w:rsidRDefault="00BE48EE" w:rsidP="00BE48EE">
            <w:pPr>
              <w:pStyle w:val="ListParagraph"/>
              <w:numPr>
                <w:ilvl w:val="0"/>
                <w:numId w:val="35"/>
              </w:numPr>
              <w:spacing w:line="240" w:lineRule="auto"/>
              <w:ind w:left="176" w:hanging="176"/>
              <w:jc w:val="left"/>
            </w:pPr>
            <w:r w:rsidRPr="00C73D06">
              <w:rPr>
                <w:lang w:val="en-AU" w:eastAsia="en-AU"/>
              </w:rPr>
              <w:t>Refer complaints to regulators or relevant entities.</w:t>
            </w:r>
          </w:p>
        </w:tc>
        <w:tc>
          <w:tcPr>
            <w:tcW w:w="284" w:type="dxa"/>
            <w:shd w:val="clear" w:color="auto" w:fill="FFFFFF" w:themeFill="background1"/>
          </w:tcPr>
          <w:p w14:paraId="526D8A69" w14:textId="77777777" w:rsidR="00BE48EE" w:rsidRPr="00C73D06" w:rsidRDefault="00BE48EE" w:rsidP="00BE48EE">
            <w:pPr>
              <w:jc w:val="left"/>
            </w:pPr>
          </w:p>
        </w:tc>
        <w:tc>
          <w:tcPr>
            <w:tcW w:w="3173" w:type="dxa"/>
            <w:shd w:val="clear" w:color="auto" w:fill="D5E0E7"/>
          </w:tcPr>
          <w:p w14:paraId="4F63B0CA" w14:textId="77777777" w:rsidR="00BE48EE" w:rsidRPr="00C73D06" w:rsidRDefault="00BE48EE" w:rsidP="00BE48EE">
            <w:pPr>
              <w:pStyle w:val="ListParagraph"/>
              <w:numPr>
                <w:ilvl w:val="0"/>
                <w:numId w:val="35"/>
              </w:numPr>
              <w:spacing w:line="240" w:lineRule="auto"/>
              <w:ind w:left="176" w:hanging="176"/>
              <w:jc w:val="left"/>
            </w:pPr>
            <w:r w:rsidRPr="00C73D06">
              <w:rPr>
                <w:lang w:val="en-AU" w:eastAsia="en-AU"/>
              </w:rPr>
              <w:t>Conduct</w:t>
            </w:r>
            <w:r w:rsidRPr="00C73D06">
              <w:t xml:space="preserve"> initial reviews of </w:t>
            </w:r>
            <w:r w:rsidRPr="00C73D06">
              <w:rPr>
                <w:lang w:val="en-AU" w:eastAsia="en-AU"/>
              </w:rPr>
              <w:t>complaints</w:t>
            </w:r>
            <w:r w:rsidRPr="00C73D06">
              <w:t xml:space="preserve"> and refer to a relevant entity if required. </w:t>
            </w:r>
          </w:p>
        </w:tc>
        <w:tc>
          <w:tcPr>
            <w:tcW w:w="283" w:type="dxa"/>
            <w:shd w:val="clear" w:color="auto" w:fill="FFFFFF" w:themeFill="background1"/>
          </w:tcPr>
          <w:p w14:paraId="3E821CA2" w14:textId="77777777" w:rsidR="00BE48EE" w:rsidRPr="00C73D06" w:rsidRDefault="00BE48EE" w:rsidP="00BE48EE">
            <w:pPr>
              <w:jc w:val="left"/>
            </w:pPr>
          </w:p>
        </w:tc>
        <w:tc>
          <w:tcPr>
            <w:tcW w:w="3288" w:type="dxa"/>
            <w:shd w:val="clear" w:color="auto" w:fill="D5E0E7"/>
          </w:tcPr>
          <w:p w14:paraId="2091583B" w14:textId="77777777" w:rsidR="00BE48EE" w:rsidRPr="00C73D06" w:rsidRDefault="00BE48EE" w:rsidP="00BE48EE">
            <w:pPr>
              <w:pStyle w:val="ListParagraph"/>
              <w:numPr>
                <w:ilvl w:val="0"/>
                <w:numId w:val="35"/>
              </w:numPr>
              <w:spacing w:line="240" w:lineRule="auto"/>
              <w:ind w:left="176" w:hanging="176"/>
              <w:jc w:val="left"/>
            </w:pPr>
            <w:r w:rsidRPr="00C73D06">
              <w:rPr>
                <w:lang w:val="en-AU" w:eastAsia="en-AU"/>
              </w:rPr>
              <w:t xml:space="preserve">Establish a complaints function for family report writers who are members. This could be assisted by amendments to section 121 and could be particularly useful for social workers. </w:t>
            </w:r>
          </w:p>
        </w:tc>
      </w:tr>
    </w:tbl>
    <w:p w14:paraId="30F32403" w14:textId="77777777" w:rsidR="00BE48EE" w:rsidRPr="00C73D06" w:rsidRDefault="00BE48EE" w:rsidP="00BE48EE">
      <w:pPr>
        <w:spacing w:after="0"/>
      </w:pPr>
    </w:p>
    <w:tbl>
      <w:tblPr>
        <w:tblStyle w:val="TableGrid"/>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Entities that could play a role in managing complaints mechanisms"/>
        <w:tblDescription w:val="Second three entities - Ahpra, independent specialised complaint body and government - that could play a role in managing a complaints mechanism. Dot points for what each entity could do. "/>
      </w:tblPr>
      <w:tblGrid>
        <w:gridCol w:w="3402"/>
        <w:gridCol w:w="284"/>
        <w:gridCol w:w="3173"/>
        <w:gridCol w:w="283"/>
        <w:gridCol w:w="3288"/>
      </w:tblGrid>
      <w:tr w:rsidR="00BE48EE" w:rsidRPr="00C73D06" w14:paraId="356EDAE4" w14:textId="77777777" w:rsidTr="00BE48EE">
        <w:trPr>
          <w:tblHeader/>
        </w:trPr>
        <w:tc>
          <w:tcPr>
            <w:tcW w:w="3402" w:type="dxa"/>
            <w:shd w:val="clear" w:color="auto" w:fill="4D738A"/>
            <w:vAlign w:val="center"/>
          </w:tcPr>
          <w:p w14:paraId="7AB94248" w14:textId="77777777" w:rsidR="00BE48EE" w:rsidRPr="00C73D06" w:rsidRDefault="00BE48EE" w:rsidP="00BE48EE">
            <w:pPr>
              <w:jc w:val="center"/>
              <w:rPr>
                <w:color w:val="FFFFFF" w:themeColor="background1"/>
              </w:rPr>
            </w:pPr>
            <w:r w:rsidRPr="00C73D06">
              <w:rPr>
                <w:color w:val="FFFFFF" w:themeColor="background1"/>
              </w:rPr>
              <w:t>Ahpra</w:t>
            </w:r>
          </w:p>
        </w:tc>
        <w:tc>
          <w:tcPr>
            <w:tcW w:w="284" w:type="dxa"/>
            <w:shd w:val="clear" w:color="auto" w:fill="FFFFFF" w:themeFill="background1"/>
          </w:tcPr>
          <w:p w14:paraId="3030C808" w14:textId="77777777" w:rsidR="00BE48EE" w:rsidRPr="00C73D06" w:rsidRDefault="00BE48EE" w:rsidP="00BE48EE">
            <w:pPr>
              <w:jc w:val="center"/>
              <w:rPr>
                <w:color w:val="FFFFFF" w:themeColor="background1"/>
              </w:rPr>
            </w:pPr>
          </w:p>
        </w:tc>
        <w:tc>
          <w:tcPr>
            <w:tcW w:w="3173" w:type="dxa"/>
            <w:shd w:val="clear" w:color="auto" w:fill="4D738A"/>
          </w:tcPr>
          <w:p w14:paraId="5A76A8C1" w14:textId="77777777" w:rsidR="00BE48EE" w:rsidRPr="00C73D06" w:rsidRDefault="00BE48EE" w:rsidP="00BE48EE">
            <w:pPr>
              <w:jc w:val="center"/>
              <w:rPr>
                <w:color w:val="FFFFFF" w:themeColor="background1"/>
              </w:rPr>
            </w:pPr>
            <w:r w:rsidRPr="00C73D06">
              <w:rPr>
                <w:color w:val="FFFFFF" w:themeColor="background1"/>
              </w:rPr>
              <w:t>Independent specialised complaint body</w:t>
            </w:r>
          </w:p>
        </w:tc>
        <w:tc>
          <w:tcPr>
            <w:tcW w:w="283" w:type="dxa"/>
            <w:shd w:val="clear" w:color="auto" w:fill="FFFFFF" w:themeFill="background1"/>
          </w:tcPr>
          <w:p w14:paraId="1534E9C1" w14:textId="77777777" w:rsidR="00BE48EE" w:rsidRPr="00C73D06" w:rsidRDefault="00BE48EE" w:rsidP="00BE48EE">
            <w:pPr>
              <w:jc w:val="center"/>
              <w:rPr>
                <w:color w:val="FFFFFF" w:themeColor="background1"/>
              </w:rPr>
            </w:pPr>
          </w:p>
        </w:tc>
        <w:tc>
          <w:tcPr>
            <w:tcW w:w="3288" w:type="dxa"/>
            <w:shd w:val="clear" w:color="auto" w:fill="4D738A"/>
            <w:vAlign w:val="center"/>
          </w:tcPr>
          <w:p w14:paraId="29F84B56" w14:textId="77777777" w:rsidR="00BE48EE" w:rsidRPr="00C73D06" w:rsidRDefault="00BE48EE" w:rsidP="00BE48EE">
            <w:pPr>
              <w:jc w:val="center"/>
              <w:rPr>
                <w:color w:val="FFFFFF" w:themeColor="background1"/>
              </w:rPr>
            </w:pPr>
            <w:r w:rsidRPr="00C73D06">
              <w:rPr>
                <w:color w:val="FFFFFF" w:themeColor="background1"/>
              </w:rPr>
              <w:t>Government</w:t>
            </w:r>
          </w:p>
        </w:tc>
      </w:tr>
      <w:tr w:rsidR="00BE48EE" w:rsidRPr="00C73D06" w14:paraId="32274CE6" w14:textId="77777777" w:rsidTr="00BE48EE">
        <w:tc>
          <w:tcPr>
            <w:tcW w:w="3402" w:type="dxa"/>
            <w:shd w:val="clear" w:color="auto" w:fill="D5E0E7"/>
          </w:tcPr>
          <w:p w14:paraId="78D01C97" w14:textId="77777777" w:rsidR="00BE48EE" w:rsidRPr="00BD630C" w:rsidRDefault="00BE48EE" w:rsidP="00BE48EE">
            <w:pPr>
              <w:pStyle w:val="ListParagraph"/>
              <w:numPr>
                <w:ilvl w:val="0"/>
                <w:numId w:val="35"/>
              </w:numPr>
              <w:spacing w:line="240" w:lineRule="auto"/>
              <w:ind w:left="176" w:hanging="176"/>
              <w:jc w:val="left"/>
              <w:rPr>
                <w:lang w:val="en-AU"/>
              </w:rPr>
            </w:pPr>
            <w:r w:rsidRPr="00C73D06">
              <w:t xml:space="preserve">Review </w:t>
            </w:r>
            <w:r w:rsidRPr="00C73D06">
              <w:rPr>
                <w:lang w:val="en-AU" w:eastAsia="en-AU"/>
              </w:rPr>
              <w:t>complaints</w:t>
            </w:r>
            <w:r w:rsidRPr="00C73D06">
              <w:t xml:space="preserve"> about </w:t>
            </w:r>
            <w:r w:rsidRPr="00C73D06">
              <w:rPr>
                <w:lang w:val="en-AU"/>
              </w:rPr>
              <w:t>psychologists</w:t>
            </w:r>
            <w:r w:rsidRPr="00C73D06">
              <w:t xml:space="preserve"> and psychiatrists concerning compliance with the </w:t>
            </w:r>
            <w:r w:rsidRPr="00C73D06">
              <w:rPr>
                <w:rFonts w:cstheme="minorHAnsi"/>
                <w:i/>
                <w:szCs w:val="18"/>
              </w:rPr>
              <w:t xml:space="preserve">Health Practitioner Regulation </w:t>
            </w:r>
            <w:r w:rsidRPr="00C73D06">
              <w:rPr>
                <w:rFonts w:cstheme="minorHAnsi"/>
                <w:i/>
                <w:szCs w:val="18"/>
                <w:lang w:val="en-US"/>
              </w:rPr>
              <w:t>National Law.</w:t>
            </w:r>
            <w:r w:rsidRPr="00C73D06">
              <w:rPr>
                <w:rFonts w:cstheme="minorHAnsi"/>
                <w:i/>
                <w:sz w:val="24"/>
                <w:szCs w:val="18"/>
                <w:lang w:val="en-US"/>
              </w:rPr>
              <w:t xml:space="preserve"> </w:t>
            </w:r>
            <w:r w:rsidRPr="00BD630C">
              <w:rPr>
                <w:lang w:val="en-AU"/>
              </w:rPr>
              <w:t>Changes</w:t>
            </w:r>
            <w:r w:rsidRPr="00BD630C">
              <w:rPr>
                <w:rFonts w:cstheme="minorHAnsi"/>
                <w:szCs w:val="18"/>
                <w:lang w:val="en-US"/>
              </w:rPr>
              <w:t xml:space="preserve"> to section 121 and specialised </w:t>
            </w:r>
            <w:r w:rsidRPr="00BD630C">
              <w:rPr>
                <w:lang w:val="en-AU" w:eastAsia="en-AU"/>
              </w:rPr>
              <w:t>investigators</w:t>
            </w:r>
            <w:r w:rsidRPr="00BD630C">
              <w:rPr>
                <w:rFonts w:cstheme="minorHAnsi"/>
                <w:szCs w:val="18"/>
                <w:lang w:val="en-US"/>
              </w:rPr>
              <w:t xml:space="preserve"> could assist with this. </w:t>
            </w:r>
          </w:p>
        </w:tc>
        <w:tc>
          <w:tcPr>
            <w:tcW w:w="284" w:type="dxa"/>
            <w:shd w:val="clear" w:color="auto" w:fill="FFFFFF" w:themeFill="background1"/>
          </w:tcPr>
          <w:p w14:paraId="62E5BCCC" w14:textId="77777777" w:rsidR="00BE48EE" w:rsidRPr="00C73D06" w:rsidRDefault="00BE48EE" w:rsidP="00BE48EE">
            <w:pPr>
              <w:jc w:val="left"/>
            </w:pPr>
          </w:p>
        </w:tc>
        <w:tc>
          <w:tcPr>
            <w:tcW w:w="3173" w:type="dxa"/>
            <w:shd w:val="clear" w:color="auto" w:fill="D5E0E7"/>
          </w:tcPr>
          <w:p w14:paraId="2288C656" w14:textId="77777777" w:rsidR="00BE48EE" w:rsidRPr="00C73D06" w:rsidRDefault="00BE48EE" w:rsidP="00BE48EE">
            <w:pPr>
              <w:pStyle w:val="ListParagraph"/>
              <w:numPr>
                <w:ilvl w:val="0"/>
                <w:numId w:val="35"/>
              </w:numPr>
              <w:spacing w:line="240" w:lineRule="auto"/>
              <w:ind w:left="176" w:hanging="176"/>
              <w:jc w:val="left"/>
              <w:rPr>
                <w:lang w:val="en-AU"/>
              </w:rPr>
            </w:pPr>
            <w:r w:rsidRPr="00C73D06">
              <w:rPr>
                <w:lang w:val="en-AU"/>
              </w:rPr>
              <w:t xml:space="preserve">This </w:t>
            </w:r>
            <w:r w:rsidRPr="00C73D06">
              <w:t>could</w:t>
            </w:r>
            <w:r w:rsidRPr="00C73D06">
              <w:rPr>
                <w:lang w:val="en-AU"/>
              </w:rPr>
              <w:t xml:space="preserve"> involve a multi-disciplinary panel of experts. </w:t>
            </w:r>
          </w:p>
          <w:p w14:paraId="742D9E1E" w14:textId="77777777" w:rsidR="00BE48EE" w:rsidRPr="00C73D06" w:rsidRDefault="00BE48EE" w:rsidP="00BE48EE">
            <w:pPr>
              <w:pStyle w:val="ListParagraph"/>
              <w:numPr>
                <w:ilvl w:val="0"/>
                <w:numId w:val="35"/>
              </w:numPr>
              <w:spacing w:line="240" w:lineRule="auto"/>
              <w:ind w:left="176" w:hanging="176"/>
              <w:jc w:val="left"/>
              <w:rPr>
                <w:lang w:val="en-AU"/>
              </w:rPr>
            </w:pPr>
            <w:r w:rsidRPr="00C73D06">
              <w:rPr>
                <w:lang w:val="en-AU"/>
              </w:rPr>
              <w:t xml:space="preserve">A preliminary screening for vexatious complaints could be conducted. </w:t>
            </w:r>
            <w:r w:rsidRPr="00C73D06">
              <w:rPr>
                <w:color w:val="000000"/>
                <w:lang w:val="en-US"/>
              </w:rPr>
              <w:t>The JSC supports consideration of a dedicated complaints mechanism.</w:t>
            </w:r>
            <w:r w:rsidRPr="00C73D06">
              <w:rPr>
                <w:rStyle w:val="FootnoteReference"/>
                <w:color w:val="000000"/>
                <w:lang w:val="en-US"/>
              </w:rPr>
              <w:footnoteReference w:id="123"/>
            </w:r>
          </w:p>
        </w:tc>
        <w:tc>
          <w:tcPr>
            <w:tcW w:w="283" w:type="dxa"/>
            <w:shd w:val="clear" w:color="auto" w:fill="FFFFFF" w:themeFill="background1"/>
          </w:tcPr>
          <w:p w14:paraId="1517CCAD" w14:textId="77777777" w:rsidR="00BE48EE" w:rsidRPr="00C73D06" w:rsidRDefault="00BE48EE" w:rsidP="00BE48EE">
            <w:pPr>
              <w:jc w:val="left"/>
            </w:pPr>
          </w:p>
        </w:tc>
        <w:tc>
          <w:tcPr>
            <w:tcW w:w="3288" w:type="dxa"/>
            <w:shd w:val="clear" w:color="auto" w:fill="D5E0E7"/>
          </w:tcPr>
          <w:p w14:paraId="4D13D25A" w14:textId="77777777" w:rsidR="00BE48EE" w:rsidRPr="00C73D06" w:rsidRDefault="00BE48EE" w:rsidP="00BE48EE">
            <w:pPr>
              <w:pStyle w:val="ListParagraph"/>
              <w:numPr>
                <w:ilvl w:val="0"/>
                <w:numId w:val="35"/>
              </w:numPr>
              <w:spacing w:line="240" w:lineRule="auto"/>
              <w:ind w:left="176" w:hanging="176"/>
              <w:jc w:val="left"/>
              <w:rPr>
                <w:lang w:val="en-AU"/>
              </w:rPr>
            </w:pPr>
            <w:r w:rsidRPr="00C73D06">
              <w:rPr>
                <w:lang w:val="en-AU"/>
              </w:rPr>
              <w:t>Legislate</w:t>
            </w:r>
            <w:r w:rsidRPr="00C73D06">
              <w:rPr>
                <w:szCs w:val="24"/>
              </w:rPr>
              <w:t xml:space="preserve"> amendments to section 121(9) and </w:t>
            </w:r>
            <w:r w:rsidRPr="00C73D06">
              <w:rPr>
                <w:lang w:val="en-AU" w:eastAsia="en-AU"/>
              </w:rPr>
              <w:t>relevant</w:t>
            </w:r>
            <w:r w:rsidRPr="00C73D06">
              <w:rPr>
                <w:szCs w:val="24"/>
              </w:rPr>
              <w:t xml:space="preserve"> court rules to enable family reports and other </w:t>
            </w:r>
            <w:r w:rsidRPr="00C73D06">
              <w:rPr>
                <w:lang w:val="en-AU" w:eastAsia="en-AU"/>
              </w:rPr>
              <w:t>relevant</w:t>
            </w:r>
            <w:r w:rsidRPr="00C73D06">
              <w:rPr>
                <w:szCs w:val="24"/>
              </w:rPr>
              <w:t xml:space="preserve"> evidence to be shared with investigative entities. </w:t>
            </w:r>
          </w:p>
          <w:p w14:paraId="0C79A7CE" w14:textId="77777777" w:rsidR="00BE48EE" w:rsidRPr="00C73D06" w:rsidRDefault="00BE48EE" w:rsidP="00BE48EE">
            <w:pPr>
              <w:pStyle w:val="ListParagraph"/>
              <w:numPr>
                <w:ilvl w:val="0"/>
                <w:numId w:val="35"/>
              </w:numPr>
              <w:spacing w:line="240" w:lineRule="auto"/>
              <w:ind w:left="176" w:hanging="176"/>
              <w:jc w:val="left"/>
              <w:rPr>
                <w:lang w:val="en-AU"/>
              </w:rPr>
            </w:pPr>
            <w:r w:rsidRPr="00C73D06">
              <w:rPr>
                <w:szCs w:val="24"/>
              </w:rPr>
              <w:t>Establish</w:t>
            </w:r>
            <w:r>
              <w:rPr>
                <w:szCs w:val="24"/>
              </w:rPr>
              <w:t xml:space="preserve"> an</w:t>
            </w:r>
            <w:r w:rsidRPr="00C73D06">
              <w:rPr>
                <w:szCs w:val="24"/>
              </w:rPr>
              <w:t xml:space="preserve"> independent complaints investigation body. </w:t>
            </w:r>
          </w:p>
        </w:tc>
      </w:tr>
    </w:tbl>
    <w:p w14:paraId="28BDDCD6" w14:textId="77777777" w:rsidR="00BE48EE" w:rsidRPr="00C73D06" w:rsidRDefault="00BE48EE" w:rsidP="00BE48EE">
      <w:pPr>
        <w:spacing w:after="0"/>
        <w:rPr>
          <w:b/>
          <w:color w:val="C87200"/>
          <w:sz w:val="28"/>
        </w:rPr>
      </w:pPr>
      <w:bookmarkStart w:id="71" w:name="_Toc73542618"/>
      <w:bookmarkStart w:id="72" w:name="_Toc73542621"/>
    </w:p>
    <w:p w14:paraId="16CDC9F2" w14:textId="77777777" w:rsidR="00BE48EE" w:rsidRPr="00C73D06" w:rsidRDefault="00BE48EE" w:rsidP="004C5C6E">
      <w:pPr>
        <w:keepNext/>
        <w:pBdr>
          <w:top w:val="single" w:sz="4" w:space="1" w:color="auto"/>
          <w:left w:val="single" w:sz="4" w:space="4" w:color="auto"/>
          <w:bottom w:val="single" w:sz="4" w:space="1" w:color="auto"/>
          <w:right w:val="single" w:sz="4" w:space="4" w:color="auto"/>
        </w:pBdr>
        <w:shd w:val="clear" w:color="auto" w:fill="ECF1F4"/>
        <w:spacing w:after="0"/>
        <w:rPr>
          <w:b/>
          <w:color w:val="C87200"/>
          <w:sz w:val="28"/>
        </w:rPr>
      </w:pPr>
      <w:r w:rsidRPr="00C73D06">
        <w:rPr>
          <w:b/>
          <w:color w:val="C87200"/>
          <w:sz w:val="28"/>
        </w:rPr>
        <w:lastRenderedPageBreak/>
        <w:t>Question 1</w:t>
      </w:r>
      <w:r>
        <w:rPr>
          <w:b/>
          <w:color w:val="C87200"/>
          <w:sz w:val="28"/>
        </w:rPr>
        <w:t>4</w:t>
      </w:r>
      <w:r w:rsidRPr="00C73D06">
        <w:rPr>
          <w:b/>
          <w:color w:val="C87200"/>
          <w:sz w:val="28"/>
        </w:rPr>
        <w:t>: Complaints mechanisms</w:t>
      </w:r>
      <w:bookmarkEnd w:id="71"/>
    </w:p>
    <w:p w14:paraId="6FC91856" w14:textId="77777777" w:rsidR="00BE48EE" w:rsidRPr="004C5C6E" w:rsidRDefault="00BE48EE" w:rsidP="004C5C6E">
      <w:pPr>
        <w:pStyle w:val="CommentText"/>
        <w:keepNext/>
        <w:numPr>
          <w:ilvl w:val="0"/>
          <w:numId w:val="43"/>
        </w:numPr>
        <w:pBdr>
          <w:top w:val="single" w:sz="4" w:space="1" w:color="auto"/>
          <w:left w:val="single" w:sz="4" w:space="4" w:color="auto"/>
          <w:bottom w:val="single" w:sz="4" w:space="1" w:color="auto"/>
          <w:right w:val="single" w:sz="4" w:space="4" w:color="auto"/>
        </w:pBdr>
        <w:shd w:val="clear" w:color="auto" w:fill="ECF1F4"/>
        <w:spacing w:after="0" w:line="276" w:lineRule="auto"/>
      </w:pPr>
      <w:r w:rsidRPr="004C5C6E">
        <w:rPr>
          <w:sz w:val="28"/>
          <w:szCs w:val="28"/>
        </w:rPr>
        <w:t>Are improved avenues for complaints about family report writers required?</w:t>
      </w:r>
    </w:p>
    <w:p w14:paraId="10B789C4" w14:textId="77777777" w:rsidR="00BE48EE" w:rsidRPr="004C5C6E" w:rsidRDefault="00BE48EE" w:rsidP="004C5C6E">
      <w:pPr>
        <w:pStyle w:val="CommentText"/>
        <w:keepNext/>
        <w:numPr>
          <w:ilvl w:val="0"/>
          <w:numId w:val="43"/>
        </w:numPr>
        <w:pBdr>
          <w:top w:val="single" w:sz="4" w:space="1" w:color="auto"/>
          <w:left w:val="single" w:sz="4" w:space="4" w:color="auto"/>
          <w:bottom w:val="single" w:sz="4" w:space="1" w:color="auto"/>
          <w:right w:val="single" w:sz="4" w:space="4" w:color="auto"/>
        </w:pBdr>
        <w:shd w:val="clear" w:color="auto" w:fill="ECF1F4"/>
        <w:spacing w:after="0" w:line="276" w:lineRule="auto"/>
        <w:rPr>
          <w:sz w:val="28"/>
          <w:szCs w:val="28"/>
        </w:rPr>
      </w:pPr>
      <w:r w:rsidRPr="004C5C6E">
        <w:rPr>
          <w:sz w:val="28"/>
          <w:szCs w:val="28"/>
        </w:rPr>
        <w:t>Which entity or combination of entities is best placed to investigate complaints about family report writers? Why?</w:t>
      </w:r>
    </w:p>
    <w:p w14:paraId="6C2CD4AE" w14:textId="77777777" w:rsidR="00BE48EE" w:rsidRPr="004C5C6E" w:rsidRDefault="00BE48EE" w:rsidP="004C5C6E">
      <w:pPr>
        <w:pStyle w:val="CommentText"/>
        <w:keepNext/>
        <w:numPr>
          <w:ilvl w:val="0"/>
          <w:numId w:val="43"/>
        </w:numPr>
        <w:pBdr>
          <w:top w:val="single" w:sz="4" w:space="1" w:color="auto"/>
          <w:left w:val="single" w:sz="4" w:space="4" w:color="auto"/>
          <w:bottom w:val="single" w:sz="4" w:space="1" w:color="auto"/>
          <w:right w:val="single" w:sz="4" w:space="4" w:color="auto"/>
        </w:pBdr>
        <w:shd w:val="clear" w:color="auto" w:fill="ECF1F4"/>
        <w:spacing w:after="0" w:line="276" w:lineRule="auto"/>
        <w:rPr>
          <w:sz w:val="28"/>
          <w:szCs w:val="28"/>
        </w:rPr>
      </w:pPr>
      <w:r w:rsidRPr="004C5C6E">
        <w:rPr>
          <w:sz w:val="28"/>
          <w:szCs w:val="28"/>
        </w:rPr>
        <w:t xml:space="preserve">Could existing regulatory complaints mechanisms (Ahpra and state complaints bodies) be more effectively utilised to investigate complaints about psychologists and psychiatrists who are family report writers? If yes, what enhanced role could they play? </w:t>
      </w:r>
    </w:p>
    <w:p w14:paraId="0EE8050F" w14:textId="77777777" w:rsidR="00BE48EE" w:rsidRPr="004C5C6E" w:rsidRDefault="00BE48EE" w:rsidP="004C5C6E">
      <w:pPr>
        <w:pStyle w:val="CommentText"/>
        <w:keepNext/>
        <w:numPr>
          <w:ilvl w:val="0"/>
          <w:numId w:val="43"/>
        </w:numPr>
        <w:pBdr>
          <w:top w:val="single" w:sz="4" w:space="1" w:color="auto"/>
          <w:left w:val="single" w:sz="4" w:space="4" w:color="auto"/>
          <w:bottom w:val="single" w:sz="4" w:space="1" w:color="auto"/>
          <w:right w:val="single" w:sz="4" w:space="4" w:color="auto"/>
        </w:pBdr>
        <w:shd w:val="clear" w:color="auto" w:fill="ECF1F4"/>
        <w:spacing w:after="0" w:line="276" w:lineRule="auto"/>
      </w:pPr>
      <w:r w:rsidRPr="004C5C6E">
        <w:rPr>
          <w:sz w:val="28"/>
          <w:szCs w:val="28"/>
        </w:rPr>
        <w:t>What could be an appropriate complaints mechanism for social workers undertaking family reports?</w:t>
      </w:r>
    </w:p>
    <w:p w14:paraId="7616CF03" w14:textId="77777777" w:rsidR="00BE48EE" w:rsidRPr="004C5C6E" w:rsidRDefault="00BE48EE" w:rsidP="004C5C6E">
      <w:pPr>
        <w:pStyle w:val="CommentText"/>
        <w:keepNext/>
        <w:numPr>
          <w:ilvl w:val="0"/>
          <w:numId w:val="43"/>
        </w:numPr>
        <w:pBdr>
          <w:top w:val="single" w:sz="4" w:space="1" w:color="auto"/>
          <w:left w:val="single" w:sz="4" w:space="4" w:color="auto"/>
          <w:bottom w:val="single" w:sz="4" w:space="1" w:color="auto"/>
          <w:right w:val="single" w:sz="4" w:space="4" w:color="auto"/>
        </w:pBdr>
        <w:shd w:val="clear" w:color="auto" w:fill="ECF1F4"/>
        <w:spacing w:after="0" w:line="276" w:lineRule="auto"/>
      </w:pPr>
      <w:r w:rsidRPr="004C5C6E">
        <w:rPr>
          <w:sz w:val="28"/>
          <w:szCs w:val="28"/>
        </w:rPr>
        <w:t>How would any proposed mechanism(s) best manage the issues and risks that have been identified, such as efficiently identifying and responding to vexatious complaints?</w:t>
      </w:r>
    </w:p>
    <w:bookmarkEnd w:id="72"/>
    <w:p w14:paraId="641099A1" w14:textId="77777777" w:rsidR="00BE48EE" w:rsidRPr="00C73D06" w:rsidRDefault="00BE48EE" w:rsidP="004C5C6E">
      <w:pPr>
        <w:keepNext/>
        <w:pBdr>
          <w:top w:val="single" w:sz="4" w:space="1" w:color="auto"/>
          <w:left w:val="single" w:sz="4" w:space="4" w:color="auto"/>
          <w:bottom w:val="single" w:sz="4" w:space="1" w:color="auto"/>
          <w:right w:val="single" w:sz="4" w:space="4" w:color="auto"/>
        </w:pBdr>
        <w:shd w:val="clear" w:color="auto" w:fill="ECF1F4"/>
        <w:spacing w:before="80" w:after="0"/>
        <w:rPr>
          <w:b/>
          <w:color w:val="C87200"/>
          <w:sz w:val="28"/>
        </w:rPr>
      </w:pPr>
      <w:r w:rsidRPr="00C73D06">
        <w:rPr>
          <w:b/>
          <w:color w:val="C87200"/>
          <w:sz w:val="28"/>
        </w:rPr>
        <w:t>Question 1</w:t>
      </w:r>
      <w:r>
        <w:rPr>
          <w:b/>
          <w:color w:val="C87200"/>
          <w:sz w:val="28"/>
        </w:rPr>
        <w:t>5</w:t>
      </w:r>
      <w:r w:rsidRPr="00C73D06">
        <w:rPr>
          <w:b/>
          <w:color w:val="C87200"/>
          <w:sz w:val="28"/>
        </w:rPr>
        <w:t>: Access to evidence</w:t>
      </w:r>
    </w:p>
    <w:p w14:paraId="6BE292EC" w14:textId="5D8BD519" w:rsidR="00BE48EE" w:rsidRPr="00C73D06" w:rsidRDefault="00BE48EE" w:rsidP="004C5C6E">
      <w:pPr>
        <w:pStyle w:val="CommentText"/>
        <w:keepNext/>
        <w:pBdr>
          <w:top w:val="single" w:sz="4" w:space="1" w:color="auto"/>
          <w:left w:val="single" w:sz="4" w:space="4" w:color="auto"/>
          <w:bottom w:val="single" w:sz="4" w:space="1" w:color="auto"/>
          <w:right w:val="single" w:sz="4" w:space="4" w:color="auto"/>
        </w:pBdr>
        <w:shd w:val="clear" w:color="auto" w:fill="ECF1F4"/>
        <w:spacing w:after="0" w:line="276" w:lineRule="auto"/>
        <w:rPr>
          <w:color w:val="4D738A"/>
          <w:sz w:val="28"/>
          <w:szCs w:val="28"/>
        </w:rPr>
      </w:pPr>
      <w:r w:rsidRPr="004C5C6E">
        <w:rPr>
          <w:sz w:val="28"/>
          <w:szCs w:val="28"/>
        </w:rPr>
        <w:t>Which entities should be able to receive family reports for the purpose of investigating complaints?</w:t>
      </w:r>
    </w:p>
    <w:p w14:paraId="6E2B54FA" w14:textId="2814DB37" w:rsidR="00BE48EE" w:rsidRDefault="00BE48EE" w:rsidP="004C5C6E">
      <w:pPr>
        <w:keepNext/>
        <w:pBdr>
          <w:top w:val="single" w:sz="4" w:space="1" w:color="auto"/>
          <w:left w:val="single" w:sz="4" w:space="4" w:color="auto"/>
          <w:bottom w:val="single" w:sz="4" w:space="1" w:color="auto"/>
          <w:right w:val="single" w:sz="4" w:space="4" w:color="auto"/>
        </w:pBdr>
        <w:shd w:val="clear" w:color="auto" w:fill="ECF1F4"/>
        <w:spacing w:before="80" w:after="0"/>
        <w:rPr>
          <w:b/>
          <w:color w:val="C87200"/>
          <w:sz w:val="28"/>
        </w:rPr>
      </w:pPr>
      <w:r w:rsidRPr="00C73D06">
        <w:rPr>
          <w:b/>
          <w:color w:val="C87200"/>
          <w:sz w:val="28"/>
        </w:rPr>
        <w:t>Question 1</w:t>
      </w:r>
      <w:r>
        <w:rPr>
          <w:b/>
          <w:color w:val="C87200"/>
          <w:sz w:val="28"/>
        </w:rPr>
        <w:t>6</w:t>
      </w:r>
      <w:r w:rsidRPr="00C73D06">
        <w:rPr>
          <w:b/>
          <w:color w:val="C87200"/>
          <w:sz w:val="28"/>
        </w:rPr>
        <w:t xml:space="preserve">: Publicly identifying a </w:t>
      </w:r>
      <w:r>
        <w:rPr>
          <w:b/>
          <w:color w:val="C87200"/>
          <w:sz w:val="28"/>
        </w:rPr>
        <w:t xml:space="preserve">family </w:t>
      </w:r>
      <w:r w:rsidRPr="00C73D06">
        <w:rPr>
          <w:b/>
          <w:color w:val="C87200"/>
          <w:sz w:val="28"/>
        </w:rPr>
        <w:t xml:space="preserve">report writer </w:t>
      </w:r>
    </w:p>
    <w:p w14:paraId="610852AC" w14:textId="2E11B3D0" w:rsidR="004C5C6E" w:rsidRPr="004C5C6E" w:rsidRDefault="004C5C6E" w:rsidP="004C5C6E">
      <w:pPr>
        <w:pStyle w:val="CommentText"/>
        <w:keepNext/>
        <w:numPr>
          <w:ilvl w:val="0"/>
          <w:numId w:val="65"/>
        </w:numPr>
        <w:pBdr>
          <w:top w:val="single" w:sz="4" w:space="1" w:color="auto"/>
          <w:left w:val="single" w:sz="4" w:space="4" w:color="auto"/>
          <w:bottom w:val="single" w:sz="4" w:space="1" w:color="auto"/>
          <w:right w:val="single" w:sz="4" w:space="4" w:color="auto"/>
        </w:pBdr>
        <w:shd w:val="clear" w:color="auto" w:fill="ECF1F4"/>
        <w:spacing w:after="0" w:line="276" w:lineRule="auto"/>
        <w:rPr>
          <w:sz w:val="28"/>
          <w:szCs w:val="28"/>
        </w:rPr>
      </w:pPr>
      <w:r w:rsidRPr="004C5C6E">
        <w:rPr>
          <w:sz w:val="28"/>
          <w:szCs w:val="28"/>
        </w:rPr>
        <w:t xml:space="preserve">Should section 121 be amended to enable the names of family report writers to be published? </w:t>
      </w:r>
    </w:p>
    <w:p w14:paraId="432AA3E6" w14:textId="44193402" w:rsidR="004C5C6E" w:rsidRPr="004C5C6E" w:rsidRDefault="004C5C6E" w:rsidP="004C5C6E">
      <w:pPr>
        <w:pStyle w:val="CommentText"/>
        <w:keepNext/>
        <w:numPr>
          <w:ilvl w:val="0"/>
          <w:numId w:val="65"/>
        </w:numPr>
        <w:pBdr>
          <w:top w:val="single" w:sz="4" w:space="1" w:color="auto"/>
          <w:left w:val="single" w:sz="4" w:space="4" w:color="auto"/>
          <w:bottom w:val="single" w:sz="4" w:space="1" w:color="auto"/>
          <w:right w:val="single" w:sz="4" w:space="4" w:color="auto"/>
        </w:pBdr>
        <w:shd w:val="clear" w:color="auto" w:fill="ECF1F4"/>
        <w:spacing w:after="0" w:line="276" w:lineRule="auto"/>
        <w:rPr>
          <w:sz w:val="28"/>
          <w:szCs w:val="28"/>
        </w:rPr>
      </w:pPr>
      <w:r w:rsidRPr="004C5C6E">
        <w:rPr>
          <w:sz w:val="28"/>
          <w:szCs w:val="28"/>
        </w:rPr>
        <w:t>Should this be limited to situations where a report writer has been convicted of an offence and/or subject to an adverse finding by a regulator?</w:t>
      </w:r>
    </w:p>
    <w:p w14:paraId="222471CB" w14:textId="77777777" w:rsidR="00BE48EE" w:rsidRPr="00C73D06" w:rsidRDefault="00BE48EE" w:rsidP="00BE48EE">
      <w:pPr>
        <w:pStyle w:val="Heading1"/>
        <w:spacing w:before="240"/>
      </w:pPr>
      <w:bookmarkStart w:id="73" w:name="_Toc67657926"/>
      <w:bookmarkStart w:id="74" w:name="_Toc73542513"/>
      <w:r w:rsidRPr="00C73D06">
        <w:t>Conclusion</w:t>
      </w:r>
      <w:bookmarkEnd w:id="73"/>
      <w:bookmarkEnd w:id="74"/>
      <w:r w:rsidRPr="00C73D06">
        <w:t xml:space="preserve"> </w:t>
      </w:r>
    </w:p>
    <w:p w14:paraId="6B2E33A3" w14:textId="77777777" w:rsidR="00BE48EE" w:rsidRPr="00C73D06" w:rsidRDefault="00BE48EE" w:rsidP="00BE48EE">
      <w:r w:rsidRPr="00C73D06">
        <w:rPr>
          <w:rFonts w:cstheme="minorHAnsi"/>
          <w:color w:val="000000"/>
          <w:szCs w:val="22"/>
        </w:rPr>
        <w:t xml:space="preserve">The department welcomes feedback on the questions posed in this paper. </w:t>
      </w:r>
      <w:r w:rsidRPr="00C73D06">
        <w:t xml:space="preserve">We would appreciate this feedback </w:t>
      </w:r>
      <w:r w:rsidRPr="00E10700">
        <w:rPr>
          <w:b/>
        </w:rPr>
        <w:t xml:space="preserve">by </w:t>
      </w:r>
      <w:r>
        <w:rPr>
          <w:b/>
        </w:rPr>
        <w:t>3 December</w:t>
      </w:r>
      <w:r w:rsidRPr="00E10700">
        <w:rPr>
          <w:b/>
        </w:rPr>
        <w:t xml:space="preserve"> 2021</w:t>
      </w:r>
      <w:r w:rsidRPr="00C73D06">
        <w:t>.</w:t>
      </w:r>
      <w:r w:rsidRPr="00C73D06">
        <w:rPr>
          <w:i/>
        </w:rPr>
        <w:t xml:space="preserve"> </w:t>
      </w:r>
      <w:r w:rsidRPr="00C73D06">
        <w:t>Once this feedback has been received, the Government will be better placed to consider ways to improve the competency, accountability and transparency of family report writers going forward.</w:t>
      </w:r>
      <w:r w:rsidRPr="00C73D06">
        <w:rPr>
          <w:i/>
        </w:rPr>
        <w:t xml:space="preserve"> </w:t>
      </w:r>
    </w:p>
    <w:p w14:paraId="667FEB93" w14:textId="77777777" w:rsidR="00BE48EE" w:rsidRDefault="00BE48EE" w:rsidP="004C5C6E">
      <w:pPr>
        <w:pBdr>
          <w:top w:val="single" w:sz="4" w:space="1" w:color="auto"/>
          <w:left w:val="single" w:sz="4" w:space="4" w:color="auto"/>
          <w:bottom w:val="single" w:sz="4" w:space="1" w:color="auto"/>
          <w:right w:val="single" w:sz="4" w:space="4" w:color="auto"/>
        </w:pBdr>
        <w:shd w:val="clear" w:color="auto" w:fill="ECF1F4"/>
        <w:spacing w:after="0"/>
        <w:rPr>
          <w:color w:val="C87200"/>
          <w:sz w:val="28"/>
        </w:rPr>
      </w:pPr>
      <w:bookmarkStart w:id="75" w:name="_Toc73542622"/>
      <w:r w:rsidRPr="00C73D06">
        <w:rPr>
          <w:b/>
          <w:color w:val="C87200"/>
          <w:sz w:val="28"/>
        </w:rPr>
        <w:t>Question 1</w:t>
      </w:r>
      <w:r w:rsidRPr="004C5C6E">
        <w:rPr>
          <w:b/>
          <w:color w:val="C87200"/>
          <w:sz w:val="28"/>
        </w:rPr>
        <w:t>7</w:t>
      </w:r>
      <w:bookmarkEnd w:id="75"/>
    </w:p>
    <w:p w14:paraId="547D4DE1" w14:textId="77777777" w:rsidR="00BE48EE" w:rsidRPr="004C5C6E" w:rsidRDefault="00BE48EE" w:rsidP="004C5C6E">
      <w:pPr>
        <w:pBdr>
          <w:top w:val="single" w:sz="4" w:space="1" w:color="auto"/>
          <w:left w:val="single" w:sz="4" w:space="4" w:color="auto"/>
          <w:bottom w:val="single" w:sz="4" w:space="1" w:color="auto"/>
          <w:right w:val="single" w:sz="4" w:space="4" w:color="auto"/>
        </w:pBdr>
        <w:shd w:val="clear" w:color="auto" w:fill="ECF1F4"/>
        <w:rPr>
          <w:sz w:val="28"/>
        </w:rPr>
      </w:pPr>
      <w:r w:rsidRPr="004C5C6E">
        <w:rPr>
          <w:sz w:val="28"/>
        </w:rPr>
        <w:t>Is there anything else that Government should consider to improve the competency, accountability and transparency of family report writers in Australia?</w:t>
      </w:r>
    </w:p>
    <w:p w14:paraId="662184A8" w14:textId="77777777" w:rsidR="00BE48EE" w:rsidRPr="00C73D06" w:rsidRDefault="00BE48EE" w:rsidP="00BE48EE">
      <w:pPr>
        <w:pStyle w:val="Default"/>
        <w:spacing w:line="259" w:lineRule="auto"/>
        <w:rPr>
          <w:rFonts w:asciiTheme="minorHAnsi" w:hAnsiTheme="minorHAnsi" w:cstheme="minorHAnsi"/>
          <w:sz w:val="22"/>
          <w:szCs w:val="22"/>
        </w:rPr>
      </w:pPr>
    </w:p>
    <w:p w14:paraId="2EEB0BA8" w14:textId="77777777" w:rsidR="00BE48EE" w:rsidRPr="00C73D06" w:rsidRDefault="00BE48EE" w:rsidP="00BE48EE">
      <w:pPr>
        <w:pStyle w:val="TableofFigures"/>
        <w:tabs>
          <w:tab w:val="right" w:leader="dot" w:pos="10302"/>
        </w:tabs>
        <w:rPr>
          <w:rFonts w:ascii="Times New Roman" w:hAnsi="Times New Roman" w:cs="Times New Roman"/>
          <w:lang w:val="en-GB"/>
        </w:rPr>
      </w:pPr>
    </w:p>
    <w:p w14:paraId="0A2AF1B8" w14:textId="77777777" w:rsidR="00BE48EE" w:rsidRPr="00C73D06" w:rsidRDefault="00BE48EE" w:rsidP="00BE48EE">
      <w:pPr>
        <w:spacing w:line="300" w:lineRule="auto"/>
        <w:rPr>
          <w:rFonts w:eastAsiaTheme="majorEastAsia" w:cstheme="majorBidi"/>
          <w:b/>
          <w:sz w:val="32"/>
          <w:szCs w:val="32"/>
          <w:lang w:val="en-GB"/>
        </w:rPr>
      </w:pPr>
      <w:bookmarkStart w:id="76" w:name="_Toc67657927"/>
      <w:r w:rsidRPr="00C73D06">
        <w:rPr>
          <w:lang w:val="en-GB"/>
        </w:rPr>
        <w:br w:type="page"/>
      </w:r>
    </w:p>
    <w:p w14:paraId="2C87D079" w14:textId="5A4DB083" w:rsidR="00BE48EE" w:rsidRPr="00C73D06" w:rsidRDefault="00BE48EE" w:rsidP="00BE48EE">
      <w:pPr>
        <w:pStyle w:val="Heading2"/>
        <w:spacing w:before="240"/>
        <w:rPr>
          <w:lang w:val="en-GB"/>
        </w:rPr>
      </w:pPr>
      <w:r w:rsidRPr="00C73D06">
        <w:rPr>
          <w:lang w:val="en-GB"/>
        </w:rPr>
        <w:lastRenderedPageBreak/>
        <w:t>Appendix A – Requirements of a family report</w:t>
      </w:r>
      <w:bookmarkEnd w:id="76"/>
    </w:p>
    <w:p w14:paraId="7155875F" w14:textId="77777777" w:rsidR="00BE48EE" w:rsidRPr="00C73D06" w:rsidRDefault="00BE48EE" w:rsidP="00BE48EE">
      <w:pPr>
        <w:pStyle w:val="Heading5"/>
        <w:rPr>
          <w:sz w:val="20"/>
        </w:rPr>
        <w:sectPr w:rsidR="00BE48EE" w:rsidRPr="00C73D06" w:rsidSect="00A0120D">
          <w:footerReference w:type="default" r:id="rId11"/>
          <w:type w:val="continuous"/>
          <w:pgSz w:w="12240" w:h="15840"/>
          <w:pgMar w:top="533" w:right="964" w:bottom="964" w:left="964" w:header="142" w:footer="709" w:gutter="0"/>
          <w:cols w:space="708"/>
          <w:docGrid w:linePitch="360"/>
        </w:sectPr>
      </w:pPr>
    </w:p>
    <w:p w14:paraId="79374A69" w14:textId="74BA4C6A" w:rsidR="00BE48EE" w:rsidRPr="00C73D06" w:rsidRDefault="00BE48EE" w:rsidP="00BE48EE">
      <w:pPr>
        <w:pStyle w:val="Heading4"/>
      </w:pPr>
      <w:r w:rsidRPr="00C73D06">
        <w:t>Requirements in the Family Law Act</w:t>
      </w:r>
    </w:p>
    <w:p w14:paraId="592E8492" w14:textId="477D391E" w:rsidR="00BE48EE" w:rsidRPr="00C73D06" w:rsidRDefault="00BE48EE" w:rsidP="00BE48EE">
      <w:pPr>
        <w:keepNext/>
        <w:spacing w:after="0"/>
        <w:rPr>
          <w:rFonts w:cstheme="minorHAnsi"/>
          <w:szCs w:val="22"/>
        </w:rPr>
      </w:pPr>
      <w:r w:rsidRPr="00C73D06">
        <w:rPr>
          <w:rFonts w:cstheme="minorHAnsi"/>
          <w:szCs w:val="22"/>
        </w:rPr>
        <w:t>Reports prepared by family consultants:</w:t>
      </w:r>
      <w:r w:rsidRPr="00C73D06">
        <w:rPr>
          <w:rStyle w:val="FootnoteReference"/>
          <w:rFonts w:cstheme="minorHAnsi"/>
          <w:szCs w:val="22"/>
        </w:rPr>
        <w:footnoteReference w:id="124"/>
      </w:r>
    </w:p>
    <w:p w14:paraId="68A0BA91" w14:textId="71D132F2" w:rsidR="00BE48EE" w:rsidRPr="00C73D06" w:rsidRDefault="00BE48EE" w:rsidP="00BE48EE">
      <w:pPr>
        <w:pStyle w:val="ListParagraph"/>
        <w:numPr>
          <w:ilvl w:val="0"/>
          <w:numId w:val="5"/>
        </w:numPr>
        <w:ind w:left="426" w:hanging="284"/>
        <w:rPr>
          <w:rFonts w:cstheme="minorHAnsi"/>
          <w:szCs w:val="22"/>
        </w:rPr>
      </w:pPr>
      <w:r w:rsidRPr="00C73D06">
        <w:rPr>
          <w:rFonts w:cstheme="minorHAnsi"/>
          <w:szCs w:val="22"/>
        </w:rPr>
        <w:t>are to include such matters as the court thinks desirable that are relevant to the proceedings concerning the care, welfare and development of a child</w:t>
      </w:r>
      <w:r w:rsidRPr="00C73D06">
        <w:rPr>
          <w:rFonts w:cstheme="minorHAnsi"/>
          <w:szCs w:val="22"/>
          <w:vertAlign w:val="superscript"/>
        </w:rPr>
        <w:footnoteReference w:id="125"/>
      </w:r>
    </w:p>
    <w:p w14:paraId="79222B3B" w14:textId="77777777" w:rsidR="00BE48EE" w:rsidRPr="00C73D06" w:rsidRDefault="00BE48EE" w:rsidP="00BE48EE">
      <w:pPr>
        <w:pStyle w:val="ListParagraph"/>
        <w:numPr>
          <w:ilvl w:val="0"/>
          <w:numId w:val="5"/>
        </w:numPr>
        <w:ind w:left="426" w:hanging="284"/>
        <w:rPr>
          <w:rFonts w:cstheme="minorHAnsi"/>
          <w:szCs w:val="22"/>
        </w:rPr>
      </w:pPr>
      <w:r w:rsidRPr="00C73D06">
        <w:rPr>
          <w:rFonts w:cstheme="minorHAnsi"/>
          <w:szCs w:val="22"/>
        </w:rPr>
        <w:t>must include the views of the child (unless not applicable)</w:t>
      </w:r>
      <w:r w:rsidRPr="00C73D06">
        <w:rPr>
          <w:rStyle w:val="FootnoteReference"/>
          <w:rFonts w:cstheme="minorHAnsi"/>
          <w:szCs w:val="22"/>
        </w:rPr>
        <w:footnoteReference w:id="126"/>
      </w:r>
    </w:p>
    <w:p w14:paraId="2EE17F7B" w14:textId="77777777" w:rsidR="00BE48EE" w:rsidRDefault="00BE48EE" w:rsidP="00BE48EE">
      <w:pPr>
        <w:pStyle w:val="ListParagraph"/>
        <w:numPr>
          <w:ilvl w:val="0"/>
          <w:numId w:val="5"/>
        </w:numPr>
        <w:spacing w:after="0"/>
        <w:ind w:left="426" w:hanging="284"/>
        <w:rPr>
          <w:rFonts w:cstheme="minorHAnsi"/>
          <w:szCs w:val="22"/>
        </w:rPr>
      </w:pPr>
      <w:r w:rsidRPr="001672A2">
        <w:rPr>
          <w:rFonts w:cstheme="minorHAnsi"/>
          <w:szCs w:val="22"/>
        </w:rPr>
        <w:t>may include any other matters that relate to the care, welfare or development of a child</w:t>
      </w:r>
      <w:r w:rsidRPr="00C73D06">
        <w:rPr>
          <w:rFonts w:cstheme="minorHAnsi"/>
          <w:szCs w:val="22"/>
          <w:vertAlign w:val="superscript"/>
        </w:rPr>
        <w:footnoteReference w:id="127"/>
      </w:r>
      <w:r w:rsidRPr="001672A2">
        <w:rPr>
          <w:rFonts w:cstheme="minorHAnsi"/>
          <w:szCs w:val="22"/>
        </w:rPr>
        <w:t xml:space="preserve"> </w:t>
      </w:r>
    </w:p>
    <w:p w14:paraId="1BE44DB4" w14:textId="0481883B" w:rsidR="00BE48EE" w:rsidRPr="001672A2" w:rsidRDefault="00BE48EE" w:rsidP="00BE48EE">
      <w:pPr>
        <w:pStyle w:val="ListParagraph"/>
        <w:numPr>
          <w:ilvl w:val="0"/>
          <w:numId w:val="5"/>
        </w:numPr>
        <w:spacing w:after="0"/>
        <w:ind w:left="426" w:hanging="284"/>
        <w:rPr>
          <w:rFonts w:cstheme="minorHAnsi"/>
          <w:szCs w:val="22"/>
        </w:rPr>
      </w:pPr>
      <w:r w:rsidRPr="001672A2">
        <w:rPr>
          <w:rFonts w:cstheme="minorHAnsi"/>
          <w:szCs w:val="22"/>
        </w:rPr>
        <w:t>establish what is in the best interests of the child,</w:t>
      </w:r>
      <w:r w:rsidRPr="00C73D06">
        <w:rPr>
          <w:rStyle w:val="FootnoteReference"/>
          <w:rFonts w:cstheme="minorHAnsi"/>
          <w:szCs w:val="22"/>
        </w:rPr>
        <w:footnoteReference w:id="128"/>
      </w:r>
      <w:r w:rsidRPr="001672A2">
        <w:rPr>
          <w:rFonts w:cstheme="minorHAnsi"/>
          <w:szCs w:val="22"/>
        </w:rPr>
        <w:t xml:space="preserve"> which is a reference to section 60CC of the Family Law Act</w:t>
      </w:r>
      <w:r>
        <w:rPr>
          <w:rFonts w:cstheme="minorHAnsi"/>
          <w:szCs w:val="22"/>
        </w:rPr>
        <w:t>.</w:t>
      </w:r>
      <w:r w:rsidR="006911EE" w:rsidRPr="006911EE">
        <w:rPr>
          <w:rFonts w:cstheme="minorHAnsi"/>
          <w:noProof/>
          <w:szCs w:val="22"/>
          <w:lang w:val="en-GB" w:eastAsia="en-GB"/>
        </w:rPr>
        <w:t xml:space="preserve"> </w:t>
      </w:r>
      <w:r w:rsidR="006911EE" w:rsidRPr="00C73D06">
        <w:rPr>
          <w:rFonts w:cstheme="minorHAnsi"/>
          <w:noProof/>
          <w:szCs w:val="22"/>
        </w:rPr>
        <mc:AlternateContent>
          <mc:Choice Requires="wps">
            <w:drawing>
              <wp:inline distT="0" distB="0" distL="0" distR="0" wp14:anchorId="5CE3C7E3" wp14:editId="29783B23">
                <wp:extent cx="6077243" cy="2243797"/>
                <wp:effectExtent l="19050" t="19050" r="19050" b="234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243" cy="2243797"/>
                        </a:xfrm>
                        <a:prstGeom prst="rect">
                          <a:avLst/>
                        </a:prstGeom>
                        <a:solidFill>
                          <a:srgbClr val="FFFFFF"/>
                        </a:solidFill>
                        <a:ln w="28575">
                          <a:solidFill>
                            <a:srgbClr val="4D738A"/>
                          </a:solidFill>
                          <a:miter lim="800000"/>
                          <a:headEnd/>
                          <a:tailEnd/>
                        </a:ln>
                      </wps:spPr>
                      <wps:txbx>
                        <w:txbxContent>
                          <w:p w14:paraId="2C037CBA" w14:textId="77777777" w:rsidR="006911EE" w:rsidRPr="00E002FA" w:rsidRDefault="006911EE" w:rsidP="006911EE">
                            <w:pPr>
                              <w:keepNext/>
                              <w:spacing w:after="0"/>
                              <w:rPr>
                                <w:b/>
                                <w:i/>
                                <w:sz w:val="18"/>
                                <w:u w:val="single"/>
                              </w:rPr>
                            </w:pPr>
                            <w:r>
                              <w:rPr>
                                <w:b/>
                                <w:i/>
                                <w:sz w:val="18"/>
                                <w:u w:val="single"/>
                              </w:rPr>
                              <w:t>Best interests of the child - s</w:t>
                            </w:r>
                            <w:r w:rsidRPr="00E002FA">
                              <w:rPr>
                                <w:b/>
                                <w:i/>
                                <w:sz w:val="18"/>
                                <w:u w:val="single"/>
                              </w:rPr>
                              <w:t>ection 60CC</w:t>
                            </w:r>
                          </w:p>
                          <w:p w14:paraId="1CD4A472" w14:textId="77777777" w:rsidR="006911EE" w:rsidRPr="00E002FA" w:rsidRDefault="006911EE" w:rsidP="006911EE">
                            <w:pPr>
                              <w:keepNext/>
                              <w:spacing w:after="0"/>
                              <w:rPr>
                                <w:rFonts w:cstheme="minorHAnsi"/>
                                <w:sz w:val="18"/>
                              </w:rPr>
                            </w:pPr>
                            <w:r w:rsidRPr="00E002FA">
                              <w:rPr>
                                <w:b/>
                                <w:i/>
                                <w:sz w:val="18"/>
                              </w:rPr>
                              <w:t>Primary considerations:</w:t>
                            </w:r>
                          </w:p>
                          <w:p w14:paraId="24B557B9" w14:textId="77777777" w:rsidR="006911EE" w:rsidRPr="00E002FA" w:rsidRDefault="006911EE" w:rsidP="006911EE">
                            <w:pPr>
                              <w:pStyle w:val="ListParagraph"/>
                              <w:numPr>
                                <w:ilvl w:val="0"/>
                                <w:numId w:val="16"/>
                              </w:numPr>
                              <w:ind w:left="142" w:hanging="142"/>
                              <w:rPr>
                                <w:i/>
                                <w:sz w:val="18"/>
                              </w:rPr>
                            </w:pPr>
                            <w:r w:rsidRPr="00E002FA">
                              <w:rPr>
                                <w:i/>
                                <w:sz w:val="18"/>
                              </w:rPr>
                              <w:t>The benefit to the child of a meaningful relationship with both parents</w:t>
                            </w:r>
                          </w:p>
                          <w:p w14:paraId="5BF3116C" w14:textId="77777777" w:rsidR="006911EE" w:rsidRPr="00E002FA" w:rsidRDefault="006911EE" w:rsidP="006911EE">
                            <w:pPr>
                              <w:pStyle w:val="ListParagraph"/>
                              <w:numPr>
                                <w:ilvl w:val="0"/>
                                <w:numId w:val="16"/>
                              </w:numPr>
                              <w:spacing w:after="0"/>
                              <w:ind w:left="142" w:hanging="142"/>
                              <w:rPr>
                                <w:i/>
                                <w:sz w:val="18"/>
                              </w:rPr>
                            </w:pPr>
                            <w:r w:rsidRPr="00E002FA">
                              <w:rPr>
                                <w:i/>
                                <w:sz w:val="18"/>
                              </w:rPr>
                              <w:t>The need to protect the child from physical or psychological harm from abuse, neglect or family violence</w:t>
                            </w:r>
                          </w:p>
                          <w:p w14:paraId="16F04570" w14:textId="77777777" w:rsidR="006911EE" w:rsidRPr="00E002FA" w:rsidRDefault="006911EE" w:rsidP="006911EE">
                            <w:pPr>
                              <w:spacing w:after="0"/>
                              <w:rPr>
                                <w:rFonts w:eastAsiaTheme="minorHAnsi"/>
                                <w:b/>
                                <w:i/>
                                <w:sz w:val="18"/>
                                <w:szCs w:val="22"/>
                                <w:lang w:val="en-GB" w:eastAsia="en-US"/>
                              </w:rPr>
                            </w:pPr>
                            <w:r w:rsidRPr="00E002FA">
                              <w:rPr>
                                <w:rFonts w:eastAsiaTheme="minorHAnsi"/>
                                <w:b/>
                                <w:i/>
                                <w:sz w:val="18"/>
                                <w:szCs w:val="22"/>
                                <w:lang w:val="en-GB" w:eastAsia="en-US"/>
                              </w:rPr>
                              <w:t>Additional considerations:</w:t>
                            </w:r>
                          </w:p>
                          <w:p w14:paraId="1AA48E11"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 xml:space="preserve">The views of the child </w:t>
                            </w:r>
                          </w:p>
                          <w:p w14:paraId="35EAD461" w14:textId="77777777" w:rsidR="006911EE" w:rsidRDefault="006911EE" w:rsidP="006911EE">
                            <w:pPr>
                              <w:pStyle w:val="ListParagraph"/>
                              <w:numPr>
                                <w:ilvl w:val="0"/>
                                <w:numId w:val="7"/>
                              </w:numPr>
                              <w:ind w:left="142" w:hanging="142"/>
                              <w:rPr>
                                <w:i/>
                                <w:sz w:val="18"/>
                                <w:szCs w:val="22"/>
                              </w:rPr>
                            </w:pPr>
                            <w:r w:rsidRPr="00E002FA">
                              <w:rPr>
                                <w:i/>
                                <w:sz w:val="18"/>
                                <w:szCs w:val="22"/>
                              </w:rPr>
                              <w:t>The child’s relationships with each parent or any oth</w:t>
                            </w:r>
                            <w:r>
                              <w:rPr>
                                <w:i/>
                                <w:sz w:val="18"/>
                                <w:szCs w:val="22"/>
                              </w:rPr>
                              <w:t>er persons</w:t>
                            </w:r>
                          </w:p>
                          <w:p w14:paraId="0CE25B8B"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The parents</w:t>
                            </w:r>
                            <w:r>
                              <w:rPr>
                                <w:i/>
                                <w:sz w:val="18"/>
                                <w:szCs w:val="22"/>
                              </w:rPr>
                              <w:t>’</w:t>
                            </w:r>
                            <w:r w:rsidRPr="00E002FA">
                              <w:rPr>
                                <w:i/>
                                <w:sz w:val="18"/>
                                <w:szCs w:val="22"/>
                              </w:rPr>
                              <w:t xml:space="preserve"> attitudes and willingness to spend time with the child and participate in decision making </w:t>
                            </w:r>
                          </w:p>
                          <w:p w14:paraId="62DE8FDA" w14:textId="77777777" w:rsidR="006911EE" w:rsidRPr="006911EE" w:rsidRDefault="006911EE" w:rsidP="006911EE">
                            <w:pPr>
                              <w:pStyle w:val="ListParagraph"/>
                              <w:numPr>
                                <w:ilvl w:val="0"/>
                                <w:numId w:val="7"/>
                              </w:numPr>
                              <w:ind w:left="142" w:hanging="142"/>
                              <w:rPr>
                                <w:i/>
                                <w:sz w:val="18"/>
                                <w:szCs w:val="22"/>
                              </w:rPr>
                            </w:pPr>
                            <w:r w:rsidRPr="006911EE">
                              <w:rPr>
                                <w:i/>
                                <w:sz w:val="18"/>
                                <w:szCs w:val="22"/>
                              </w:rPr>
                              <w:t>The effects of any changes in the child’s life and</w:t>
                            </w:r>
                            <w:r>
                              <w:rPr>
                                <w:i/>
                                <w:sz w:val="18"/>
                                <w:szCs w:val="22"/>
                              </w:rPr>
                              <w:t xml:space="preserve"> a</w:t>
                            </w:r>
                            <w:r w:rsidRPr="006911EE">
                              <w:rPr>
                                <w:i/>
                                <w:sz w:val="18"/>
                                <w:szCs w:val="22"/>
                              </w:rPr>
                              <w:t xml:space="preserve">ny practical difficulties in spending time with a parent </w:t>
                            </w:r>
                          </w:p>
                          <w:p w14:paraId="0F418C6B" w14:textId="77777777" w:rsidR="006911EE" w:rsidRPr="006911EE" w:rsidRDefault="006911EE" w:rsidP="006911EE">
                            <w:pPr>
                              <w:pStyle w:val="ListParagraph"/>
                              <w:numPr>
                                <w:ilvl w:val="0"/>
                                <w:numId w:val="7"/>
                              </w:numPr>
                              <w:ind w:left="142" w:hanging="142"/>
                              <w:rPr>
                                <w:i/>
                                <w:sz w:val="18"/>
                                <w:szCs w:val="22"/>
                              </w:rPr>
                            </w:pPr>
                            <w:r w:rsidRPr="006911EE">
                              <w:rPr>
                                <w:i/>
                                <w:sz w:val="18"/>
                                <w:szCs w:val="22"/>
                              </w:rPr>
                              <w:t>The capacity of parents to provide for the child</w:t>
                            </w:r>
                            <w:r>
                              <w:rPr>
                                <w:i/>
                                <w:sz w:val="18"/>
                                <w:szCs w:val="22"/>
                              </w:rPr>
                              <w:t xml:space="preserve"> and t</w:t>
                            </w:r>
                            <w:r w:rsidRPr="006911EE">
                              <w:rPr>
                                <w:i/>
                                <w:sz w:val="18"/>
                                <w:szCs w:val="22"/>
                              </w:rPr>
                              <w:t>he maturity, sex, lifestyle and background of the child and parents</w:t>
                            </w:r>
                          </w:p>
                          <w:p w14:paraId="60B49FC3"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Any cultural considerations for an Aboriginal or Torres Strait Islander child</w:t>
                            </w:r>
                          </w:p>
                          <w:p w14:paraId="0C61F334" w14:textId="77777777" w:rsidR="006911EE" w:rsidRPr="006911EE" w:rsidRDefault="006911EE" w:rsidP="006911EE">
                            <w:pPr>
                              <w:pStyle w:val="ListParagraph"/>
                              <w:numPr>
                                <w:ilvl w:val="0"/>
                                <w:numId w:val="7"/>
                              </w:numPr>
                              <w:ind w:left="142" w:hanging="142"/>
                              <w:rPr>
                                <w:i/>
                                <w:sz w:val="18"/>
                                <w:szCs w:val="22"/>
                              </w:rPr>
                            </w:pPr>
                            <w:r w:rsidRPr="006911EE">
                              <w:rPr>
                                <w:i/>
                                <w:sz w:val="18"/>
                                <w:szCs w:val="22"/>
                              </w:rPr>
                              <w:t>Any family violence involving the child or members of the family and</w:t>
                            </w:r>
                            <w:r>
                              <w:rPr>
                                <w:i/>
                                <w:sz w:val="18"/>
                                <w:szCs w:val="22"/>
                              </w:rPr>
                              <w:t xml:space="preserve"> a</w:t>
                            </w:r>
                            <w:r w:rsidRPr="006911EE">
                              <w:rPr>
                                <w:i/>
                                <w:sz w:val="18"/>
                                <w:szCs w:val="22"/>
                              </w:rPr>
                              <w:t xml:space="preserve">ny family violence orders </w:t>
                            </w:r>
                          </w:p>
                          <w:p w14:paraId="24BBD2EE"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 xml:space="preserve">Preventing further proceedings </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E3C7E3" id="_x0000_t202" coordsize="21600,21600" o:spt="202" path="m,l,21600r21600,l21600,xe">
                <v:stroke joinstyle="miter"/>
                <v:path gradientshapeok="t" o:connecttype="rect"/>
              </v:shapetype>
              <v:shape id="Text Box 2" o:spid="_x0000_s1026" type="#_x0000_t202" style="width:478.5pt;height:1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" strokecolor="#4d738a" strokeweight="2.25pt">
                <v:textbox>
                  <w:txbxContent>
                    <w:p w14:paraId="2C037CBA" w14:textId="77777777" w:rsidR="006911EE" w:rsidRPr="00E002FA" w:rsidRDefault="006911EE" w:rsidP="006911EE">
                      <w:pPr>
                        <w:keepNext/>
                        <w:spacing w:after="0"/>
                        <w:rPr>
                          <w:b/>
                          <w:i/>
                          <w:sz w:val="18"/>
                          <w:u w:val="single"/>
                        </w:rPr>
                      </w:pPr>
                      <w:r>
                        <w:rPr>
                          <w:b/>
                          <w:i/>
                          <w:sz w:val="18"/>
                          <w:u w:val="single"/>
                        </w:rPr>
                        <w:t>Best interests of the child - s</w:t>
                      </w:r>
                      <w:r w:rsidRPr="00E002FA">
                        <w:rPr>
                          <w:b/>
                          <w:i/>
                          <w:sz w:val="18"/>
                          <w:u w:val="single"/>
                        </w:rPr>
                        <w:t>ection 60CC</w:t>
                      </w:r>
                    </w:p>
                    <w:p w14:paraId="1CD4A472" w14:textId="77777777" w:rsidR="006911EE" w:rsidRPr="00E002FA" w:rsidRDefault="006911EE" w:rsidP="006911EE">
                      <w:pPr>
                        <w:keepNext/>
                        <w:spacing w:after="0"/>
                        <w:rPr>
                          <w:rFonts w:cstheme="minorHAnsi"/>
                          <w:sz w:val="18"/>
                        </w:rPr>
                      </w:pPr>
                      <w:r w:rsidRPr="00E002FA">
                        <w:rPr>
                          <w:b/>
                          <w:i/>
                          <w:sz w:val="18"/>
                        </w:rPr>
                        <w:t>Primary considerations:</w:t>
                      </w:r>
                    </w:p>
                    <w:p w14:paraId="24B557B9" w14:textId="77777777" w:rsidR="006911EE" w:rsidRPr="00E002FA" w:rsidRDefault="006911EE" w:rsidP="006911EE">
                      <w:pPr>
                        <w:pStyle w:val="ListParagraph"/>
                        <w:numPr>
                          <w:ilvl w:val="0"/>
                          <w:numId w:val="16"/>
                        </w:numPr>
                        <w:ind w:left="142" w:hanging="142"/>
                        <w:rPr>
                          <w:i/>
                          <w:sz w:val="18"/>
                        </w:rPr>
                      </w:pPr>
                      <w:r w:rsidRPr="00E002FA">
                        <w:rPr>
                          <w:i/>
                          <w:sz w:val="18"/>
                        </w:rPr>
                        <w:t>The benefit to the child of a meaningful relationship with both parents</w:t>
                      </w:r>
                    </w:p>
                    <w:p w14:paraId="5BF3116C" w14:textId="77777777" w:rsidR="006911EE" w:rsidRPr="00E002FA" w:rsidRDefault="006911EE" w:rsidP="006911EE">
                      <w:pPr>
                        <w:pStyle w:val="ListParagraph"/>
                        <w:numPr>
                          <w:ilvl w:val="0"/>
                          <w:numId w:val="16"/>
                        </w:numPr>
                        <w:spacing w:after="0"/>
                        <w:ind w:left="142" w:hanging="142"/>
                        <w:rPr>
                          <w:i/>
                          <w:sz w:val="18"/>
                        </w:rPr>
                      </w:pPr>
                      <w:r w:rsidRPr="00E002FA">
                        <w:rPr>
                          <w:i/>
                          <w:sz w:val="18"/>
                        </w:rPr>
                        <w:t>The need to protect the child from physical or psychological harm from abuse, neglect or family violence</w:t>
                      </w:r>
                    </w:p>
                    <w:p w14:paraId="16F04570" w14:textId="77777777" w:rsidR="006911EE" w:rsidRPr="00E002FA" w:rsidRDefault="006911EE" w:rsidP="006911EE">
                      <w:pPr>
                        <w:spacing w:after="0"/>
                        <w:rPr>
                          <w:rFonts w:eastAsiaTheme="minorHAnsi"/>
                          <w:b/>
                          <w:i/>
                          <w:sz w:val="18"/>
                          <w:szCs w:val="22"/>
                          <w:lang w:val="en-GB" w:eastAsia="en-US"/>
                        </w:rPr>
                      </w:pPr>
                      <w:r w:rsidRPr="00E002FA">
                        <w:rPr>
                          <w:rFonts w:eastAsiaTheme="minorHAnsi"/>
                          <w:b/>
                          <w:i/>
                          <w:sz w:val="18"/>
                          <w:szCs w:val="22"/>
                          <w:lang w:val="en-GB" w:eastAsia="en-US"/>
                        </w:rPr>
                        <w:t>Additional considerations:</w:t>
                      </w:r>
                    </w:p>
                    <w:p w14:paraId="1AA48E11"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 xml:space="preserve">The views of the child </w:t>
                      </w:r>
                    </w:p>
                    <w:p w14:paraId="35EAD461" w14:textId="77777777" w:rsidR="006911EE" w:rsidRDefault="006911EE" w:rsidP="006911EE">
                      <w:pPr>
                        <w:pStyle w:val="ListParagraph"/>
                        <w:numPr>
                          <w:ilvl w:val="0"/>
                          <w:numId w:val="7"/>
                        </w:numPr>
                        <w:ind w:left="142" w:hanging="142"/>
                        <w:rPr>
                          <w:i/>
                          <w:sz w:val="18"/>
                          <w:szCs w:val="22"/>
                        </w:rPr>
                      </w:pPr>
                      <w:r w:rsidRPr="00E002FA">
                        <w:rPr>
                          <w:i/>
                          <w:sz w:val="18"/>
                          <w:szCs w:val="22"/>
                        </w:rPr>
                        <w:t>The child’s relationships with each parent or any oth</w:t>
                      </w:r>
                      <w:r>
                        <w:rPr>
                          <w:i/>
                          <w:sz w:val="18"/>
                          <w:szCs w:val="22"/>
                        </w:rPr>
                        <w:t>er persons</w:t>
                      </w:r>
                    </w:p>
                    <w:p w14:paraId="0CE25B8B"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The parents</w:t>
                      </w:r>
                      <w:r>
                        <w:rPr>
                          <w:i/>
                          <w:sz w:val="18"/>
                          <w:szCs w:val="22"/>
                        </w:rPr>
                        <w:t>’</w:t>
                      </w:r>
                      <w:r w:rsidRPr="00E002FA">
                        <w:rPr>
                          <w:i/>
                          <w:sz w:val="18"/>
                          <w:szCs w:val="22"/>
                        </w:rPr>
                        <w:t xml:space="preserve"> attitudes and willingness to spend time with the child and participate in decision making </w:t>
                      </w:r>
                    </w:p>
                    <w:p w14:paraId="62DE8FDA" w14:textId="77777777" w:rsidR="006911EE" w:rsidRPr="006911EE" w:rsidRDefault="006911EE" w:rsidP="006911EE">
                      <w:pPr>
                        <w:pStyle w:val="ListParagraph"/>
                        <w:numPr>
                          <w:ilvl w:val="0"/>
                          <w:numId w:val="7"/>
                        </w:numPr>
                        <w:ind w:left="142" w:hanging="142"/>
                        <w:rPr>
                          <w:i/>
                          <w:sz w:val="18"/>
                          <w:szCs w:val="22"/>
                        </w:rPr>
                      </w:pPr>
                      <w:r w:rsidRPr="006911EE">
                        <w:rPr>
                          <w:i/>
                          <w:sz w:val="18"/>
                          <w:szCs w:val="22"/>
                        </w:rPr>
                        <w:t>The effects of any changes in the child’s life and</w:t>
                      </w:r>
                      <w:r>
                        <w:rPr>
                          <w:i/>
                          <w:sz w:val="18"/>
                          <w:szCs w:val="22"/>
                        </w:rPr>
                        <w:t xml:space="preserve"> a</w:t>
                      </w:r>
                      <w:r w:rsidRPr="006911EE">
                        <w:rPr>
                          <w:i/>
                          <w:sz w:val="18"/>
                          <w:szCs w:val="22"/>
                        </w:rPr>
                        <w:t xml:space="preserve">ny practical difficulties in spending time with a parent </w:t>
                      </w:r>
                    </w:p>
                    <w:p w14:paraId="0F418C6B" w14:textId="77777777" w:rsidR="006911EE" w:rsidRPr="006911EE" w:rsidRDefault="006911EE" w:rsidP="006911EE">
                      <w:pPr>
                        <w:pStyle w:val="ListParagraph"/>
                        <w:numPr>
                          <w:ilvl w:val="0"/>
                          <w:numId w:val="7"/>
                        </w:numPr>
                        <w:ind w:left="142" w:hanging="142"/>
                        <w:rPr>
                          <w:i/>
                          <w:sz w:val="18"/>
                          <w:szCs w:val="22"/>
                        </w:rPr>
                      </w:pPr>
                      <w:r w:rsidRPr="006911EE">
                        <w:rPr>
                          <w:i/>
                          <w:sz w:val="18"/>
                          <w:szCs w:val="22"/>
                        </w:rPr>
                        <w:t>The capacity of parents to provide for the child</w:t>
                      </w:r>
                      <w:r>
                        <w:rPr>
                          <w:i/>
                          <w:sz w:val="18"/>
                          <w:szCs w:val="22"/>
                        </w:rPr>
                        <w:t xml:space="preserve"> and t</w:t>
                      </w:r>
                      <w:r w:rsidRPr="006911EE">
                        <w:rPr>
                          <w:i/>
                          <w:sz w:val="18"/>
                          <w:szCs w:val="22"/>
                        </w:rPr>
                        <w:t>he maturity, sex, lifestyle and background of the child and parents</w:t>
                      </w:r>
                    </w:p>
                    <w:p w14:paraId="60B49FC3"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Any cultural considerations for an Aboriginal or Torres Strait Islander child</w:t>
                      </w:r>
                    </w:p>
                    <w:p w14:paraId="0C61F334" w14:textId="77777777" w:rsidR="006911EE" w:rsidRPr="006911EE" w:rsidRDefault="006911EE" w:rsidP="006911EE">
                      <w:pPr>
                        <w:pStyle w:val="ListParagraph"/>
                        <w:numPr>
                          <w:ilvl w:val="0"/>
                          <w:numId w:val="7"/>
                        </w:numPr>
                        <w:ind w:left="142" w:hanging="142"/>
                        <w:rPr>
                          <w:i/>
                          <w:sz w:val="18"/>
                          <w:szCs w:val="22"/>
                        </w:rPr>
                      </w:pPr>
                      <w:r w:rsidRPr="006911EE">
                        <w:rPr>
                          <w:i/>
                          <w:sz w:val="18"/>
                          <w:szCs w:val="22"/>
                        </w:rPr>
                        <w:t>Any family violence involving the child or members of the family and</w:t>
                      </w:r>
                      <w:r>
                        <w:rPr>
                          <w:i/>
                          <w:sz w:val="18"/>
                          <w:szCs w:val="22"/>
                        </w:rPr>
                        <w:t xml:space="preserve"> a</w:t>
                      </w:r>
                      <w:r w:rsidRPr="006911EE">
                        <w:rPr>
                          <w:i/>
                          <w:sz w:val="18"/>
                          <w:szCs w:val="22"/>
                        </w:rPr>
                        <w:t xml:space="preserve">ny family violence orders </w:t>
                      </w:r>
                    </w:p>
                    <w:p w14:paraId="24BBD2EE" w14:textId="77777777" w:rsidR="006911EE" w:rsidRPr="00E002FA" w:rsidRDefault="006911EE" w:rsidP="006911EE">
                      <w:pPr>
                        <w:pStyle w:val="ListParagraph"/>
                        <w:numPr>
                          <w:ilvl w:val="0"/>
                          <w:numId w:val="7"/>
                        </w:numPr>
                        <w:ind w:left="142" w:hanging="142"/>
                        <w:rPr>
                          <w:i/>
                          <w:sz w:val="18"/>
                          <w:szCs w:val="22"/>
                        </w:rPr>
                      </w:pPr>
                      <w:r w:rsidRPr="00E002FA">
                        <w:rPr>
                          <w:i/>
                          <w:sz w:val="18"/>
                          <w:szCs w:val="22"/>
                        </w:rPr>
                        <w:t xml:space="preserve">Preventing further proceedings </w:t>
                      </w:r>
                    </w:p>
                  </w:txbxContent>
                </v:textbox>
                <w10:anchorlock/>
              </v:shape>
            </w:pict>
          </mc:Fallback>
        </mc:AlternateContent>
      </w:r>
    </w:p>
    <w:p w14:paraId="2085B8D3" w14:textId="77777777" w:rsidR="00BE48EE" w:rsidRPr="00C73D06" w:rsidRDefault="00BE48EE" w:rsidP="00BE48EE">
      <w:pPr>
        <w:pStyle w:val="Heading4"/>
      </w:pPr>
      <w:r w:rsidRPr="00C73D06">
        <w:t xml:space="preserve">Requirements in the </w:t>
      </w:r>
      <w:r w:rsidRPr="00B64273">
        <w:t>Federal Circuit and Family Court of Australia (Family Law) Rules</w:t>
      </w:r>
    </w:p>
    <w:p w14:paraId="4510469A" w14:textId="77777777" w:rsidR="00BE48EE" w:rsidRDefault="00BE48EE" w:rsidP="00BE48EE">
      <w:pPr>
        <w:rPr>
          <w:szCs w:val="22"/>
        </w:rPr>
      </w:pPr>
      <w:r w:rsidRPr="00C73D06">
        <w:rPr>
          <w:szCs w:val="22"/>
        </w:rPr>
        <w:t xml:space="preserve">The </w:t>
      </w:r>
      <w:r w:rsidRPr="0058145A">
        <w:rPr>
          <w:rFonts w:cstheme="minorHAnsi"/>
          <w:i/>
          <w:szCs w:val="22"/>
        </w:rPr>
        <w:t>Federal Circuit and Family Court of Australia (Family Law) Rules</w:t>
      </w:r>
      <w:r>
        <w:rPr>
          <w:rFonts w:cstheme="minorHAnsi"/>
          <w:i/>
          <w:szCs w:val="22"/>
        </w:rPr>
        <w:t xml:space="preserve"> 2021</w:t>
      </w:r>
      <w:r w:rsidRPr="00C73D06" w:rsidDel="00B64273">
        <w:rPr>
          <w:rFonts w:cstheme="minorHAnsi"/>
          <w:i/>
        </w:rPr>
        <w:t xml:space="preserve"> </w:t>
      </w:r>
      <w:r w:rsidRPr="00C73D06">
        <w:rPr>
          <w:szCs w:val="22"/>
        </w:rPr>
        <w:t xml:space="preserve">provide that the court must identify the issues to be addressed in </w:t>
      </w:r>
      <w:r>
        <w:rPr>
          <w:szCs w:val="22"/>
        </w:rPr>
        <w:t>a</w:t>
      </w:r>
      <w:r w:rsidRPr="00C73D06">
        <w:rPr>
          <w:szCs w:val="22"/>
        </w:rPr>
        <w:t xml:space="preserve"> family report</w:t>
      </w:r>
      <w:r>
        <w:rPr>
          <w:szCs w:val="22"/>
        </w:rPr>
        <w:t xml:space="preserve"> prepared by a family consultant</w:t>
      </w:r>
      <w:r w:rsidRPr="00C73D06">
        <w:rPr>
          <w:szCs w:val="22"/>
        </w:rPr>
        <w:t>.</w:t>
      </w:r>
      <w:r w:rsidRPr="00C73D06">
        <w:rPr>
          <w:rStyle w:val="FootnoteReference"/>
          <w:szCs w:val="22"/>
        </w:rPr>
        <w:footnoteReference w:id="129"/>
      </w:r>
      <w:r w:rsidRPr="00C73D06">
        <w:rPr>
          <w:szCs w:val="22"/>
        </w:rPr>
        <w:t xml:space="preserve"> </w:t>
      </w:r>
    </w:p>
    <w:p w14:paraId="1C715485" w14:textId="77777777" w:rsidR="00BE48EE" w:rsidRPr="00C73D06" w:rsidRDefault="00BE48EE" w:rsidP="00BE48EE">
      <w:pPr>
        <w:spacing w:after="0"/>
        <w:rPr>
          <w:rFonts w:cstheme="minorHAnsi"/>
        </w:rPr>
      </w:pPr>
      <w:r>
        <w:rPr>
          <w:rFonts w:cstheme="minorHAnsi"/>
        </w:rPr>
        <w:t xml:space="preserve">The rules also outline requirements for reports prepared by single expert witnesses </w:t>
      </w:r>
      <w:r w:rsidRPr="00C73D06">
        <w:rPr>
          <w:rFonts w:cstheme="minorHAnsi"/>
        </w:rPr>
        <w:t xml:space="preserve">and include that </w:t>
      </w:r>
      <w:r w:rsidRPr="00C73D06">
        <w:rPr>
          <w:rFonts w:cstheme="minorHAnsi"/>
          <w:szCs w:val="22"/>
        </w:rPr>
        <w:t>the report must be in relation to a substantial issue in the case.</w:t>
      </w:r>
      <w:r w:rsidRPr="00C73D06">
        <w:rPr>
          <w:rStyle w:val="FootnoteReference"/>
          <w:rFonts w:cstheme="minorHAnsi"/>
          <w:szCs w:val="22"/>
        </w:rPr>
        <w:footnoteReference w:id="130"/>
      </w:r>
      <w:r w:rsidRPr="00C73D06">
        <w:rPr>
          <w:rFonts w:cstheme="minorHAnsi"/>
          <w:szCs w:val="22"/>
        </w:rPr>
        <w:t xml:space="preserve"> Specific requirements include that the report must: </w:t>
      </w:r>
    </w:p>
    <w:p w14:paraId="42C42C3C" w14:textId="77777777" w:rsidR="00BE48EE" w:rsidRPr="00C73D06" w:rsidRDefault="00BE48EE" w:rsidP="00BE48EE">
      <w:pPr>
        <w:pStyle w:val="BalloonText"/>
        <w:numPr>
          <w:ilvl w:val="0"/>
          <w:numId w:val="58"/>
        </w:numPr>
        <w:spacing w:line="259" w:lineRule="auto"/>
        <w:rPr>
          <w:rFonts w:asciiTheme="minorHAnsi" w:hAnsiTheme="minorHAnsi" w:cstheme="minorHAnsi"/>
          <w:sz w:val="22"/>
          <w:szCs w:val="22"/>
        </w:rPr>
      </w:pPr>
      <w:r w:rsidRPr="00C73D06">
        <w:rPr>
          <w:rFonts w:asciiTheme="minorHAnsi" w:hAnsiTheme="minorHAnsi" w:cstheme="minorHAnsi"/>
          <w:sz w:val="22"/>
          <w:szCs w:val="22"/>
        </w:rPr>
        <w:t>state the reasons for the expert witness’s conclusions</w:t>
      </w:r>
      <w:r>
        <w:rPr>
          <w:rFonts w:asciiTheme="minorHAnsi" w:hAnsiTheme="minorHAnsi" w:cstheme="minorHAnsi"/>
          <w:sz w:val="22"/>
          <w:szCs w:val="22"/>
        </w:rPr>
        <w:t>;</w:t>
      </w:r>
    </w:p>
    <w:p w14:paraId="7AE1E34B" w14:textId="77777777" w:rsidR="00BE48EE" w:rsidRPr="00C73D06" w:rsidRDefault="00BE48EE" w:rsidP="00BE48EE">
      <w:pPr>
        <w:pStyle w:val="NoSpacing"/>
        <w:numPr>
          <w:ilvl w:val="0"/>
          <w:numId w:val="58"/>
        </w:numPr>
        <w:spacing w:line="259" w:lineRule="auto"/>
        <w:jc w:val="both"/>
        <w:rPr>
          <w:rFonts w:cstheme="minorHAnsi"/>
          <w:sz w:val="22"/>
          <w:szCs w:val="22"/>
        </w:rPr>
      </w:pPr>
      <w:r w:rsidRPr="00C73D06">
        <w:rPr>
          <w:rFonts w:cstheme="minorHAnsi"/>
          <w:sz w:val="22"/>
          <w:szCs w:val="22"/>
        </w:rPr>
        <w:t>include a statement about the methodology used in the production of the report; and</w:t>
      </w:r>
    </w:p>
    <w:p w14:paraId="46D9AADC" w14:textId="77777777" w:rsidR="00BE48EE" w:rsidRPr="00C73D06" w:rsidRDefault="00BE48EE" w:rsidP="00BE48EE">
      <w:pPr>
        <w:pStyle w:val="ListParagraph"/>
        <w:numPr>
          <w:ilvl w:val="0"/>
          <w:numId w:val="58"/>
        </w:numPr>
        <w:spacing w:after="0"/>
        <w:rPr>
          <w:rFonts w:cstheme="minorHAnsi"/>
          <w:szCs w:val="22"/>
        </w:rPr>
      </w:pPr>
      <w:r w:rsidRPr="00C73D06">
        <w:rPr>
          <w:rFonts w:cstheme="minorHAnsi"/>
          <w:szCs w:val="22"/>
        </w:rPr>
        <w:t>include the following in support of the expert witness’s conclusions:</w:t>
      </w:r>
    </w:p>
    <w:p w14:paraId="277C8214" w14:textId="77777777" w:rsidR="00BE48EE" w:rsidRPr="00E76003" w:rsidRDefault="00BE48EE" w:rsidP="00BE48EE">
      <w:pPr>
        <w:pStyle w:val="ListParagraph"/>
        <w:numPr>
          <w:ilvl w:val="1"/>
          <w:numId w:val="60"/>
        </w:numPr>
      </w:pPr>
      <w:r w:rsidRPr="00E76003">
        <w:t>the expert witnesses qualifications;</w:t>
      </w:r>
    </w:p>
    <w:p w14:paraId="6E971008" w14:textId="77777777" w:rsidR="00BE48EE" w:rsidRPr="00E76003" w:rsidRDefault="00BE48EE" w:rsidP="00BE48EE">
      <w:pPr>
        <w:pStyle w:val="ListParagraph"/>
        <w:numPr>
          <w:ilvl w:val="1"/>
          <w:numId w:val="60"/>
        </w:numPr>
      </w:pPr>
      <w:r w:rsidRPr="00E76003">
        <w:t>the literature or other material used in making the report;</w:t>
      </w:r>
    </w:p>
    <w:p w14:paraId="344EE9C9" w14:textId="77777777" w:rsidR="00BE48EE" w:rsidRPr="00E76003" w:rsidRDefault="00BE48EE" w:rsidP="00BE48EE">
      <w:pPr>
        <w:pStyle w:val="ListParagraph"/>
        <w:numPr>
          <w:ilvl w:val="1"/>
          <w:numId w:val="60"/>
        </w:numPr>
      </w:pPr>
      <w:r w:rsidRPr="00E76003">
        <w:t>the relevant facts, matters and assumptions on which the opinions in the report are based;</w:t>
      </w:r>
    </w:p>
    <w:p w14:paraId="526B86A1" w14:textId="77777777" w:rsidR="00BE48EE" w:rsidRPr="00E76003" w:rsidRDefault="00BE48EE" w:rsidP="00BE48EE">
      <w:pPr>
        <w:pStyle w:val="ListParagraph"/>
        <w:numPr>
          <w:ilvl w:val="1"/>
          <w:numId w:val="60"/>
        </w:numPr>
      </w:pPr>
      <w:r w:rsidRPr="00E76003">
        <w:t>a statement about the facts in the report that are within the expert’s knowledge;</w:t>
      </w:r>
    </w:p>
    <w:p w14:paraId="0218BAB0" w14:textId="77777777" w:rsidR="00BE48EE" w:rsidRPr="00E76003" w:rsidRDefault="00BE48EE" w:rsidP="00BE48EE">
      <w:pPr>
        <w:pStyle w:val="ListParagraph"/>
        <w:numPr>
          <w:ilvl w:val="1"/>
          <w:numId w:val="60"/>
        </w:numPr>
      </w:pPr>
      <w:r w:rsidRPr="00E76003">
        <w:lastRenderedPageBreak/>
        <w:t>details about any tests, experiments, examinations or investigations relied on by the expert witness and, if carried out by another person, details of that persons qualifications and experience;</w:t>
      </w:r>
    </w:p>
    <w:p w14:paraId="09BEB082" w14:textId="77777777" w:rsidR="00BE48EE" w:rsidRPr="00E76003" w:rsidRDefault="00BE48EE" w:rsidP="00BE48EE">
      <w:pPr>
        <w:pStyle w:val="ListParagraph"/>
        <w:numPr>
          <w:ilvl w:val="1"/>
          <w:numId w:val="60"/>
        </w:numPr>
      </w:pPr>
      <w:r w:rsidRPr="00E76003">
        <w:t>if there is a range of opinion, a summary of these opinions and the basis of the expert witness’s opinion;</w:t>
      </w:r>
    </w:p>
    <w:p w14:paraId="7386120A" w14:textId="77777777" w:rsidR="00BE48EE" w:rsidRPr="00E76003" w:rsidRDefault="00BE48EE" w:rsidP="00BE48EE">
      <w:pPr>
        <w:pStyle w:val="ListParagraph"/>
        <w:numPr>
          <w:ilvl w:val="1"/>
          <w:numId w:val="60"/>
        </w:numPr>
      </w:pPr>
      <w:r w:rsidRPr="00E76003">
        <w:t>a summary of the conclusions reached;</w:t>
      </w:r>
    </w:p>
    <w:p w14:paraId="796EFDE9" w14:textId="77777777" w:rsidR="00BE48EE" w:rsidRPr="00E76003" w:rsidRDefault="00BE48EE" w:rsidP="00BE48EE">
      <w:pPr>
        <w:pStyle w:val="ListParagraph"/>
        <w:numPr>
          <w:ilvl w:val="1"/>
          <w:numId w:val="60"/>
        </w:numPr>
      </w:pPr>
      <w:r w:rsidRPr="00E76003">
        <w:t>if necessary, a disclosure that:</w:t>
      </w:r>
    </w:p>
    <w:p w14:paraId="320FC11E" w14:textId="77777777" w:rsidR="00BE48EE" w:rsidRPr="00E76003" w:rsidRDefault="00BE48EE" w:rsidP="00BE48EE">
      <w:pPr>
        <w:pStyle w:val="ListParagraph"/>
        <w:numPr>
          <w:ilvl w:val="2"/>
          <w:numId w:val="63"/>
        </w:numPr>
      </w:pPr>
      <w:r w:rsidRPr="00E76003">
        <w:t>a particular question or issue falls outside the expert witness’s expertise;</w:t>
      </w:r>
    </w:p>
    <w:p w14:paraId="21705DEA" w14:textId="77777777" w:rsidR="00BE48EE" w:rsidRDefault="00BE48EE" w:rsidP="00BE48EE">
      <w:pPr>
        <w:pStyle w:val="ListParagraph"/>
        <w:numPr>
          <w:ilvl w:val="2"/>
          <w:numId w:val="63"/>
        </w:numPr>
      </w:pPr>
      <w:r w:rsidRPr="00E76003">
        <w:t>the report may be incomplete or inaccurate without some qualification and the details of the qualification; or</w:t>
      </w:r>
    </w:p>
    <w:p w14:paraId="6ECF8E75" w14:textId="77777777" w:rsidR="00BE48EE" w:rsidRDefault="00BE48EE" w:rsidP="00BE48EE">
      <w:pPr>
        <w:pStyle w:val="ListParagraph"/>
        <w:numPr>
          <w:ilvl w:val="2"/>
          <w:numId w:val="63"/>
        </w:numPr>
      </w:pPr>
      <w:r w:rsidRPr="00E76003">
        <w:t>the expert witness’s opinion is not a concluded opinion because further research or data is required or because of any other reason.</w:t>
      </w:r>
      <w:r w:rsidRPr="00E76003">
        <w:rPr>
          <w:vertAlign w:val="superscript"/>
        </w:rPr>
        <w:footnoteReference w:id="131"/>
      </w:r>
      <w:r w:rsidRPr="00E76003">
        <w:rPr>
          <w:vertAlign w:val="superscript"/>
        </w:rPr>
        <w:t xml:space="preserve"> </w:t>
      </w:r>
    </w:p>
    <w:p w14:paraId="2B98FE0A" w14:textId="77777777" w:rsidR="00BE48EE" w:rsidRPr="00C73D06" w:rsidRDefault="00BE48EE" w:rsidP="00BE48EE">
      <w:pPr>
        <w:pStyle w:val="Heading4"/>
        <w:rPr>
          <w:sz w:val="24"/>
        </w:rPr>
      </w:pPr>
      <w:r w:rsidRPr="00C73D06">
        <w:rPr>
          <w:sz w:val="24"/>
        </w:rPr>
        <w:t xml:space="preserve">Requirements in the </w:t>
      </w:r>
      <w:r w:rsidRPr="00C73D06">
        <w:t>A</w:t>
      </w:r>
      <w:r w:rsidRPr="00C73D06">
        <w:rPr>
          <w:rStyle w:val="Heading4Char"/>
        </w:rPr>
        <w:t>u</w:t>
      </w:r>
      <w:r w:rsidRPr="00C73D06">
        <w:t>stralian Standards of Practice for Family Assessments and Reporting</w:t>
      </w:r>
    </w:p>
    <w:p w14:paraId="27568FE3" w14:textId="77777777" w:rsidR="00BE48EE" w:rsidRPr="00C73D06" w:rsidRDefault="00BE48EE" w:rsidP="00BE48EE">
      <w:pPr>
        <w:spacing w:after="0"/>
        <w:rPr>
          <w:szCs w:val="22"/>
        </w:rPr>
      </w:pPr>
      <w:r w:rsidRPr="00C73D06">
        <w:rPr>
          <w:szCs w:val="22"/>
        </w:rPr>
        <w:t>The</w:t>
      </w:r>
      <w:r w:rsidRPr="00C73D06">
        <w:rPr>
          <w:b/>
          <w:szCs w:val="22"/>
        </w:rPr>
        <w:t xml:space="preserve"> </w:t>
      </w:r>
      <w:r w:rsidRPr="00C73D06">
        <w:rPr>
          <w:szCs w:val="22"/>
        </w:rPr>
        <w:t xml:space="preserve">Standards </w:t>
      </w:r>
      <w:r>
        <w:rPr>
          <w:szCs w:val="22"/>
        </w:rPr>
        <w:t>were</w:t>
      </w:r>
      <w:r w:rsidRPr="00C73D06">
        <w:rPr>
          <w:szCs w:val="22"/>
        </w:rPr>
        <w:t xml:space="preserve"> endorsed by all family courts – the Family Court of Australia</w:t>
      </w:r>
      <w:r>
        <w:rPr>
          <w:szCs w:val="22"/>
        </w:rPr>
        <w:t xml:space="preserve"> and</w:t>
      </w:r>
      <w:r w:rsidRPr="00C73D06">
        <w:rPr>
          <w:szCs w:val="22"/>
        </w:rPr>
        <w:t xml:space="preserve"> Federal Circuit Court</w:t>
      </w:r>
      <w:r>
        <w:rPr>
          <w:szCs w:val="22"/>
        </w:rPr>
        <w:t xml:space="preserve"> of Australia (now known as the Federal Circuit and Family Court of Australia) </w:t>
      </w:r>
      <w:r w:rsidRPr="00C73D06">
        <w:rPr>
          <w:szCs w:val="22"/>
        </w:rPr>
        <w:t>and Family Court of Western Australia</w:t>
      </w:r>
      <w:r>
        <w:rPr>
          <w:szCs w:val="22"/>
        </w:rPr>
        <w:t xml:space="preserve"> –</w:t>
      </w:r>
      <w:r w:rsidRPr="00C73D06">
        <w:rPr>
          <w:szCs w:val="22"/>
        </w:rPr>
        <w:t xml:space="preserve"> and</w:t>
      </w:r>
      <w:r>
        <w:rPr>
          <w:szCs w:val="22"/>
        </w:rPr>
        <w:t xml:space="preserve"> </w:t>
      </w:r>
      <w:r w:rsidRPr="00C73D06">
        <w:rPr>
          <w:szCs w:val="22"/>
        </w:rPr>
        <w:t xml:space="preserve"> provide guidance to all family report writers (family consultants and single expert witnesses), family reports and family assessments.</w:t>
      </w:r>
      <w:r w:rsidRPr="00C73D06">
        <w:rPr>
          <w:rStyle w:val="FootnoteReference"/>
          <w:szCs w:val="22"/>
        </w:rPr>
        <w:footnoteReference w:id="132"/>
      </w:r>
      <w:r w:rsidRPr="00C73D06">
        <w:rPr>
          <w:szCs w:val="22"/>
        </w:rPr>
        <w:t xml:space="preserve"> The Standards are detailed, exceed thirty pages and are not legally binding. The Standards require family reports to cover:</w:t>
      </w:r>
    </w:p>
    <w:p w14:paraId="3EDAD187" w14:textId="77777777" w:rsidR="00BE48EE" w:rsidRPr="00C73D06" w:rsidRDefault="00BE48EE" w:rsidP="00BE48EE">
      <w:pPr>
        <w:pStyle w:val="ListParagraph"/>
        <w:numPr>
          <w:ilvl w:val="0"/>
          <w:numId w:val="5"/>
        </w:numPr>
        <w:rPr>
          <w:rFonts w:cstheme="minorHAnsi"/>
          <w:szCs w:val="22"/>
        </w:rPr>
      </w:pPr>
      <w:r>
        <w:rPr>
          <w:szCs w:val="22"/>
        </w:rPr>
        <w:t>T</w:t>
      </w:r>
      <w:r w:rsidRPr="00C73D06">
        <w:rPr>
          <w:szCs w:val="22"/>
        </w:rPr>
        <w:t xml:space="preserve">he views </w:t>
      </w:r>
      <w:r w:rsidRPr="00C73D06">
        <w:rPr>
          <w:rFonts w:cstheme="minorHAnsi"/>
          <w:szCs w:val="22"/>
        </w:rPr>
        <w:t xml:space="preserve">of children, how the views were obtained, the weight given to </w:t>
      </w:r>
      <w:r>
        <w:rPr>
          <w:rFonts w:cstheme="minorHAnsi"/>
          <w:szCs w:val="22"/>
        </w:rPr>
        <w:t xml:space="preserve">the </w:t>
      </w:r>
      <w:r w:rsidRPr="00C73D06">
        <w:rPr>
          <w:rFonts w:cstheme="minorHAnsi"/>
          <w:szCs w:val="22"/>
        </w:rPr>
        <w:t>child’s statements and perceptions and their maturity to independently express such views.</w:t>
      </w:r>
    </w:p>
    <w:p w14:paraId="6BA50E9E" w14:textId="77777777" w:rsidR="00BE48EE" w:rsidRPr="00C73D06" w:rsidRDefault="00BE48EE" w:rsidP="00BE48EE">
      <w:pPr>
        <w:pStyle w:val="ListParagraph"/>
        <w:numPr>
          <w:ilvl w:val="0"/>
          <w:numId w:val="5"/>
        </w:numPr>
        <w:rPr>
          <w:rFonts w:cstheme="minorHAnsi"/>
          <w:szCs w:val="22"/>
        </w:rPr>
      </w:pPr>
      <w:r>
        <w:rPr>
          <w:rFonts w:cstheme="minorHAnsi"/>
          <w:szCs w:val="22"/>
        </w:rPr>
        <w:t>I</w:t>
      </w:r>
      <w:r w:rsidRPr="00C73D06">
        <w:rPr>
          <w:rFonts w:cstheme="minorHAnsi"/>
          <w:szCs w:val="22"/>
        </w:rPr>
        <w:t>ndividual assessments of each child as an individual, in a family setting including sibling relationships and all caregivers, and in the broader social environment.</w:t>
      </w:r>
    </w:p>
    <w:p w14:paraId="362EB6CA" w14:textId="77777777" w:rsidR="00BE48EE" w:rsidRPr="00C73D06" w:rsidRDefault="00BE48EE" w:rsidP="00BE48EE">
      <w:pPr>
        <w:pStyle w:val="ListParagraph"/>
        <w:numPr>
          <w:ilvl w:val="0"/>
          <w:numId w:val="5"/>
        </w:numPr>
        <w:rPr>
          <w:rFonts w:cstheme="minorHAnsi"/>
          <w:szCs w:val="22"/>
        </w:rPr>
      </w:pPr>
      <w:r>
        <w:rPr>
          <w:rFonts w:cstheme="minorHAnsi"/>
          <w:szCs w:val="22"/>
        </w:rPr>
        <w:t>A</w:t>
      </w:r>
      <w:r w:rsidRPr="00C73D06">
        <w:rPr>
          <w:rFonts w:cstheme="minorHAnsi"/>
          <w:szCs w:val="22"/>
        </w:rPr>
        <w:t>ssessment of relationships between each child and all adults who perform a caretaking role with the child including the capacity of the parent to relate to and manage the child.</w:t>
      </w:r>
    </w:p>
    <w:p w14:paraId="392732BC" w14:textId="77777777" w:rsidR="00BE48EE" w:rsidRPr="00C73D06" w:rsidRDefault="00BE48EE" w:rsidP="00BE48EE">
      <w:pPr>
        <w:pStyle w:val="ListParagraph"/>
        <w:numPr>
          <w:ilvl w:val="0"/>
          <w:numId w:val="5"/>
        </w:numPr>
        <w:rPr>
          <w:rFonts w:cstheme="minorHAnsi"/>
          <w:szCs w:val="22"/>
        </w:rPr>
      </w:pPr>
      <w:r>
        <w:rPr>
          <w:rFonts w:cstheme="minorHAnsi"/>
          <w:szCs w:val="22"/>
        </w:rPr>
        <w:t>A</w:t>
      </w:r>
      <w:r w:rsidRPr="00C73D06">
        <w:rPr>
          <w:rFonts w:cstheme="minorHAnsi"/>
          <w:szCs w:val="22"/>
        </w:rPr>
        <w:t>n expert family violence assessment where family violence is identified as an issue.</w:t>
      </w:r>
    </w:p>
    <w:p w14:paraId="2FD2177C" w14:textId="77777777" w:rsidR="00BE48EE" w:rsidRPr="00C73D06" w:rsidRDefault="00BE48EE" w:rsidP="00BE48EE">
      <w:pPr>
        <w:pStyle w:val="ListParagraph"/>
        <w:numPr>
          <w:ilvl w:val="0"/>
          <w:numId w:val="5"/>
        </w:numPr>
        <w:rPr>
          <w:rFonts w:cstheme="minorHAnsi"/>
          <w:szCs w:val="22"/>
        </w:rPr>
      </w:pPr>
      <w:r>
        <w:rPr>
          <w:rFonts w:cstheme="minorHAnsi"/>
          <w:szCs w:val="22"/>
        </w:rPr>
        <w:t>R</w:t>
      </w:r>
      <w:r w:rsidRPr="00C73D06">
        <w:rPr>
          <w:rFonts w:cstheme="minorHAnsi"/>
          <w:szCs w:val="22"/>
        </w:rPr>
        <w:t>eferences to research that supports and does not support assessments.</w:t>
      </w:r>
    </w:p>
    <w:p w14:paraId="29DBCAF0" w14:textId="77777777" w:rsidR="00BE48EE" w:rsidRPr="00C73D06" w:rsidRDefault="00BE48EE" w:rsidP="00BE48EE">
      <w:pPr>
        <w:pStyle w:val="ListParagraph"/>
        <w:numPr>
          <w:ilvl w:val="0"/>
          <w:numId w:val="5"/>
        </w:numPr>
        <w:rPr>
          <w:rFonts w:cstheme="minorHAnsi"/>
          <w:szCs w:val="22"/>
        </w:rPr>
      </w:pPr>
      <w:r>
        <w:rPr>
          <w:rFonts w:cstheme="minorHAnsi"/>
          <w:szCs w:val="22"/>
        </w:rPr>
        <w:t>A</w:t>
      </w:r>
      <w:r w:rsidRPr="00C73D06">
        <w:rPr>
          <w:rFonts w:cstheme="minorHAnsi"/>
          <w:szCs w:val="22"/>
        </w:rPr>
        <w:t xml:space="preserve">ssessment of any cultural </w:t>
      </w:r>
      <w:r>
        <w:rPr>
          <w:rFonts w:cstheme="minorHAnsi"/>
          <w:szCs w:val="22"/>
        </w:rPr>
        <w:t>considerations.</w:t>
      </w:r>
    </w:p>
    <w:p w14:paraId="70051953" w14:textId="77777777" w:rsidR="00BE48EE" w:rsidRPr="00C73D06" w:rsidRDefault="00BE48EE" w:rsidP="00BE48EE">
      <w:pPr>
        <w:pStyle w:val="ListParagraph"/>
        <w:numPr>
          <w:ilvl w:val="0"/>
          <w:numId w:val="5"/>
        </w:numPr>
        <w:rPr>
          <w:rFonts w:cstheme="minorHAnsi"/>
          <w:szCs w:val="22"/>
        </w:rPr>
      </w:pPr>
      <w:r>
        <w:rPr>
          <w:rFonts w:cstheme="minorHAnsi"/>
          <w:szCs w:val="22"/>
        </w:rPr>
        <w:t>A</w:t>
      </w:r>
      <w:r w:rsidRPr="00C73D06">
        <w:rPr>
          <w:rFonts w:cstheme="minorHAnsi"/>
          <w:szCs w:val="22"/>
        </w:rPr>
        <w:t>ssessment of the level and nature of risks to the welfare of children.</w:t>
      </w:r>
    </w:p>
    <w:p w14:paraId="0EA97194" w14:textId="77777777" w:rsidR="00BE48EE" w:rsidRPr="00C73D06" w:rsidRDefault="00BE48EE" w:rsidP="00BE48EE">
      <w:pPr>
        <w:pStyle w:val="ListParagraph"/>
        <w:numPr>
          <w:ilvl w:val="0"/>
          <w:numId w:val="5"/>
        </w:numPr>
        <w:rPr>
          <w:rFonts w:cstheme="minorHAnsi"/>
          <w:szCs w:val="22"/>
        </w:rPr>
      </w:pPr>
      <w:r>
        <w:rPr>
          <w:rFonts w:cstheme="minorHAnsi"/>
          <w:szCs w:val="22"/>
        </w:rPr>
        <w:t>R</w:t>
      </w:r>
      <w:r w:rsidRPr="00C73D06">
        <w:rPr>
          <w:rFonts w:cstheme="minorHAnsi"/>
          <w:szCs w:val="22"/>
        </w:rPr>
        <w:t>ecommendations on long term parenting arrangements.</w:t>
      </w:r>
    </w:p>
    <w:p w14:paraId="1576E7F3" w14:textId="77777777" w:rsidR="00BE48EE" w:rsidRPr="00C73D06" w:rsidRDefault="00BE48EE" w:rsidP="00BE48EE">
      <w:pPr>
        <w:pStyle w:val="ListParagraph"/>
        <w:numPr>
          <w:ilvl w:val="0"/>
          <w:numId w:val="5"/>
        </w:numPr>
        <w:rPr>
          <w:rFonts w:cstheme="minorHAnsi"/>
          <w:szCs w:val="22"/>
        </w:rPr>
      </w:pPr>
      <w:r>
        <w:rPr>
          <w:rFonts w:cstheme="minorHAnsi"/>
          <w:szCs w:val="22"/>
        </w:rPr>
        <w:t>O</w:t>
      </w:r>
      <w:r w:rsidRPr="00C73D06">
        <w:rPr>
          <w:rFonts w:cstheme="minorHAnsi"/>
          <w:szCs w:val="22"/>
        </w:rPr>
        <w:t>pinions and evidence about the personality characteristics of an individual.</w:t>
      </w:r>
    </w:p>
    <w:p w14:paraId="0DAD1D10" w14:textId="77777777" w:rsidR="00BE48EE" w:rsidRPr="00C73D06" w:rsidRDefault="00BE48EE" w:rsidP="00BE48EE">
      <w:pPr>
        <w:pStyle w:val="ListParagraph"/>
        <w:numPr>
          <w:ilvl w:val="0"/>
          <w:numId w:val="5"/>
        </w:numPr>
        <w:rPr>
          <w:rFonts w:cstheme="minorHAnsi"/>
          <w:szCs w:val="22"/>
        </w:rPr>
      </w:pPr>
      <w:r>
        <w:rPr>
          <w:rFonts w:cstheme="minorHAnsi"/>
          <w:szCs w:val="22"/>
        </w:rPr>
        <w:t>T</w:t>
      </w:r>
      <w:r w:rsidRPr="00C73D06">
        <w:rPr>
          <w:rFonts w:cstheme="minorHAnsi"/>
          <w:szCs w:val="22"/>
        </w:rPr>
        <w:t>he particulars of qualifications and experience of the assessor.</w:t>
      </w:r>
    </w:p>
    <w:p w14:paraId="4540A2BD" w14:textId="77777777" w:rsidR="00BE48EE" w:rsidRPr="00C73D06" w:rsidRDefault="00BE48EE" w:rsidP="00BE48EE">
      <w:pPr>
        <w:rPr>
          <w:szCs w:val="22"/>
        </w:rPr>
      </w:pPr>
      <w:r w:rsidRPr="00C73D06">
        <w:rPr>
          <w:szCs w:val="22"/>
        </w:rPr>
        <w:t>The Standards</w:t>
      </w:r>
      <w:r w:rsidRPr="00C73D06">
        <w:rPr>
          <w:b/>
          <w:szCs w:val="22"/>
        </w:rPr>
        <w:t xml:space="preserve"> </w:t>
      </w:r>
      <w:r w:rsidRPr="00C73D06">
        <w:rPr>
          <w:szCs w:val="22"/>
        </w:rPr>
        <w:t xml:space="preserve">also prescribe the methodology and approach that can be used, including that family assessors should strive to use multiple data gathering methods in order to increase accuracy and objectivity, that they conduct interviews and spend sufficient time with significant people, what and when they may communicate with parties and third parties and when they may not. </w:t>
      </w:r>
    </w:p>
    <w:p w14:paraId="5BB001C7" w14:textId="77777777" w:rsidR="00BE48EE" w:rsidRPr="00C73D06" w:rsidRDefault="00BE48EE" w:rsidP="00BE48EE">
      <w:pPr>
        <w:pStyle w:val="Heading4"/>
      </w:pPr>
      <w:r w:rsidRPr="00C73D06">
        <w:t>Requirements in the Professional Directions and Practice Guidelines for Family Report Writers</w:t>
      </w:r>
    </w:p>
    <w:p w14:paraId="0A411653" w14:textId="77777777" w:rsidR="00BE48EE" w:rsidRPr="00E002FA" w:rsidRDefault="00BE48EE" w:rsidP="00BE48EE">
      <w:pPr>
        <w:rPr>
          <w:rFonts w:cstheme="minorHAnsi"/>
          <w:szCs w:val="22"/>
        </w:rPr>
        <w:sectPr w:rsidR="00BE48EE" w:rsidRPr="00E002FA" w:rsidSect="00E002FA">
          <w:type w:val="continuous"/>
          <w:pgSz w:w="12240" w:h="15840"/>
          <w:pgMar w:top="532" w:right="964" w:bottom="964" w:left="964" w:header="142" w:footer="709" w:gutter="0"/>
          <w:cols w:space="708"/>
          <w:docGrid w:linePitch="360"/>
        </w:sectPr>
      </w:pPr>
      <w:r>
        <w:rPr>
          <w:rFonts w:cstheme="minorHAnsi"/>
          <w:szCs w:val="22"/>
        </w:rPr>
        <w:t>CCS</w:t>
      </w:r>
      <w:r w:rsidRPr="00C73D06">
        <w:rPr>
          <w:rFonts w:cstheme="minorHAnsi"/>
          <w:szCs w:val="22"/>
        </w:rPr>
        <w:t xml:space="preserve"> also provide Professional Directions and Practice Guidelines for family reports which are made available to their family consultants (in-house and regulation 7 appointments). These cover issues </w:t>
      </w:r>
      <w:r>
        <w:rPr>
          <w:rFonts w:cstheme="minorHAnsi"/>
          <w:szCs w:val="22"/>
        </w:rPr>
        <w:t>including</w:t>
      </w:r>
      <w:r w:rsidRPr="00C73D06">
        <w:rPr>
          <w:rFonts w:cstheme="minorHAnsi"/>
          <w:szCs w:val="22"/>
        </w:rPr>
        <w:t xml:space="preserve"> the content of family </w:t>
      </w:r>
      <w:r w:rsidRPr="00C73D06">
        <w:rPr>
          <w:rFonts w:cstheme="minorHAnsi"/>
          <w:szCs w:val="22"/>
        </w:rPr>
        <w:lastRenderedPageBreak/>
        <w:t>reports, and include requirements such as: culture is recognised and considered, risk factors alleged by parties or identified by the family consultant must be included and at a minimum provide commentary on family violence, child safety and wellbeing, drugs and alcohol, and mental health.</w:t>
      </w:r>
      <w:r w:rsidRPr="00E002FA">
        <w:rPr>
          <w:rFonts w:cstheme="minorHAnsi"/>
          <w:szCs w:val="22"/>
        </w:rPr>
        <w:t xml:space="preserve"> </w:t>
      </w:r>
    </w:p>
    <w:p w14:paraId="19617973" w14:textId="0EA27B8C" w:rsidR="008168AA" w:rsidRPr="00BE48EE" w:rsidRDefault="00EA301D" w:rsidP="00BE48EE">
      <w:pPr>
        <w:rPr>
          <w:rFonts w:cstheme="minorHAnsi"/>
          <w:sz w:val="24"/>
          <w:szCs w:val="22"/>
        </w:rPr>
      </w:pPr>
      <w:r w:rsidRPr="00BE48EE">
        <w:t xml:space="preserve"> </w:t>
      </w:r>
    </w:p>
    <w:sectPr w:rsidR="008168AA" w:rsidRPr="00BE48EE" w:rsidSect="00E002FA">
      <w:footerReference w:type="default" r:id="rId12"/>
      <w:type w:val="continuous"/>
      <w:pgSz w:w="12240" w:h="15840"/>
      <w:pgMar w:top="532" w:right="964" w:bottom="964" w:left="96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12A4" w14:textId="77777777" w:rsidR="007D4508" w:rsidRDefault="007D4508" w:rsidP="006150CB">
      <w:r>
        <w:separator/>
      </w:r>
    </w:p>
  </w:endnote>
  <w:endnote w:type="continuationSeparator" w:id="0">
    <w:p w14:paraId="5C307CA8" w14:textId="77777777" w:rsidR="007D4508" w:rsidRDefault="007D4508"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roy Bold">
    <w:altName w:val="Gilroy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383643"/>
      <w:docPartObj>
        <w:docPartGallery w:val="Page Numbers (Bottom of Page)"/>
        <w:docPartUnique/>
      </w:docPartObj>
    </w:sdtPr>
    <w:sdtEndPr>
      <w:rPr>
        <w:noProof/>
      </w:rPr>
    </w:sdtEndPr>
    <w:sdtContent>
      <w:p w14:paraId="0E2AD97E" w14:textId="77777777" w:rsidR="00BE48EE" w:rsidRDefault="00BE48EE">
        <w:pPr>
          <w:pStyle w:val="Footer"/>
          <w:jc w:val="center"/>
        </w:pPr>
        <w:r>
          <w:fldChar w:fldCharType="begin"/>
        </w:r>
        <w:r>
          <w:instrText xml:space="preserve"> PAGE   \* MERGEFORMAT </w:instrText>
        </w:r>
        <w:r>
          <w:fldChar w:fldCharType="separate"/>
        </w:r>
        <w:r w:rsidR="00BF6FF2">
          <w:rPr>
            <w:noProof/>
          </w:rPr>
          <w:t>1</w:t>
        </w:r>
        <w:r>
          <w:rPr>
            <w:noProof/>
          </w:rPr>
          <w:fldChar w:fldCharType="end"/>
        </w:r>
      </w:p>
    </w:sdtContent>
  </w:sdt>
  <w:p w14:paraId="1CE681C7" w14:textId="77777777" w:rsidR="00BE48EE" w:rsidRPr="00453257" w:rsidRDefault="00BE48EE" w:rsidP="00394664">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1ACA" w14:textId="77777777" w:rsidR="00BE48EE" w:rsidRPr="00F65D4D" w:rsidRDefault="00BE48EE">
    <w:pPr>
      <w:pStyle w:val="Footer"/>
      <w:jc w:val="right"/>
      <w:rPr>
        <w:rFonts w:asciiTheme="majorHAnsi" w:eastAsiaTheme="majorEastAsia" w:hAnsiTheme="majorHAnsi" w:cstheme="majorBidi"/>
        <w:sz w:val="40"/>
        <w:szCs w:val="40"/>
      </w:rPr>
    </w:pPr>
    <w:r w:rsidRPr="00F65D4D">
      <w:rPr>
        <w:rFonts w:cs="Times New Roman"/>
        <w:spacing w:val="60"/>
        <w:szCs w:val="22"/>
      </w:rPr>
      <w:t>Page</w:t>
    </w:r>
    <w:r w:rsidRPr="00F65D4D">
      <w:rPr>
        <w:rFonts w:cs="Times New Roman"/>
        <w:szCs w:val="22"/>
      </w:rPr>
      <w:t xml:space="preserve"> | </w:t>
    </w:r>
    <w:r w:rsidRPr="00F65D4D">
      <w:rPr>
        <w:rFonts w:cs="Times New Roman"/>
        <w:szCs w:val="22"/>
      </w:rPr>
      <w:fldChar w:fldCharType="begin"/>
    </w:r>
    <w:r w:rsidRPr="00F65D4D">
      <w:rPr>
        <w:rFonts w:cs="Times New Roman"/>
        <w:szCs w:val="22"/>
      </w:rPr>
      <w:instrText xml:space="preserve"> PAGE   \* MERGEFORMAT </w:instrText>
    </w:r>
    <w:r w:rsidRPr="00F65D4D">
      <w:rPr>
        <w:rFonts w:cs="Times New Roman"/>
        <w:szCs w:val="22"/>
      </w:rPr>
      <w:fldChar w:fldCharType="separate"/>
    </w:r>
    <w:r w:rsidR="00BF6FF2" w:rsidRPr="00BF6FF2">
      <w:rPr>
        <w:rFonts w:cs="Times New Roman"/>
        <w:b/>
        <w:bCs/>
        <w:noProof/>
        <w:sz w:val="21"/>
        <w:szCs w:val="22"/>
      </w:rPr>
      <w:t>2</w:t>
    </w:r>
    <w:r w:rsidRPr="00F65D4D">
      <w:rPr>
        <w:rFonts w:cs="Times New Roman"/>
        <w:b/>
        <w:bCs/>
        <w:noProof/>
        <w:szCs w:val="22"/>
      </w:rPr>
      <w:fldChar w:fldCharType="end"/>
    </w:r>
  </w:p>
  <w:p w14:paraId="0809AE86" w14:textId="77777777" w:rsidR="00BE48EE" w:rsidRDefault="00BE48EE" w:rsidP="00615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9F22" w14:textId="77777777" w:rsidR="00BE48EE" w:rsidRDefault="00BE48EE">
    <w:pPr>
      <w:pStyle w:val="Footer"/>
      <w:jc w:val="right"/>
      <w:rPr>
        <w:rFonts w:asciiTheme="majorHAnsi" w:eastAsiaTheme="majorEastAsia" w:hAnsiTheme="majorHAnsi" w:cstheme="majorBidi"/>
        <w:color w:val="4F81BD" w:themeColor="accent1"/>
        <w:sz w:val="40"/>
        <w:szCs w:val="40"/>
      </w:rPr>
    </w:pPr>
    <w:r w:rsidRPr="00F65D4D">
      <w:rPr>
        <w:rFonts w:cs="Times New Roman"/>
        <w:spacing w:val="60"/>
        <w:szCs w:val="22"/>
      </w:rPr>
      <w:t>Page</w:t>
    </w:r>
    <w:r w:rsidRPr="003A2E29">
      <w:rPr>
        <w:rFonts w:cs="Times New Roman"/>
        <w:szCs w:val="22"/>
      </w:rPr>
      <w:t xml:space="preserve"> | </w:t>
    </w:r>
    <w:r w:rsidRPr="003A2E29">
      <w:rPr>
        <w:rFonts w:cs="Times New Roman"/>
        <w:szCs w:val="22"/>
      </w:rPr>
      <w:fldChar w:fldCharType="begin"/>
    </w:r>
    <w:r w:rsidRPr="003A2E29">
      <w:rPr>
        <w:rFonts w:cs="Times New Roman"/>
        <w:szCs w:val="22"/>
      </w:rPr>
      <w:instrText xml:space="preserve"> PAGE   \* MERGEFORMAT </w:instrText>
    </w:r>
    <w:r w:rsidRPr="003A2E29">
      <w:rPr>
        <w:rFonts w:cs="Times New Roman"/>
        <w:szCs w:val="22"/>
      </w:rPr>
      <w:fldChar w:fldCharType="separate"/>
    </w:r>
    <w:r w:rsidRPr="002D4363">
      <w:rPr>
        <w:rFonts w:cs="Times New Roman"/>
        <w:b/>
        <w:bCs/>
        <w:noProof/>
        <w:sz w:val="21"/>
        <w:szCs w:val="22"/>
      </w:rPr>
      <w:t>43</w:t>
    </w:r>
    <w:r w:rsidRPr="003A2E29">
      <w:rPr>
        <w:rFonts w:cs="Times New Roman"/>
        <w:b/>
        <w:bCs/>
        <w:noProof/>
        <w:szCs w:val="22"/>
      </w:rPr>
      <w:fldChar w:fldCharType="end"/>
    </w:r>
  </w:p>
  <w:p w14:paraId="6422BD0E" w14:textId="77777777" w:rsidR="00BE48EE" w:rsidRDefault="00BE48EE" w:rsidP="00615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178DD" w14:textId="77777777" w:rsidR="007D4508" w:rsidRDefault="007D4508" w:rsidP="006150CB">
      <w:r>
        <w:separator/>
      </w:r>
    </w:p>
  </w:footnote>
  <w:footnote w:type="continuationSeparator" w:id="0">
    <w:p w14:paraId="6DA73AE4" w14:textId="77777777" w:rsidR="007D4508" w:rsidRDefault="007D4508" w:rsidP="006150CB">
      <w:r>
        <w:continuationSeparator/>
      </w:r>
    </w:p>
  </w:footnote>
  <w:footnote w:id="1">
    <w:p w14:paraId="13BC7236"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Pr>
          <w:rFonts w:cstheme="minorHAnsi"/>
          <w:sz w:val="18"/>
          <w:szCs w:val="18"/>
        </w:rPr>
        <w:t xml:space="preserve"> Joint Select Committee (JSC</w:t>
      </w:r>
      <w:r w:rsidRPr="00DB15FC">
        <w:rPr>
          <w:rFonts w:cstheme="minorHAnsi"/>
          <w:sz w:val="18"/>
          <w:szCs w:val="18"/>
        </w:rPr>
        <w:t xml:space="preserve">) on Australia’s Family Law System, Parliament of Australia, </w:t>
      </w:r>
      <w:hyperlink r:id="rId1" w:history="1">
        <w:r w:rsidRPr="000B3D9A">
          <w:rPr>
            <w:rStyle w:val="Hyperlink"/>
            <w:rFonts w:cstheme="minorHAnsi"/>
            <w:i/>
            <w:sz w:val="18"/>
            <w:szCs w:val="18"/>
          </w:rPr>
          <w:t>Improvements in Family Law Proceedings</w:t>
        </w:r>
      </w:hyperlink>
      <w:r>
        <w:rPr>
          <w:rFonts w:cstheme="minorHAnsi"/>
          <w:sz w:val="18"/>
          <w:szCs w:val="18"/>
        </w:rPr>
        <w:t xml:space="preserve">, </w:t>
      </w:r>
      <w:r w:rsidRPr="00DB15FC">
        <w:rPr>
          <w:rFonts w:cstheme="minorHAnsi"/>
          <w:sz w:val="18"/>
          <w:szCs w:val="18"/>
        </w:rPr>
        <w:t>Se</w:t>
      </w:r>
      <w:r>
        <w:rPr>
          <w:rFonts w:cstheme="minorHAnsi"/>
          <w:sz w:val="18"/>
          <w:szCs w:val="18"/>
        </w:rPr>
        <w:t>cond Interim Report, March 2021, r</w:t>
      </w:r>
      <w:r w:rsidRPr="00DB15FC">
        <w:rPr>
          <w:rFonts w:cstheme="minorHAnsi"/>
          <w:sz w:val="18"/>
          <w:szCs w:val="18"/>
        </w:rPr>
        <w:t>ecommendation 9; Aus</w:t>
      </w:r>
      <w:r>
        <w:rPr>
          <w:rFonts w:cstheme="minorHAnsi"/>
          <w:sz w:val="18"/>
          <w:szCs w:val="18"/>
        </w:rPr>
        <w:t>tralian Law Reform Commission (ALRC</w:t>
      </w:r>
      <w:r w:rsidRPr="00DB15FC">
        <w:rPr>
          <w:rFonts w:cstheme="minorHAnsi"/>
          <w:sz w:val="18"/>
          <w:szCs w:val="18"/>
        </w:rPr>
        <w:t xml:space="preserve">), </w:t>
      </w:r>
      <w:hyperlink r:id="rId2" w:history="1">
        <w:r w:rsidRPr="000B3D9A">
          <w:rPr>
            <w:rStyle w:val="Hyperlink"/>
            <w:rFonts w:cstheme="minorHAnsi"/>
            <w:i/>
            <w:sz w:val="18"/>
            <w:szCs w:val="18"/>
          </w:rPr>
          <w:t>Family Law for the Future – An Inquiry into the Family Law System</w:t>
        </w:r>
      </w:hyperlink>
      <w:r>
        <w:rPr>
          <w:rStyle w:val="Hyperlink"/>
          <w:rFonts w:cstheme="minorHAnsi"/>
          <w:i/>
          <w:sz w:val="18"/>
          <w:szCs w:val="18"/>
        </w:rPr>
        <w:t>,</w:t>
      </w:r>
      <w:r w:rsidRPr="00DB15FC">
        <w:rPr>
          <w:rFonts w:cstheme="minorHAnsi"/>
          <w:sz w:val="18"/>
          <w:szCs w:val="18"/>
        </w:rPr>
        <w:t xml:space="preserve"> </w:t>
      </w:r>
      <w:r>
        <w:rPr>
          <w:rFonts w:cstheme="minorHAnsi"/>
          <w:sz w:val="18"/>
          <w:szCs w:val="18"/>
        </w:rPr>
        <w:t>Report No 135, March 2019, r</w:t>
      </w:r>
      <w:r w:rsidRPr="00DB15FC">
        <w:rPr>
          <w:rFonts w:cstheme="minorHAnsi"/>
          <w:sz w:val="18"/>
          <w:szCs w:val="18"/>
        </w:rPr>
        <w:t>ecommendation 53; House of Representatives Standing Committee on Social Policy and Legal Affairs, Parliament of Australia</w:t>
      </w:r>
      <w:hyperlink r:id="rId3" w:history="1">
        <w:r w:rsidRPr="00BE403A">
          <w:rPr>
            <w:rStyle w:val="Hyperlink"/>
            <w:rFonts w:cstheme="minorHAnsi"/>
            <w:sz w:val="18"/>
            <w:szCs w:val="18"/>
          </w:rPr>
          <w:t xml:space="preserve">, </w:t>
        </w:r>
        <w:r w:rsidRPr="00BE403A">
          <w:rPr>
            <w:rStyle w:val="Hyperlink"/>
            <w:rFonts w:cstheme="minorHAnsi"/>
            <w:i/>
            <w:sz w:val="18"/>
            <w:szCs w:val="18"/>
          </w:rPr>
          <w:t>A better family law system to support and protect those affected by family violence</w:t>
        </w:r>
      </w:hyperlink>
      <w:r>
        <w:rPr>
          <w:rFonts w:cstheme="minorHAnsi"/>
          <w:sz w:val="18"/>
          <w:szCs w:val="18"/>
        </w:rPr>
        <w:t>, Report, December 2017, r</w:t>
      </w:r>
      <w:r w:rsidRPr="00DB15FC">
        <w:rPr>
          <w:rFonts w:cstheme="minorHAnsi"/>
          <w:sz w:val="18"/>
          <w:szCs w:val="18"/>
        </w:rPr>
        <w:t xml:space="preserve">ecommendations 22, 30; Senate Finance and Public Administration References Committee, Parliament of Australia, </w:t>
      </w:r>
      <w:hyperlink r:id="rId4" w:history="1">
        <w:r w:rsidRPr="000B3D9A">
          <w:rPr>
            <w:rStyle w:val="Hyperlink"/>
            <w:rFonts w:cstheme="minorHAnsi"/>
            <w:i/>
            <w:sz w:val="18"/>
            <w:szCs w:val="18"/>
          </w:rPr>
          <w:t>Domestic Violence in Australia</w:t>
        </w:r>
      </w:hyperlink>
      <w:r>
        <w:rPr>
          <w:rFonts w:cstheme="minorHAnsi"/>
          <w:sz w:val="18"/>
          <w:szCs w:val="18"/>
        </w:rPr>
        <w:t>, Report, August 2015, r</w:t>
      </w:r>
      <w:r w:rsidRPr="00DB15FC">
        <w:rPr>
          <w:rFonts w:cstheme="minorHAnsi"/>
          <w:sz w:val="18"/>
          <w:szCs w:val="18"/>
        </w:rPr>
        <w:t xml:space="preserve">ecommendation 17. </w:t>
      </w:r>
    </w:p>
  </w:footnote>
  <w:footnote w:id="2">
    <w:p w14:paraId="3F762DFA" w14:textId="77777777" w:rsidR="00BE48EE" w:rsidRPr="00DB15FC" w:rsidRDefault="00BE48EE" w:rsidP="00BE48EE">
      <w:pPr>
        <w:pStyle w:val="NoSpacing"/>
        <w:rPr>
          <w:rFonts w:cstheme="minorHAnsi"/>
          <w:sz w:val="18"/>
          <w:szCs w:val="18"/>
        </w:rPr>
      </w:pPr>
      <w:r w:rsidRPr="00DB15FC">
        <w:rPr>
          <w:rStyle w:val="FootnoteReference"/>
          <w:rFonts w:cstheme="minorHAnsi"/>
          <w:sz w:val="18"/>
          <w:szCs w:val="18"/>
        </w:rPr>
        <w:footnoteRef/>
      </w:r>
      <w:r w:rsidRPr="00DB15FC">
        <w:rPr>
          <w:rFonts w:eastAsiaTheme="minorHAnsi" w:cstheme="minorHAnsi"/>
          <w:sz w:val="18"/>
          <w:szCs w:val="18"/>
        </w:rPr>
        <w:t xml:space="preserve"> </w:t>
      </w:r>
      <w:r w:rsidRPr="00DB15FC">
        <w:rPr>
          <w:rFonts w:cstheme="minorHAnsi"/>
          <w:sz w:val="18"/>
          <w:szCs w:val="18"/>
        </w:rPr>
        <w:t xml:space="preserve">ALRC, </w:t>
      </w:r>
      <w:hyperlink r:id="rId5" w:history="1">
        <w:r w:rsidRPr="000B3D9A">
          <w:rPr>
            <w:rStyle w:val="Hyperlink"/>
            <w:rFonts w:cstheme="minorHAnsi"/>
            <w:i/>
            <w:sz w:val="18"/>
            <w:szCs w:val="18"/>
          </w:rPr>
          <w:t>Family Law for the Future – An Inquiry into the Family Law System</w:t>
        </w:r>
      </w:hyperlink>
      <w:r>
        <w:rPr>
          <w:rFonts w:cstheme="minorHAnsi"/>
          <w:sz w:val="18"/>
          <w:szCs w:val="18"/>
        </w:rPr>
        <w:t>, Report No 135, March 2019, p</w:t>
      </w:r>
      <w:r w:rsidRPr="00DB15FC">
        <w:rPr>
          <w:rFonts w:cstheme="minorHAnsi"/>
          <w:sz w:val="18"/>
          <w:szCs w:val="18"/>
        </w:rPr>
        <w:t xml:space="preserve"> 410.</w:t>
      </w:r>
    </w:p>
  </w:footnote>
  <w:footnote w:id="3">
    <w:p w14:paraId="33CE97AD" w14:textId="77777777" w:rsidR="00BE48EE" w:rsidRPr="00DB15FC" w:rsidRDefault="00BE48EE" w:rsidP="00BE48EE">
      <w:pPr>
        <w:pStyle w:val="NoSpacing"/>
        <w:rPr>
          <w:rFonts w:cstheme="minorHAnsi"/>
          <w:sz w:val="18"/>
          <w:szCs w:val="18"/>
        </w:rPr>
      </w:pPr>
      <w:r w:rsidRPr="00DB15FC">
        <w:rPr>
          <w:rStyle w:val="FootnoteReference"/>
          <w:rFonts w:cstheme="minorHAnsi"/>
          <w:sz w:val="18"/>
          <w:szCs w:val="18"/>
        </w:rPr>
        <w:footnoteRef/>
      </w:r>
      <w:r>
        <w:rPr>
          <w:rFonts w:cstheme="minorHAnsi"/>
          <w:sz w:val="18"/>
          <w:szCs w:val="18"/>
        </w:rPr>
        <w:t xml:space="preserve"> Ibid, pp 385, 413-14</w:t>
      </w:r>
      <w:r w:rsidRPr="00DB15FC">
        <w:rPr>
          <w:rFonts w:cstheme="minorHAnsi"/>
          <w:sz w:val="18"/>
          <w:szCs w:val="18"/>
        </w:rPr>
        <w:t>.</w:t>
      </w:r>
      <w:r w:rsidRPr="00DB15FC">
        <w:rPr>
          <w:rFonts w:cstheme="minorHAnsi"/>
          <w:sz w:val="18"/>
          <w:szCs w:val="18"/>
        </w:rPr>
        <w:tab/>
      </w:r>
    </w:p>
  </w:footnote>
  <w:footnote w:id="4">
    <w:p w14:paraId="179DA91B" w14:textId="77777777" w:rsidR="00BE48EE" w:rsidRPr="00DB15FC" w:rsidRDefault="00BE48EE" w:rsidP="00BE48EE">
      <w:pPr>
        <w:pStyle w:val="FootnoteText"/>
        <w:rPr>
          <w:rFonts w:cstheme="minorHAnsi"/>
          <w:sz w:val="18"/>
          <w:szCs w:val="18"/>
        </w:rPr>
      </w:pPr>
      <w:r w:rsidRPr="00DB15FC">
        <w:rPr>
          <w:rStyle w:val="FootnoteReference"/>
          <w:rFonts w:cstheme="minorHAnsi"/>
          <w:sz w:val="18"/>
          <w:szCs w:val="18"/>
        </w:rPr>
        <w:footnoteRef/>
      </w:r>
      <w:r w:rsidRPr="00DB15FC">
        <w:rPr>
          <w:rFonts w:cstheme="minorHAnsi"/>
          <w:sz w:val="18"/>
          <w:szCs w:val="18"/>
        </w:rPr>
        <w:t xml:space="preserve"> JSC, Parliament of Australia, </w:t>
      </w:r>
      <w:hyperlink r:id="rId6" w:history="1">
        <w:r w:rsidRPr="000B3D9A">
          <w:rPr>
            <w:rStyle w:val="Hyperlink"/>
            <w:rFonts w:cstheme="minorHAnsi"/>
            <w:i/>
            <w:sz w:val="18"/>
            <w:szCs w:val="18"/>
          </w:rPr>
          <w:t>Improvements in Family Law Proceedings</w:t>
        </w:r>
      </w:hyperlink>
      <w:r>
        <w:rPr>
          <w:rFonts w:cstheme="minorHAnsi"/>
          <w:sz w:val="18"/>
          <w:szCs w:val="18"/>
        </w:rPr>
        <w:t xml:space="preserve">, </w:t>
      </w:r>
      <w:r w:rsidRPr="00DB15FC">
        <w:rPr>
          <w:rFonts w:cstheme="minorHAnsi"/>
          <w:sz w:val="18"/>
          <w:szCs w:val="18"/>
        </w:rPr>
        <w:t>Seco</w:t>
      </w:r>
      <w:r>
        <w:rPr>
          <w:rFonts w:cstheme="minorHAnsi"/>
          <w:sz w:val="18"/>
          <w:szCs w:val="18"/>
        </w:rPr>
        <w:t>nd Interim Report, March 2021, paragraph 2.147</w:t>
      </w:r>
      <w:r w:rsidRPr="00DB15FC">
        <w:rPr>
          <w:rFonts w:cstheme="minorHAnsi"/>
          <w:sz w:val="18"/>
          <w:szCs w:val="18"/>
        </w:rPr>
        <w:t>.</w:t>
      </w:r>
      <w:r w:rsidRPr="00DB15FC">
        <w:rPr>
          <w:rFonts w:cstheme="minorHAnsi"/>
          <w:i/>
          <w:sz w:val="18"/>
          <w:szCs w:val="18"/>
        </w:rPr>
        <w:t xml:space="preserve"> </w:t>
      </w:r>
    </w:p>
  </w:footnote>
  <w:footnote w:id="5">
    <w:p w14:paraId="166D41CF"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sidRPr="00DB15FC">
        <w:rPr>
          <w:sz w:val="18"/>
          <w:szCs w:val="18"/>
          <w:lang w:val="en-AU"/>
        </w:rPr>
        <w:t xml:space="preserve">Australian Government, </w:t>
      </w:r>
      <w:hyperlink r:id="rId7" w:history="1">
        <w:r w:rsidRPr="000B3D9A">
          <w:rPr>
            <w:rStyle w:val="Hyperlink"/>
            <w:i/>
            <w:sz w:val="18"/>
            <w:szCs w:val="18"/>
          </w:rPr>
          <w:t>Government Response to ALRC Report 135: Family Law for the Future – An Inquiry into the Family Law System</w:t>
        </w:r>
      </w:hyperlink>
      <w:r>
        <w:rPr>
          <w:i/>
          <w:sz w:val="18"/>
          <w:szCs w:val="18"/>
        </w:rPr>
        <w:t xml:space="preserve">, </w:t>
      </w:r>
      <w:r>
        <w:rPr>
          <w:sz w:val="18"/>
          <w:szCs w:val="18"/>
        </w:rPr>
        <w:t>March 2021, p</w:t>
      </w:r>
      <w:r w:rsidRPr="00DB15FC">
        <w:rPr>
          <w:sz w:val="18"/>
          <w:szCs w:val="18"/>
        </w:rPr>
        <w:t xml:space="preserve"> 42.</w:t>
      </w:r>
    </w:p>
  </w:footnote>
  <w:footnote w:id="6">
    <w:p w14:paraId="7882633C" w14:textId="77777777" w:rsidR="00BE48EE" w:rsidRPr="00DB15FC" w:rsidRDefault="00BE48EE" w:rsidP="00BE48EE">
      <w:pPr>
        <w:pStyle w:val="FootnoteText"/>
        <w:tabs>
          <w:tab w:val="left" w:pos="3828"/>
        </w:tabs>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Family Court of Australia (FCoA), Federal Circuit Court of Australia (FCC) and Family Court of Western Australia (FCWA), </w:t>
      </w:r>
      <w:hyperlink r:id="rId8" w:history="1">
        <w:r w:rsidRPr="00E32B89">
          <w:rPr>
            <w:rStyle w:val="Hyperlink"/>
            <w:rFonts w:cstheme="minorHAnsi"/>
            <w:i/>
            <w:sz w:val="18"/>
            <w:szCs w:val="18"/>
          </w:rPr>
          <w:t>Australian Standards of Practice for Family Assessments and Reporting</w:t>
        </w:r>
      </w:hyperlink>
      <w:r w:rsidRPr="00E32B89">
        <w:rPr>
          <w:rFonts w:cstheme="minorHAnsi"/>
          <w:sz w:val="18"/>
          <w:szCs w:val="18"/>
        </w:rPr>
        <w:t>,</w:t>
      </w:r>
      <w:r>
        <w:rPr>
          <w:rFonts w:cstheme="minorHAnsi"/>
          <w:sz w:val="18"/>
          <w:szCs w:val="18"/>
        </w:rPr>
        <w:t xml:space="preserve"> February 2015</w:t>
      </w:r>
      <w:r w:rsidRPr="00DB15FC">
        <w:rPr>
          <w:rFonts w:cstheme="minorHAnsi"/>
          <w:sz w:val="18"/>
          <w:szCs w:val="18"/>
          <w:lang w:val="en-US"/>
        </w:rPr>
        <w:t>.</w:t>
      </w:r>
    </w:p>
  </w:footnote>
  <w:footnote w:id="7">
    <w:p w14:paraId="3D25E81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Ibid</w:t>
      </w:r>
      <w:r>
        <w:rPr>
          <w:rFonts w:cstheme="minorHAnsi"/>
          <w:sz w:val="18"/>
          <w:szCs w:val="18"/>
        </w:rPr>
        <w:t>.</w:t>
      </w:r>
    </w:p>
  </w:footnote>
  <w:footnote w:id="8">
    <w:p w14:paraId="724668FD" w14:textId="77777777" w:rsidR="00BE48EE" w:rsidRPr="00002A24" w:rsidRDefault="00BE48EE" w:rsidP="00BE48EE">
      <w:pPr>
        <w:autoSpaceDE w:val="0"/>
        <w:autoSpaceDN w:val="0"/>
        <w:spacing w:after="0" w:line="240" w:lineRule="auto"/>
        <w:rPr>
          <w:rFonts w:eastAsiaTheme="minorHAnsi" w:cstheme="minorHAnsi"/>
          <w:sz w:val="18"/>
          <w:szCs w:val="18"/>
          <w:lang w:val="en-US"/>
        </w:rPr>
      </w:pPr>
      <w:r w:rsidRPr="00DB15FC">
        <w:rPr>
          <w:rFonts w:eastAsiaTheme="minorHAnsi" w:cstheme="minorHAnsi"/>
          <w:sz w:val="18"/>
          <w:szCs w:val="18"/>
          <w:vertAlign w:val="superscript"/>
          <w:lang w:val="en-US"/>
        </w:rPr>
        <w:footnoteRef/>
      </w:r>
      <w:r w:rsidRPr="00DB15FC">
        <w:rPr>
          <w:rFonts w:eastAsiaTheme="minorHAnsi" w:cstheme="minorHAnsi"/>
          <w:sz w:val="18"/>
          <w:szCs w:val="18"/>
          <w:vertAlign w:val="superscript"/>
          <w:lang w:val="en-US"/>
        </w:rPr>
        <w:t xml:space="preserve"> </w:t>
      </w:r>
      <w:r w:rsidRPr="00DB15FC">
        <w:rPr>
          <w:rFonts w:eastAsiaTheme="minorHAnsi" w:cstheme="minorHAnsi"/>
          <w:i/>
          <w:sz w:val="18"/>
          <w:szCs w:val="18"/>
          <w:lang w:val="en-US"/>
        </w:rPr>
        <w:t>Family Law Act 1975</w:t>
      </w:r>
      <w:r w:rsidRPr="00DB15FC">
        <w:rPr>
          <w:rFonts w:eastAsiaTheme="minorHAnsi" w:cstheme="minorHAnsi"/>
          <w:sz w:val="18"/>
          <w:szCs w:val="18"/>
          <w:lang w:val="en-US"/>
        </w:rPr>
        <w:t xml:space="preserve"> (Cth) s 55A(2): Where, in proceedings for a divorce order in relation to a marriage, the court doubts whether the arrangements made for care, welfare and development of a child of a marriage are proper in all circumstances, the court may adjourn the proceedings until a report has been obtained from a family consultant regarding those arrangements. </w:t>
      </w:r>
      <w:r w:rsidRPr="00DB15FC">
        <w:rPr>
          <w:rFonts w:eastAsiaTheme="minorHAnsi" w:cstheme="minorHAnsi"/>
          <w:i/>
          <w:sz w:val="18"/>
          <w:szCs w:val="18"/>
          <w:lang w:val="en-US"/>
        </w:rPr>
        <w:t>Family Law Act 1975</w:t>
      </w:r>
      <w:r w:rsidRPr="00DB15FC">
        <w:rPr>
          <w:rFonts w:eastAsiaTheme="minorHAnsi" w:cstheme="minorHAnsi"/>
          <w:sz w:val="18"/>
          <w:szCs w:val="18"/>
          <w:lang w:val="en-US"/>
        </w:rPr>
        <w:t xml:space="preserve"> (Cth) s 62G(2): The court may direct a family consultant to give the court a report on such matters relevant to the proceedings as the court thinks desirable.</w:t>
      </w:r>
      <w:r>
        <w:rPr>
          <w:rFonts w:eastAsiaTheme="minorHAnsi" w:cstheme="minorHAnsi"/>
          <w:sz w:val="18"/>
          <w:szCs w:val="18"/>
          <w:lang w:val="en-US"/>
        </w:rPr>
        <w:t xml:space="preserve"> Note also that family reports are prepared for </w:t>
      </w:r>
      <w:r w:rsidRPr="00002A24">
        <w:rPr>
          <w:rFonts w:eastAsiaTheme="minorHAnsi" w:cstheme="minorHAnsi"/>
          <w:sz w:val="18"/>
          <w:szCs w:val="18"/>
          <w:lang w:val="en-US"/>
        </w:rPr>
        <w:t>Convention on the civil aspects of international child abduction (Hague Convention)</w:t>
      </w:r>
      <w:r>
        <w:rPr>
          <w:rFonts w:eastAsiaTheme="minorHAnsi" w:cstheme="minorHAnsi"/>
          <w:sz w:val="18"/>
          <w:szCs w:val="18"/>
          <w:lang w:val="en-US"/>
        </w:rPr>
        <w:t xml:space="preserve"> in accordance with the </w:t>
      </w:r>
      <w:r w:rsidRPr="00002A24">
        <w:rPr>
          <w:rFonts w:eastAsiaTheme="minorHAnsi" w:cstheme="minorHAnsi"/>
          <w:sz w:val="18"/>
          <w:szCs w:val="18"/>
          <w:lang w:val="en-US"/>
        </w:rPr>
        <w:t xml:space="preserve">regulation 26 of the </w:t>
      </w:r>
      <w:r w:rsidRPr="00002A24">
        <w:rPr>
          <w:rFonts w:eastAsiaTheme="minorHAnsi" w:cstheme="minorHAnsi"/>
          <w:i/>
          <w:sz w:val="18"/>
          <w:szCs w:val="18"/>
          <w:lang w:val="en-US"/>
        </w:rPr>
        <w:t>Family Law (Child Abduction Convention) Regulations</w:t>
      </w:r>
      <w:r>
        <w:rPr>
          <w:rFonts w:eastAsiaTheme="minorHAnsi" w:cstheme="minorHAnsi"/>
          <w:i/>
          <w:sz w:val="18"/>
          <w:szCs w:val="18"/>
          <w:lang w:val="en-US"/>
        </w:rPr>
        <w:t xml:space="preserve"> 1986</w:t>
      </w:r>
      <w:r>
        <w:rPr>
          <w:rFonts w:eastAsiaTheme="minorHAnsi" w:cstheme="minorHAnsi"/>
          <w:sz w:val="18"/>
          <w:szCs w:val="18"/>
          <w:lang w:val="en-US"/>
        </w:rPr>
        <w:t>.</w:t>
      </w:r>
    </w:p>
  </w:footnote>
  <w:footnote w:id="9">
    <w:p w14:paraId="1236A48E" w14:textId="77777777" w:rsidR="00BE48EE" w:rsidRPr="00DB15FC" w:rsidRDefault="00BE48EE" w:rsidP="00BE48EE">
      <w:pPr>
        <w:spacing w:after="0" w:line="240" w:lineRule="auto"/>
        <w:rPr>
          <w:sz w:val="18"/>
          <w:szCs w:val="18"/>
        </w:rPr>
      </w:pPr>
      <w:r w:rsidRPr="00DB15FC">
        <w:rPr>
          <w:rStyle w:val="FootnoteReference"/>
          <w:sz w:val="18"/>
          <w:szCs w:val="18"/>
        </w:rPr>
        <w:footnoteRef/>
      </w:r>
      <w:r w:rsidRPr="00DB15FC">
        <w:rPr>
          <w:sz w:val="18"/>
          <w:szCs w:val="18"/>
        </w:rPr>
        <w:t xml:space="preserve"> </w:t>
      </w:r>
      <w:r>
        <w:rPr>
          <w:sz w:val="18"/>
          <w:szCs w:val="18"/>
        </w:rPr>
        <w:t xml:space="preserve">The </w:t>
      </w:r>
      <w:r w:rsidRPr="005435FB">
        <w:rPr>
          <w:i/>
          <w:sz w:val="18"/>
          <w:szCs w:val="18"/>
        </w:rPr>
        <w:t>Federal Circuit and Family Court of Australia (Family Law) Rules 2021</w:t>
      </w:r>
      <w:r>
        <w:rPr>
          <w:i/>
          <w:sz w:val="18"/>
          <w:szCs w:val="18"/>
        </w:rPr>
        <w:t xml:space="preserve"> </w:t>
      </w:r>
      <w:r>
        <w:rPr>
          <w:sz w:val="18"/>
          <w:szCs w:val="18"/>
        </w:rPr>
        <w:t xml:space="preserve">(Cth) commenced on 1 September 2021 and replaced the </w:t>
      </w:r>
      <w:r w:rsidRPr="00DB15FC">
        <w:rPr>
          <w:i/>
          <w:sz w:val="18"/>
          <w:szCs w:val="18"/>
        </w:rPr>
        <w:t xml:space="preserve">Family Law Rules 2004 </w:t>
      </w:r>
      <w:r w:rsidRPr="00DB15FC">
        <w:rPr>
          <w:sz w:val="18"/>
          <w:szCs w:val="18"/>
        </w:rPr>
        <w:t xml:space="preserve">(Cth) and the </w:t>
      </w:r>
      <w:r w:rsidRPr="00DB15FC">
        <w:rPr>
          <w:i/>
          <w:sz w:val="18"/>
          <w:szCs w:val="18"/>
        </w:rPr>
        <w:t xml:space="preserve">Federal Circuit Court Rules 2001 </w:t>
      </w:r>
      <w:r w:rsidRPr="00DB15FC">
        <w:rPr>
          <w:sz w:val="18"/>
          <w:szCs w:val="18"/>
        </w:rPr>
        <w:t>(Cth)</w:t>
      </w:r>
      <w:r>
        <w:rPr>
          <w:sz w:val="18"/>
          <w:szCs w:val="18"/>
        </w:rPr>
        <w:t xml:space="preserve">. </w:t>
      </w:r>
    </w:p>
  </w:footnote>
  <w:footnote w:id="10">
    <w:p w14:paraId="55538BC4"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5435FB">
        <w:rPr>
          <w:i/>
          <w:sz w:val="18"/>
          <w:szCs w:val="18"/>
        </w:rPr>
        <w:t>Federal Circuit and Family Court of Australia (Family Law) Rules 2021</w:t>
      </w:r>
      <w:r>
        <w:rPr>
          <w:i/>
          <w:sz w:val="18"/>
          <w:szCs w:val="18"/>
        </w:rPr>
        <w:t xml:space="preserve"> </w:t>
      </w:r>
      <w:r w:rsidRPr="00DB15FC">
        <w:rPr>
          <w:rFonts w:cstheme="minorHAnsi"/>
          <w:sz w:val="18"/>
          <w:szCs w:val="18"/>
          <w:lang w:val="en-US"/>
        </w:rPr>
        <w:t>(Cth)</w:t>
      </w:r>
      <w:r>
        <w:rPr>
          <w:rFonts w:cstheme="minorHAnsi"/>
          <w:sz w:val="18"/>
          <w:szCs w:val="18"/>
          <w:lang w:val="en-US"/>
        </w:rPr>
        <w:t xml:space="preserve"> r 8.11(1). </w:t>
      </w:r>
    </w:p>
  </w:footnote>
  <w:footnote w:id="11">
    <w:p w14:paraId="0125B02E" w14:textId="77777777" w:rsidR="00BE48EE" w:rsidRPr="000A63E2" w:rsidRDefault="00BE48EE" w:rsidP="00BE48EE">
      <w:pPr>
        <w:pStyle w:val="FootnoteText"/>
        <w:rPr>
          <w:lang w:val="en-AU"/>
        </w:rPr>
      </w:pPr>
      <w:r>
        <w:rPr>
          <w:rStyle w:val="FootnoteReference"/>
        </w:rPr>
        <w:footnoteRef/>
      </w:r>
      <w:r>
        <w:rPr>
          <w:sz w:val="18"/>
          <w:szCs w:val="18"/>
        </w:rPr>
        <w:t xml:space="preserve"> </w:t>
      </w:r>
      <w:r w:rsidRPr="00B71D39">
        <w:rPr>
          <w:sz w:val="18"/>
          <w:szCs w:val="18"/>
        </w:rPr>
        <w:t xml:space="preserve">Ibid r 8.11(1) note. </w:t>
      </w:r>
      <w:r w:rsidRPr="00B71D39">
        <w:rPr>
          <w:sz w:val="18"/>
          <w:szCs w:val="18"/>
          <w:lang w:val="en-AU"/>
        </w:rPr>
        <w:t>Child</w:t>
      </w:r>
      <w:r w:rsidRPr="000A63E2">
        <w:rPr>
          <w:sz w:val="18"/>
          <w:lang w:val="en-AU"/>
        </w:rPr>
        <w:t xml:space="preserve"> impact reports and specific issues reports were introduced on 1 September 2021. These report</w:t>
      </w:r>
      <w:r>
        <w:rPr>
          <w:sz w:val="18"/>
          <w:lang w:val="en-AU"/>
        </w:rPr>
        <w:t xml:space="preserve"> types</w:t>
      </w:r>
      <w:r w:rsidRPr="000A63E2">
        <w:rPr>
          <w:sz w:val="18"/>
          <w:lang w:val="en-AU"/>
        </w:rPr>
        <w:t xml:space="preserve"> are not defined in a legislative instrument. </w:t>
      </w:r>
    </w:p>
  </w:footnote>
  <w:footnote w:id="12">
    <w:p w14:paraId="1DE47D40" w14:textId="77777777" w:rsidR="00BE48EE" w:rsidRPr="003B789D" w:rsidRDefault="00BE48EE" w:rsidP="00BE48EE">
      <w:pPr>
        <w:pStyle w:val="FootnoteText"/>
        <w:rPr>
          <w:lang w:val="en-AU"/>
        </w:rPr>
      </w:pPr>
      <w:r w:rsidRPr="003B789D">
        <w:rPr>
          <w:rStyle w:val="FootnoteReference"/>
          <w:sz w:val="18"/>
        </w:rPr>
        <w:footnoteRef/>
      </w:r>
      <w:r w:rsidRPr="003B789D">
        <w:rPr>
          <w:sz w:val="18"/>
        </w:rPr>
        <w:t xml:space="preserve"> </w:t>
      </w:r>
      <w:r w:rsidRPr="003B789D">
        <w:rPr>
          <w:i/>
          <w:sz w:val="18"/>
        </w:rPr>
        <w:t xml:space="preserve">Family Court Rules 2021 </w:t>
      </w:r>
      <w:r w:rsidRPr="003B789D">
        <w:rPr>
          <w:sz w:val="18"/>
        </w:rPr>
        <w:t>(WA) r 4.</w:t>
      </w:r>
    </w:p>
  </w:footnote>
  <w:footnote w:id="13">
    <w:p w14:paraId="61A5BDFE" w14:textId="77777777" w:rsidR="00BE48EE" w:rsidRPr="00DB15FC"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FCoA, FCC and FCWA, </w:t>
      </w:r>
      <w:hyperlink r:id="rId9" w:history="1">
        <w:r w:rsidRPr="00E32B89">
          <w:rPr>
            <w:rStyle w:val="Hyperlink"/>
            <w:rFonts w:cstheme="minorHAnsi"/>
            <w:i/>
            <w:sz w:val="18"/>
            <w:szCs w:val="18"/>
          </w:rPr>
          <w:t>Australian Standards of Practice for Family Assessments and Reporting</w:t>
        </w:r>
      </w:hyperlink>
      <w:r>
        <w:rPr>
          <w:rStyle w:val="Hyperlink"/>
          <w:rFonts w:cstheme="minorHAnsi"/>
          <w:i/>
          <w:sz w:val="18"/>
          <w:szCs w:val="18"/>
        </w:rPr>
        <w:t xml:space="preserve"> </w:t>
      </w:r>
      <w:r>
        <w:rPr>
          <w:rFonts w:cstheme="minorHAnsi"/>
          <w:sz w:val="18"/>
          <w:szCs w:val="18"/>
        </w:rPr>
        <w:t>February 2015, p 6</w:t>
      </w:r>
      <w:r w:rsidRPr="00DB15FC">
        <w:rPr>
          <w:rFonts w:cstheme="minorHAnsi"/>
          <w:sz w:val="18"/>
          <w:szCs w:val="18"/>
          <w:lang w:val="en-US"/>
        </w:rPr>
        <w:t xml:space="preserve">. </w:t>
      </w:r>
    </w:p>
  </w:footnote>
  <w:footnote w:id="14">
    <w:p w14:paraId="2E769207" w14:textId="77777777" w:rsidR="00BE48EE" w:rsidRPr="002B2571" w:rsidRDefault="00BE48EE" w:rsidP="00BE48EE">
      <w:pPr>
        <w:pStyle w:val="FootnoteText"/>
        <w:rPr>
          <w:lang w:val="en-AU"/>
        </w:rPr>
      </w:pPr>
      <w:r>
        <w:rPr>
          <w:rStyle w:val="FootnoteReference"/>
        </w:rPr>
        <w:footnoteRef/>
      </w:r>
      <w:r>
        <w:t xml:space="preserve"> </w:t>
      </w:r>
      <w:r w:rsidRPr="005435FB">
        <w:rPr>
          <w:i/>
          <w:sz w:val="18"/>
          <w:szCs w:val="18"/>
        </w:rPr>
        <w:t>Federal Circuit and Family Court of Australia (Family Law) Rules 2021</w:t>
      </w:r>
      <w:r>
        <w:rPr>
          <w:i/>
          <w:sz w:val="18"/>
          <w:szCs w:val="18"/>
        </w:rPr>
        <w:t xml:space="preserve"> </w:t>
      </w:r>
      <w:r w:rsidRPr="00DB15FC">
        <w:rPr>
          <w:rFonts w:cstheme="minorHAnsi"/>
          <w:sz w:val="18"/>
          <w:szCs w:val="18"/>
          <w:lang w:val="en-US"/>
        </w:rPr>
        <w:t>(Cth)</w:t>
      </w:r>
      <w:r>
        <w:rPr>
          <w:rFonts w:cstheme="minorHAnsi"/>
          <w:sz w:val="18"/>
          <w:szCs w:val="18"/>
          <w:lang w:val="en-US"/>
        </w:rPr>
        <w:t xml:space="preserve"> r 8.11(2)(c).</w:t>
      </w:r>
    </w:p>
  </w:footnote>
  <w:footnote w:id="15">
    <w:p w14:paraId="15CCE31F"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ALRC, </w:t>
      </w:r>
      <w:hyperlink r:id="rId10" w:history="1">
        <w:r w:rsidRPr="000B3D9A">
          <w:rPr>
            <w:rStyle w:val="Hyperlink"/>
            <w:rFonts w:cstheme="minorHAnsi"/>
            <w:i/>
            <w:sz w:val="18"/>
            <w:szCs w:val="18"/>
          </w:rPr>
          <w:t>Family Law for the Future – An Inquiry into the Family Law System</w:t>
        </w:r>
      </w:hyperlink>
      <w:r>
        <w:rPr>
          <w:rFonts w:cstheme="minorHAnsi"/>
          <w:sz w:val="18"/>
          <w:szCs w:val="18"/>
        </w:rPr>
        <w:t xml:space="preserve">, </w:t>
      </w:r>
      <w:r w:rsidRPr="00DB15FC">
        <w:rPr>
          <w:rFonts w:cstheme="minorHAnsi"/>
          <w:sz w:val="18"/>
          <w:szCs w:val="18"/>
        </w:rPr>
        <w:t>Report No 135, March 2019</w:t>
      </w:r>
      <w:r>
        <w:rPr>
          <w:rFonts w:cstheme="minorHAnsi"/>
          <w:sz w:val="18"/>
          <w:szCs w:val="18"/>
        </w:rPr>
        <w:t>, p</w:t>
      </w:r>
      <w:r w:rsidRPr="00DB15FC">
        <w:rPr>
          <w:rFonts w:cstheme="minorHAnsi"/>
          <w:sz w:val="18"/>
          <w:szCs w:val="18"/>
          <w:lang w:val="en-AU"/>
        </w:rPr>
        <w:t xml:space="preserve"> 413</w:t>
      </w:r>
      <w:r>
        <w:rPr>
          <w:rFonts w:cstheme="minorHAnsi"/>
          <w:sz w:val="18"/>
          <w:szCs w:val="18"/>
          <w:lang w:val="en-AU"/>
        </w:rPr>
        <w:t>.</w:t>
      </w:r>
    </w:p>
  </w:footnote>
  <w:footnote w:id="16">
    <w:p w14:paraId="7031E829"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JSC, Parliament of Australia, </w:t>
      </w:r>
      <w:hyperlink r:id="rId11" w:history="1">
        <w:r w:rsidRPr="000B3D9A">
          <w:rPr>
            <w:rStyle w:val="Hyperlink"/>
            <w:rFonts w:cstheme="minorHAnsi"/>
            <w:i/>
            <w:sz w:val="18"/>
            <w:szCs w:val="18"/>
          </w:rPr>
          <w:t>Improvements in Family Law Proceedings</w:t>
        </w:r>
      </w:hyperlink>
      <w:r>
        <w:rPr>
          <w:rFonts w:cstheme="minorHAnsi"/>
          <w:sz w:val="18"/>
          <w:szCs w:val="18"/>
        </w:rPr>
        <w:t xml:space="preserve">, </w:t>
      </w:r>
      <w:r w:rsidRPr="00DB15FC">
        <w:rPr>
          <w:rFonts w:cstheme="minorHAnsi"/>
          <w:sz w:val="18"/>
          <w:szCs w:val="18"/>
        </w:rPr>
        <w:t>Se</w:t>
      </w:r>
      <w:r>
        <w:rPr>
          <w:rFonts w:cstheme="minorHAnsi"/>
          <w:sz w:val="18"/>
          <w:szCs w:val="18"/>
        </w:rPr>
        <w:t xml:space="preserve">cond Interim Report, March 2021, paragraph </w:t>
      </w:r>
      <w:r>
        <w:rPr>
          <w:rFonts w:cstheme="minorHAnsi"/>
          <w:color w:val="000000"/>
          <w:sz w:val="18"/>
          <w:szCs w:val="18"/>
          <w:lang w:val="en-US"/>
        </w:rPr>
        <w:t>2.145</w:t>
      </w:r>
      <w:r w:rsidRPr="00DB15FC">
        <w:rPr>
          <w:rFonts w:cstheme="minorHAnsi"/>
          <w:color w:val="000000"/>
          <w:sz w:val="18"/>
          <w:szCs w:val="18"/>
          <w:lang w:val="en-US"/>
        </w:rPr>
        <w:t>.</w:t>
      </w:r>
    </w:p>
  </w:footnote>
  <w:footnote w:id="17">
    <w:p w14:paraId="45A46D2C"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i/>
          <w:sz w:val="18"/>
          <w:szCs w:val="18"/>
        </w:rPr>
        <w:t xml:space="preserve">Family Law Act 1975 </w:t>
      </w:r>
      <w:r w:rsidRPr="00DB15FC">
        <w:rPr>
          <w:rFonts w:cstheme="minorHAnsi"/>
          <w:sz w:val="18"/>
          <w:szCs w:val="18"/>
        </w:rPr>
        <w:t>(Cth) s 62G.</w:t>
      </w:r>
    </w:p>
  </w:footnote>
  <w:footnote w:id="18">
    <w:p w14:paraId="4FFD09A0" w14:textId="77777777" w:rsidR="00BE48EE" w:rsidRPr="00DB15FC"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w:t>
      </w:r>
      <w:r w:rsidRPr="005435FB">
        <w:rPr>
          <w:i/>
          <w:sz w:val="18"/>
          <w:szCs w:val="18"/>
        </w:rPr>
        <w:t>Federal Circuit and Family Court of Australia (Family Law) Rules 2021</w:t>
      </w:r>
      <w:r>
        <w:rPr>
          <w:i/>
          <w:sz w:val="18"/>
          <w:szCs w:val="18"/>
        </w:rPr>
        <w:t xml:space="preserve"> </w:t>
      </w:r>
      <w:r w:rsidRPr="00DB15FC">
        <w:rPr>
          <w:rFonts w:cstheme="minorHAnsi"/>
          <w:sz w:val="18"/>
          <w:szCs w:val="18"/>
          <w:lang w:val="en-AU"/>
        </w:rPr>
        <w:t>Cth</w:t>
      </w:r>
      <w:r>
        <w:rPr>
          <w:rFonts w:cstheme="minorHAnsi"/>
          <w:sz w:val="18"/>
          <w:szCs w:val="18"/>
          <w:lang w:val="en-AU"/>
        </w:rPr>
        <w:t>) r 8.11(1). S</w:t>
      </w:r>
      <w:r>
        <w:rPr>
          <w:sz w:val="18"/>
        </w:rPr>
        <w:t xml:space="preserve">ee also </w:t>
      </w:r>
      <w:r w:rsidRPr="003B789D">
        <w:rPr>
          <w:i/>
          <w:sz w:val="18"/>
        </w:rPr>
        <w:t xml:space="preserve">Family Court Rules 2021 </w:t>
      </w:r>
      <w:r w:rsidRPr="003B789D">
        <w:rPr>
          <w:sz w:val="18"/>
        </w:rPr>
        <w:t>(WA) r 4.</w:t>
      </w:r>
    </w:p>
  </w:footnote>
  <w:footnote w:id="19">
    <w:p w14:paraId="39671465" w14:textId="77777777" w:rsidR="00BE48EE" w:rsidRPr="00036BBA" w:rsidRDefault="00BE48EE" w:rsidP="00BE48EE">
      <w:pPr>
        <w:pStyle w:val="FootnoteText"/>
        <w:rPr>
          <w:lang w:val="en-AU"/>
        </w:rPr>
      </w:pPr>
      <w:r>
        <w:rPr>
          <w:rStyle w:val="FootnoteReference"/>
        </w:rPr>
        <w:footnoteRef/>
      </w:r>
      <w:r>
        <w:t xml:space="preserve"> </w:t>
      </w:r>
      <w:r w:rsidRPr="005435FB">
        <w:rPr>
          <w:i/>
          <w:sz w:val="18"/>
          <w:szCs w:val="18"/>
        </w:rPr>
        <w:t>Federal Circuit and Family Court of Australia (Family Law) Rules 2021</w:t>
      </w:r>
      <w:r>
        <w:rPr>
          <w:i/>
          <w:sz w:val="18"/>
          <w:szCs w:val="18"/>
        </w:rPr>
        <w:t xml:space="preserve"> </w:t>
      </w:r>
      <w:r>
        <w:rPr>
          <w:sz w:val="18"/>
          <w:szCs w:val="18"/>
        </w:rPr>
        <w:t xml:space="preserve">(Cth) </w:t>
      </w:r>
      <w:r>
        <w:rPr>
          <w:rFonts w:cstheme="minorHAnsi"/>
          <w:sz w:val="18"/>
          <w:szCs w:val="18"/>
          <w:lang w:val="en-AU"/>
        </w:rPr>
        <w:t>r 8.11(3).</w:t>
      </w:r>
    </w:p>
  </w:footnote>
  <w:footnote w:id="20">
    <w:p w14:paraId="4286354B" w14:textId="77777777" w:rsidR="00BE48EE" w:rsidRPr="00DB15FC"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w:t>
      </w:r>
      <w:r>
        <w:rPr>
          <w:sz w:val="18"/>
          <w:szCs w:val="18"/>
        </w:rPr>
        <w:t xml:space="preserve">Ibid </w:t>
      </w:r>
      <w:r>
        <w:rPr>
          <w:rFonts w:cstheme="minorHAnsi"/>
          <w:sz w:val="18"/>
          <w:szCs w:val="18"/>
          <w:lang w:val="en-AU"/>
        </w:rPr>
        <w:t>r 7.13(3). S</w:t>
      </w:r>
      <w:r>
        <w:rPr>
          <w:sz w:val="18"/>
        </w:rPr>
        <w:t xml:space="preserve">ee also </w:t>
      </w:r>
      <w:r w:rsidRPr="003B789D">
        <w:rPr>
          <w:i/>
          <w:sz w:val="18"/>
        </w:rPr>
        <w:t xml:space="preserve">Family Court Rules 2021 </w:t>
      </w:r>
      <w:r w:rsidRPr="003B789D">
        <w:rPr>
          <w:sz w:val="18"/>
        </w:rPr>
        <w:t>(WA) r</w:t>
      </w:r>
      <w:r>
        <w:rPr>
          <w:sz w:val="18"/>
        </w:rPr>
        <w:t xml:space="preserve"> 271</w:t>
      </w:r>
    </w:p>
  </w:footnote>
  <w:footnote w:id="21">
    <w:p w14:paraId="31B7467A"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FCoA, FCC and FCWA</w:t>
      </w:r>
      <w:r>
        <w:rPr>
          <w:rFonts w:cstheme="minorHAnsi"/>
          <w:sz w:val="18"/>
          <w:szCs w:val="18"/>
        </w:rPr>
        <w:t xml:space="preserve">, </w:t>
      </w:r>
      <w:hyperlink r:id="rId12" w:history="1">
        <w:r w:rsidRPr="00E32B89">
          <w:rPr>
            <w:rStyle w:val="Hyperlink"/>
            <w:rFonts w:cstheme="minorHAnsi"/>
            <w:i/>
            <w:sz w:val="18"/>
            <w:szCs w:val="18"/>
          </w:rPr>
          <w:t>Australian Standards of Practice for Family Assessments and Reporting</w:t>
        </w:r>
      </w:hyperlink>
      <w:r>
        <w:rPr>
          <w:rFonts w:cstheme="minorHAnsi"/>
          <w:sz w:val="18"/>
          <w:szCs w:val="18"/>
        </w:rPr>
        <w:t xml:space="preserve">, </w:t>
      </w:r>
      <w:r w:rsidRPr="00DB15FC">
        <w:rPr>
          <w:rFonts w:cstheme="minorHAnsi"/>
          <w:sz w:val="18"/>
          <w:szCs w:val="18"/>
        </w:rPr>
        <w:t>February 2015.</w:t>
      </w:r>
    </w:p>
  </w:footnote>
  <w:footnote w:id="22">
    <w:p w14:paraId="5F17940E"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ALRC, </w:t>
      </w:r>
      <w:hyperlink r:id="rId13" w:history="1">
        <w:r w:rsidRPr="000C595C">
          <w:rPr>
            <w:rStyle w:val="Hyperlink"/>
            <w:rFonts w:cstheme="minorHAnsi"/>
            <w:i/>
            <w:sz w:val="18"/>
            <w:szCs w:val="18"/>
          </w:rPr>
          <w:t>Review of the Family Law System</w:t>
        </w:r>
      </w:hyperlink>
      <w:r>
        <w:rPr>
          <w:rStyle w:val="Hyperlink"/>
          <w:rFonts w:cstheme="minorHAnsi"/>
          <w:i/>
          <w:sz w:val="18"/>
          <w:szCs w:val="18"/>
        </w:rPr>
        <w:t>,</w:t>
      </w:r>
      <w:r w:rsidRPr="00DB15FC">
        <w:rPr>
          <w:rFonts w:cstheme="minorHAnsi"/>
          <w:i/>
          <w:sz w:val="18"/>
          <w:szCs w:val="18"/>
        </w:rPr>
        <w:t xml:space="preserve"> </w:t>
      </w:r>
      <w:r w:rsidRPr="00DB15FC">
        <w:rPr>
          <w:rFonts w:cstheme="minorHAnsi"/>
          <w:sz w:val="18"/>
          <w:szCs w:val="18"/>
        </w:rPr>
        <w:t>Discussion Paper No 86, October 2018</w:t>
      </w:r>
      <w:r>
        <w:rPr>
          <w:rFonts w:cstheme="minorHAnsi"/>
          <w:sz w:val="18"/>
          <w:szCs w:val="18"/>
        </w:rPr>
        <w:t>,</w:t>
      </w:r>
      <w:r w:rsidRPr="00DB15FC">
        <w:rPr>
          <w:rFonts w:cstheme="minorHAnsi"/>
          <w:sz w:val="18"/>
          <w:szCs w:val="18"/>
        </w:rPr>
        <w:t xml:space="preserve"> 257.</w:t>
      </w:r>
    </w:p>
  </w:footnote>
  <w:footnote w:id="23">
    <w:p w14:paraId="2697BFD8"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sidRPr="00DB15FC">
        <w:rPr>
          <w:rFonts w:cstheme="minorHAnsi"/>
          <w:sz w:val="18"/>
          <w:szCs w:val="18"/>
          <w:lang w:val="en-AU"/>
        </w:rPr>
        <w:t xml:space="preserve">Women’s Legal Service Australia, </w:t>
      </w:r>
      <w:hyperlink r:id="rId14" w:history="1">
        <w:r w:rsidRPr="00BE403A">
          <w:rPr>
            <w:rStyle w:val="Hyperlink"/>
            <w:rFonts w:cstheme="minorHAnsi"/>
            <w:sz w:val="18"/>
            <w:szCs w:val="18"/>
            <w:lang w:val="en-AU"/>
          </w:rPr>
          <w:t>Submission No 45</w:t>
        </w:r>
      </w:hyperlink>
      <w:r w:rsidRPr="00DB15FC">
        <w:rPr>
          <w:rFonts w:cstheme="minorHAnsi"/>
          <w:sz w:val="18"/>
          <w:szCs w:val="18"/>
          <w:lang w:val="en-AU"/>
        </w:rPr>
        <w:t xml:space="preserve"> to ALRC, </w:t>
      </w:r>
      <w:r w:rsidRPr="00DB15FC">
        <w:rPr>
          <w:rFonts w:cstheme="minorHAnsi"/>
          <w:i/>
          <w:sz w:val="18"/>
          <w:szCs w:val="18"/>
          <w:lang w:val="en-AU"/>
        </w:rPr>
        <w:t>Review of the family law system</w:t>
      </w:r>
      <w:r>
        <w:rPr>
          <w:rFonts w:cstheme="minorHAnsi"/>
          <w:i/>
          <w:sz w:val="18"/>
          <w:szCs w:val="18"/>
          <w:lang w:val="en-AU"/>
        </w:rPr>
        <w:t xml:space="preserve">, </w:t>
      </w:r>
      <w:r>
        <w:rPr>
          <w:rFonts w:cstheme="minorHAnsi"/>
          <w:sz w:val="18"/>
          <w:szCs w:val="18"/>
          <w:lang w:val="en-AU"/>
        </w:rPr>
        <w:t>15 May 2018</w:t>
      </w:r>
      <w:r w:rsidRPr="00DB15FC">
        <w:rPr>
          <w:rFonts w:cstheme="minorHAnsi"/>
          <w:sz w:val="18"/>
          <w:szCs w:val="18"/>
          <w:lang w:val="en-AU"/>
        </w:rPr>
        <w:t>.</w:t>
      </w:r>
    </w:p>
  </w:footnote>
  <w:footnote w:id="24">
    <w:p w14:paraId="26A78462"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FCoA, FCC and FCWA</w:t>
      </w:r>
      <w:r>
        <w:rPr>
          <w:rFonts w:cstheme="minorHAnsi"/>
          <w:sz w:val="18"/>
          <w:szCs w:val="18"/>
        </w:rPr>
        <w:t xml:space="preserve">, </w:t>
      </w:r>
      <w:hyperlink r:id="rId15" w:history="1">
        <w:r w:rsidRPr="00E32B89">
          <w:rPr>
            <w:rStyle w:val="Hyperlink"/>
            <w:rFonts w:cstheme="minorHAnsi"/>
            <w:i/>
            <w:sz w:val="18"/>
            <w:szCs w:val="18"/>
          </w:rPr>
          <w:t>Australian Standards of Practice for Family Assessments and Reporting</w:t>
        </w:r>
      </w:hyperlink>
      <w:r>
        <w:rPr>
          <w:rFonts w:cstheme="minorHAnsi"/>
          <w:sz w:val="18"/>
          <w:szCs w:val="18"/>
        </w:rPr>
        <w:t xml:space="preserve">, </w:t>
      </w:r>
      <w:r w:rsidRPr="00DB15FC">
        <w:rPr>
          <w:rFonts w:cstheme="minorHAnsi"/>
          <w:sz w:val="18"/>
          <w:szCs w:val="18"/>
        </w:rPr>
        <w:t>February 2015.</w:t>
      </w:r>
    </w:p>
  </w:footnote>
  <w:footnote w:id="25">
    <w:p w14:paraId="038E5EF3"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ALRC, </w:t>
      </w:r>
      <w:hyperlink r:id="rId16" w:history="1">
        <w:r w:rsidRPr="000C595C">
          <w:rPr>
            <w:rStyle w:val="Hyperlink"/>
            <w:rFonts w:cstheme="minorHAnsi"/>
            <w:i/>
            <w:sz w:val="18"/>
            <w:szCs w:val="18"/>
          </w:rPr>
          <w:t>Review of the Family Law System</w:t>
        </w:r>
      </w:hyperlink>
      <w:r>
        <w:rPr>
          <w:rFonts w:cstheme="minorHAnsi"/>
          <w:sz w:val="18"/>
          <w:szCs w:val="18"/>
        </w:rPr>
        <w:t xml:space="preserve">, </w:t>
      </w:r>
      <w:r w:rsidRPr="00DB15FC">
        <w:rPr>
          <w:rFonts w:cstheme="minorHAnsi"/>
          <w:sz w:val="18"/>
          <w:szCs w:val="18"/>
        </w:rPr>
        <w:t>Discussion Paper No 86, October 2018</w:t>
      </w:r>
      <w:r>
        <w:rPr>
          <w:rFonts w:cstheme="minorHAnsi"/>
          <w:sz w:val="18"/>
          <w:szCs w:val="18"/>
        </w:rPr>
        <w:t>, pp</w:t>
      </w:r>
      <w:r w:rsidRPr="00DB15FC">
        <w:rPr>
          <w:rFonts w:cstheme="minorHAnsi"/>
          <w:sz w:val="18"/>
          <w:szCs w:val="18"/>
        </w:rPr>
        <w:t xml:space="preserve"> 242, 243. </w:t>
      </w:r>
    </w:p>
  </w:footnote>
  <w:footnote w:id="26">
    <w:p w14:paraId="07DD3E5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sz w:val="18"/>
          <w:szCs w:val="18"/>
          <w:lang w:val="en-AU"/>
        </w:rPr>
        <w:t xml:space="preserve">Australian Human Rights Commission, </w:t>
      </w:r>
      <w:hyperlink r:id="rId17" w:history="1">
        <w:r w:rsidRPr="000C595C">
          <w:rPr>
            <w:rStyle w:val="Hyperlink"/>
            <w:rFonts w:cstheme="minorHAnsi"/>
            <w:sz w:val="18"/>
            <w:szCs w:val="18"/>
            <w:lang w:val="en-AU"/>
          </w:rPr>
          <w:t>Submission No 217</w:t>
        </w:r>
      </w:hyperlink>
      <w:r w:rsidRPr="00DB15FC">
        <w:rPr>
          <w:rFonts w:cstheme="minorHAnsi"/>
          <w:sz w:val="18"/>
          <w:szCs w:val="18"/>
          <w:lang w:val="en-AU"/>
        </w:rPr>
        <w:t xml:space="preserve"> to ALRC, </w:t>
      </w:r>
      <w:r>
        <w:rPr>
          <w:rFonts w:cstheme="minorHAnsi"/>
          <w:i/>
          <w:sz w:val="18"/>
          <w:szCs w:val="18"/>
          <w:lang w:val="en-AU"/>
        </w:rPr>
        <w:t xml:space="preserve">Review of the family law system, </w:t>
      </w:r>
      <w:r w:rsidRPr="00DB15FC">
        <w:rPr>
          <w:rFonts w:cstheme="minorHAnsi"/>
          <w:sz w:val="18"/>
          <w:szCs w:val="18"/>
          <w:lang w:val="en-AU"/>
        </w:rPr>
        <w:t>15 May 2018.</w:t>
      </w:r>
    </w:p>
  </w:footnote>
  <w:footnote w:id="27">
    <w:p w14:paraId="4DAE1E19"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Victoria Legal Aid, </w:t>
      </w:r>
      <w:hyperlink r:id="rId18" w:history="1">
        <w:r w:rsidRPr="000C595C">
          <w:rPr>
            <w:rStyle w:val="Hyperlink"/>
            <w:sz w:val="18"/>
            <w:szCs w:val="18"/>
          </w:rPr>
          <w:t>Submission No 61</w:t>
        </w:r>
      </w:hyperlink>
      <w:r w:rsidRPr="00DB15FC">
        <w:rPr>
          <w:sz w:val="18"/>
          <w:szCs w:val="18"/>
        </w:rPr>
        <w:t xml:space="preserve"> to ALRC, </w:t>
      </w:r>
      <w:r w:rsidRPr="00DB15FC">
        <w:rPr>
          <w:i/>
          <w:sz w:val="18"/>
          <w:szCs w:val="18"/>
        </w:rPr>
        <w:t>Review of the family law system</w:t>
      </w:r>
      <w:r>
        <w:rPr>
          <w:sz w:val="18"/>
          <w:szCs w:val="18"/>
        </w:rPr>
        <w:t xml:space="preserve">, </w:t>
      </w:r>
      <w:r w:rsidRPr="00DB15FC">
        <w:rPr>
          <w:sz w:val="18"/>
          <w:szCs w:val="18"/>
        </w:rPr>
        <w:t xml:space="preserve">May 2018; Rainbow Families Victoria, </w:t>
      </w:r>
      <w:hyperlink r:id="rId19" w:history="1">
        <w:r w:rsidRPr="008C2011">
          <w:rPr>
            <w:rStyle w:val="Hyperlink"/>
            <w:sz w:val="18"/>
            <w:szCs w:val="18"/>
          </w:rPr>
          <w:t>Submission No 106</w:t>
        </w:r>
      </w:hyperlink>
      <w:r w:rsidRPr="00DB15FC">
        <w:rPr>
          <w:sz w:val="18"/>
          <w:szCs w:val="18"/>
        </w:rPr>
        <w:t xml:space="preserve"> to ALRC, </w:t>
      </w:r>
      <w:r w:rsidRPr="00DB15FC">
        <w:rPr>
          <w:i/>
          <w:sz w:val="18"/>
          <w:szCs w:val="18"/>
        </w:rPr>
        <w:t>Review of the family law system</w:t>
      </w:r>
      <w:r>
        <w:rPr>
          <w:sz w:val="18"/>
          <w:szCs w:val="18"/>
        </w:rPr>
        <w:t xml:space="preserve">, </w:t>
      </w:r>
      <w:r w:rsidRPr="00DB15FC">
        <w:rPr>
          <w:sz w:val="18"/>
          <w:szCs w:val="18"/>
        </w:rPr>
        <w:t>May 2018.</w:t>
      </w:r>
    </w:p>
  </w:footnote>
  <w:footnote w:id="28">
    <w:p w14:paraId="2BC57448"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National Aboriginal and Torres Strait Islander Legal Services, </w:t>
      </w:r>
      <w:hyperlink r:id="rId20" w:history="1">
        <w:r w:rsidRPr="000C595C">
          <w:rPr>
            <w:rStyle w:val="Hyperlink"/>
            <w:sz w:val="18"/>
            <w:szCs w:val="18"/>
          </w:rPr>
          <w:t>Submission No 290</w:t>
        </w:r>
      </w:hyperlink>
      <w:r w:rsidRPr="00DB15FC">
        <w:rPr>
          <w:sz w:val="18"/>
          <w:szCs w:val="18"/>
        </w:rPr>
        <w:t xml:space="preserve"> to ALRC, </w:t>
      </w:r>
      <w:r>
        <w:rPr>
          <w:i/>
          <w:sz w:val="18"/>
          <w:szCs w:val="18"/>
        </w:rPr>
        <w:t xml:space="preserve">Review of the family law system, </w:t>
      </w:r>
      <w:r>
        <w:rPr>
          <w:sz w:val="18"/>
          <w:szCs w:val="18"/>
        </w:rPr>
        <w:t>November 2018</w:t>
      </w:r>
      <w:r w:rsidRPr="00DB15FC">
        <w:rPr>
          <w:sz w:val="18"/>
          <w:szCs w:val="18"/>
        </w:rPr>
        <w:t xml:space="preserve">; Victorian Aboriginal Legal Service, </w:t>
      </w:r>
      <w:hyperlink r:id="rId21" w:history="1">
        <w:r w:rsidRPr="000C595C">
          <w:rPr>
            <w:rStyle w:val="Hyperlink"/>
            <w:sz w:val="18"/>
            <w:szCs w:val="18"/>
          </w:rPr>
          <w:t>Submission No 101</w:t>
        </w:r>
      </w:hyperlink>
      <w:r w:rsidRPr="00DB15FC">
        <w:rPr>
          <w:sz w:val="18"/>
          <w:szCs w:val="18"/>
        </w:rPr>
        <w:t xml:space="preserve"> to ALRC,</w:t>
      </w:r>
      <w:r w:rsidRPr="00DB15FC">
        <w:rPr>
          <w:i/>
          <w:sz w:val="18"/>
          <w:szCs w:val="18"/>
        </w:rPr>
        <w:t xml:space="preserve"> Review of the family law system</w:t>
      </w:r>
      <w:r>
        <w:rPr>
          <w:i/>
          <w:sz w:val="18"/>
          <w:szCs w:val="18"/>
        </w:rPr>
        <w:t>,</w:t>
      </w:r>
      <w:r w:rsidRPr="00DB15FC">
        <w:rPr>
          <w:i/>
          <w:sz w:val="18"/>
          <w:szCs w:val="18"/>
        </w:rPr>
        <w:t xml:space="preserve"> </w:t>
      </w:r>
      <w:r w:rsidRPr="00DB15FC">
        <w:rPr>
          <w:sz w:val="18"/>
          <w:szCs w:val="18"/>
        </w:rPr>
        <w:t xml:space="preserve">August 2019. </w:t>
      </w:r>
    </w:p>
  </w:footnote>
  <w:footnote w:id="29">
    <w:p w14:paraId="510AC7C5"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sidRPr="00DB15FC">
        <w:rPr>
          <w:rFonts w:cstheme="minorHAnsi"/>
          <w:sz w:val="18"/>
          <w:szCs w:val="18"/>
        </w:rPr>
        <w:t xml:space="preserve">ALRC, </w:t>
      </w:r>
      <w:hyperlink r:id="rId22" w:history="1">
        <w:r w:rsidRPr="000C595C">
          <w:rPr>
            <w:rStyle w:val="Hyperlink"/>
            <w:rFonts w:cstheme="minorHAnsi"/>
            <w:i/>
            <w:sz w:val="18"/>
            <w:szCs w:val="18"/>
          </w:rPr>
          <w:t>Review of the Family Law System</w:t>
        </w:r>
      </w:hyperlink>
      <w:r>
        <w:rPr>
          <w:rFonts w:cstheme="minorHAnsi"/>
          <w:sz w:val="18"/>
          <w:szCs w:val="18"/>
        </w:rPr>
        <w:t xml:space="preserve">, </w:t>
      </w:r>
      <w:r w:rsidRPr="00DB15FC">
        <w:rPr>
          <w:rFonts w:cstheme="minorHAnsi"/>
          <w:sz w:val="18"/>
          <w:szCs w:val="18"/>
        </w:rPr>
        <w:t>Discussion Paper No 86, October 2018</w:t>
      </w:r>
      <w:r>
        <w:rPr>
          <w:rFonts w:cstheme="minorHAnsi"/>
          <w:sz w:val="18"/>
          <w:szCs w:val="18"/>
        </w:rPr>
        <w:t>, pp</w:t>
      </w:r>
      <w:r w:rsidRPr="00DB15FC">
        <w:rPr>
          <w:rFonts w:cstheme="minorHAnsi"/>
          <w:sz w:val="18"/>
          <w:szCs w:val="18"/>
        </w:rPr>
        <w:t xml:space="preserve"> 242, 260.</w:t>
      </w:r>
    </w:p>
  </w:footnote>
  <w:footnote w:id="30">
    <w:p w14:paraId="259EB3B3"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People with Disability Australia, </w:t>
      </w:r>
      <w:hyperlink r:id="rId23" w:history="1">
        <w:r w:rsidRPr="000C595C">
          <w:rPr>
            <w:rStyle w:val="Hyperlink"/>
            <w:sz w:val="18"/>
            <w:szCs w:val="18"/>
          </w:rPr>
          <w:t>Submission No 10</w:t>
        </w:r>
      </w:hyperlink>
      <w:r w:rsidRPr="00DB15FC">
        <w:rPr>
          <w:sz w:val="18"/>
          <w:szCs w:val="18"/>
        </w:rPr>
        <w:t xml:space="preserve"> to ALRC, </w:t>
      </w:r>
      <w:r>
        <w:rPr>
          <w:i/>
          <w:sz w:val="18"/>
          <w:szCs w:val="18"/>
        </w:rPr>
        <w:t xml:space="preserve">Review of the family law system, </w:t>
      </w:r>
      <w:r>
        <w:rPr>
          <w:sz w:val="18"/>
          <w:szCs w:val="18"/>
        </w:rPr>
        <w:t>May 2018, p 5</w:t>
      </w:r>
      <w:r w:rsidRPr="00DB15FC">
        <w:rPr>
          <w:sz w:val="18"/>
          <w:szCs w:val="18"/>
        </w:rPr>
        <w:t>.</w:t>
      </w:r>
    </w:p>
  </w:footnote>
  <w:footnote w:id="31">
    <w:p w14:paraId="5460996A"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For example, in relation to family violence, Z Rathus, Dr S Jeffries, Dr H Menih and Professor R Field, </w:t>
      </w:r>
      <w:hyperlink r:id="rId24" w:history="1">
        <w:r w:rsidRPr="000C595C">
          <w:rPr>
            <w:rStyle w:val="Hyperlink"/>
            <w:rFonts w:cstheme="minorHAnsi"/>
            <w:sz w:val="18"/>
            <w:szCs w:val="18"/>
          </w:rPr>
          <w:t>Submission No 166</w:t>
        </w:r>
      </w:hyperlink>
      <w:r>
        <w:rPr>
          <w:rFonts w:cstheme="minorHAnsi"/>
          <w:sz w:val="18"/>
          <w:szCs w:val="18"/>
        </w:rPr>
        <w:t xml:space="preserve"> to ALRC, </w:t>
      </w:r>
      <w:r w:rsidRPr="00DB15FC">
        <w:rPr>
          <w:rFonts w:cstheme="minorHAnsi"/>
          <w:i/>
          <w:sz w:val="18"/>
          <w:szCs w:val="18"/>
        </w:rPr>
        <w:t>Family Law for the Future</w:t>
      </w:r>
      <w:r>
        <w:rPr>
          <w:rFonts w:cstheme="minorHAnsi"/>
          <w:i/>
          <w:sz w:val="18"/>
          <w:szCs w:val="18"/>
        </w:rPr>
        <w:t>,</w:t>
      </w:r>
      <w:r w:rsidRPr="00DB15FC">
        <w:rPr>
          <w:rFonts w:cstheme="minorHAnsi"/>
          <w:i/>
          <w:sz w:val="18"/>
          <w:szCs w:val="18"/>
        </w:rPr>
        <w:t xml:space="preserve"> </w:t>
      </w:r>
      <w:r>
        <w:rPr>
          <w:rFonts w:cstheme="minorHAnsi"/>
          <w:sz w:val="18"/>
          <w:szCs w:val="18"/>
        </w:rPr>
        <w:t>May 2018,</w:t>
      </w:r>
      <w:r w:rsidRPr="00DB15FC">
        <w:rPr>
          <w:rFonts w:cstheme="minorHAnsi"/>
          <w:sz w:val="18"/>
          <w:szCs w:val="18"/>
        </w:rPr>
        <w:t xml:space="preserve"> suggested that family report writers should understand: the on-going impact of having lived with DFV on a parent and their children; the frequent continuation of DFV after separation - which partly explains the on-going hyper-vigilance and protection exercised by parents who have separated from abusive partners; the consequences of fear on the well-being of children; how this history affects the parents’ post-separation behaviour, conduct and presentation during the assessment process; how charming and convincing some perpetrators can be; there are many reasons children will respond positively to the perpetrator at the assessment; the lack of capacity for selfless nurturing by many perpetrators of DFV; and how the experience of DFV may negatively impact on a parent’s apparent nurturing capacity and how this may change when the perpetrator is absent. </w:t>
      </w:r>
    </w:p>
  </w:footnote>
  <w:footnote w:id="32">
    <w:p w14:paraId="18EA6AFA" w14:textId="77777777" w:rsidR="00BE48EE" w:rsidRPr="00DB15FC" w:rsidRDefault="00BE48EE" w:rsidP="00BE48EE">
      <w:pPr>
        <w:pStyle w:val="FootnoteText"/>
        <w:rPr>
          <w:rFonts w:cstheme="minorHAnsi"/>
          <w:sz w:val="18"/>
          <w:szCs w:val="18"/>
          <w:lang w:val="en-US"/>
        </w:rPr>
      </w:pPr>
      <w:r w:rsidRPr="00A67AB1">
        <w:rPr>
          <w:rStyle w:val="FootnoteReference"/>
          <w:rFonts w:cstheme="minorHAnsi"/>
          <w:sz w:val="18"/>
          <w:szCs w:val="18"/>
        </w:rPr>
        <w:footnoteRef/>
      </w:r>
      <w:r w:rsidRPr="00A67AB1">
        <w:rPr>
          <w:rFonts w:cstheme="minorHAnsi"/>
          <w:sz w:val="18"/>
          <w:szCs w:val="18"/>
        </w:rPr>
        <w:t xml:space="preserve"> </w:t>
      </w:r>
      <w:r w:rsidRPr="00A67AB1">
        <w:rPr>
          <w:rFonts w:cstheme="minorHAnsi"/>
          <w:sz w:val="18"/>
          <w:szCs w:val="18"/>
          <w:lang w:val="en-US"/>
        </w:rPr>
        <w:t xml:space="preserve">Information provided to AGD by </w:t>
      </w:r>
      <w:r>
        <w:rPr>
          <w:rFonts w:cstheme="minorHAnsi"/>
          <w:sz w:val="18"/>
          <w:szCs w:val="18"/>
          <w:lang w:val="en-US"/>
        </w:rPr>
        <w:t xml:space="preserve">the family law courts </w:t>
      </w:r>
      <w:r w:rsidRPr="00A67AB1">
        <w:rPr>
          <w:rFonts w:cstheme="minorHAnsi"/>
          <w:sz w:val="18"/>
          <w:szCs w:val="18"/>
          <w:lang w:val="en-US"/>
        </w:rPr>
        <w:t>during consultations</w:t>
      </w:r>
      <w:r>
        <w:rPr>
          <w:rFonts w:cstheme="minorHAnsi"/>
          <w:sz w:val="18"/>
          <w:szCs w:val="18"/>
          <w:lang w:val="en-US"/>
        </w:rPr>
        <w:t xml:space="preserve"> in</w:t>
      </w:r>
      <w:r w:rsidRPr="00A67AB1">
        <w:rPr>
          <w:rFonts w:cstheme="minorHAnsi"/>
          <w:sz w:val="18"/>
          <w:szCs w:val="18"/>
          <w:lang w:val="en-US"/>
        </w:rPr>
        <w:t xml:space="preserve"> 2020. </w:t>
      </w:r>
    </w:p>
  </w:footnote>
  <w:footnote w:id="33">
    <w:p w14:paraId="7416A8C6"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JSC, Parliament of Australia, </w:t>
      </w:r>
      <w:hyperlink r:id="rId25" w:history="1">
        <w:r w:rsidRPr="000B3D9A">
          <w:rPr>
            <w:rStyle w:val="Hyperlink"/>
            <w:rFonts w:cstheme="minorHAnsi"/>
            <w:i/>
            <w:sz w:val="18"/>
            <w:szCs w:val="18"/>
          </w:rPr>
          <w:t>Improvements in Family Law Proceedings</w:t>
        </w:r>
      </w:hyperlink>
      <w:r>
        <w:rPr>
          <w:rFonts w:cstheme="minorHAnsi"/>
          <w:sz w:val="18"/>
          <w:szCs w:val="18"/>
        </w:rPr>
        <w:t xml:space="preserve">, </w:t>
      </w:r>
      <w:r w:rsidRPr="00DB15FC">
        <w:rPr>
          <w:rFonts w:cstheme="minorHAnsi"/>
          <w:sz w:val="18"/>
          <w:szCs w:val="18"/>
        </w:rPr>
        <w:t>Second Interim</w:t>
      </w:r>
      <w:r>
        <w:rPr>
          <w:rFonts w:cstheme="minorHAnsi"/>
          <w:sz w:val="18"/>
          <w:szCs w:val="18"/>
        </w:rPr>
        <w:t xml:space="preserve"> Report, March 2021, paragraph </w:t>
      </w:r>
      <w:r w:rsidRPr="00DB15FC">
        <w:rPr>
          <w:rFonts w:cstheme="minorHAnsi"/>
          <w:sz w:val="18"/>
          <w:szCs w:val="18"/>
          <w:lang w:val="en-AU"/>
        </w:rPr>
        <w:t>2.132.</w:t>
      </w:r>
    </w:p>
  </w:footnote>
  <w:footnote w:id="34">
    <w:p w14:paraId="2455975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Ibid, paragraph </w:t>
      </w:r>
      <w:r>
        <w:rPr>
          <w:rFonts w:cstheme="minorHAnsi"/>
          <w:sz w:val="18"/>
          <w:szCs w:val="18"/>
          <w:lang w:val="en-AU"/>
        </w:rPr>
        <w:t>2.140</w:t>
      </w:r>
      <w:r w:rsidRPr="00DB15FC">
        <w:rPr>
          <w:rFonts w:cstheme="minorHAnsi"/>
          <w:sz w:val="18"/>
          <w:szCs w:val="18"/>
          <w:lang w:val="en-AU"/>
        </w:rPr>
        <w:t>.</w:t>
      </w:r>
    </w:p>
  </w:footnote>
  <w:footnote w:id="35">
    <w:p w14:paraId="029C7FC3"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Association of Family and Conciliation Courts: Australian Chapter (AFCC)</w:t>
      </w:r>
      <w:r w:rsidRPr="00DB15FC">
        <w:rPr>
          <w:rFonts w:cstheme="minorHAnsi"/>
          <w:sz w:val="18"/>
          <w:szCs w:val="18"/>
        </w:rPr>
        <w:t xml:space="preserve">, </w:t>
      </w:r>
      <w:hyperlink r:id="rId26" w:history="1">
        <w:r w:rsidRPr="00BE403A">
          <w:rPr>
            <w:rStyle w:val="Hyperlink"/>
            <w:rFonts w:cstheme="minorHAnsi"/>
            <w:sz w:val="18"/>
            <w:szCs w:val="18"/>
          </w:rPr>
          <w:t>AFCC Australian Chapter</w:t>
        </w:r>
      </w:hyperlink>
      <w:r>
        <w:rPr>
          <w:rFonts w:cstheme="minorHAnsi"/>
          <w:sz w:val="18"/>
          <w:szCs w:val="18"/>
        </w:rPr>
        <w:t>, n.d., accessed 18 August 2021.</w:t>
      </w:r>
    </w:p>
  </w:footnote>
  <w:footnote w:id="36">
    <w:p w14:paraId="48DE1F6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Pr>
          <w:rFonts w:cstheme="minorHAnsi"/>
          <w:sz w:val="18"/>
          <w:szCs w:val="18"/>
        </w:rPr>
        <w:t xml:space="preserve"> AFCC, </w:t>
      </w:r>
      <w:hyperlink r:id="rId27" w:history="1">
        <w:r w:rsidRPr="00BE403A">
          <w:rPr>
            <w:rStyle w:val="Hyperlink"/>
            <w:rFonts w:cstheme="minorHAnsi"/>
            <w:sz w:val="18"/>
            <w:szCs w:val="18"/>
          </w:rPr>
          <w:t>Family Report Writer Introductory Modules</w:t>
        </w:r>
      </w:hyperlink>
      <w:r>
        <w:rPr>
          <w:rFonts w:cstheme="minorHAnsi"/>
          <w:sz w:val="18"/>
          <w:szCs w:val="18"/>
        </w:rPr>
        <w:t>, n.d., accessed 18 August 2021.</w:t>
      </w:r>
      <w:r w:rsidRPr="00DB15FC">
        <w:rPr>
          <w:rFonts w:cstheme="minorHAnsi"/>
          <w:sz w:val="18"/>
          <w:szCs w:val="18"/>
        </w:rPr>
        <w:t xml:space="preserve"> </w:t>
      </w:r>
    </w:p>
  </w:footnote>
  <w:footnote w:id="37">
    <w:p w14:paraId="0C686C4C"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sidRPr="00DB15FC">
        <w:rPr>
          <w:rFonts w:cstheme="minorHAnsi"/>
          <w:sz w:val="18"/>
          <w:szCs w:val="18"/>
        </w:rPr>
        <w:t xml:space="preserve">AFCC, </w:t>
      </w:r>
      <w:hyperlink r:id="rId28" w:history="1">
        <w:r w:rsidRPr="00BE403A">
          <w:rPr>
            <w:rStyle w:val="Hyperlink"/>
            <w:sz w:val="18"/>
            <w:szCs w:val="18"/>
          </w:rPr>
          <w:t>Family Report Writer Endorsement Policy and Practice</w:t>
        </w:r>
      </w:hyperlink>
      <w:r>
        <w:rPr>
          <w:sz w:val="18"/>
          <w:szCs w:val="18"/>
        </w:rPr>
        <w:t>, October 2020, accessed 18 August 2021.</w:t>
      </w:r>
    </w:p>
  </w:footnote>
  <w:footnote w:id="38">
    <w:p w14:paraId="1D0F65F8" w14:textId="77777777" w:rsidR="00BE48EE" w:rsidRPr="003238FA" w:rsidRDefault="00BE48EE" w:rsidP="00BE48EE">
      <w:pPr>
        <w:pStyle w:val="FootnoteText"/>
        <w:rPr>
          <w:lang w:val="en-AU"/>
        </w:rPr>
      </w:pPr>
      <w:r w:rsidRPr="003238FA">
        <w:rPr>
          <w:rStyle w:val="FootnoteReference"/>
          <w:sz w:val="18"/>
        </w:rPr>
        <w:footnoteRef/>
      </w:r>
      <w:r w:rsidRPr="003238FA">
        <w:rPr>
          <w:sz w:val="18"/>
        </w:rPr>
        <w:t xml:space="preserve"> </w:t>
      </w:r>
      <w:r w:rsidRPr="00BE403A">
        <w:rPr>
          <w:sz w:val="18"/>
        </w:rPr>
        <w:t>Australian Association of Social Workers</w:t>
      </w:r>
      <w:r>
        <w:rPr>
          <w:sz w:val="18"/>
        </w:rPr>
        <w:t xml:space="preserve"> (AASW)</w:t>
      </w:r>
      <w:r w:rsidRPr="00BE403A">
        <w:rPr>
          <w:sz w:val="18"/>
        </w:rPr>
        <w:t>,</w:t>
      </w:r>
      <w:r w:rsidRPr="003238FA">
        <w:rPr>
          <w:sz w:val="18"/>
        </w:rPr>
        <w:t xml:space="preserve"> </w:t>
      </w:r>
      <w:hyperlink r:id="rId29" w:history="1">
        <w:r w:rsidRPr="00BE403A">
          <w:rPr>
            <w:rStyle w:val="Hyperlink"/>
            <w:sz w:val="18"/>
          </w:rPr>
          <w:t>Australian Social Work Education and Accreditation Standards</w:t>
        </w:r>
      </w:hyperlink>
      <w:r w:rsidRPr="003238FA">
        <w:rPr>
          <w:sz w:val="18"/>
        </w:rPr>
        <w:t>,</w:t>
      </w:r>
      <w:r>
        <w:rPr>
          <w:sz w:val="18"/>
        </w:rPr>
        <w:t xml:space="preserve"> </w:t>
      </w:r>
      <w:r w:rsidRPr="003238FA">
        <w:rPr>
          <w:sz w:val="18"/>
        </w:rPr>
        <w:t>Ma</w:t>
      </w:r>
      <w:r>
        <w:rPr>
          <w:sz w:val="18"/>
        </w:rPr>
        <w:t>rch 2020, accessed 18 August 2021.</w:t>
      </w:r>
    </w:p>
  </w:footnote>
  <w:footnote w:id="39">
    <w:p w14:paraId="72C7A412" w14:textId="77777777" w:rsidR="00BE48EE" w:rsidRPr="00FB0178" w:rsidRDefault="00BE48EE" w:rsidP="00BE48EE">
      <w:pPr>
        <w:pStyle w:val="FootnoteText"/>
        <w:rPr>
          <w:lang w:val="en-AU"/>
        </w:rPr>
      </w:pPr>
      <w:r w:rsidRPr="00FB0178">
        <w:rPr>
          <w:rStyle w:val="FootnoteReference"/>
          <w:sz w:val="18"/>
        </w:rPr>
        <w:footnoteRef/>
      </w:r>
      <w:r w:rsidRPr="00FB0178">
        <w:rPr>
          <w:sz w:val="18"/>
        </w:rPr>
        <w:t xml:space="preserve"> </w:t>
      </w:r>
      <w:r w:rsidRPr="00FB0178">
        <w:rPr>
          <w:sz w:val="18"/>
          <w:lang w:val="en-AU"/>
        </w:rPr>
        <w:t xml:space="preserve">From 1 July 2022, the 4+2 pathway will close, see </w:t>
      </w:r>
      <w:r w:rsidRPr="00356FB9">
        <w:rPr>
          <w:sz w:val="18"/>
          <w:lang w:val="en-AU"/>
        </w:rPr>
        <w:t>Psychology Board, Australian Health Practitioner Regulation Agency</w:t>
      </w:r>
      <w:r w:rsidRPr="00FB0178">
        <w:rPr>
          <w:i/>
          <w:sz w:val="18"/>
          <w:lang w:val="en-AU"/>
        </w:rPr>
        <w:t xml:space="preserve"> </w:t>
      </w:r>
      <w:r w:rsidRPr="00FB0178">
        <w:rPr>
          <w:sz w:val="18"/>
          <w:lang w:val="en-AU"/>
        </w:rPr>
        <w:t>(Ahpra)</w:t>
      </w:r>
      <w:r w:rsidRPr="00FB0178">
        <w:rPr>
          <w:i/>
          <w:sz w:val="18"/>
          <w:lang w:val="en-AU"/>
        </w:rPr>
        <w:t>,</w:t>
      </w:r>
      <w:r w:rsidRPr="00FB0178">
        <w:rPr>
          <w:sz w:val="18"/>
          <w:lang w:val="en-AU"/>
        </w:rPr>
        <w:t xml:space="preserve"> </w:t>
      </w:r>
      <w:hyperlink r:id="rId30" w:history="1">
        <w:r w:rsidRPr="00356FB9">
          <w:rPr>
            <w:rStyle w:val="Hyperlink"/>
            <w:sz w:val="18"/>
            <w:lang w:val="en-AU"/>
          </w:rPr>
          <w:t>Retirement of the 4+2 internship program</w:t>
        </w:r>
      </w:hyperlink>
      <w:r>
        <w:rPr>
          <w:sz w:val="18"/>
          <w:lang w:val="en-AU"/>
        </w:rPr>
        <w:t>, February 2021, accessed 18 August 2021</w:t>
      </w:r>
      <w:r w:rsidRPr="00FB0178">
        <w:rPr>
          <w:sz w:val="18"/>
          <w:lang w:val="en-AU"/>
        </w:rPr>
        <w:t>.</w:t>
      </w:r>
    </w:p>
  </w:footnote>
  <w:footnote w:id="40">
    <w:p w14:paraId="6FEE4397" w14:textId="77777777" w:rsidR="00BE48EE" w:rsidRPr="00FB0178" w:rsidRDefault="00BE48EE" w:rsidP="00BE48EE">
      <w:pPr>
        <w:pStyle w:val="FootnoteText"/>
        <w:rPr>
          <w:lang w:val="en-AU"/>
        </w:rPr>
      </w:pPr>
      <w:r w:rsidRPr="00FB0178">
        <w:rPr>
          <w:rStyle w:val="FootnoteReference"/>
          <w:sz w:val="18"/>
        </w:rPr>
        <w:footnoteRef/>
      </w:r>
      <w:r w:rsidRPr="00FB0178">
        <w:rPr>
          <w:sz w:val="18"/>
        </w:rPr>
        <w:t xml:space="preserve"> </w:t>
      </w:r>
      <w:r w:rsidRPr="00356FB9">
        <w:rPr>
          <w:sz w:val="18"/>
        </w:rPr>
        <w:t>Australian Psychological Society</w:t>
      </w:r>
      <w:r>
        <w:rPr>
          <w:sz w:val="18"/>
        </w:rPr>
        <w:t xml:space="preserve"> (APS),</w:t>
      </w:r>
      <w:r w:rsidRPr="00FB0178">
        <w:rPr>
          <w:i/>
          <w:sz w:val="18"/>
        </w:rPr>
        <w:t xml:space="preserve"> </w:t>
      </w:r>
      <w:hyperlink r:id="rId31" w:history="1">
        <w:r w:rsidRPr="00356FB9">
          <w:rPr>
            <w:rStyle w:val="Hyperlink"/>
            <w:sz w:val="18"/>
          </w:rPr>
          <w:t>Study Pathways</w:t>
        </w:r>
      </w:hyperlink>
      <w:r w:rsidRPr="00FB0178">
        <w:rPr>
          <w:sz w:val="18"/>
        </w:rPr>
        <w:t>,</w:t>
      </w:r>
      <w:r>
        <w:rPr>
          <w:sz w:val="18"/>
        </w:rPr>
        <w:t xml:space="preserve"> n.d., accessed 18 August 2021.</w:t>
      </w:r>
    </w:p>
  </w:footnote>
  <w:footnote w:id="41">
    <w:p w14:paraId="22A3FE34" w14:textId="77777777" w:rsidR="00BE48EE" w:rsidRPr="00412A7C" w:rsidRDefault="00BE48EE" w:rsidP="00BE48EE">
      <w:pPr>
        <w:pStyle w:val="FootnoteText"/>
        <w:rPr>
          <w:i/>
          <w:lang w:val="en-AU"/>
        </w:rPr>
      </w:pPr>
      <w:r>
        <w:rPr>
          <w:rStyle w:val="FootnoteReference"/>
        </w:rPr>
        <w:footnoteRef/>
      </w:r>
      <w:r>
        <w:t xml:space="preserve"> </w:t>
      </w:r>
      <w:r w:rsidRPr="00356FB9">
        <w:rPr>
          <w:sz w:val="18"/>
          <w:lang w:val="en-AU"/>
        </w:rPr>
        <w:t>The Royal Australian and New Zealand College of Psychiatrists</w:t>
      </w:r>
      <w:r w:rsidRPr="00412A7C">
        <w:rPr>
          <w:sz w:val="18"/>
          <w:lang w:val="en-AU"/>
        </w:rPr>
        <w:t xml:space="preserve"> (RANZCP)</w:t>
      </w:r>
      <w:r>
        <w:rPr>
          <w:sz w:val="18"/>
          <w:lang w:val="en-AU"/>
        </w:rPr>
        <w:t>,</w:t>
      </w:r>
      <w:r w:rsidRPr="00412A7C">
        <w:rPr>
          <w:sz w:val="18"/>
          <w:lang w:val="en-AU"/>
        </w:rPr>
        <w:t xml:space="preserve"> </w:t>
      </w:r>
      <w:hyperlink r:id="rId32" w:history="1">
        <w:r w:rsidRPr="00356FB9">
          <w:rPr>
            <w:rStyle w:val="Hyperlink"/>
            <w:sz w:val="18"/>
            <w:lang w:val="en-AU"/>
          </w:rPr>
          <w:t>Become a psychiatrist in Australia or New Zealand</w:t>
        </w:r>
      </w:hyperlink>
      <w:r w:rsidRPr="00412A7C">
        <w:rPr>
          <w:sz w:val="18"/>
          <w:lang w:val="en-AU"/>
        </w:rPr>
        <w:t xml:space="preserve">, </w:t>
      </w:r>
      <w:r>
        <w:rPr>
          <w:sz w:val="18"/>
          <w:lang w:val="en-AU"/>
        </w:rPr>
        <w:t>n.d., accessed 18 August 2021</w:t>
      </w:r>
      <w:r w:rsidRPr="00412A7C">
        <w:rPr>
          <w:sz w:val="18"/>
          <w:lang w:val="en-AU"/>
        </w:rPr>
        <w:t xml:space="preserve">. </w:t>
      </w:r>
    </w:p>
  </w:footnote>
  <w:footnote w:id="42">
    <w:p w14:paraId="085BDE98" w14:textId="77777777" w:rsidR="00BE48EE" w:rsidRPr="008B2EE1" w:rsidRDefault="00BE48EE" w:rsidP="00BE48EE">
      <w:pPr>
        <w:pStyle w:val="FootnoteText"/>
        <w:rPr>
          <w:lang w:val="en-AU"/>
        </w:rPr>
      </w:pPr>
      <w:r>
        <w:rPr>
          <w:rStyle w:val="FootnoteReference"/>
        </w:rPr>
        <w:footnoteRef/>
      </w:r>
      <w:r>
        <w:t xml:space="preserve"> </w:t>
      </w:r>
      <w:r w:rsidRPr="00DB15FC">
        <w:rPr>
          <w:rFonts w:cstheme="minorHAnsi"/>
          <w:i/>
          <w:sz w:val="18"/>
          <w:szCs w:val="18"/>
        </w:rPr>
        <w:t xml:space="preserve">Health Practitioner Regulation </w:t>
      </w:r>
      <w:r w:rsidRPr="00DB15FC">
        <w:rPr>
          <w:rFonts w:cstheme="minorHAnsi"/>
          <w:i/>
          <w:sz w:val="18"/>
          <w:szCs w:val="18"/>
          <w:lang w:val="en-US"/>
        </w:rPr>
        <w:t>National Law 2009</w:t>
      </w:r>
      <w:r>
        <w:rPr>
          <w:rFonts w:cstheme="minorHAnsi"/>
          <w:sz w:val="18"/>
          <w:szCs w:val="18"/>
          <w:lang w:val="en-US"/>
        </w:rPr>
        <w:t xml:space="preserve"> (Qld) s 113</w:t>
      </w:r>
      <w:r w:rsidRPr="00DB15FC">
        <w:rPr>
          <w:rFonts w:cstheme="minorHAnsi"/>
          <w:sz w:val="18"/>
          <w:szCs w:val="18"/>
          <w:lang w:val="en-US"/>
        </w:rPr>
        <w:t>.</w:t>
      </w:r>
    </w:p>
  </w:footnote>
  <w:footnote w:id="43">
    <w:p w14:paraId="47772E8E" w14:textId="77777777" w:rsidR="00BE48EE" w:rsidRPr="001849D3" w:rsidRDefault="00BE48EE" w:rsidP="00BE48EE">
      <w:pPr>
        <w:pStyle w:val="FootnoteText"/>
        <w:rPr>
          <w:lang w:val="en-AU"/>
        </w:rPr>
      </w:pPr>
      <w:r>
        <w:rPr>
          <w:rStyle w:val="FootnoteReference"/>
        </w:rPr>
        <w:footnoteRef/>
      </w:r>
      <w:r>
        <w:t xml:space="preserve"> </w:t>
      </w:r>
      <w:r w:rsidRPr="001849D3">
        <w:rPr>
          <w:sz w:val="18"/>
          <w:lang w:val="en-AU"/>
        </w:rPr>
        <w:t xml:space="preserve">Department of Health, </w:t>
      </w:r>
      <w:hyperlink r:id="rId33" w:history="1">
        <w:r w:rsidRPr="001849D3">
          <w:rPr>
            <w:rStyle w:val="Hyperlink"/>
            <w:sz w:val="18"/>
            <w:lang w:val="en-AU"/>
          </w:rPr>
          <w:t>National Registration and Accreditation Scheme</w:t>
        </w:r>
      </w:hyperlink>
      <w:r w:rsidRPr="001849D3">
        <w:rPr>
          <w:sz w:val="18"/>
          <w:lang w:val="en-AU"/>
        </w:rPr>
        <w:t xml:space="preserve">, 12 May 2021, accessed 2 September 2021.  </w:t>
      </w:r>
    </w:p>
  </w:footnote>
  <w:footnote w:id="44">
    <w:p w14:paraId="4241E669"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356FB9">
        <w:rPr>
          <w:rFonts w:cstheme="minorHAnsi"/>
          <w:sz w:val="18"/>
          <w:szCs w:val="18"/>
        </w:rPr>
        <w:t xml:space="preserve">Medical Board, </w:t>
      </w:r>
      <w:r>
        <w:rPr>
          <w:rFonts w:cstheme="minorHAnsi"/>
          <w:sz w:val="18"/>
          <w:szCs w:val="18"/>
        </w:rPr>
        <w:t xml:space="preserve">Ahpra, </w:t>
      </w:r>
      <w:hyperlink r:id="rId34" w:history="1">
        <w:r w:rsidRPr="00356FB9">
          <w:rPr>
            <w:rStyle w:val="Hyperlink"/>
            <w:rFonts w:cstheme="minorHAnsi"/>
            <w:sz w:val="18"/>
            <w:szCs w:val="18"/>
          </w:rPr>
          <w:t>Obligations on Medical Practitioners</w:t>
        </w:r>
      </w:hyperlink>
      <w:r>
        <w:rPr>
          <w:rFonts w:cstheme="minorHAnsi"/>
          <w:sz w:val="18"/>
          <w:szCs w:val="18"/>
        </w:rPr>
        <w:t>,</w:t>
      </w:r>
      <w:r w:rsidRPr="00DB15FC">
        <w:rPr>
          <w:rFonts w:cstheme="minorHAnsi"/>
          <w:sz w:val="18"/>
          <w:szCs w:val="18"/>
        </w:rPr>
        <w:t xml:space="preserve"> 29 September 2016</w:t>
      </w:r>
      <w:r>
        <w:rPr>
          <w:rFonts w:cstheme="minorHAnsi"/>
          <w:sz w:val="18"/>
          <w:szCs w:val="18"/>
        </w:rPr>
        <w:t>, accessed 18 August 2021.</w:t>
      </w:r>
    </w:p>
  </w:footnote>
  <w:footnote w:id="45">
    <w:p w14:paraId="75312867"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Pr>
          <w:rFonts w:cstheme="minorHAnsi"/>
          <w:sz w:val="18"/>
          <w:szCs w:val="18"/>
        </w:rPr>
        <w:t xml:space="preserve"> </w:t>
      </w:r>
      <w:r w:rsidRPr="00DB15FC">
        <w:rPr>
          <w:rFonts w:cstheme="minorHAnsi"/>
          <w:sz w:val="18"/>
          <w:szCs w:val="18"/>
        </w:rPr>
        <w:t xml:space="preserve">AASW, </w:t>
      </w:r>
      <w:hyperlink r:id="rId35" w:history="1">
        <w:r w:rsidRPr="00356FB9">
          <w:rPr>
            <w:rStyle w:val="Hyperlink"/>
            <w:rFonts w:cstheme="minorHAnsi"/>
            <w:sz w:val="18"/>
            <w:szCs w:val="18"/>
          </w:rPr>
          <w:t>Continuing Professional Development Policy</w:t>
        </w:r>
      </w:hyperlink>
      <w:r>
        <w:rPr>
          <w:rFonts w:cstheme="minorHAnsi"/>
          <w:sz w:val="18"/>
          <w:szCs w:val="18"/>
        </w:rPr>
        <w:t xml:space="preserve">, </w:t>
      </w:r>
      <w:r w:rsidRPr="00DB15FC">
        <w:rPr>
          <w:rFonts w:cstheme="minorHAnsi"/>
          <w:sz w:val="18"/>
          <w:szCs w:val="18"/>
        </w:rPr>
        <w:t>18 November 2020</w:t>
      </w:r>
      <w:r>
        <w:rPr>
          <w:rFonts w:cstheme="minorHAnsi"/>
          <w:sz w:val="18"/>
          <w:szCs w:val="18"/>
        </w:rPr>
        <w:t>, accessed 18 August 2021</w:t>
      </w:r>
      <w:r w:rsidRPr="00DB15FC">
        <w:rPr>
          <w:rFonts w:cstheme="minorHAnsi"/>
          <w:sz w:val="18"/>
          <w:szCs w:val="18"/>
        </w:rPr>
        <w:t>.</w:t>
      </w:r>
    </w:p>
  </w:footnote>
  <w:footnote w:id="46">
    <w:p w14:paraId="79E7E496"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AASW, </w:t>
      </w:r>
      <w:hyperlink r:id="rId36" w:history="1">
        <w:r w:rsidRPr="00B773C1">
          <w:rPr>
            <w:rStyle w:val="Hyperlink"/>
            <w:rFonts w:cstheme="minorHAnsi"/>
            <w:sz w:val="18"/>
            <w:szCs w:val="18"/>
            <w:lang w:val="en-AU"/>
          </w:rPr>
          <w:t>National Registration and Accreditation Scheme</w:t>
        </w:r>
      </w:hyperlink>
      <w:r w:rsidRPr="00DB15FC">
        <w:rPr>
          <w:rFonts w:cstheme="minorHAnsi"/>
          <w:sz w:val="18"/>
          <w:szCs w:val="18"/>
          <w:lang w:val="en-AU"/>
        </w:rPr>
        <w:t xml:space="preserve">, </w:t>
      </w:r>
      <w:r>
        <w:rPr>
          <w:rFonts w:cstheme="minorHAnsi"/>
          <w:sz w:val="18"/>
          <w:szCs w:val="18"/>
          <w:lang w:val="en-AU"/>
        </w:rPr>
        <w:t xml:space="preserve">n.d., accessed 18 August 2021. </w:t>
      </w:r>
    </w:p>
  </w:footnote>
  <w:footnote w:id="47">
    <w:p w14:paraId="5039415B"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AASW, </w:t>
      </w:r>
      <w:hyperlink r:id="rId37" w:history="1">
        <w:r w:rsidRPr="00B773C1">
          <w:rPr>
            <w:rStyle w:val="Hyperlink"/>
            <w:rFonts w:cstheme="minorHAnsi"/>
            <w:sz w:val="18"/>
            <w:szCs w:val="18"/>
          </w:rPr>
          <w:t>AASW Collective Trade Marks</w:t>
        </w:r>
      </w:hyperlink>
      <w:r w:rsidRPr="00DB15FC">
        <w:rPr>
          <w:rFonts w:cstheme="minorHAnsi"/>
          <w:sz w:val="18"/>
          <w:szCs w:val="18"/>
        </w:rPr>
        <w:t>,</w:t>
      </w:r>
      <w:r>
        <w:rPr>
          <w:rFonts w:cstheme="minorHAnsi"/>
          <w:sz w:val="18"/>
          <w:szCs w:val="18"/>
        </w:rPr>
        <w:t xml:space="preserve"> n.d., accessed 18 August 2021.</w:t>
      </w:r>
    </w:p>
  </w:footnote>
  <w:footnote w:id="48">
    <w:p w14:paraId="3F8D2B6E" w14:textId="77777777" w:rsidR="00BE48EE" w:rsidRPr="00DB15FC" w:rsidRDefault="00BE48EE" w:rsidP="00BE48EE">
      <w:pPr>
        <w:spacing w:after="0" w:line="240" w:lineRule="auto"/>
        <w:rPr>
          <w:rFonts w:cstheme="minorHAnsi"/>
          <w:sz w:val="18"/>
          <w:szCs w:val="18"/>
          <w:highlight w:val="yellow"/>
          <w:lang w:val="en-US"/>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i/>
          <w:sz w:val="18"/>
          <w:szCs w:val="18"/>
        </w:rPr>
        <w:t xml:space="preserve">Health Practitioner Regulation </w:t>
      </w:r>
      <w:r w:rsidRPr="00DB15FC">
        <w:rPr>
          <w:rFonts w:cstheme="minorHAnsi"/>
          <w:i/>
          <w:sz w:val="18"/>
          <w:szCs w:val="18"/>
          <w:lang w:val="en-US"/>
        </w:rPr>
        <w:t>National Law 2009</w:t>
      </w:r>
      <w:r w:rsidRPr="00DB15FC">
        <w:rPr>
          <w:rFonts w:cstheme="minorHAnsi"/>
          <w:sz w:val="18"/>
          <w:szCs w:val="18"/>
          <w:lang w:val="en-US"/>
        </w:rPr>
        <w:t xml:space="preserve"> (Qld) s 98</w:t>
      </w:r>
      <w:r>
        <w:rPr>
          <w:rFonts w:cstheme="minorHAnsi"/>
          <w:sz w:val="18"/>
          <w:szCs w:val="18"/>
          <w:lang w:val="en-US"/>
        </w:rPr>
        <w:t xml:space="preserve">; </w:t>
      </w:r>
      <w:r>
        <w:rPr>
          <w:rFonts w:cstheme="minorHAnsi"/>
          <w:sz w:val="18"/>
          <w:szCs w:val="18"/>
        </w:rPr>
        <w:t xml:space="preserve">Ahpra, </w:t>
      </w:r>
      <w:hyperlink r:id="rId38" w:history="1">
        <w:r w:rsidRPr="0012318E">
          <w:rPr>
            <w:rStyle w:val="Hyperlink"/>
            <w:rFonts w:cstheme="minorHAnsi"/>
            <w:sz w:val="18"/>
            <w:szCs w:val="18"/>
          </w:rPr>
          <w:t>Register of practitioners</w:t>
        </w:r>
      </w:hyperlink>
      <w:r w:rsidRPr="00DB15FC">
        <w:rPr>
          <w:rFonts w:cstheme="minorHAnsi"/>
          <w:sz w:val="18"/>
          <w:szCs w:val="18"/>
        </w:rPr>
        <w:t xml:space="preserve">, </w:t>
      </w:r>
      <w:r>
        <w:rPr>
          <w:rFonts w:cstheme="minorHAnsi"/>
          <w:sz w:val="18"/>
          <w:szCs w:val="18"/>
        </w:rPr>
        <w:t>n.d., accessed 2 September 2021.</w:t>
      </w:r>
    </w:p>
  </w:footnote>
  <w:footnote w:id="49">
    <w:p w14:paraId="25C7FFF7" w14:textId="77777777" w:rsidR="00BE48EE" w:rsidRPr="009F1418" w:rsidRDefault="00BE48EE" w:rsidP="00BE48EE">
      <w:pPr>
        <w:pStyle w:val="FootnoteText"/>
        <w:rPr>
          <w:lang w:val="en-AU"/>
        </w:rPr>
      </w:pPr>
      <w:r>
        <w:rPr>
          <w:rStyle w:val="FootnoteReference"/>
        </w:rPr>
        <w:footnoteRef/>
      </w:r>
      <w:r>
        <w:t xml:space="preserve"> </w:t>
      </w:r>
      <w:r w:rsidRPr="00191BF9">
        <w:rPr>
          <w:sz w:val="18"/>
        </w:rPr>
        <w:t xml:space="preserve">Psychology Board of Australia, </w:t>
      </w:r>
      <w:hyperlink r:id="rId39" w:history="1">
        <w:r w:rsidRPr="00B773C1">
          <w:rPr>
            <w:rStyle w:val="Hyperlink"/>
            <w:i/>
            <w:sz w:val="18"/>
          </w:rPr>
          <w:t>Pathways to endorsement</w:t>
        </w:r>
      </w:hyperlink>
      <w:r>
        <w:rPr>
          <w:i/>
          <w:sz w:val="18"/>
        </w:rPr>
        <w:t xml:space="preserve">, </w:t>
      </w:r>
      <w:r>
        <w:rPr>
          <w:sz w:val="18"/>
        </w:rPr>
        <w:t>5 May 2020, accessed 18 August 2021. Psychologists</w:t>
      </w:r>
      <w:r w:rsidRPr="00572490">
        <w:rPr>
          <w:sz w:val="18"/>
        </w:rPr>
        <w:t xml:space="preserve"> with doctoral degrees</w:t>
      </w:r>
      <w:r>
        <w:rPr>
          <w:sz w:val="18"/>
        </w:rPr>
        <w:t xml:space="preserve"> in psychology</w:t>
      </w:r>
      <w:r w:rsidRPr="00572490">
        <w:rPr>
          <w:sz w:val="18"/>
        </w:rPr>
        <w:t xml:space="preserve"> or </w:t>
      </w:r>
      <w:r>
        <w:rPr>
          <w:sz w:val="18"/>
        </w:rPr>
        <w:t xml:space="preserve">a </w:t>
      </w:r>
      <w:r w:rsidRPr="00572490">
        <w:rPr>
          <w:sz w:val="18"/>
        </w:rPr>
        <w:t xml:space="preserve">combined </w:t>
      </w:r>
      <w:r>
        <w:rPr>
          <w:sz w:val="18"/>
        </w:rPr>
        <w:t>Masters/PhD</w:t>
      </w:r>
      <w:r w:rsidRPr="00572490">
        <w:rPr>
          <w:sz w:val="18"/>
        </w:rPr>
        <w:t xml:space="preserve"> can complete 1500 or 2250</w:t>
      </w:r>
      <w:r>
        <w:rPr>
          <w:sz w:val="18"/>
        </w:rPr>
        <w:t xml:space="preserve"> hours</w:t>
      </w:r>
      <w:r w:rsidRPr="00572490">
        <w:rPr>
          <w:sz w:val="18"/>
        </w:rPr>
        <w:t>, respectively.</w:t>
      </w:r>
    </w:p>
  </w:footnote>
  <w:footnote w:id="50">
    <w:p w14:paraId="04B37AE1" w14:textId="77777777" w:rsidR="00BE48EE" w:rsidRPr="00BA64DF" w:rsidRDefault="00BE48EE" w:rsidP="00BE48EE">
      <w:pPr>
        <w:pStyle w:val="FootnoteText"/>
        <w:rPr>
          <w:lang w:val="en-AU"/>
        </w:rPr>
      </w:pPr>
      <w:r>
        <w:rPr>
          <w:rStyle w:val="FootnoteReference"/>
        </w:rPr>
        <w:footnoteRef/>
      </w:r>
      <w:r>
        <w:t xml:space="preserve"> </w:t>
      </w:r>
      <w:r w:rsidRPr="00412A7C">
        <w:rPr>
          <w:sz w:val="18"/>
          <w:lang w:val="en-AU"/>
        </w:rPr>
        <w:t>RANZCP</w:t>
      </w:r>
      <w:r>
        <w:rPr>
          <w:sz w:val="18"/>
          <w:lang w:val="en-AU"/>
        </w:rPr>
        <w:t>,</w:t>
      </w:r>
      <w:r w:rsidRPr="00BA64DF">
        <w:t xml:space="preserve"> </w:t>
      </w:r>
      <w:hyperlink r:id="rId40" w:anchor=":~:text=Faculties%20are%20internationally%20recognised%20specialties%20of%20psychiatry%20with%20College%2Daccredited%20training.&amp;text=Accredited%20membership%20is%20available%20for,or%20qualifications%20in%20the%20field." w:history="1">
        <w:r w:rsidRPr="00BA64DF">
          <w:rPr>
            <w:rStyle w:val="Hyperlink"/>
            <w:sz w:val="18"/>
            <w:lang w:val="en-AU"/>
          </w:rPr>
          <w:t>Faculties, sections and networks</w:t>
        </w:r>
      </w:hyperlink>
      <w:r w:rsidRPr="00412A7C">
        <w:rPr>
          <w:sz w:val="18"/>
          <w:lang w:val="en-AU"/>
        </w:rPr>
        <w:t xml:space="preserve">, </w:t>
      </w:r>
      <w:r>
        <w:rPr>
          <w:sz w:val="18"/>
          <w:lang w:val="en-AU"/>
        </w:rPr>
        <w:t>n.d., accessed 2 September 2021.</w:t>
      </w:r>
    </w:p>
  </w:footnote>
  <w:footnote w:id="51">
    <w:p w14:paraId="747DBC89"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AASW, </w:t>
      </w:r>
      <w:hyperlink r:id="rId41" w:history="1">
        <w:r w:rsidRPr="00B773C1">
          <w:rPr>
            <w:rStyle w:val="Hyperlink"/>
            <w:rFonts w:cstheme="minorHAnsi"/>
            <w:sz w:val="18"/>
            <w:szCs w:val="18"/>
          </w:rPr>
          <w:t>Everything you need to know about applying for a credential</w:t>
        </w:r>
      </w:hyperlink>
      <w:r>
        <w:rPr>
          <w:rFonts w:cstheme="minorHAnsi"/>
          <w:sz w:val="18"/>
          <w:szCs w:val="18"/>
        </w:rPr>
        <w:t>,</w:t>
      </w:r>
      <w:r w:rsidRPr="00DB15FC">
        <w:rPr>
          <w:rFonts w:cstheme="minorHAnsi"/>
          <w:i/>
          <w:sz w:val="18"/>
          <w:szCs w:val="18"/>
        </w:rPr>
        <w:t xml:space="preserve"> </w:t>
      </w:r>
      <w:r>
        <w:rPr>
          <w:rFonts w:cstheme="minorHAnsi"/>
          <w:sz w:val="18"/>
          <w:szCs w:val="18"/>
        </w:rPr>
        <w:t>October 2020, accessed 18 August 2021, p</w:t>
      </w:r>
      <w:r w:rsidRPr="00DB15FC">
        <w:rPr>
          <w:rFonts w:cstheme="minorHAnsi"/>
          <w:sz w:val="18"/>
          <w:szCs w:val="18"/>
        </w:rPr>
        <w:t xml:space="preserve"> 3. </w:t>
      </w:r>
    </w:p>
  </w:footnote>
  <w:footnote w:id="52">
    <w:p w14:paraId="16B6D9D2" w14:textId="77777777" w:rsidR="00BE48EE" w:rsidRPr="00DB15FC" w:rsidRDefault="00BE48EE" w:rsidP="00BE48EE">
      <w:pPr>
        <w:pStyle w:val="FootnoteText"/>
        <w:rPr>
          <w:rFonts w:cstheme="minorHAnsi"/>
          <w:b/>
          <w:sz w:val="18"/>
          <w:szCs w:val="18"/>
          <w:lang w:val="en-AU"/>
        </w:rPr>
      </w:pPr>
      <w:r w:rsidRPr="00DB15FC">
        <w:rPr>
          <w:rStyle w:val="FootnoteReference"/>
          <w:rFonts w:cstheme="minorHAnsi"/>
          <w:sz w:val="18"/>
          <w:szCs w:val="18"/>
        </w:rPr>
        <w:footnoteRef/>
      </w:r>
      <w:r w:rsidRPr="00DB15FC">
        <w:rPr>
          <w:rFonts w:cstheme="minorHAnsi"/>
          <w:sz w:val="18"/>
          <w:szCs w:val="18"/>
        </w:rPr>
        <w:t xml:space="preserve"> AASW, </w:t>
      </w:r>
      <w:hyperlink r:id="rId42" w:history="1">
        <w:r w:rsidRPr="00356FB9">
          <w:rPr>
            <w:rStyle w:val="Hyperlink"/>
            <w:rFonts w:cstheme="minorHAnsi"/>
            <w:sz w:val="18"/>
            <w:szCs w:val="18"/>
          </w:rPr>
          <w:t>Continuing Professional Development Policy</w:t>
        </w:r>
      </w:hyperlink>
      <w:r>
        <w:rPr>
          <w:rFonts w:cstheme="minorHAnsi"/>
          <w:sz w:val="18"/>
          <w:szCs w:val="18"/>
        </w:rPr>
        <w:t xml:space="preserve">, </w:t>
      </w:r>
      <w:r w:rsidRPr="00DB15FC">
        <w:rPr>
          <w:rFonts w:cstheme="minorHAnsi"/>
          <w:sz w:val="18"/>
          <w:szCs w:val="18"/>
        </w:rPr>
        <w:t>18 November 2020</w:t>
      </w:r>
      <w:r>
        <w:rPr>
          <w:rFonts w:cstheme="minorHAnsi"/>
          <w:sz w:val="18"/>
          <w:szCs w:val="18"/>
        </w:rPr>
        <w:t xml:space="preserve">, accessed 18 August 2021, p </w:t>
      </w:r>
      <w:r w:rsidRPr="00DB15FC">
        <w:rPr>
          <w:rFonts w:cstheme="minorHAnsi"/>
          <w:sz w:val="18"/>
          <w:szCs w:val="18"/>
        </w:rPr>
        <w:t>8.</w:t>
      </w:r>
    </w:p>
  </w:footnote>
  <w:footnote w:id="53">
    <w:p w14:paraId="7FCEFF1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FCoA, FCC and FCWA, </w:t>
      </w:r>
      <w:hyperlink r:id="rId43" w:history="1">
        <w:r w:rsidRPr="00E32B89">
          <w:rPr>
            <w:rStyle w:val="Hyperlink"/>
            <w:rFonts w:cstheme="minorHAnsi"/>
            <w:i/>
            <w:sz w:val="18"/>
            <w:szCs w:val="18"/>
          </w:rPr>
          <w:t>Australian Standards of Practice for Family Assessments and Reporting</w:t>
        </w:r>
      </w:hyperlink>
      <w:r>
        <w:rPr>
          <w:rFonts w:cstheme="minorHAnsi"/>
          <w:i/>
          <w:sz w:val="18"/>
          <w:szCs w:val="18"/>
        </w:rPr>
        <w:t>,</w:t>
      </w:r>
      <w:r w:rsidRPr="00DB15FC">
        <w:rPr>
          <w:rFonts w:cstheme="minorHAnsi"/>
          <w:sz w:val="18"/>
          <w:szCs w:val="18"/>
        </w:rPr>
        <w:t xml:space="preserve"> </w:t>
      </w:r>
      <w:r>
        <w:rPr>
          <w:rFonts w:cstheme="minorHAnsi"/>
          <w:sz w:val="18"/>
          <w:szCs w:val="18"/>
        </w:rPr>
        <w:t>February 2015</w:t>
      </w:r>
      <w:r w:rsidRPr="00DB15FC">
        <w:rPr>
          <w:rFonts w:cstheme="minorHAnsi"/>
          <w:sz w:val="18"/>
          <w:szCs w:val="18"/>
        </w:rPr>
        <w:t>.</w:t>
      </w:r>
    </w:p>
  </w:footnote>
  <w:footnote w:id="54">
    <w:p w14:paraId="431DF3B8" w14:textId="77777777" w:rsidR="00BE48EE" w:rsidRPr="00191BF9" w:rsidRDefault="00BE48EE" w:rsidP="00BE48EE">
      <w:pPr>
        <w:pStyle w:val="FootnoteText"/>
        <w:rPr>
          <w:lang w:val="en-AU"/>
        </w:rPr>
      </w:pPr>
      <w:r w:rsidRPr="00191BF9">
        <w:rPr>
          <w:rStyle w:val="FootnoteReference"/>
          <w:sz w:val="18"/>
        </w:rPr>
        <w:footnoteRef/>
      </w:r>
      <w:r w:rsidRPr="00191BF9">
        <w:rPr>
          <w:sz w:val="18"/>
        </w:rPr>
        <w:t xml:space="preserve"> RANZCP, </w:t>
      </w:r>
      <w:hyperlink r:id="rId44" w:history="1">
        <w:r w:rsidRPr="00B773C1">
          <w:rPr>
            <w:rStyle w:val="Hyperlink"/>
            <w:i/>
            <w:sz w:val="18"/>
          </w:rPr>
          <w:t>Continuing Professional Development Program</w:t>
        </w:r>
        <w:r w:rsidRPr="00B773C1">
          <w:rPr>
            <w:rStyle w:val="Hyperlink"/>
            <w:sz w:val="18"/>
          </w:rPr>
          <w:t xml:space="preserve"> </w:t>
        </w:r>
        <w:r w:rsidRPr="00B773C1">
          <w:rPr>
            <w:rStyle w:val="Hyperlink"/>
            <w:i/>
            <w:sz w:val="18"/>
          </w:rPr>
          <w:t>2021</w:t>
        </w:r>
      </w:hyperlink>
      <w:r>
        <w:rPr>
          <w:sz w:val="18"/>
        </w:rPr>
        <w:t xml:space="preserve">, 2021, accessed 18 August 2021, p </w:t>
      </w:r>
      <w:r w:rsidRPr="00191BF9">
        <w:rPr>
          <w:sz w:val="18"/>
        </w:rPr>
        <w:t>6</w:t>
      </w:r>
      <w:r>
        <w:rPr>
          <w:sz w:val="18"/>
        </w:rPr>
        <w:t>.</w:t>
      </w:r>
    </w:p>
  </w:footnote>
  <w:footnote w:id="55">
    <w:p w14:paraId="6F1BC12B" w14:textId="77777777" w:rsidR="00BE48EE" w:rsidRPr="00191BF9" w:rsidRDefault="00BE48EE" w:rsidP="00BE48EE">
      <w:pPr>
        <w:pStyle w:val="FootnoteText"/>
        <w:rPr>
          <w:lang w:val="en-AU"/>
        </w:rPr>
      </w:pPr>
      <w:r w:rsidRPr="00191BF9">
        <w:rPr>
          <w:rStyle w:val="FootnoteReference"/>
          <w:sz w:val="18"/>
        </w:rPr>
        <w:footnoteRef/>
      </w:r>
      <w:r w:rsidRPr="00191BF9">
        <w:rPr>
          <w:sz w:val="18"/>
        </w:rPr>
        <w:t xml:space="preserve"> Psychology Board of Australia, </w:t>
      </w:r>
      <w:hyperlink r:id="rId45" w:history="1">
        <w:r w:rsidRPr="00B773C1">
          <w:rPr>
            <w:rStyle w:val="Hyperlink"/>
            <w:i/>
            <w:sz w:val="18"/>
          </w:rPr>
          <w:t>Registration Standard: Continuing Professional Development</w:t>
        </w:r>
      </w:hyperlink>
      <w:r>
        <w:rPr>
          <w:i/>
          <w:sz w:val="18"/>
        </w:rPr>
        <w:t>,</w:t>
      </w:r>
      <w:r w:rsidRPr="00191BF9">
        <w:rPr>
          <w:i/>
          <w:sz w:val="18"/>
        </w:rPr>
        <w:t xml:space="preserve"> </w:t>
      </w:r>
      <w:r>
        <w:rPr>
          <w:sz w:val="18"/>
        </w:rPr>
        <w:t>December 2015, accessed 18 August 2021, p</w:t>
      </w:r>
      <w:r w:rsidRPr="00191BF9">
        <w:rPr>
          <w:sz w:val="18"/>
        </w:rPr>
        <w:t xml:space="preserve"> 2</w:t>
      </w:r>
      <w:r>
        <w:rPr>
          <w:sz w:val="18"/>
        </w:rPr>
        <w:t>.</w:t>
      </w:r>
      <w:r w:rsidRPr="00191BF9">
        <w:rPr>
          <w:sz w:val="18"/>
        </w:rPr>
        <w:t xml:space="preserve"> </w:t>
      </w:r>
    </w:p>
  </w:footnote>
  <w:footnote w:id="56">
    <w:p w14:paraId="16CE7AF8" w14:textId="77777777" w:rsidR="00BE48EE" w:rsidRPr="00191BF9" w:rsidRDefault="00BE48EE" w:rsidP="00BE48EE">
      <w:pPr>
        <w:pStyle w:val="FootnoteText"/>
        <w:rPr>
          <w:lang w:val="en-AU"/>
        </w:rPr>
      </w:pPr>
      <w:r w:rsidRPr="00D6536E">
        <w:rPr>
          <w:rStyle w:val="FootnoteReference"/>
          <w:sz w:val="18"/>
        </w:rPr>
        <w:footnoteRef/>
      </w:r>
      <w:r w:rsidRPr="00D6536E">
        <w:rPr>
          <w:sz w:val="18"/>
        </w:rPr>
        <w:t xml:space="preserve"> </w:t>
      </w:r>
      <w:r w:rsidRPr="00DB15FC">
        <w:rPr>
          <w:rFonts w:cstheme="minorHAnsi"/>
          <w:sz w:val="18"/>
          <w:szCs w:val="18"/>
        </w:rPr>
        <w:t xml:space="preserve">AASW, </w:t>
      </w:r>
      <w:hyperlink r:id="rId46" w:history="1">
        <w:r w:rsidRPr="008D2DE0">
          <w:rPr>
            <w:rStyle w:val="Hyperlink"/>
            <w:rFonts w:cstheme="minorHAnsi"/>
            <w:i/>
            <w:sz w:val="18"/>
            <w:szCs w:val="18"/>
          </w:rPr>
          <w:t>Continuing Professional Development Policy</w:t>
        </w:r>
      </w:hyperlink>
      <w:r>
        <w:rPr>
          <w:rFonts w:cstheme="minorHAnsi"/>
          <w:sz w:val="18"/>
          <w:szCs w:val="18"/>
        </w:rPr>
        <w:t xml:space="preserve">, </w:t>
      </w:r>
      <w:r w:rsidRPr="00DB15FC">
        <w:rPr>
          <w:rFonts w:cstheme="minorHAnsi"/>
          <w:sz w:val="18"/>
          <w:szCs w:val="18"/>
        </w:rPr>
        <w:t>18 November 2020</w:t>
      </w:r>
      <w:r>
        <w:rPr>
          <w:rFonts w:cstheme="minorHAnsi"/>
          <w:sz w:val="18"/>
          <w:szCs w:val="18"/>
        </w:rPr>
        <w:t>, accessed 18 August 2021, p 8</w:t>
      </w:r>
      <w:r w:rsidRPr="00DB15FC">
        <w:rPr>
          <w:rFonts w:cstheme="minorHAnsi"/>
          <w:sz w:val="18"/>
          <w:szCs w:val="18"/>
        </w:rPr>
        <w:t>.</w:t>
      </w:r>
    </w:p>
  </w:footnote>
  <w:footnote w:id="57">
    <w:p w14:paraId="0A5048C0" w14:textId="77777777" w:rsidR="00BE48EE" w:rsidRPr="0029488D" w:rsidRDefault="00BE48EE" w:rsidP="00BE48EE">
      <w:pPr>
        <w:pStyle w:val="FootnoteText"/>
        <w:rPr>
          <w:lang w:val="en-AU"/>
        </w:rPr>
      </w:pPr>
      <w:r w:rsidRPr="0029488D">
        <w:rPr>
          <w:rStyle w:val="FootnoteReference"/>
          <w:sz w:val="18"/>
        </w:rPr>
        <w:footnoteRef/>
      </w:r>
      <w:r w:rsidRPr="0029488D">
        <w:rPr>
          <w:sz w:val="18"/>
        </w:rPr>
        <w:t xml:space="preserve"> </w:t>
      </w:r>
      <w:r w:rsidRPr="0029488D">
        <w:rPr>
          <w:sz w:val="18"/>
          <w:lang w:val="en-AU"/>
        </w:rPr>
        <w:t>Ahpra</w:t>
      </w:r>
      <w:r>
        <w:rPr>
          <w:sz w:val="18"/>
          <w:lang w:val="en-AU"/>
        </w:rPr>
        <w:t xml:space="preserve">, </w:t>
      </w:r>
      <w:hyperlink r:id="rId47" w:history="1">
        <w:r w:rsidRPr="0029488D">
          <w:rPr>
            <w:rStyle w:val="Hyperlink"/>
            <w:sz w:val="18"/>
            <w:lang w:val="en-AU"/>
          </w:rPr>
          <w:t>Criminal History</w:t>
        </w:r>
      </w:hyperlink>
      <w:r>
        <w:rPr>
          <w:sz w:val="18"/>
          <w:lang w:val="en-AU"/>
        </w:rPr>
        <w:t>, 18 August 2018</w:t>
      </w:r>
      <w:r w:rsidRPr="0029488D">
        <w:rPr>
          <w:sz w:val="18"/>
          <w:lang w:val="en-AU"/>
        </w:rPr>
        <w:t xml:space="preserve">, accessed 3 September 2021. </w:t>
      </w:r>
    </w:p>
  </w:footnote>
  <w:footnote w:id="58">
    <w:p w14:paraId="45039A42"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AASW, </w:t>
      </w:r>
      <w:hyperlink r:id="rId48" w:history="1">
        <w:r w:rsidRPr="00B773C1">
          <w:rPr>
            <w:rStyle w:val="Hyperlink"/>
            <w:rFonts w:cstheme="minorHAnsi"/>
            <w:sz w:val="18"/>
            <w:szCs w:val="18"/>
            <w:lang w:val="en-AU"/>
          </w:rPr>
          <w:t>Membership application</w:t>
        </w:r>
      </w:hyperlink>
      <w:r w:rsidRPr="00DB15FC">
        <w:rPr>
          <w:rFonts w:cstheme="minorHAnsi"/>
          <w:sz w:val="18"/>
          <w:szCs w:val="18"/>
          <w:lang w:val="en-AU"/>
        </w:rPr>
        <w:t>,</w:t>
      </w:r>
      <w:r>
        <w:rPr>
          <w:rFonts w:cstheme="minorHAnsi"/>
          <w:sz w:val="18"/>
          <w:szCs w:val="18"/>
          <w:lang w:val="en-AU"/>
        </w:rPr>
        <w:t xml:space="preserve"> n.d., accessed 18 August 2021.</w:t>
      </w:r>
    </w:p>
  </w:footnote>
  <w:footnote w:id="59">
    <w:p w14:paraId="3641ABC5"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0075FF">
        <w:rPr>
          <w:rFonts w:cstheme="minorHAnsi"/>
          <w:sz w:val="18"/>
          <w:szCs w:val="18"/>
        </w:rPr>
        <w:t>AASW</w:t>
      </w:r>
      <w:r>
        <w:rPr>
          <w:rFonts w:cstheme="minorHAnsi"/>
          <w:sz w:val="18"/>
          <w:szCs w:val="18"/>
          <w:lang w:val="en-AU"/>
        </w:rPr>
        <w:t>,</w:t>
      </w:r>
      <w:r w:rsidRPr="000075FF">
        <w:rPr>
          <w:rFonts w:cstheme="minorHAnsi"/>
          <w:sz w:val="18"/>
          <w:szCs w:val="18"/>
          <w:lang w:val="en-AU"/>
        </w:rPr>
        <w:t xml:space="preserve"> </w:t>
      </w:r>
      <w:hyperlink r:id="rId49" w:history="1">
        <w:r w:rsidRPr="000075FF">
          <w:rPr>
            <w:rStyle w:val="Hyperlink"/>
            <w:rFonts w:cstheme="minorHAnsi"/>
            <w:sz w:val="18"/>
            <w:szCs w:val="18"/>
            <w:lang w:val="en-AU"/>
          </w:rPr>
          <w:t>Renewing my membership</w:t>
        </w:r>
      </w:hyperlink>
      <w:r w:rsidRPr="00DB15FC">
        <w:rPr>
          <w:rFonts w:cstheme="minorHAnsi"/>
          <w:sz w:val="18"/>
          <w:szCs w:val="18"/>
          <w:lang w:val="en-AU"/>
        </w:rPr>
        <w:t>,</w:t>
      </w:r>
      <w:r>
        <w:rPr>
          <w:rFonts w:cstheme="minorHAnsi"/>
          <w:i/>
          <w:sz w:val="18"/>
          <w:szCs w:val="18"/>
        </w:rPr>
        <w:t xml:space="preserve"> </w:t>
      </w:r>
      <w:r>
        <w:rPr>
          <w:rFonts w:cstheme="minorHAnsi"/>
          <w:sz w:val="18"/>
          <w:szCs w:val="18"/>
        </w:rPr>
        <w:t>n.d., accessed 18 August 2021</w:t>
      </w:r>
      <w:r w:rsidRPr="00DB15FC">
        <w:rPr>
          <w:rFonts w:cstheme="minorHAnsi"/>
          <w:sz w:val="18"/>
          <w:szCs w:val="18"/>
        </w:rPr>
        <w:t>.</w:t>
      </w:r>
    </w:p>
  </w:footnote>
  <w:footnote w:id="60">
    <w:p w14:paraId="10677D96" w14:textId="77777777" w:rsidR="00BE48EE" w:rsidRPr="00065D97" w:rsidRDefault="00BE48EE" w:rsidP="00BE48EE">
      <w:pPr>
        <w:pStyle w:val="FootnoteText"/>
        <w:rPr>
          <w:lang w:val="en-AU"/>
        </w:rPr>
      </w:pPr>
      <w:r w:rsidRPr="00065D97">
        <w:rPr>
          <w:rStyle w:val="FootnoteReference"/>
          <w:sz w:val="18"/>
        </w:rPr>
        <w:footnoteRef/>
      </w:r>
      <w:r w:rsidRPr="00065D97">
        <w:rPr>
          <w:sz w:val="18"/>
        </w:rPr>
        <w:t xml:space="preserve"> </w:t>
      </w:r>
      <w:r>
        <w:rPr>
          <w:sz w:val="18"/>
        </w:rPr>
        <w:t>I</w:t>
      </w:r>
      <w:r w:rsidRPr="00065D97">
        <w:rPr>
          <w:sz w:val="18"/>
        </w:rPr>
        <w:t xml:space="preserve">n some </w:t>
      </w:r>
      <w:r>
        <w:rPr>
          <w:sz w:val="18"/>
        </w:rPr>
        <w:t>jurisdictions, including Queensland and the ACT,</w:t>
      </w:r>
      <w:r w:rsidRPr="00065D97">
        <w:rPr>
          <w:sz w:val="18"/>
        </w:rPr>
        <w:t xml:space="preserve"> registered psychologists</w:t>
      </w:r>
      <w:r>
        <w:rPr>
          <w:sz w:val="18"/>
        </w:rPr>
        <w:t xml:space="preserve"> </w:t>
      </w:r>
      <w:r w:rsidRPr="00065D97">
        <w:rPr>
          <w:sz w:val="18"/>
        </w:rPr>
        <w:t>are exemp</w:t>
      </w:r>
      <w:r>
        <w:rPr>
          <w:sz w:val="18"/>
        </w:rPr>
        <w:t>t from the requirement to hold Working W</w:t>
      </w:r>
      <w:r w:rsidRPr="00065D97">
        <w:rPr>
          <w:sz w:val="18"/>
        </w:rPr>
        <w:t xml:space="preserve">ith </w:t>
      </w:r>
      <w:r>
        <w:rPr>
          <w:sz w:val="18"/>
        </w:rPr>
        <w:t>Children C</w:t>
      </w:r>
      <w:r w:rsidRPr="00065D97">
        <w:rPr>
          <w:sz w:val="18"/>
        </w:rPr>
        <w:t>hecks</w:t>
      </w:r>
      <w:r>
        <w:rPr>
          <w:sz w:val="18"/>
        </w:rPr>
        <w:t xml:space="preserve"> and Working with Vulnerable People registrations, respectively. In Queensland,</w:t>
      </w:r>
      <w:r w:rsidRPr="00065D97">
        <w:rPr>
          <w:sz w:val="18"/>
        </w:rPr>
        <w:t xml:space="preserve"> </w:t>
      </w:r>
      <w:r>
        <w:rPr>
          <w:sz w:val="18"/>
        </w:rPr>
        <w:t xml:space="preserve">some </w:t>
      </w:r>
      <w:r w:rsidRPr="00065D97">
        <w:rPr>
          <w:sz w:val="18"/>
        </w:rPr>
        <w:t>applications have been rejected as</w:t>
      </w:r>
      <w:r>
        <w:rPr>
          <w:sz w:val="18"/>
        </w:rPr>
        <w:t xml:space="preserve"> psychologists are considered ineligible to apply.</w:t>
      </w:r>
      <w:r w:rsidRPr="00065D97">
        <w:rPr>
          <w:sz w:val="18"/>
        </w:rPr>
        <w:t xml:space="preserve"> </w:t>
      </w:r>
    </w:p>
  </w:footnote>
  <w:footnote w:id="61">
    <w:p w14:paraId="6D498EE0"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0075FF">
        <w:rPr>
          <w:rFonts w:cstheme="minorHAnsi"/>
          <w:i/>
          <w:sz w:val="18"/>
          <w:szCs w:val="18"/>
        </w:rPr>
        <w:t>Health Practitioner Regulation National Law</w:t>
      </w:r>
      <w:r>
        <w:rPr>
          <w:rFonts w:cstheme="minorHAnsi"/>
          <w:sz w:val="18"/>
          <w:szCs w:val="18"/>
        </w:rPr>
        <w:t xml:space="preserve"> (Qld</w:t>
      </w:r>
      <w:r w:rsidRPr="00DB15FC">
        <w:rPr>
          <w:rFonts w:cstheme="minorHAnsi"/>
          <w:sz w:val="18"/>
          <w:szCs w:val="18"/>
        </w:rPr>
        <w:t xml:space="preserve">) s 55(1)(h)(i). </w:t>
      </w:r>
    </w:p>
  </w:footnote>
  <w:footnote w:id="62">
    <w:p w14:paraId="39FB07BC"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i/>
          <w:sz w:val="18"/>
          <w:szCs w:val="18"/>
          <w:lang w:val="en-US"/>
        </w:rPr>
        <w:t>Australian Broadcasting Tribunal v Bond</w:t>
      </w:r>
      <w:r w:rsidRPr="00DB15FC">
        <w:rPr>
          <w:rFonts w:cstheme="minorHAnsi"/>
          <w:sz w:val="18"/>
          <w:szCs w:val="18"/>
          <w:lang w:val="en-US"/>
        </w:rPr>
        <w:t xml:space="preserve"> (1990) 170 CLR 32</w:t>
      </w:r>
      <w:r>
        <w:rPr>
          <w:rFonts w:cstheme="minorHAnsi"/>
          <w:sz w:val="18"/>
          <w:szCs w:val="18"/>
          <w:lang w:val="en-US"/>
        </w:rPr>
        <w:t xml:space="preserve">1, at 380; </w:t>
      </w:r>
      <w:r w:rsidRPr="00DB15FC">
        <w:rPr>
          <w:rFonts w:cstheme="minorHAnsi"/>
          <w:i/>
          <w:sz w:val="18"/>
          <w:szCs w:val="18"/>
          <w:lang w:val="en-US"/>
        </w:rPr>
        <w:t xml:space="preserve">Expetito v Victoria Police </w:t>
      </w:r>
      <w:r w:rsidRPr="00DB15FC">
        <w:rPr>
          <w:rFonts w:cstheme="minorHAnsi"/>
          <w:sz w:val="18"/>
          <w:szCs w:val="18"/>
          <w:lang w:val="en-US"/>
        </w:rPr>
        <w:t>[2013] VCAT 739 at 14</w:t>
      </w:r>
      <w:r>
        <w:rPr>
          <w:rFonts w:cstheme="minorHAnsi"/>
          <w:sz w:val="18"/>
          <w:szCs w:val="18"/>
          <w:lang w:val="en-US"/>
        </w:rPr>
        <w:t>.</w:t>
      </w:r>
    </w:p>
  </w:footnote>
  <w:footnote w:id="63">
    <w:p w14:paraId="6E64818C"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ALRC, </w:t>
      </w:r>
      <w:hyperlink r:id="rId50" w:history="1">
        <w:r w:rsidRPr="000B3D9A">
          <w:rPr>
            <w:rStyle w:val="Hyperlink"/>
            <w:rFonts w:cstheme="minorHAnsi"/>
            <w:i/>
            <w:sz w:val="18"/>
            <w:szCs w:val="18"/>
          </w:rPr>
          <w:t>Family Law for the Future – An Inquiry into the Family Law System</w:t>
        </w:r>
      </w:hyperlink>
      <w:r>
        <w:rPr>
          <w:rFonts w:cstheme="minorHAnsi"/>
          <w:sz w:val="18"/>
          <w:szCs w:val="18"/>
        </w:rPr>
        <w:t>, Report No 135, March 2019,</w:t>
      </w:r>
      <w:r w:rsidRPr="00DB15FC">
        <w:rPr>
          <w:rFonts w:cstheme="minorHAnsi"/>
          <w:sz w:val="18"/>
          <w:szCs w:val="18"/>
        </w:rPr>
        <w:t xml:space="preserve"> </w:t>
      </w:r>
      <w:r>
        <w:rPr>
          <w:rFonts w:cstheme="minorHAnsi"/>
          <w:sz w:val="18"/>
          <w:szCs w:val="18"/>
        </w:rPr>
        <w:t xml:space="preserve">p </w:t>
      </w:r>
      <w:r w:rsidRPr="00DB15FC">
        <w:rPr>
          <w:rFonts w:cstheme="minorHAnsi"/>
          <w:sz w:val="18"/>
          <w:szCs w:val="18"/>
        </w:rPr>
        <w:t>410.</w:t>
      </w:r>
    </w:p>
  </w:footnote>
  <w:footnote w:id="64">
    <w:p w14:paraId="20CAD84A"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JSC, Parliament of Australia</w:t>
      </w:r>
      <w:r>
        <w:rPr>
          <w:rFonts w:cstheme="minorHAnsi"/>
          <w:sz w:val="18"/>
          <w:szCs w:val="18"/>
        </w:rPr>
        <w:t xml:space="preserve">, </w:t>
      </w:r>
      <w:hyperlink r:id="rId51" w:history="1">
        <w:r w:rsidRPr="000B3D9A">
          <w:rPr>
            <w:rStyle w:val="Hyperlink"/>
            <w:rFonts w:cstheme="minorHAnsi"/>
            <w:i/>
            <w:sz w:val="18"/>
            <w:szCs w:val="18"/>
          </w:rPr>
          <w:t>Improvements in Family Law Proceedings</w:t>
        </w:r>
      </w:hyperlink>
      <w:r>
        <w:rPr>
          <w:rFonts w:cstheme="minorHAnsi"/>
          <w:sz w:val="18"/>
          <w:szCs w:val="18"/>
        </w:rPr>
        <w:t xml:space="preserve">, </w:t>
      </w:r>
      <w:r w:rsidRPr="00DB15FC">
        <w:rPr>
          <w:rFonts w:cstheme="minorHAnsi"/>
          <w:sz w:val="18"/>
          <w:szCs w:val="18"/>
        </w:rPr>
        <w:t>Se</w:t>
      </w:r>
      <w:r>
        <w:rPr>
          <w:rFonts w:cstheme="minorHAnsi"/>
          <w:sz w:val="18"/>
          <w:szCs w:val="18"/>
        </w:rPr>
        <w:t>cond Interim Report, March 2021,</w:t>
      </w:r>
      <w:r w:rsidRPr="00DB15FC">
        <w:rPr>
          <w:rFonts w:cstheme="minorHAnsi"/>
          <w:sz w:val="18"/>
          <w:szCs w:val="18"/>
        </w:rPr>
        <w:t xml:space="preserve"> </w:t>
      </w:r>
      <w:r>
        <w:rPr>
          <w:rFonts w:cstheme="minorHAnsi"/>
          <w:sz w:val="18"/>
          <w:szCs w:val="18"/>
        </w:rPr>
        <w:t xml:space="preserve">paragraph </w:t>
      </w:r>
      <w:r>
        <w:rPr>
          <w:rFonts w:cstheme="minorHAnsi"/>
          <w:color w:val="000000"/>
          <w:sz w:val="18"/>
          <w:szCs w:val="18"/>
          <w:lang w:val="en-US"/>
        </w:rPr>
        <w:t>2.140</w:t>
      </w:r>
      <w:r w:rsidRPr="00DB15FC">
        <w:rPr>
          <w:rFonts w:cstheme="minorHAnsi"/>
          <w:color w:val="000000"/>
          <w:sz w:val="18"/>
          <w:szCs w:val="18"/>
          <w:lang w:val="en-US"/>
        </w:rPr>
        <w:t>.</w:t>
      </w:r>
    </w:p>
  </w:footnote>
  <w:footnote w:id="65">
    <w:p w14:paraId="20D84F40" w14:textId="77777777" w:rsidR="00BE48EE" w:rsidRPr="00DB15FC"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FCoA, FCC and FCWA, </w:t>
      </w:r>
      <w:hyperlink r:id="rId52" w:history="1">
        <w:r w:rsidRPr="00E32B89">
          <w:rPr>
            <w:rStyle w:val="Hyperlink"/>
            <w:rFonts w:cstheme="minorHAnsi"/>
            <w:i/>
            <w:sz w:val="18"/>
            <w:szCs w:val="18"/>
          </w:rPr>
          <w:t>Australian Standards of Practice for Family Assessments and Reporting</w:t>
        </w:r>
      </w:hyperlink>
      <w:r>
        <w:rPr>
          <w:rFonts w:cstheme="minorHAnsi"/>
          <w:sz w:val="18"/>
          <w:szCs w:val="18"/>
        </w:rPr>
        <w:t>, February 2015</w:t>
      </w:r>
      <w:r w:rsidRPr="00DB15FC">
        <w:rPr>
          <w:rFonts w:cstheme="minorHAnsi"/>
          <w:sz w:val="18"/>
          <w:szCs w:val="18"/>
        </w:rPr>
        <w:t>.</w:t>
      </w:r>
    </w:p>
  </w:footnote>
  <w:footnote w:id="66">
    <w:p w14:paraId="2564FEDA" w14:textId="77777777" w:rsidR="00BE48EE" w:rsidRPr="00DB15FC"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w:t>
      </w:r>
      <w:r w:rsidRPr="00B64273">
        <w:rPr>
          <w:rFonts w:cstheme="minorHAnsi"/>
          <w:i/>
          <w:sz w:val="18"/>
          <w:szCs w:val="18"/>
        </w:rPr>
        <w:t>Federal Circuit and Family Court of Australia (Family Law) Rules</w:t>
      </w:r>
      <w:r w:rsidRPr="00B64273" w:rsidDel="00B64273">
        <w:rPr>
          <w:rFonts w:cstheme="minorHAnsi"/>
          <w:i/>
          <w:sz w:val="18"/>
          <w:szCs w:val="18"/>
        </w:rPr>
        <w:t xml:space="preserve"> </w:t>
      </w:r>
      <w:r>
        <w:rPr>
          <w:rFonts w:cstheme="minorHAnsi"/>
          <w:i/>
          <w:sz w:val="18"/>
          <w:szCs w:val="18"/>
        </w:rPr>
        <w:t xml:space="preserve">2021 </w:t>
      </w:r>
      <w:r>
        <w:rPr>
          <w:rFonts w:cstheme="minorHAnsi"/>
          <w:sz w:val="18"/>
          <w:szCs w:val="18"/>
        </w:rPr>
        <w:t>(Cth) r 7.22(2)(a).</w:t>
      </w:r>
    </w:p>
  </w:footnote>
  <w:footnote w:id="67">
    <w:p w14:paraId="2E91B84E"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Ahpra, </w:t>
      </w:r>
      <w:hyperlink r:id="rId53" w:history="1">
        <w:r w:rsidRPr="0012318E">
          <w:rPr>
            <w:rStyle w:val="Hyperlink"/>
            <w:rFonts w:cstheme="minorHAnsi"/>
            <w:sz w:val="18"/>
            <w:szCs w:val="18"/>
          </w:rPr>
          <w:t>Register of practitioners</w:t>
        </w:r>
      </w:hyperlink>
      <w:r w:rsidRPr="00DB15FC">
        <w:rPr>
          <w:rFonts w:cstheme="minorHAnsi"/>
          <w:sz w:val="18"/>
          <w:szCs w:val="18"/>
        </w:rPr>
        <w:t xml:space="preserve">, </w:t>
      </w:r>
      <w:r>
        <w:rPr>
          <w:rFonts w:cstheme="minorHAnsi"/>
          <w:sz w:val="18"/>
          <w:szCs w:val="18"/>
        </w:rPr>
        <w:t>n.d., accessed 2 September 2021.</w:t>
      </w:r>
    </w:p>
  </w:footnote>
  <w:footnote w:id="68">
    <w:p w14:paraId="27584A46"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Ahpra, </w:t>
      </w:r>
      <w:hyperlink r:id="rId54" w:history="1">
        <w:r w:rsidRPr="0012318E">
          <w:rPr>
            <w:rStyle w:val="Hyperlink"/>
            <w:rFonts w:cstheme="minorHAnsi"/>
            <w:sz w:val="18"/>
            <w:szCs w:val="18"/>
          </w:rPr>
          <w:t>Cancelled, disqualified and/or prohibited health practitioners</w:t>
        </w:r>
      </w:hyperlink>
      <w:r w:rsidRPr="00DB15FC">
        <w:rPr>
          <w:rFonts w:cstheme="minorHAnsi"/>
          <w:sz w:val="18"/>
          <w:szCs w:val="18"/>
        </w:rPr>
        <w:t xml:space="preserve">, </w:t>
      </w:r>
      <w:r>
        <w:rPr>
          <w:rFonts w:cstheme="minorHAnsi"/>
          <w:sz w:val="18"/>
          <w:szCs w:val="18"/>
        </w:rPr>
        <w:t>8</w:t>
      </w:r>
      <w:r w:rsidRPr="00DB15FC">
        <w:rPr>
          <w:rFonts w:cstheme="minorHAnsi"/>
          <w:sz w:val="18"/>
          <w:szCs w:val="18"/>
        </w:rPr>
        <w:t xml:space="preserve"> July 2020</w:t>
      </w:r>
      <w:r>
        <w:rPr>
          <w:rFonts w:cstheme="minorHAnsi"/>
          <w:sz w:val="18"/>
          <w:szCs w:val="18"/>
        </w:rPr>
        <w:t>, accessed 18 August 2021.</w:t>
      </w:r>
    </w:p>
  </w:footnote>
  <w:footnote w:id="69">
    <w:p w14:paraId="01263347"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Your Health in Mind and RANZCP, </w:t>
      </w:r>
      <w:hyperlink r:id="rId55" w:history="1">
        <w:r w:rsidRPr="0012318E">
          <w:rPr>
            <w:rStyle w:val="Hyperlink"/>
            <w:rFonts w:cstheme="minorHAnsi"/>
            <w:sz w:val="18"/>
            <w:szCs w:val="18"/>
          </w:rPr>
          <w:t>Find a psychiatrist</w:t>
        </w:r>
      </w:hyperlink>
      <w:r>
        <w:rPr>
          <w:rFonts w:cstheme="minorHAnsi"/>
          <w:sz w:val="18"/>
          <w:szCs w:val="18"/>
        </w:rPr>
        <w:t>, n.d., accessed 3 September 2021</w:t>
      </w:r>
      <w:r w:rsidRPr="00DB15FC">
        <w:rPr>
          <w:rFonts w:cstheme="minorHAnsi"/>
          <w:sz w:val="18"/>
          <w:szCs w:val="18"/>
        </w:rPr>
        <w:t>.</w:t>
      </w:r>
    </w:p>
  </w:footnote>
  <w:footnote w:id="70">
    <w:p w14:paraId="3189E816"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sz w:val="18"/>
          <w:szCs w:val="18"/>
          <w:lang w:val="en-AU"/>
        </w:rPr>
        <w:t xml:space="preserve">As at </w:t>
      </w:r>
      <w:r>
        <w:rPr>
          <w:rFonts w:cstheme="minorHAnsi"/>
          <w:sz w:val="18"/>
          <w:szCs w:val="18"/>
          <w:lang w:val="en-AU"/>
        </w:rPr>
        <w:t>3 September 2021</w:t>
      </w:r>
      <w:r w:rsidRPr="00DB15FC">
        <w:rPr>
          <w:rFonts w:cstheme="minorHAnsi"/>
          <w:sz w:val="18"/>
          <w:szCs w:val="18"/>
          <w:lang w:val="en-AU"/>
        </w:rPr>
        <w:t>.</w:t>
      </w:r>
    </w:p>
  </w:footnote>
  <w:footnote w:id="71">
    <w:p w14:paraId="12995DC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AASW, </w:t>
      </w:r>
      <w:hyperlink r:id="rId56" w:history="1">
        <w:r w:rsidRPr="0012318E">
          <w:rPr>
            <w:rStyle w:val="Hyperlink"/>
            <w:rFonts w:cstheme="minorHAnsi"/>
            <w:sz w:val="18"/>
            <w:szCs w:val="18"/>
          </w:rPr>
          <w:t>Find a Social Worker</w:t>
        </w:r>
      </w:hyperlink>
      <w:r w:rsidRPr="00DB15FC">
        <w:rPr>
          <w:rFonts w:cstheme="minorHAnsi"/>
          <w:sz w:val="18"/>
          <w:szCs w:val="18"/>
        </w:rPr>
        <w:t xml:space="preserve">, </w:t>
      </w:r>
      <w:r>
        <w:rPr>
          <w:rFonts w:cstheme="minorHAnsi"/>
          <w:sz w:val="18"/>
          <w:szCs w:val="18"/>
        </w:rPr>
        <w:t>n.d., accessed 18 August 2021</w:t>
      </w:r>
      <w:r w:rsidRPr="0012318E">
        <w:rPr>
          <w:rFonts w:cstheme="minorHAnsi"/>
          <w:sz w:val="18"/>
          <w:szCs w:val="18"/>
        </w:rPr>
        <w:t>.</w:t>
      </w:r>
    </w:p>
  </w:footnote>
  <w:footnote w:id="72">
    <w:p w14:paraId="20B03D3B"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APS, </w:t>
      </w:r>
      <w:hyperlink r:id="rId57" w:history="1">
        <w:r w:rsidRPr="0012318E">
          <w:rPr>
            <w:rStyle w:val="Hyperlink"/>
            <w:rFonts w:cstheme="minorHAnsi"/>
            <w:sz w:val="18"/>
            <w:szCs w:val="18"/>
          </w:rPr>
          <w:t>Find a Psychologist</w:t>
        </w:r>
      </w:hyperlink>
      <w:r>
        <w:rPr>
          <w:rFonts w:cstheme="minorHAnsi"/>
          <w:sz w:val="18"/>
          <w:szCs w:val="18"/>
        </w:rPr>
        <w:t>, n.d., accessed 18 August 2021</w:t>
      </w:r>
      <w:r w:rsidRPr="00DB15FC">
        <w:rPr>
          <w:rFonts w:cstheme="minorHAnsi"/>
          <w:sz w:val="18"/>
          <w:szCs w:val="18"/>
        </w:rPr>
        <w:t>.</w:t>
      </w:r>
    </w:p>
  </w:footnote>
  <w:footnote w:id="73">
    <w:p w14:paraId="2429C1A9"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Commonwealth Ombudsman, </w:t>
      </w:r>
      <w:r w:rsidRPr="00DB15FC">
        <w:rPr>
          <w:rFonts w:cstheme="minorHAnsi"/>
          <w:i/>
          <w:sz w:val="18"/>
          <w:szCs w:val="18"/>
        </w:rPr>
        <w:t>Better Practice Complaint Handling Guidelines.</w:t>
      </w:r>
    </w:p>
  </w:footnote>
  <w:footnote w:id="74">
    <w:p w14:paraId="70F73B95" w14:textId="77777777" w:rsidR="00BE48EE" w:rsidRPr="00DB15FC" w:rsidRDefault="00BE48EE" w:rsidP="00BE48EE">
      <w:pPr>
        <w:pStyle w:val="FootnoteText"/>
        <w:rPr>
          <w:rFonts w:cstheme="minorHAnsi"/>
          <w:sz w:val="18"/>
          <w:szCs w:val="18"/>
          <w:highlight w:val="green"/>
          <w:lang w:val="en-AU"/>
        </w:rPr>
      </w:pPr>
      <w:r w:rsidRPr="00DB15FC">
        <w:rPr>
          <w:rStyle w:val="FootnoteReference"/>
          <w:rFonts w:cstheme="minorHAnsi"/>
          <w:sz w:val="18"/>
          <w:szCs w:val="18"/>
        </w:rPr>
        <w:footnoteRef/>
      </w:r>
      <w:r w:rsidRPr="00DB15FC">
        <w:rPr>
          <w:rFonts w:cstheme="minorHAnsi"/>
          <w:sz w:val="18"/>
          <w:szCs w:val="18"/>
        </w:rPr>
        <w:t xml:space="preserve"> NSW Ombudsman, </w:t>
      </w:r>
      <w:hyperlink r:id="rId58" w:history="1">
        <w:r w:rsidRPr="000075FF">
          <w:rPr>
            <w:rStyle w:val="Hyperlink"/>
            <w:rFonts w:cstheme="minorHAnsi"/>
            <w:i/>
            <w:sz w:val="18"/>
            <w:szCs w:val="18"/>
          </w:rPr>
          <w:t>Effective complaint handling guidelines</w:t>
        </w:r>
      </w:hyperlink>
      <w:r>
        <w:rPr>
          <w:rFonts w:cstheme="minorHAnsi"/>
          <w:i/>
          <w:sz w:val="18"/>
          <w:szCs w:val="18"/>
        </w:rPr>
        <w:t xml:space="preserve">, </w:t>
      </w:r>
      <w:r>
        <w:rPr>
          <w:rFonts w:cstheme="minorHAnsi"/>
          <w:sz w:val="18"/>
          <w:szCs w:val="18"/>
        </w:rPr>
        <w:t>28 February 2017, accessed 18 August 2021</w:t>
      </w:r>
      <w:r w:rsidRPr="00DB15FC">
        <w:rPr>
          <w:rFonts w:cstheme="minorHAnsi"/>
          <w:sz w:val="18"/>
          <w:szCs w:val="18"/>
        </w:rPr>
        <w:t xml:space="preserve">. </w:t>
      </w:r>
    </w:p>
  </w:footnote>
  <w:footnote w:id="75">
    <w:p w14:paraId="57B5BAC0" w14:textId="77777777" w:rsidR="00BE48EE" w:rsidRPr="00DB15FC" w:rsidRDefault="00BE48EE" w:rsidP="00BE48EE">
      <w:pPr>
        <w:pStyle w:val="FootnoteText"/>
        <w:rPr>
          <w:rFonts w:cstheme="minorHAnsi"/>
          <w:sz w:val="18"/>
          <w:szCs w:val="18"/>
          <w:highlight w:val="green"/>
        </w:rPr>
      </w:pPr>
      <w:r w:rsidRPr="00DB15FC">
        <w:rPr>
          <w:rStyle w:val="FootnoteReference"/>
          <w:rFonts w:cstheme="minorHAnsi"/>
          <w:sz w:val="18"/>
          <w:szCs w:val="18"/>
        </w:rPr>
        <w:footnoteRef/>
      </w:r>
      <w:r>
        <w:rPr>
          <w:rFonts w:cstheme="minorHAnsi"/>
          <w:sz w:val="18"/>
          <w:szCs w:val="18"/>
        </w:rPr>
        <w:t xml:space="preserve"> Rathus, </w:t>
      </w:r>
      <w:r w:rsidRPr="00DB15FC">
        <w:rPr>
          <w:rFonts w:cstheme="minorHAnsi"/>
          <w:sz w:val="18"/>
          <w:szCs w:val="18"/>
        </w:rPr>
        <w:t xml:space="preserve">Jeffries, Menih and Field, </w:t>
      </w:r>
      <w:hyperlink r:id="rId59" w:history="1">
        <w:r w:rsidRPr="00BE403A">
          <w:rPr>
            <w:rStyle w:val="Hyperlink"/>
            <w:rFonts w:cstheme="minorHAnsi"/>
            <w:sz w:val="18"/>
            <w:szCs w:val="18"/>
          </w:rPr>
          <w:t>Submission No 700</w:t>
        </w:r>
      </w:hyperlink>
      <w:r>
        <w:rPr>
          <w:rStyle w:val="Hyperlink"/>
          <w:rFonts w:cstheme="minorHAnsi"/>
          <w:sz w:val="18"/>
          <w:szCs w:val="18"/>
        </w:rPr>
        <w:t xml:space="preserve"> </w:t>
      </w:r>
      <w:r w:rsidRPr="00DB15FC">
        <w:rPr>
          <w:rFonts w:cstheme="minorHAnsi"/>
          <w:sz w:val="18"/>
          <w:szCs w:val="18"/>
        </w:rPr>
        <w:t xml:space="preserve">to JSC, </w:t>
      </w:r>
      <w:r w:rsidRPr="00BE403A">
        <w:rPr>
          <w:rFonts w:cstheme="minorHAnsi"/>
          <w:i/>
          <w:sz w:val="18"/>
          <w:szCs w:val="18"/>
        </w:rPr>
        <w:t>Improvements in Family Law Proceedings</w:t>
      </w:r>
      <w:r>
        <w:rPr>
          <w:rFonts w:cstheme="minorHAnsi"/>
          <w:sz w:val="18"/>
          <w:szCs w:val="18"/>
        </w:rPr>
        <w:t xml:space="preserve">, </w:t>
      </w:r>
      <w:r w:rsidRPr="00DB15FC">
        <w:rPr>
          <w:rFonts w:cstheme="minorHAnsi"/>
          <w:sz w:val="18"/>
          <w:szCs w:val="18"/>
        </w:rPr>
        <w:t>January 2020</w:t>
      </w:r>
      <w:r>
        <w:rPr>
          <w:rFonts w:cstheme="minorHAnsi"/>
          <w:sz w:val="18"/>
          <w:szCs w:val="18"/>
        </w:rPr>
        <w:t>,</w:t>
      </w:r>
      <w:r w:rsidRPr="00DB15FC">
        <w:rPr>
          <w:rFonts w:cstheme="minorHAnsi"/>
          <w:sz w:val="18"/>
          <w:szCs w:val="18"/>
        </w:rPr>
        <w:t xml:space="preserve"> 17; Women’s Legal Service Australia, </w:t>
      </w:r>
      <w:hyperlink r:id="rId60" w:history="1">
        <w:r w:rsidRPr="006C1415">
          <w:rPr>
            <w:rStyle w:val="Hyperlink"/>
            <w:rFonts w:cstheme="minorHAnsi"/>
            <w:sz w:val="18"/>
            <w:szCs w:val="18"/>
          </w:rPr>
          <w:t>Submission No 80</w:t>
        </w:r>
      </w:hyperlink>
      <w:r w:rsidRPr="00DB15FC">
        <w:rPr>
          <w:rFonts w:cstheme="minorHAnsi"/>
          <w:sz w:val="18"/>
          <w:szCs w:val="18"/>
        </w:rPr>
        <w:t xml:space="preserve"> to Senate Community Affairs References Committee, </w:t>
      </w:r>
      <w:r w:rsidRPr="00DB15FC">
        <w:rPr>
          <w:rFonts w:cstheme="minorHAnsi"/>
          <w:i/>
          <w:sz w:val="18"/>
          <w:szCs w:val="18"/>
        </w:rPr>
        <w:t>Complaints Mechanisms Administered under the Health Practitioner Regulation National Law</w:t>
      </w:r>
      <w:r>
        <w:rPr>
          <w:rFonts w:cstheme="minorHAnsi"/>
          <w:i/>
          <w:sz w:val="18"/>
          <w:szCs w:val="18"/>
        </w:rPr>
        <w:t>,</w:t>
      </w:r>
      <w:r w:rsidRPr="00DB15FC">
        <w:rPr>
          <w:rFonts w:cstheme="minorHAnsi"/>
          <w:i/>
          <w:sz w:val="18"/>
          <w:szCs w:val="18"/>
        </w:rPr>
        <w:t xml:space="preserve"> </w:t>
      </w:r>
      <w:r w:rsidRPr="00DB15FC">
        <w:rPr>
          <w:rFonts w:cstheme="minorHAnsi"/>
          <w:sz w:val="18"/>
          <w:szCs w:val="18"/>
        </w:rPr>
        <w:t>February 2017</w:t>
      </w:r>
      <w:r>
        <w:rPr>
          <w:rFonts w:cstheme="minorHAnsi"/>
          <w:sz w:val="18"/>
          <w:szCs w:val="18"/>
        </w:rPr>
        <w:t>, p</w:t>
      </w:r>
      <w:r w:rsidRPr="00DB15FC">
        <w:rPr>
          <w:rFonts w:cstheme="minorHAnsi"/>
          <w:sz w:val="18"/>
          <w:szCs w:val="18"/>
        </w:rPr>
        <w:t xml:space="preserve"> 4. </w:t>
      </w:r>
    </w:p>
  </w:footnote>
  <w:footnote w:id="76">
    <w:p w14:paraId="71CA4478" w14:textId="77777777" w:rsidR="00BE48EE" w:rsidRPr="00DB15FC" w:rsidRDefault="00BE48EE" w:rsidP="00BE48EE">
      <w:pPr>
        <w:pStyle w:val="FootnoteText"/>
        <w:rPr>
          <w:rFonts w:cstheme="minorHAnsi"/>
          <w:sz w:val="18"/>
          <w:szCs w:val="18"/>
          <w:highlight w:val="green"/>
          <w:lang w:val="en-AU"/>
        </w:rPr>
      </w:pPr>
      <w:r w:rsidRPr="00DB15FC">
        <w:rPr>
          <w:rStyle w:val="FootnoteReference"/>
          <w:rFonts w:cstheme="minorHAnsi"/>
          <w:sz w:val="18"/>
          <w:szCs w:val="18"/>
        </w:rPr>
        <w:footnoteRef/>
      </w:r>
      <w:r w:rsidRPr="00DB15FC">
        <w:rPr>
          <w:rFonts w:cstheme="minorHAnsi"/>
          <w:sz w:val="18"/>
          <w:szCs w:val="18"/>
        </w:rPr>
        <w:t xml:space="preserve"> JSC, Parliament of Australia</w:t>
      </w:r>
      <w:r>
        <w:rPr>
          <w:rFonts w:cstheme="minorHAnsi"/>
          <w:sz w:val="18"/>
          <w:szCs w:val="18"/>
        </w:rPr>
        <w:t xml:space="preserve">, </w:t>
      </w:r>
      <w:hyperlink r:id="rId61" w:history="1">
        <w:r w:rsidRPr="000B3D9A">
          <w:rPr>
            <w:rStyle w:val="Hyperlink"/>
            <w:rFonts w:cstheme="minorHAnsi"/>
            <w:i/>
            <w:sz w:val="18"/>
            <w:szCs w:val="18"/>
          </w:rPr>
          <w:t>Improvements in Family Law Proceedings</w:t>
        </w:r>
      </w:hyperlink>
      <w:r>
        <w:rPr>
          <w:rFonts w:cstheme="minorHAnsi"/>
          <w:sz w:val="18"/>
          <w:szCs w:val="18"/>
        </w:rPr>
        <w:t xml:space="preserve">, </w:t>
      </w:r>
      <w:r w:rsidRPr="00DB15FC">
        <w:rPr>
          <w:rFonts w:cstheme="minorHAnsi"/>
          <w:sz w:val="18"/>
          <w:szCs w:val="18"/>
        </w:rPr>
        <w:t>Second Interim Report, March 2021</w:t>
      </w:r>
      <w:r>
        <w:rPr>
          <w:rFonts w:cstheme="minorHAnsi"/>
          <w:sz w:val="18"/>
          <w:szCs w:val="18"/>
        </w:rPr>
        <w:t xml:space="preserve">, paragraph </w:t>
      </w:r>
      <w:r>
        <w:rPr>
          <w:rFonts w:cstheme="minorHAnsi"/>
          <w:color w:val="000000"/>
          <w:sz w:val="18"/>
          <w:szCs w:val="18"/>
          <w:lang w:val="en-US"/>
        </w:rPr>
        <w:t>2.121</w:t>
      </w:r>
      <w:r w:rsidRPr="00DB15FC">
        <w:rPr>
          <w:rFonts w:cstheme="minorHAnsi"/>
          <w:color w:val="000000"/>
          <w:sz w:val="18"/>
          <w:szCs w:val="18"/>
          <w:lang w:val="en-US"/>
        </w:rPr>
        <w:t>.</w:t>
      </w:r>
    </w:p>
  </w:footnote>
  <w:footnote w:id="77">
    <w:p w14:paraId="77B19EEF"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Pr>
          <w:rFonts w:cstheme="minorHAnsi"/>
          <w:sz w:val="18"/>
          <w:szCs w:val="18"/>
        </w:rPr>
        <w:t>Ahpra</w:t>
      </w:r>
      <w:r w:rsidRPr="00DB15FC">
        <w:rPr>
          <w:rFonts w:cstheme="minorHAnsi"/>
          <w:sz w:val="18"/>
          <w:szCs w:val="18"/>
        </w:rPr>
        <w:t xml:space="preserve"> pers com 24 July 2020; Ms Z Rathus, Dr S Jeffries, Dr H Menih and Professor R Field, </w:t>
      </w:r>
      <w:hyperlink r:id="rId62" w:history="1">
        <w:r w:rsidRPr="000C595C">
          <w:rPr>
            <w:rStyle w:val="Hyperlink"/>
            <w:rFonts w:cstheme="minorHAnsi"/>
            <w:sz w:val="18"/>
            <w:szCs w:val="18"/>
          </w:rPr>
          <w:t>Submission No 166</w:t>
        </w:r>
      </w:hyperlink>
      <w:r w:rsidRPr="00DB15FC">
        <w:rPr>
          <w:rFonts w:cstheme="minorHAnsi"/>
          <w:sz w:val="18"/>
          <w:szCs w:val="18"/>
        </w:rPr>
        <w:t xml:space="preserve"> to ALRC, </w:t>
      </w:r>
      <w:r w:rsidRPr="00DB15FC">
        <w:rPr>
          <w:rFonts w:cstheme="minorHAnsi"/>
          <w:i/>
          <w:sz w:val="18"/>
          <w:szCs w:val="18"/>
        </w:rPr>
        <w:t xml:space="preserve">Family Law for the Future </w:t>
      </w:r>
      <w:r w:rsidRPr="00DB15FC">
        <w:rPr>
          <w:rFonts w:cstheme="minorHAnsi"/>
          <w:sz w:val="18"/>
          <w:szCs w:val="18"/>
        </w:rPr>
        <w:t>(May 2018) 14.</w:t>
      </w:r>
    </w:p>
  </w:footnote>
  <w:footnote w:id="78">
    <w:p w14:paraId="742B3407" w14:textId="77777777" w:rsidR="00BE48EE" w:rsidRPr="00DB15FC" w:rsidRDefault="00BE48EE" w:rsidP="00BE48EE">
      <w:pPr>
        <w:pStyle w:val="FootnoteText"/>
        <w:rPr>
          <w:rFonts w:cstheme="minorHAnsi"/>
          <w:sz w:val="18"/>
          <w:szCs w:val="18"/>
          <w:highlight w:val="green"/>
          <w:lang w:val="en-US"/>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i/>
          <w:sz w:val="18"/>
          <w:szCs w:val="18"/>
        </w:rPr>
        <w:t>Family Law Act 1975</w:t>
      </w:r>
      <w:r w:rsidRPr="00DB15FC">
        <w:rPr>
          <w:rFonts w:cstheme="minorHAnsi"/>
          <w:sz w:val="18"/>
          <w:szCs w:val="18"/>
        </w:rPr>
        <w:t xml:space="preserve"> (Cth) s</w:t>
      </w:r>
      <w:r w:rsidRPr="00DB15FC">
        <w:rPr>
          <w:rFonts w:cstheme="minorHAnsi"/>
          <w:sz w:val="18"/>
          <w:szCs w:val="18"/>
          <w:lang w:val="en-US"/>
        </w:rPr>
        <w:t xml:space="preserve"> 62G(2); </w:t>
      </w:r>
      <w:r w:rsidRPr="00B64273">
        <w:rPr>
          <w:rFonts w:cstheme="minorHAnsi"/>
          <w:i/>
          <w:sz w:val="18"/>
          <w:szCs w:val="18"/>
        </w:rPr>
        <w:t>Federal Circuit and Family Court of Australia (Family Law) Rules</w:t>
      </w:r>
      <w:r w:rsidRPr="00B64273" w:rsidDel="00B64273">
        <w:rPr>
          <w:rFonts w:cstheme="minorHAnsi"/>
          <w:i/>
          <w:sz w:val="18"/>
          <w:szCs w:val="18"/>
        </w:rPr>
        <w:t xml:space="preserve"> </w:t>
      </w:r>
      <w:r>
        <w:rPr>
          <w:rFonts w:cstheme="minorHAnsi"/>
          <w:i/>
          <w:sz w:val="18"/>
          <w:szCs w:val="18"/>
        </w:rPr>
        <w:t xml:space="preserve">2021 </w:t>
      </w:r>
      <w:r>
        <w:rPr>
          <w:rFonts w:cstheme="minorHAnsi"/>
          <w:sz w:val="18"/>
          <w:szCs w:val="18"/>
        </w:rPr>
        <w:t>(Cth) rr 8.11(5)(b), 7.03(2), 7.04(1)</w:t>
      </w:r>
      <w:r>
        <w:rPr>
          <w:rFonts w:cstheme="minorHAnsi"/>
          <w:sz w:val="18"/>
          <w:szCs w:val="18"/>
          <w:lang w:val="en-US"/>
        </w:rPr>
        <w:t xml:space="preserve">; </w:t>
      </w:r>
      <w:r w:rsidRPr="003B789D">
        <w:rPr>
          <w:i/>
          <w:sz w:val="18"/>
        </w:rPr>
        <w:t xml:space="preserve">Family Court Rules 2021 </w:t>
      </w:r>
      <w:r>
        <w:rPr>
          <w:sz w:val="18"/>
        </w:rPr>
        <w:t>(WA) r 235(b)</w:t>
      </w:r>
      <w:r w:rsidRPr="003B789D">
        <w:rPr>
          <w:sz w:val="18"/>
        </w:rPr>
        <w:t>.</w:t>
      </w:r>
    </w:p>
  </w:footnote>
  <w:footnote w:id="79">
    <w:p w14:paraId="3877DE77"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8C2011">
        <w:rPr>
          <w:rFonts w:cstheme="minorHAnsi"/>
          <w:sz w:val="18"/>
          <w:szCs w:val="18"/>
        </w:rPr>
        <w:t xml:space="preserve"> </w:t>
      </w:r>
      <w:r>
        <w:rPr>
          <w:rFonts w:cstheme="minorHAnsi"/>
          <w:sz w:val="18"/>
          <w:szCs w:val="18"/>
        </w:rPr>
        <w:t>Federal Circuit and Family Court of Australia,</w:t>
      </w:r>
      <w:r w:rsidRPr="00DB15FC">
        <w:rPr>
          <w:rFonts w:cstheme="minorHAnsi"/>
          <w:sz w:val="18"/>
          <w:szCs w:val="18"/>
        </w:rPr>
        <w:t xml:space="preserve"> </w:t>
      </w:r>
      <w:hyperlink r:id="rId63" w:history="1">
        <w:r w:rsidRPr="00756063">
          <w:rPr>
            <w:rStyle w:val="Hyperlink"/>
            <w:rFonts w:cstheme="minorHAnsi"/>
            <w:sz w:val="18"/>
            <w:szCs w:val="18"/>
          </w:rPr>
          <w:t>Complaints Policy</w:t>
        </w:r>
      </w:hyperlink>
      <w:r>
        <w:rPr>
          <w:rFonts w:cstheme="minorHAnsi"/>
          <w:sz w:val="18"/>
          <w:szCs w:val="18"/>
        </w:rPr>
        <w:t>, 1 September 2021.</w:t>
      </w:r>
    </w:p>
  </w:footnote>
  <w:footnote w:id="80">
    <w:p w14:paraId="699E40B0" w14:textId="77777777" w:rsidR="00BE48EE" w:rsidRPr="00DB15FC" w:rsidRDefault="00BE48EE" w:rsidP="00BE48EE">
      <w:pPr>
        <w:pStyle w:val="FootnoteText"/>
        <w:rPr>
          <w:rFonts w:cstheme="minorHAnsi"/>
          <w:i/>
          <w:sz w:val="18"/>
          <w:szCs w:val="18"/>
        </w:rPr>
      </w:pPr>
      <w:r w:rsidRPr="00DB15FC">
        <w:rPr>
          <w:rStyle w:val="FootnoteReference"/>
          <w:rFonts w:cstheme="minorHAnsi"/>
          <w:sz w:val="18"/>
          <w:szCs w:val="18"/>
        </w:rPr>
        <w:footnoteRef/>
      </w:r>
      <w:r w:rsidRPr="00DB15FC">
        <w:rPr>
          <w:rFonts w:cstheme="minorHAnsi"/>
          <w:sz w:val="18"/>
          <w:szCs w:val="18"/>
        </w:rPr>
        <w:t xml:space="preserve"> Law Council of Australia, </w:t>
      </w:r>
      <w:hyperlink r:id="rId64" w:history="1">
        <w:r w:rsidRPr="005579CD">
          <w:rPr>
            <w:rStyle w:val="Hyperlink"/>
            <w:rFonts w:cstheme="minorHAnsi"/>
            <w:sz w:val="18"/>
            <w:szCs w:val="18"/>
          </w:rPr>
          <w:t>Submission No 26</w:t>
        </w:r>
      </w:hyperlink>
      <w:r w:rsidRPr="00DB15FC">
        <w:rPr>
          <w:rFonts w:cstheme="minorHAnsi"/>
          <w:sz w:val="18"/>
          <w:szCs w:val="18"/>
        </w:rPr>
        <w:t xml:space="preserve"> to Senate Legal and Community Affairs Legislation Committee, </w:t>
      </w:r>
      <w:r w:rsidRPr="00DB15FC">
        <w:rPr>
          <w:rFonts w:cstheme="minorHAnsi"/>
          <w:i/>
          <w:sz w:val="18"/>
          <w:szCs w:val="18"/>
        </w:rPr>
        <w:t>Family Law Amendment</w:t>
      </w:r>
    </w:p>
    <w:p w14:paraId="77248862" w14:textId="77777777" w:rsidR="00BE48EE" w:rsidRPr="00DB15FC" w:rsidRDefault="00BE48EE" w:rsidP="00BE48EE">
      <w:pPr>
        <w:pStyle w:val="FootnoteText"/>
        <w:rPr>
          <w:rFonts w:cstheme="minorHAnsi"/>
          <w:sz w:val="18"/>
          <w:szCs w:val="18"/>
        </w:rPr>
      </w:pPr>
      <w:r w:rsidRPr="00DB15FC">
        <w:rPr>
          <w:rFonts w:cstheme="minorHAnsi"/>
          <w:i/>
          <w:sz w:val="18"/>
          <w:szCs w:val="18"/>
        </w:rPr>
        <w:t>(Family Violence and Cross-examination of</w:t>
      </w:r>
      <w:r>
        <w:rPr>
          <w:rFonts w:cstheme="minorHAnsi"/>
          <w:i/>
          <w:sz w:val="18"/>
          <w:szCs w:val="18"/>
        </w:rPr>
        <w:t xml:space="preserve"> Parties) Bill, </w:t>
      </w:r>
      <w:r>
        <w:rPr>
          <w:rFonts w:cstheme="minorHAnsi"/>
          <w:sz w:val="18"/>
          <w:szCs w:val="18"/>
        </w:rPr>
        <w:t>July 2018,</w:t>
      </w:r>
      <w:r w:rsidRPr="00DB15FC">
        <w:rPr>
          <w:rFonts w:cstheme="minorHAnsi"/>
          <w:sz w:val="18"/>
          <w:szCs w:val="18"/>
        </w:rPr>
        <w:t xml:space="preserve"> 7. </w:t>
      </w:r>
    </w:p>
  </w:footnote>
  <w:footnote w:id="81">
    <w:p w14:paraId="4F911FBF" w14:textId="77777777" w:rsidR="00BE48EE" w:rsidRPr="00DB15FC" w:rsidRDefault="00BE48EE" w:rsidP="00BE48EE">
      <w:pPr>
        <w:pStyle w:val="FootnoteText"/>
        <w:rPr>
          <w:rFonts w:cstheme="minorHAnsi"/>
          <w:sz w:val="18"/>
          <w:szCs w:val="18"/>
          <w:highlight w:val="green"/>
          <w:lang w:val="en-AU"/>
        </w:rPr>
      </w:pPr>
      <w:r w:rsidRPr="00DB15FC">
        <w:rPr>
          <w:rStyle w:val="FootnoteReference"/>
          <w:rFonts w:cstheme="minorHAnsi"/>
          <w:sz w:val="18"/>
          <w:szCs w:val="18"/>
        </w:rPr>
        <w:footnoteRef/>
      </w:r>
      <w:r w:rsidRPr="00DB15FC">
        <w:rPr>
          <w:rFonts w:cstheme="minorHAnsi"/>
          <w:sz w:val="18"/>
          <w:szCs w:val="18"/>
        </w:rPr>
        <w:t xml:space="preserve"> </w:t>
      </w:r>
      <w:r w:rsidRPr="00B64273">
        <w:rPr>
          <w:rFonts w:cstheme="minorHAnsi"/>
          <w:i/>
          <w:sz w:val="18"/>
          <w:szCs w:val="18"/>
        </w:rPr>
        <w:t>Federal Circuit and Family Court of Australia (Family Law) Rules</w:t>
      </w:r>
      <w:r w:rsidRPr="00B64273" w:rsidDel="00B64273">
        <w:rPr>
          <w:rFonts w:cstheme="minorHAnsi"/>
          <w:i/>
          <w:sz w:val="18"/>
          <w:szCs w:val="18"/>
        </w:rPr>
        <w:t xml:space="preserve"> </w:t>
      </w:r>
      <w:r>
        <w:rPr>
          <w:rFonts w:cstheme="minorHAnsi"/>
          <w:i/>
          <w:sz w:val="18"/>
          <w:szCs w:val="18"/>
        </w:rPr>
        <w:t xml:space="preserve">2021 </w:t>
      </w:r>
      <w:r>
        <w:rPr>
          <w:rFonts w:cstheme="minorHAnsi"/>
          <w:sz w:val="18"/>
          <w:szCs w:val="18"/>
        </w:rPr>
        <w:t xml:space="preserve">(Cth) r 7.09(3). </w:t>
      </w:r>
    </w:p>
  </w:footnote>
  <w:footnote w:id="82">
    <w:p w14:paraId="0D7BBDE1" w14:textId="77777777" w:rsidR="00BE48EE" w:rsidRPr="00DB15FC" w:rsidRDefault="00BE48EE" w:rsidP="00BE48EE">
      <w:pPr>
        <w:pStyle w:val="FootnoteText"/>
        <w:rPr>
          <w:rFonts w:cstheme="minorHAnsi"/>
          <w:sz w:val="18"/>
          <w:szCs w:val="18"/>
          <w:highlight w:val="green"/>
          <w:lang w:val="en-AU"/>
        </w:rPr>
      </w:pPr>
      <w:r w:rsidRPr="00DB15FC">
        <w:rPr>
          <w:rStyle w:val="FootnoteReference"/>
          <w:rFonts w:cstheme="minorHAnsi"/>
          <w:sz w:val="18"/>
          <w:szCs w:val="18"/>
        </w:rPr>
        <w:footnoteRef/>
      </w:r>
      <w:r w:rsidRPr="00DB15FC">
        <w:rPr>
          <w:rFonts w:cstheme="minorHAnsi"/>
          <w:sz w:val="18"/>
          <w:szCs w:val="18"/>
        </w:rPr>
        <w:t xml:space="preserve"> Ms Z Rathus, Dr S Jeffries, Dr H Menih and Professor R Field, </w:t>
      </w:r>
      <w:hyperlink r:id="rId65" w:history="1">
        <w:r w:rsidRPr="000C595C">
          <w:rPr>
            <w:rStyle w:val="Hyperlink"/>
            <w:rFonts w:cstheme="minorHAnsi"/>
            <w:sz w:val="18"/>
            <w:szCs w:val="18"/>
          </w:rPr>
          <w:t>Submission No 166</w:t>
        </w:r>
      </w:hyperlink>
      <w:r w:rsidRPr="00DB15FC">
        <w:rPr>
          <w:rFonts w:cstheme="minorHAnsi"/>
          <w:sz w:val="18"/>
          <w:szCs w:val="18"/>
        </w:rPr>
        <w:t xml:space="preserve"> to ALRC, </w:t>
      </w:r>
      <w:r>
        <w:rPr>
          <w:rFonts w:cstheme="minorHAnsi"/>
          <w:i/>
          <w:sz w:val="18"/>
          <w:szCs w:val="18"/>
        </w:rPr>
        <w:t xml:space="preserve">Family Law for the Future, </w:t>
      </w:r>
      <w:r>
        <w:rPr>
          <w:rFonts w:cstheme="minorHAnsi"/>
          <w:sz w:val="18"/>
          <w:szCs w:val="18"/>
        </w:rPr>
        <w:t>May 2018,</w:t>
      </w:r>
      <w:r w:rsidRPr="00DB15FC">
        <w:rPr>
          <w:rFonts w:cstheme="minorHAnsi"/>
          <w:sz w:val="18"/>
          <w:szCs w:val="18"/>
        </w:rPr>
        <w:t xml:space="preserve"> 14.</w:t>
      </w:r>
    </w:p>
  </w:footnote>
  <w:footnote w:id="83">
    <w:p w14:paraId="5F300BE5"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Federal Circuit and Family Court of Australia,</w:t>
      </w:r>
      <w:r w:rsidRPr="00DB15FC">
        <w:rPr>
          <w:rFonts w:cstheme="minorHAnsi"/>
          <w:sz w:val="18"/>
          <w:szCs w:val="18"/>
        </w:rPr>
        <w:t xml:space="preserve"> </w:t>
      </w:r>
      <w:hyperlink r:id="rId66" w:history="1">
        <w:r w:rsidRPr="00756063">
          <w:rPr>
            <w:rStyle w:val="Hyperlink"/>
            <w:rFonts w:cstheme="minorHAnsi"/>
            <w:sz w:val="18"/>
            <w:szCs w:val="18"/>
          </w:rPr>
          <w:t>Complaints Policy</w:t>
        </w:r>
      </w:hyperlink>
      <w:r>
        <w:rPr>
          <w:rFonts w:cstheme="minorHAnsi"/>
          <w:sz w:val="18"/>
          <w:szCs w:val="18"/>
        </w:rPr>
        <w:t>, 1 September 2021.</w:t>
      </w:r>
    </w:p>
  </w:footnote>
  <w:footnote w:id="84">
    <w:p w14:paraId="51454202"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i/>
          <w:sz w:val="18"/>
          <w:szCs w:val="18"/>
        </w:rPr>
        <w:t xml:space="preserve">Health Practitioner Regulation </w:t>
      </w:r>
      <w:r w:rsidRPr="00DB15FC">
        <w:rPr>
          <w:rFonts w:cstheme="minorHAnsi"/>
          <w:i/>
          <w:sz w:val="18"/>
          <w:szCs w:val="18"/>
          <w:lang w:val="en-US"/>
        </w:rPr>
        <w:t>National Law 2009</w:t>
      </w:r>
      <w:r w:rsidRPr="00DB15FC">
        <w:rPr>
          <w:rFonts w:cstheme="minorHAnsi"/>
          <w:sz w:val="18"/>
          <w:szCs w:val="18"/>
          <w:lang w:val="en-US"/>
        </w:rPr>
        <w:t xml:space="preserve"> (Qld) s 150. </w:t>
      </w:r>
    </w:p>
  </w:footnote>
  <w:footnote w:id="85">
    <w:p w14:paraId="69021D31" w14:textId="77777777" w:rsidR="00BE48EE" w:rsidRPr="00EB0C81" w:rsidRDefault="00BE48EE" w:rsidP="00BE48EE">
      <w:pPr>
        <w:pStyle w:val="FootnoteText"/>
        <w:rPr>
          <w:lang w:val="en-AU"/>
        </w:rPr>
      </w:pPr>
      <w:r w:rsidRPr="00EB0C81">
        <w:rPr>
          <w:rStyle w:val="FootnoteReference"/>
          <w:sz w:val="18"/>
        </w:rPr>
        <w:footnoteRef/>
      </w:r>
      <w:r w:rsidRPr="00EB0C81">
        <w:rPr>
          <w:sz w:val="18"/>
        </w:rPr>
        <w:t xml:space="preserve"> </w:t>
      </w:r>
      <w:r w:rsidRPr="00EB0C81">
        <w:rPr>
          <w:sz w:val="18"/>
          <w:lang w:val="en-AU"/>
        </w:rPr>
        <w:t>Ahpra</w:t>
      </w:r>
      <w:r w:rsidRPr="0061514D">
        <w:rPr>
          <w:rFonts w:cstheme="minorHAnsi"/>
          <w:sz w:val="18"/>
          <w:szCs w:val="18"/>
        </w:rPr>
        <w:t xml:space="preserve"> </w:t>
      </w:r>
      <w:r>
        <w:rPr>
          <w:rFonts w:cstheme="minorHAnsi"/>
          <w:sz w:val="18"/>
          <w:szCs w:val="18"/>
        </w:rPr>
        <w:t>and</w:t>
      </w:r>
      <w:r w:rsidRPr="0004078C">
        <w:rPr>
          <w:rFonts w:cstheme="minorHAnsi"/>
          <w:sz w:val="18"/>
          <w:szCs w:val="18"/>
        </w:rPr>
        <w:t xml:space="preserve"> National Boards</w:t>
      </w:r>
      <w:r w:rsidRPr="00EB0C81">
        <w:rPr>
          <w:sz w:val="18"/>
          <w:lang w:val="en-AU"/>
        </w:rPr>
        <w:t xml:space="preserve">, </w:t>
      </w:r>
      <w:hyperlink r:id="rId67" w:history="1">
        <w:r w:rsidRPr="00EB0C81">
          <w:rPr>
            <w:rStyle w:val="Hyperlink"/>
            <w:sz w:val="18"/>
            <w:lang w:val="en-AU"/>
          </w:rPr>
          <w:t>Assessing notifications</w:t>
        </w:r>
      </w:hyperlink>
      <w:r w:rsidRPr="00EB0C81">
        <w:rPr>
          <w:sz w:val="18"/>
          <w:lang w:val="en-AU"/>
        </w:rPr>
        <w:t xml:space="preserve">, 26 November 2020, accessed 3 September 2021. </w:t>
      </w:r>
    </w:p>
  </w:footnote>
  <w:footnote w:id="86">
    <w:p w14:paraId="1126D22C"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04078C">
        <w:rPr>
          <w:rFonts w:cstheme="minorHAnsi"/>
          <w:sz w:val="18"/>
          <w:szCs w:val="18"/>
        </w:rPr>
        <w:t xml:space="preserve">Ahpra </w:t>
      </w:r>
      <w:r>
        <w:rPr>
          <w:rFonts w:cstheme="minorHAnsi"/>
          <w:sz w:val="18"/>
          <w:szCs w:val="18"/>
        </w:rPr>
        <w:t>and</w:t>
      </w:r>
      <w:r w:rsidRPr="0004078C">
        <w:rPr>
          <w:rFonts w:cstheme="minorHAnsi"/>
          <w:sz w:val="18"/>
          <w:szCs w:val="18"/>
        </w:rPr>
        <w:t xml:space="preserve"> National Boards</w:t>
      </w:r>
      <w:r>
        <w:rPr>
          <w:rFonts w:cstheme="minorHAnsi"/>
          <w:sz w:val="18"/>
          <w:szCs w:val="18"/>
        </w:rPr>
        <w:t>,</w:t>
      </w:r>
      <w:r w:rsidRPr="00DB15FC">
        <w:rPr>
          <w:rFonts w:cstheme="minorHAnsi"/>
          <w:sz w:val="18"/>
          <w:szCs w:val="18"/>
        </w:rPr>
        <w:t xml:space="preserve"> </w:t>
      </w:r>
      <w:hyperlink r:id="rId68" w:history="1">
        <w:r w:rsidRPr="0004078C">
          <w:rPr>
            <w:rStyle w:val="Hyperlink"/>
            <w:rFonts w:cstheme="minorHAnsi"/>
            <w:sz w:val="18"/>
            <w:szCs w:val="18"/>
          </w:rPr>
          <w:t>Investigating practitioners</w:t>
        </w:r>
      </w:hyperlink>
      <w:r>
        <w:rPr>
          <w:rFonts w:cstheme="minorHAnsi"/>
          <w:sz w:val="18"/>
          <w:szCs w:val="18"/>
        </w:rPr>
        <w:t xml:space="preserve">, </w:t>
      </w:r>
      <w:r w:rsidRPr="00DB15FC">
        <w:rPr>
          <w:rFonts w:cstheme="minorHAnsi"/>
          <w:sz w:val="18"/>
          <w:szCs w:val="18"/>
        </w:rPr>
        <w:t>16 November 2020</w:t>
      </w:r>
      <w:r>
        <w:rPr>
          <w:rFonts w:cstheme="minorHAnsi"/>
          <w:sz w:val="18"/>
          <w:szCs w:val="18"/>
        </w:rPr>
        <w:t>, accessed 19 August 2021.</w:t>
      </w:r>
    </w:p>
    <w:p w14:paraId="19598EA5" w14:textId="77777777" w:rsidR="00BE48EE" w:rsidRPr="00DB15FC" w:rsidRDefault="00BE48EE" w:rsidP="00BE48EE">
      <w:pPr>
        <w:pStyle w:val="FootnoteText"/>
        <w:rPr>
          <w:rFonts w:cstheme="minorHAnsi"/>
          <w:sz w:val="18"/>
          <w:szCs w:val="18"/>
          <w:lang w:val="en-AU"/>
        </w:rPr>
      </w:pPr>
    </w:p>
  </w:footnote>
  <w:footnote w:id="87">
    <w:p w14:paraId="1BC20D4F" w14:textId="77777777" w:rsidR="00BE48EE" w:rsidRPr="00DB15FC" w:rsidRDefault="00BE48EE" w:rsidP="00BE48EE">
      <w:pPr>
        <w:pStyle w:val="FootnoteText"/>
        <w:rPr>
          <w:rFonts w:cstheme="minorHAnsi"/>
          <w:sz w:val="18"/>
          <w:szCs w:val="18"/>
          <w:highlight w:val="green"/>
          <w:lang w:val="en-AU"/>
        </w:rPr>
      </w:pPr>
      <w:r w:rsidRPr="00DB15FC">
        <w:rPr>
          <w:rStyle w:val="FootnoteReference"/>
          <w:rFonts w:cstheme="minorHAnsi"/>
          <w:sz w:val="18"/>
          <w:szCs w:val="18"/>
        </w:rPr>
        <w:footnoteRef/>
      </w:r>
      <w:r>
        <w:rPr>
          <w:rFonts w:cstheme="minorHAnsi"/>
          <w:sz w:val="18"/>
          <w:szCs w:val="18"/>
        </w:rPr>
        <w:t xml:space="preserve"> </w:t>
      </w:r>
      <w:r w:rsidRPr="0004078C">
        <w:rPr>
          <w:rFonts w:cstheme="minorHAnsi"/>
          <w:sz w:val="18"/>
          <w:szCs w:val="18"/>
        </w:rPr>
        <w:t>Ahpra and National Boards</w:t>
      </w:r>
      <w:r>
        <w:rPr>
          <w:rFonts w:cstheme="minorHAnsi"/>
          <w:sz w:val="18"/>
          <w:szCs w:val="18"/>
        </w:rPr>
        <w:t>,</w:t>
      </w:r>
      <w:r w:rsidRPr="00DB15FC">
        <w:rPr>
          <w:rFonts w:cstheme="minorHAnsi"/>
          <w:i/>
          <w:sz w:val="18"/>
          <w:szCs w:val="18"/>
        </w:rPr>
        <w:t xml:space="preserve"> </w:t>
      </w:r>
      <w:hyperlink r:id="rId69" w:history="1">
        <w:r w:rsidRPr="0004078C">
          <w:rPr>
            <w:rStyle w:val="Hyperlink"/>
            <w:rFonts w:cstheme="minorHAnsi"/>
            <w:sz w:val="18"/>
            <w:szCs w:val="18"/>
          </w:rPr>
          <w:t>Possible outcomes</w:t>
        </w:r>
      </w:hyperlink>
      <w:r w:rsidRPr="00DB15FC">
        <w:rPr>
          <w:rFonts w:cstheme="minorHAnsi"/>
          <w:sz w:val="18"/>
          <w:szCs w:val="18"/>
        </w:rPr>
        <w:t>, 16 November 2020</w:t>
      </w:r>
      <w:r>
        <w:rPr>
          <w:rFonts w:cstheme="minorHAnsi"/>
          <w:sz w:val="18"/>
          <w:szCs w:val="18"/>
        </w:rPr>
        <w:t xml:space="preserve">, accessed 19 August 2021. </w:t>
      </w:r>
    </w:p>
  </w:footnote>
  <w:footnote w:id="88">
    <w:p w14:paraId="7E856078"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04078C">
        <w:rPr>
          <w:rFonts w:cstheme="minorHAnsi"/>
          <w:sz w:val="18"/>
          <w:szCs w:val="18"/>
        </w:rPr>
        <w:t>Ahpra and National Boards</w:t>
      </w:r>
      <w:r>
        <w:rPr>
          <w:rFonts w:cstheme="minorHAnsi"/>
          <w:sz w:val="18"/>
          <w:szCs w:val="18"/>
        </w:rPr>
        <w:t xml:space="preserve">, </w:t>
      </w:r>
      <w:hyperlink r:id="rId70" w:history="1">
        <w:r>
          <w:rPr>
            <w:rStyle w:val="Hyperlink"/>
            <w:rFonts w:cstheme="minorHAnsi"/>
            <w:sz w:val="18"/>
            <w:szCs w:val="18"/>
          </w:rPr>
          <w:t>NSW and Qld</w:t>
        </w:r>
      </w:hyperlink>
      <w:r w:rsidRPr="00DB15FC">
        <w:rPr>
          <w:rFonts w:cstheme="minorHAnsi"/>
          <w:sz w:val="18"/>
          <w:szCs w:val="18"/>
        </w:rPr>
        <w:t>,</w:t>
      </w:r>
      <w:r w:rsidRPr="00DB15FC">
        <w:rPr>
          <w:rFonts w:cstheme="minorHAnsi"/>
          <w:i/>
          <w:sz w:val="18"/>
          <w:szCs w:val="18"/>
        </w:rPr>
        <w:t xml:space="preserve"> </w:t>
      </w:r>
      <w:r w:rsidRPr="00DB15FC">
        <w:rPr>
          <w:rFonts w:cstheme="minorHAnsi"/>
          <w:sz w:val="18"/>
          <w:szCs w:val="18"/>
        </w:rPr>
        <w:t>16 November 2020</w:t>
      </w:r>
      <w:r>
        <w:rPr>
          <w:rFonts w:cstheme="minorHAnsi"/>
          <w:sz w:val="18"/>
          <w:szCs w:val="18"/>
        </w:rPr>
        <w:t xml:space="preserve">, accessed 19 August 2021. </w:t>
      </w:r>
    </w:p>
  </w:footnote>
  <w:footnote w:id="89">
    <w:p w14:paraId="5DD2D474" w14:textId="77777777" w:rsidR="00BE48EE" w:rsidRPr="00DB15FC" w:rsidRDefault="00BE48EE" w:rsidP="00BE48EE">
      <w:pPr>
        <w:spacing w:after="0" w:line="240" w:lineRule="auto"/>
        <w:rPr>
          <w:rFonts w:cstheme="minorHAnsi"/>
          <w:color w:val="0000FF" w:themeColor="hyperlink"/>
          <w:sz w:val="18"/>
          <w:szCs w:val="18"/>
          <w:u w:val="single"/>
          <w:lang w:val="en-US"/>
        </w:rPr>
      </w:pPr>
      <w:r w:rsidRPr="00DB15FC">
        <w:rPr>
          <w:rStyle w:val="FootnoteReference"/>
          <w:rFonts w:cstheme="minorHAnsi"/>
          <w:sz w:val="18"/>
          <w:szCs w:val="18"/>
        </w:rPr>
        <w:footnoteRef/>
      </w:r>
      <w:r w:rsidRPr="00DB15FC">
        <w:rPr>
          <w:rFonts w:cstheme="minorHAnsi"/>
          <w:sz w:val="18"/>
          <w:szCs w:val="18"/>
        </w:rPr>
        <w:t xml:space="preserve"> </w:t>
      </w:r>
      <w:r w:rsidRPr="0004078C">
        <w:rPr>
          <w:rFonts w:cstheme="minorHAnsi"/>
          <w:sz w:val="18"/>
          <w:szCs w:val="18"/>
        </w:rPr>
        <w:t>Health Care Complaints Commission</w:t>
      </w:r>
      <w:r>
        <w:rPr>
          <w:rFonts w:cstheme="minorHAnsi"/>
          <w:sz w:val="18"/>
          <w:szCs w:val="18"/>
        </w:rPr>
        <w:t xml:space="preserve"> (HCCC),</w:t>
      </w:r>
      <w:r w:rsidRPr="0004078C">
        <w:rPr>
          <w:rFonts w:cstheme="minorHAnsi"/>
          <w:sz w:val="18"/>
          <w:szCs w:val="18"/>
        </w:rPr>
        <w:t xml:space="preserve"> </w:t>
      </w:r>
      <w:hyperlink r:id="rId71" w:history="1">
        <w:r w:rsidRPr="0004078C">
          <w:rPr>
            <w:rStyle w:val="Hyperlink"/>
            <w:rFonts w:cstheme="minorHAnsi"/>
            <w:sz w:val="18"/>
            <w:szCs w:val="18"/>
          </w:rPr>
          <w:t>Make a complaint: The content of a medico-legal or family court report</w:t>
        </w:r>
      </w:hyperlink>
      <w:r w:rsidRPr="00DB15FC">
        <w:rPr>
          <w:rFonts w:cstheme="minorHAnsi"/>
          <w:sz w:val="18"/>
          <w:szCs w:val="18"/>
        </w:rPr>
        <w:t xml:space="preserve">, </w:t>
      </w:r>
      <w:r>
        <w:rPr>
          <w:rFonts w:cstheme="minorHAnsi"/>
          <w:sz w:val="18"/>
          <w:szCs w:val="18"/>
        </w:rPr>
        <w:t xml:space="preserve">n.d., accessed 19 August 2021; HCCC, </w:t>
      </w:r>
      <w:hyperlink r:id="rId72" w:history="1">
        <w:r w:rsidRPr="0004078C">
          <w:rPr>
            <w:rStyle w:val="Hyperlink"/>
            <w:rFonts w:cstheme="minorHAnsi"/>
            <w:sz w:val="18"/>
            <w:szCs w:val="18"/>
          </w:rPr>
          <w:t>Frequently Asked Questions – Health Consumers</w:t>
        </w:r>
      </w:hyperlink>
      <w:r w:rsidRPr="00DB15FC">
        <w:rPr>
          <w:rFonts w:cstheme="minorHAnsi"/>
          <w:sz w:val="18"/>
          <w:szCs w:val="18"/>
        </w:rPr>
        <w:t xml:space="preserve">, </w:t>
      </w:r>
      <w:r>
        <w:rPr>
          <w:rFonts w:cstheme="minorHAnsi"/>
          <w:sz w:val="18"/>
          <w:szCs w:val="18"/>
        </w:rPr>
        <w:t xml:space="preserve">3 June 2020, accessed 19 August 2021. </w:t>
      </w:r>
    </w:p>
  </w:footnote>
  <w:footnote w:id="90">
    <w:p w14:paraId="7C2D3F87"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04078C">
        <w:rPr>
          <w:rFonts w:cstheme="minorHAnsi"/>
          <w:sz w:val="18"/>
          <w:szCs w:val="18"/>
        </w:rPr>
        <w:t>Office of the Health Ombudsman</w:t>
      </w:r>
      <w:r>
        <w:rPr>
          <w:rFonts w:cstheme="minorHAnsi"/>
          <w:sz w:val="18"/>
          <w:szCs w:val="18"/>
        </w:rPr>
        <w:t xml:space="preserve">, </w:t>
      </w:r>
      <w:hyperlink r:id="rId73" w:anchor="ahpra" w:history="1">
        <w:r w:rsidRPr="0004078C">
          <w:rPr>
            <w:rStyle w:val="Hyperlink"/>
            <w:rFonts w:cstheme="minorHAnsi"/>
            <w:sz w:val="18"/>
            <w:szCs w:val="18"/>
          </w:rPr>
          <w:t>Working with Ahpra</w:t>
        </w:r>
      </w:hyperlink>
      <w:r w:rsidRPr="00DB15FC">
        <w:rPr>
          <w:rFonts w:cstheme="minorHAnsi"/>
          <w:sz w:val="18"/>
          <w:szCs w:val="18"/>
        </w:rPr>
        <w:t xml:space="preserve">, </w:t>
      </w:r>
      <w:r>
        <w:rPr>
          <w:rFonts w:cstheme="minorHAnsi"/>
          <w:sz w:val="18"/>
          <w:szCs w:val="18"/>
        </w:rPr>
        <w:t xml:space="preserve">n.d., accessed 19 August 2021. </w:t>
      </w:r>
    </w:p>
  </w:footnote>
  <w:footnote w:id="91">
    <w:p w14:paraId="6EEB12A1"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04078C">
        <w:rPr>
          <w:rFonts w:cstheme="minorHAnsi"/>
          <w:sz w:val="18"/>
          <w:szCs w:val="18"/>
        </w:rPr>
        <w:t>AASW</w:t>
      </w:r>
      <w:r>
        <w:rPr>
          <w:rFonts w:cstheme="minorHAnsi"/>
          <w:sz w:val="18"/>
          <w:szCs w:val="18"/>
        </w:rPr>
        <w:t xml:space="preserve">, </w:t>
      </w:r>
      <w:hyperlink r:id="rId74" w:history="1">
        <w:r w:rsidRPr="0004078C">
          <w:rPr>
            <w:rStyle w:val="Hyperlink"/>
            <w:rFonts w:cstheme="minorHAnsi"/>
            <w:sz w:val="18"/>
            <w:szCs w:val="18"/>
          </w:rPr>
          <w:t>How to make an Ethics Complaint</w:t>
        </w:r>
      </w:hyperlink>
      <w:r w:rsidRPr="00DB15FC">
        <w:rPr>
          <w:rFonts w:cstheme="minorHAnsi"/>
          <w:sz w:val="18"/>
          <w:szCs w:val="18"/>
        </w:rPr>
        <w:t xml:space="preserve">, </w:t>
      </w:r>
      <w:r>
        <w:rPr>
          <w:rFonts w:cstheme="minorHAnsi"/>
          <w:sz w:val="18"/>
          <w:szCs w:val="18"/>
        </w:rPr>
        <w:t>n.d., accessed 19 August 2021</w:t>
      </w:r>
      <w:r w:rsidRPr="00DB15FC">
        <w:rPr>
          <w:rFonts w:cstheme="minorHAnsi"/>
          <w:sz w:val="18"/>
          <w:szCs w:val="18"/>
        </w:rPr>
        <w:t>.</w:t>
      </w:r>
    </w:p>
  </w:footnote>
  <w:footnote w:id="92">
    <w:p w14:paraId="4B369C9B"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APS, </w:t>
      </w:r>
      <w:hyperlink r:id="rId75" w:history="1">
        <w:r w:rsidRPr="0004078C">
          <w:rPr>
            <w:rStyle w:val="Hyperlink"/>
            <w:rFonts w:cstheme="minorHAnsi"/>
            <w:sz w:val="18"/>
            <w:szCs w:val="18"/>
          </w:rPr>
          <w:t>Public complaints about psychologists</w:t>
        </w:r>
      </w:hyperlink>
      <w:r w:rsidRPr="00DB15FC">
        <w:rPr>
          <w:rFonts w:cstheme="minorHAnsi"/>
          <w:sz w:val="18"/>
          <w:szCs w:val="18"/>
        </w:rPr>
        <w:t>,</w:t>
      </w:r>
      <w:r>
        <w:rPr>
          <w:rFonts w:cstheme="minorHAnsi"/>
          <w:sz w:val="18"/>
          <w:szCs w:val="18"/>
        </w:rPr>
        <w:t xml:space="preserve"> n.d., accessed 19 August 2021</w:t>
      </w:r>
      <w:r w:rsidRPr="00DB15FC">
        <w:rPr>
          <w:rFonts w:cstheme="minorHAnsi"/>
          <w:sz w:val="18"/>
          <w:szCs w:val="18"/>
        </w:rPr>
        <w:t>.</w:t>
      </w:r>
    </w:p>
  </w:footnote>
  <w:footnote w:id="93">
    <w:p w14:paraId="0922B25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04078C">
        <w:rPr>
          <w:rFonts w:cstheme="minorHAnsi"/>
          <w:sz w:val="18"/>
          <w:szCs w:val="18"/>
        </w:rPr>
        <w:t>RANZCP</w:t>
      </w:r>
      <w:r>
        <w:rPr>
          <w:rFonts w:cstheme="minorHAnsi"/>
          <w:sz w:val="18"/>
          <w:szCs w:val="18"/>
        </w:rPr>
        <w:t xml:space="preserve">, </w:t>
      </w:r>
      <w:hyperlink r:id="rId76" w:history="1">
        <w:r w:rsidRPr="0004078C">
          <w:rPr>
            <w:rStyle w:val="Hyperlink"/>
            <w:rFonts w:cstheme="minorHAnsi"/>
            <w:sz w:val="18"/>
            <w:szCs w:val="18"/>
          </w:rPr>
          <w:t>Complaints about psychiatrists</w:t>
        </w:r>
      </w:hyperlink>
      <w:r w:rsidRPr="00DB15FC">
        <w:rPr>
          <w:rFonts w:cstheme="minorHAnsi"/>
          <w:sz w:val="18"/>
          <w:szCs w:val="18"/>
        </w:rPr>
        <w:t>,</w:t>
      </w:r>
      <w:r>
        <w:rPr>
          <w:rFonts w:cstheme="minorHAnsi"/>
          <w:sz w:val="18"/>
          <w:szCs w:val="18"/>
        </w:rPr>
        <w:t xml:space="preserve"> n.d., accessed 19 August 2021.</w:t>
      </w:r>
    </w:p>
  </w:footnote>
  <w:footnote w:id="94">
    <w:p w14:paraId="13215B47"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Pr>
          <w:rFonts w:cstheme="minorHAnsi"/>
          <w:i/>
          <w:sz w:val="18"/>
          <w:szCs w:val="18"/>
        </w:rPr>
        <w:t xml:space="preserve"> </w:t>
      </w:r>
      <w:r w:rsidRPr="00DB15FC">
        <w:rPr>
          <w:rFonts w:cstheme="minorHAnsi"/>
          <w:i/>
          <w:sz w:val="18"/>
          <w:szCs w:val="18"/>
        </w:rPr>
        <w:t>Re Edelsten; Ex parte Donnelly</w:t>
      </w:r>
      <w:r w:rsidRPr="00DB15FC">
        <w:rPr>
          <w:rFonts w:cstheme="minorHAnsi"/>
          <w:sz w:val="18"/>
          <w:szCs w:val="18"/>
        </w:rPr>
        <w:t xml:space="preserve"> (1988) 18 FCR 434 at 436.</w:t>
      </w:r>
    </w:p>
  </w:footnote>
  <w:footnote w:id="95">
    <w:p w14:paraId="01B75CD5"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DB15FC">
        <w:rPr>
          <w:rFonts w:cstheme="minorHAnsi"/>
          <w:i/>
          <w:sz w:val="18"/>
          <w:szCs w:val="18"/>
          <w:lang w:val="en-AU"/>
        </w:rPr>
        <w:t xml:space="preserve">Family Law Act 1975 </w:t>
      </w:r>
      <w:r w:rsidRPr="00DB15FC">
        <w:rPr>
          <w:rFonts w:cstheme="minorHAnsi"/>
          <w:sz w:val="18"/>
          <w:szCs w:val="18"/>
          <w:lang w:val="en-AU"/>
        </w:rPr>
        <w:t>(Cth) s 121(9)(b).</w:t>
      </w:r>
    </w:p>
  </w:footnote>
  <w:footnote w:id="96">
    <w:p w14:paraId="72710708"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ALRC, </w:t>
      </w:r>
      <w:hyperlink r:id="rId77" w:history="1">
        <w:r w:rsidRPr="000B3D9A">
          <w:rPr>
            <w:rStyle w:val="Hyperlink"/>
            <w:rFonts w:cstheme="minorHAnsi"/>
            <w:i/>
            <w:sz w:val="18"/>
            <w:szCs w:val="18"/>
          </w:rPr>
          <w:t>Family Law for the Future – An Inquiry into the Family Law System</w:t>
        </w:r>
      </w:hyperlink>
      <w:r>
        <w:rPr>
          <w:rFonts w:cstheme="minorHAnsi"/>
          <w:sz w:val="18"/>
          <w:szCs w:val="18"/>
        </w:rPr>
        <w:t xml:space="preserve">, </w:t>
      </w:r>
      <w:r w:rsidRPr="00DB15FC">
        <w:rPr>
          <w:rFonts w:cstheme="minorHAnsi"/>
          <w:sz w:val="18"/>
          <w:szCs w:val="18"/>
        </w:rPr>
        <w:t>Report No 135, March 2019</w:t>
      </w:r>
      <w:r>
        <w:rPr>
          <w:rFonts w:cstheme="minorHAnsi"/>
          <w:sz w:val="18"/>
          <w:szCs w:val="18"/>
        </w:rPr>
        <w:t xml:space="preserve">, paragraph </w:t>
      </w:r>
      <w:r w:rsidRPr="00DB15FC">
        <w:rPr>
          <w:rFonts w:cstheme="minorHAnsi"/>
          <w:sz w:val="18"/>
          <w:szCs w:val="18"/>
        </w:rPr>
        <w:t>14.70.</w:t>
      </w:r>
    </w:p>
  </w:footnote>
  <w:footnote w:id="97">
    <w:p w14:paraId="7527ABD3"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Prof Richard Chisholm, </w:t>
      </w:r>
      <w:hyperlink r:id="rId78" w:history="1">
        <w:r w:rsidRPr="0004078C">
          <w:rPr>
            <w:rStyle w:val="Hyperlink"/>
            <w:rFonts w:cstheme="minorHAnsi"/>
            <w:i/>
            <w:sz w:val="18"/>
            <w:szCs w:val="18"/>
          </w:rPr>
          <w:t>The Sharing of Experts’ Reports Between the Child Protection System and the Family Law System,</w:t>
        </w:r>
      </w:hyperlink>
      <w:r w:rsidRPr="00DB15FC">
        <w:rPr>
          <w:rFonts w:cstheme="minorHAnsi"/>
          <w:sz w:val="18"/>
          <w:szCs w:val="18"/>
        </w:rPr>
        <w:t xml:space="preserve"> </w:t>
      </w:r>
      <w:r>
        <w:rPr>
          <w:rFonts w:cstheme="minorHAnsi"/>
          <w:sz w:val="18"/>
          <w:szCs w:val="18"/>
        </w:rPr>
        <w:t>March 2014, p</w:t>
      </w:r>
      <w:r w:rsidRPr="00DB15FC">
        <w:rPr>
          <w:rFonts w:cstheme="minorHAnsi"/>
          <w:sz w:val="18"/>
          <w:szCs w:val="18"/>
        </w:rPr>
        <w:t xml:space="preserve"> 19. </w:t>
      </w:r>
    </w:p>
  </w:footnote>
  <w:footnote w:id="98">
    <w:p w14:paraId="0DF7C068"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sidRPr="00DB15FC">
        <w:rPr>
          <w:rFonts w:cstheme="minorHAnsi"/>
          <w:sz w:val="18"/>
          <w:szCs w:val="18"/>
        </w:rPr>
        <w:t xml:space="preserve">ALRC, </w:t>
      </w:r>
      <w:hyperlink r:id="rId79" w:history="1">
        <w:r w:rsidRPr="000B3D9A">
          <w:rPr>
            <w:rStyle w:val="Hyperlink"/>
            <w:rFonts w:cstheme="minorHAnsi"/>
            <w:i/>
            <w:sz w:val="18"/>
            <w:szCs w:val="18"/>
          </w:rPr>
          <w:t>Family Law for the Future – An Inquiry into the Family Law System</w:t>
        </w:r>
      </w:hyperlink>
      <w:r>
        <w:rPr>
          <w:rFonts w:cstheme="minorHAnsi"/>
          <w:sz w:val="18"/>
          <w:szCs w:val="18"/>
        </w:rPr>
        <w:t xml:space="preserve">, </w:t>
      </w:r>
      <w:r w:rsidRPr="00DB15FC">
        <w:rPr>
          <w:rFonts w:cstheme="minorHAnsi"/>
          <w:sz w:val="18"/>
          <w:szCs w:val="18"/>
        </w:rPr>
        <w:t>Report No 135, March 2019</w:t>
      </w:r>
      <w:r>
        <w:rPr>
          <w:rFonts w:cstheme="minorHAnsi"/>
          <w:sz w:val="18"/>
          <w:szCs w:val="18"/>
        </w:rPr>
        <w:t xml:space="preserve">, </w:t>
      </w:r>
      <w:r w:rsidRPr="00DB15FC">
        <w:rPr>
          <w:rFonts w:cstheme="minorHAnsi"/>
          <w:sz w:val="18"/>
          <w:szCs w:val="18"/>
        </w:rPr>
        <w:t>recommendation 56.</w:t>
      </w:r>
    </w:p>
  </w:footnote>
  <w:footnote w:id="99">
    <w:p w14:paraId="749D07E8"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sidRPr="00DB15FC">
        <w:rPr>
          <w:sz w:val="18"/>
          <w:szCs w:val="18"/>
          <w:lang w:val="en-AU"/>
        </w:rPr>
        <w:t xml:space="preserve">Australian Government, </w:t>
      </w:r>
      <w:hyperlink r:id="rId80" w:history="1">
        <w:r w:rsidRPr="00BE403A">
          <w:rPr>
            <w:rStyle w:val="Hyperlink"/>
            <w:i/>
            <w:sz w:val="18"/>
            <w:szCs w:val="18"/>
          </w:rPr>
          <w:t>Government Response to ALRC Report 135: Family Law for the Future – An Inquiry into the Family Law System</w:t>
        </w:r>
      </w:hyperlink>
      <w:r>
        <w:rPr>
          <w:i/>
          <w:sz w:val="18"/>
          <w:szCs w:val="18"/>
        </w:rPr>
        <w:t xml:space="preserve">, </w:t>
      </w:r>
      <w:r>
        <w:rPr>
          <w:sz w:val="18"/>
          <w:szCs w:val="18"/>
        </w:rPr>
        <w:t>March 2021,</w:t>
      </w:r>
      <w:r w:rsidRPr="00DB15FC">
        <w:rPr>
          <w:sz w:val="18"/>
          <w:szCs w:val="18"/>
        </w:rPr>
        <w:t xml:space="preserve"> 43.</w:t>
      </w:r>
    </w:p>
  </w:footnote>
  <w:footnote w:id="100">
    <w:p w14:paraId="47453CFA" w14:textId="77777777" w:rsidR="00BE48EE" w:rsidRPr="00DB15FC" w:rsidRDefault="00BE48EE" w:rsidP="00BE48EE">
      <w:pPr>
        <w:pStyle w:val="NormalWeb"/>
        <w:spacing w:before="0" w:beforeAutospacing="0" w:after="0" w:afterAutospacing="0"/>
        <w:rPr>
          <w:rFonts w:asciiTheme="minorHAnsi" w:hAnsiTheme="minorHAnsi" w:cstheme="minorHAnsi"/>
          <w:color w:val="000000"/>
          <w:sz w:val="18"/>
          <w:szCs w:val="18"/>
          <w:lang w:val="en-US"/>
        </w:rPr>
      </w:pPr>
      <w:r w:rsidRPr="00DB15FC">
        <w:rPr>
          <w:rStyle w:val="FootnoteReference"/>
          <w:rFonts w:asciiTheme="minorHAnsi" w:hAnsiTheme="minorHAnsi" w:cstheme="minorHAnsi"/>
          <w:sz w:val="18"/>
          <w:szCs w:val="18"/>
        </w:rPr>
        <w:footnoteRef/>
      </w:r>
      <w:r w:rsidRPr="00DB15FC">
        <w:rPr>
          <w:rFonts w:asciiTheme="minorHAnsi" w:hAnsiTheme="minorHAnsi" w:cstheme="minorHAnsi"/>
          <w:sz w:val="18"/>
          <w:szCs w:val="18"/>
        </w:rPr>
        <w:t xml:space="preserve"> JSC, Parliament of Australia,</w:t>
      </w:r>
      <w:r>
        <w:rPr>
          <w:rFonts w:asciiTheme="minorHAnsi" w:hAnsiTheme="minorHAnsi" w:cstheme="minorHAnsi"/>
          <w:sz w:val="18"/>
          <w:szCs w:val="18"/>
        </w:rPr>
        <w:t xml:space="preserve"> </w:t>
      </w:r>
      <w:hyperlink r:id="rId81" w:history="1">
        <w:r w:rsidRPr="00BE403A">
          <w:rPr>
            <w:rStyle w:val="Hyperlink"/>
            <w:rFonts w:asciiTheme="minorHAnsi" w:hAnsiTheme="minorHAnsi" w:cstheme="minorHAnsi"/>
            <w:i/>
            <w:sz w:val="18"/>
            <w:szCs w:val="18"/>
          </w:rPr>
          <w:t>Improvements in Family Law Proceedings</w:t>
        </w:r>
      </w:hyperlink>
      <w:r>
        <w:rPr>
          <w:rFonts w:asciiTheme="minorHAnsi" w:hAnsiTheme="minorHAnsi" w:cstheme="minorHAnsi"/>
          <w:sz w:val="18"/>
          <w:szCs w:val="18"/>
        </w:rPr>
        <w:t xml:space="preserve">, </w:t>
      </w:r>
      <w:r w:rsidRPr="00DB15FC">
        <w:rPr>
          <w:rFonts w:asciiTheme="minorHAnsi" w:hAnsiTheme="minorHAnsi" w:cstheme="minorHAnsi"/>
          <w:sz w:val="18"/>
          <w:szCs w:val="18"/>
        </w:rPr>
        <w:t>Se</w:t>
      </w:r>
      <w:r>
        <w:rPr>
          <w:rFonts w:asciiTheme="minorHAnsi" w:hAnsiTheme="minorHAnsi" w:cstheme="minorHAnsi"/>
          <w:sz w:val="18"/>
          <w:szCs w:val="18"/>
        </w:rPr>
        <w:t xml:space="preserve">cond Interim Report, March 2021, paragraph </w:t>
      </w:r>
      <w:r>
        <w:rPr>
          <w:rFonts w:asciiTheme="minorHAnsi" w:hAnsiTheme="minorHAnsi" w:cstheme="minorHAnsi"/>
          <w:color w:val="000000"/>
          <w:sz w:val="18"/>
          <w:szCs w:val="18"/>
          <w:lang w:val="en-US"/>
        </w:rPr>
        <w:t xml:space="preserve">2.133, citing AASW, </w:t>
      </w:r>
      <w:hyperlink r:id="rId82" w:history="1">
        <w:r w:rsidRPr="0004078C">
          <w:rPr>
            <w:rStyle w:val="Hyperlink"/>
            <w:rFonts w:asciiTheme="minorHAnsi" w:hAnsiTheme="minorHAnsi" w:cstheme="minorHAnsi"/>
            <w:sz w:val="18"/>
            <w:szCs w:val="18"/>
            <w:lang w:val="en-US"/>
          </w:rPr>
          <w:t>Complaints relating to Social Workers and the Family Court of Australia and Federal Circuit Court of Australia</w:t>
        </w:r>
      </w:hyperlink>
      <w:r>
        <w:rPr>
          <w:rFonts w:asciiTheme="minorHAnsi" w:hAnsiTheme="minorHAnsi" w:cstheme="minorHAnsi"/>
          <w:color w:val="000000"/>
          <w:sz w:val="18"/>
          <w:szCs w:val="18"/>
          <w:lang w:val="en-US"/>
        </w:rPr>
        <w:t xml:space="preserve">, </w:t>
      </w:r>
      <w:r w:rsidRPr="0004078C">
        <w:rPr>
          <w:rFonts w:asciiTheme="minorHAnsi" w:hAnsiTheme="minorHAnsi" w:cstheme="minorHAnsi"/>
          <w:sz w:val="18"/>
        </w:rPr>
        <w:t>July 2014.</w:t>
      </w:r>
    </w:p>
  </w:footnote>
  <w:footnote w:id="101">
    <w:p w14:paraId="464119AA"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Ibid</w:t>
      </w:r>
      <w:r>
        <w:rPr>
          <w:rFonts w:cstheme="minorHAnsi"/>
          <w:sz w:val="18"/>
          <w:szCs w:val="18"/>
        </w:rPr>
        <w:t xml:space="preserve">, paragraph </w:t>
      </w:r>
      <w:r>
        <w:rPr>
          <w:rFonts w:cstheme="minorHAnsi"/>
          <w:color w:val="000000"/>
          <w:sz w:val="18"/>
          <w:szCs w:val="18"/>
          <w:lang w:val="en-US"/>
        </w:rPr>
        <w:t>2.146</w:t>
      </w:r>
      <w:r w:rsidRPr="00DB15FC">
        <w:rPr>
          <w:rFonts w:cstheme="minorHAnsi"/>
          <w:color w:val="000000"/>
          <w:sz w:val="18"/>
          <w:szCs w:val="18"/>
          <w:lang w:val="en-US"/>
        </w:rPr>
        <w:t>.</w:t>
      </w:r>
    </w:p>
  </w:footnote>
  <w:footnote w:id="102">
    <w:p w14:paraId="4A82563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Ibid</w:t>
      </w:r>
      <w:r>
        <w:rPr>
          <w:rFonts w:cstheme="minorHAnsi"/>
          <w:sz w:val="18"/>
          <w:szCs w:val="18"/>
        </w:rPr>
        <w:t>, paragraph 2.138</w:t>
      </w:r>
      <w:r w:rsidRPr="00DB15FC">
        <w:rPr>
          <w:rFonts w:cstheme="minorHAnsi"/>
          <w:sz w:val="18"/>
          <w:szCs w:val="18"/>
        </w:rPr>
        <w:t>.</w:t>
      </w:r>
    </w:p>
  </w:footnote>
  <w:footnote w:id="103">
    <w:p w14:paraId="053346F1" w14:textId="77777777" w:rsidR="00BE48EE" w:rsidRPr="00DB15FC" w:rsidRDefault="00BE48EE" w:rsidP="00BE48EE">
      <w:pPr>
        <w:pStyle w:val="FootnoteText"/>
        <w:rPr>
          <w:rFonts w:cstheme="minorHAnsi"/>
          <w:sz w:val="18"/>
          <w:szCs w:val="18"/>
        </w:rPr>
      </w:pPr>
      <w:r w:rsidRPr="00DB15FC">
        <w:rPr>
          <w:rStyle w:val="FootnoteReference"/>
          <w:rFonts w:cstheme="minorHAnsi"/>
          <w:sz w:val="18"/>
          <w:szCs w:val="18"/>
        </w:rPr>
        <w:footnoteRef/>
      </w:r>
      <w:r>
        <w:rPr>
          <w:rFonts w:cstheme="minorHAnsi"/>
          <w:sz w:val="18"/>
          <w:szCs w:val="18"/>
        </w:rPr>
        <w:t xml:space="preserve"> Evidence to JSC - </w:t>
      </w:r>
      <w:r w:rsidRPr="006C1415">
        <w:rPr>
          <w:rFonts w:cstheme="minorHAnsi"/>
          <w:sz w:val="18"/>
          <w:szCs w:val="18"/>
        </w:rPr>
        <w:t>Improvements in family law proceedings</w:t>
      </w:r>
      <w:r w:rsidRPr="00DB15FC">
        <w:rPr>
          <w:rFonts w:cstheme="minorHAnsi"/>
          <w:sz w:val="18"/>
          <w:szCs w:val="18"/>
        </w:rPr>
        <w:t xml:space="preserve">, </w:t>
      </w:r>
      <w:hyperlink r:id="rId83" w:history="1">
        <w:r w:rsidRPr="006C1415">
          <w:rPr>
            <w:rStyle w:val="Hyperlink"/>
            <w:rFonts w:cstheme="minorHAnsi"/>
            <w:sz w:val="18"/>
            <w:szCs w:val="18"/>
          </w:rPr>
          <w:t>Dr David Curl, For Kids Sake Chief Executive Officer</w:t>
        </w:r>
      </w:hyperlink>
      <w:r w:rsidRPr="00DB15FC">
        <w:rPr>
          <w:rFonts w:cstheme="minorHAnsi"/>
          <w:sz w:val="18"/>
          <w:szCs w:val="18"/>
        </w:rPr>
        <w:t xml:space="preserve">, 12 March 2020, </w:t>
      </w:r>
      <w:r>
        <w:rPr>
          <w:rFonts w:cstheme="minorHAnsi"/>
          <w:sz w:val="18"/>
          <w:szCs w:val="18"/>
        </w:rPr>
        <w:t xml:space="preserve">p </w:t>
      </w:r>
      <w:r w:rsidRPr="00DB15FC">
        <w:rPr>
          <w:rFonts w:cstheme="minorHAnsi"/>
          <w:sz w:val="18"/>
          <w:szCs w:val="18"/>
        </w:rPr>
        <w:t xml:space="preserve">44. </w:t>
      </w:r>
    </w:p>
  </w:footnote>
  <w:footnote w:id="104">
    <w:p w14:paraId="1B354ACB"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w:t>
      </w:r>
      <w:r w:rsidRPr="00DB15FC">
        <w:rPr>
          <w:rFonts w:cstheme="minorHAnsi"/>
          <w:sz w:val="18"/>
          <w:szCs w:val="18"/>
        </w:rPr>
        <w:t xml:space="preserve">Australia’s Right to Know, </w:t>
      </w:r>
      <w:hyperlink r:id="rId84" w:history="1">
        <w:r w:rsidRPr="006C1415">
          <w:rPr>
            <w:rStyle w:val="Hyperlink"/>
            <w:rFonts w:cstheme="minorHAnsi"/>
            <w:sz w:val="18"/>
            <w:szCs w:val="18"/>
          </w:rPr>
          <w:t>Submission No 530</w:t>
        </w:r>
      </w:hyperlink>
      <w:r w:rsidRPr="00DB15FC">
        <w:rPr>
          <w:rFonts w:cstheme="minorHAnsi"/>
          <w:sz w:val="18"/>
          <w:szCs w:val="18"/>
        </w:rPr>
        <w:t xml:space="preserve"> to JSC, </w:t>
      </w:r>
      <w:r w:rsidRPr="00DB15FC">
        <w:rPr>
          <w:rFonts w:cstheme="minorHAnsi"/>
          <w:i/>
          <w:sz w:val="18"/>
          <w:szCs w:val="18"/>
        </w:rPr>
        <w:t>Improvements in family law proceedings</w:t>
      </w:r>
      <w:r>
        <w:rPr>
          <w:rFonts w:cstheme="minorHAnsi"/>
          <w:i/>
          <w:sz w:val="18"/>
          <w:szCs w:val="18"/>
        </w:rPr>
        <w:t>,</w:t>
      </w:r>
      <w:r w:rsidRPr="00DB15FC">
        <w:rPr>
          <w:rFonts w:cstheme="minorHAnsi"/>
          <w:i/>
          <w:sz w:val="18"/>
          <w:szCs w:val="18"/>
        </w:rPr>
        <w:t xml:space="preserve"> </w:t>
      </w:r>
      <w:r>
        <w:rPr>
          <w:rFonts w:cstheme="minorHAnsi"/>
          <w:sz w:val="18"/>
          <w:szCs w:val="18"/>
        </w:rPr>
        <w:t>January 2020</w:t>
      </w:r>
      <w:r w:rsidRPr="00DB15FC">
        <w:rPr>
          <w:rFonts w:cstheme="minorHAnsi"/>
          <w:sz w:val="18"/>
          <w:szCs w:val="18"/>
        </w:rPr>
        <w:t>.</w:t>
      </w:r>
    </w:p>
  </w:footnote>
  <w:footnote w:id="105">
    <w:p w14:paraId="66830CE9" w14:textId="77777777" w:rsidR="00BE48EE" w:rsidRPr="00216E10" w:rsidRDefault="00BE48EE" w:rsidP="00BE48EE">
      <w:pPr>
        <w:pStyle w:val="FootnoteText"/>
        <w:rPr>
          <w:lang w:val="en-AU"/>
        </w:rPr>
      </w:pPr>
      <w:r>
        <w:rPr>
          <w:rStyle w:val="FootnoteReference"/>
        </w:rPr>
        <w:footnoteRef/>
      </w:r>
      <w:r>
        <w:t xml:space="preserve"> </w:t>
      </w:r>
      <w:r w:rsidRPr="005435FB">
        <w:rPr>
          <w:i/>
          <w:sz w:val="18"/>
          <w:szCs w:val="18"/>
        </w:rPr>
        <w:t>Federal Circuit and Family Court of Australia (Family Law) Rules 2021</w:t>
      </w:r>
      <w:r>
        <w:rPr>
          <w:i/>
          <w:sz w:val="18"/>
          <w:szCs w:val="18"/>
        </w:rPr>
        <w:t xml:space="preserve"> </w:t>
      </w:r>
      <w:r>
        <w:rPr>
          <w:sz w:val="18"/>
          <w:szCs w:val="18"/>
        </w:rPr>
        <w:t xml:space="preserve">(Cth) r 8.11(6) and </w:t>
      </w:r>
      <w:r w:rsidRPr="003B789D">
        <w:rPr>
          <w:i/>
          <w:sz w:val="18"/>
        </w:rPr>
        <w:t xml:space="preserve">Family Court Rules 2021 </w:t>
      </w:r>
      <w:r w:rsidRPr="003B789D">
        <w:rPr>
          <w:sz w:val="18"/>
        </w:rPr>
        <w:t>(WA) r</w:t>
      </w:r>
      <w:r>
        <w:rPr>
          <w:sz w:val="18"/>
          <w:szCs w:val="18"/>
        </w:rPr>
        <w:t xml:space="preserve"> 235</w:t>
      </w:r>
    </w:p>
  </w:footnote>
  <w:footnote w:id="106">
    <w:p w14:paraId="4C932534"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5435FB">
        <w:rPr>
          <w:i/>
          <w:sz w:val="18"/>
          <w:szCs w:val="18"/>
        </w:rPr>
        <w:t>Federal Circuit and Family Court of Australia (Family Law) Rules 2021</w:t>
      </w:r>
      <w:r>
        <w:rPr>
          <w:i/>
          <w:sz w:val="18"/>
          <w:szCs w:val="18"/>
        </w:rPr>
        <w:t xml:space="preserve"> </w:t>
      </w:r>
      <w:r>
        <w:rPr>
          <w:sz w:val="18"/>
          <w:szCs w:val="18"/>
        </w:rPr>
        <w:t>(Cth)</w:t>
      </w:r>
      <w:r w:rsidRPr="00DB15FC">
        <w:rPr>
          <w:rFonts w:cstheme="minorHAnsi"/>
          <w:color w:val="000000" w:themeColor="text1"/>
          <w:sz w:val="18"/>
          <w:szCs w:val="18"/>
        </w:rPr>
        <w:t xml:space="preserve">r </w:t>
      </w:r>
      <w:r>
        <w:rPr>
          <w:rFonts w:cstheme="minorHAnsi"/>
          <w:color w:val="000000" w:themeColor="text1"/>
          <w:sz w:val="18"/>
          <w:szCs w:val="18"/>
        </w:rPr>
        <w:t>7.05</w:t>
      </w:r>
      <w:r w:rsidRPr="00DB15FC">
        <w:rPr>
          <w:rFonts w:cstheme="minorHAnsi"/>
          <w:color w:val="000000" w:themeColor="text1"/>
          <w:sz w:val="18"/>
          <w:szCs w:val="18"/>
        </w:rPr>
        <w:t>(h).</w:t>
      </w:r>
      <w:r>
        <w:rPr>
          <w:rFonts w:cstheme="minorHAnsi"/>
          <w:color w:val="000000" w:themeColor="text1"/>
          <w:sz w:val="18"/>
          <w:szCs w:val="18"/>
        </w:rPr>
        <w:t xml:space="preserve"> </w:t>
      </w:r>
      <w:r>
        <w:rPr>
          <w:rFonts w:cstheme="minorHAnsi"/>
          <w:sz w:val="18"/>
          <w:szCs w:val="18"/>
          <w:lang w:val="en-AU"/>
        </w:rPr>
        <w:t>and</w:t>
      </w:r>
      <w:r>
        <w:rPr>
          <w:sz w:val="18"/>
        </w:rPr>
        <w:t xml:space="preserve"> </w:t>
      </w:r>
      <w:r w:rsidRPr="003B789D">
        <w:rPr>
          <w:i/>
          <w:sz w:val="18"/>
        </w:rPr>
        <w:t xml:space="preserve">Family Court Rules 2021 </w:t>
      </w:r>
      <w:r w:rsidRPr="003B789D">
        <w:rPr>
          <w:sz w:val="18"/>
        </w:rPr>
        <w:t>(WA) r</w:t>
      </w:r>
      <w:r>
        <w:rPr>
          <w:sz w:val="18"/>
        </w:rPr>
        <w:t xml:space="preserve"> 271</w:t>
      </w:r>
    </w:p>
  </w:footnote>
  <w:footnote w:id="107">
    <w:p w14:paraId="44071E92" w14:textId="77777777" w:rsidR="00BE48EE" w:rsidRPr="00DB15FC"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AFCC, </w:t>
      </w:r>
      <w:hyperlink r:id="rId85" w:history="1">
        <w:r w:rsidRPr="006C1415">
          <w:rPr>
            <w:rStyle w:val="Hyperlink"/>
            <w:rFonts w:cstheme="minorHAnsi"/>
            <w:sz w:val="18"/>
            <w:szCs w:val="18"/>
            <w:lang w:val="en-AU"/>
          </w:rPr>
          <w:t xml:space="preserve">Submission No </w:t>
        </w:r>
        <w:r w:rsidRPr="006C1415">
          <w:rPr>
            <w:rStyle w:val="Hyperlink"/>
            <w:rFonts w:cstheme="minorHAnsi"/>
            <w:sz w:val="18"/>
            <w:szCs w:val="18"/>
          </w:rPr>
          <w:t>38</w:t>
        </w:r>
      </w:hyperlink>
      <w:r w:rsidRPr="00DB15FC">
        <w:rPr>
          <w:rFonts w:cstheme="minorHAnsi"/>
          <w:sz w:val="18"/>
          <w:szCs w:val="18"/>
          <w:lang w:val="en-AU"/>
        </w:rPr>
        <w:t xml:space="preserve"> to </w:t>
      </w:r>
      <w:r>
        <w:rPr>
          <w:rFonts w:cstheme="minorHAnsi"/>
          <w:sz w:val="18"/>
          <w:szCs w:val="18"/>
        </w:rPr>
        <w:t xml:space="preserve">Senate Standing Committee on Community Affairs, </w:t>
      </w:r>
      <w:r w:rsidRPr="00A54110">
        <w:rPr>
          <w:rFonts w:cstheme="minorHAnsi"/>
          <w:i/>
          <w:sz w:val="18"/>
          <w:szCs w:val="18"/>
        </w:rPr>
        <w:t>Complaints Mechanism Administered under the Health Practitioner Regulation National Law</w:t>
      </w:r>
      <w:r>
        <w:rPr>
          <w:rFonts w:cstheme="minorHAnsi"/>
          <w:sz w:val="18"/>
          <w:szCs w:val="18"/>
        </w:rPr>
        <w:t>, 2017</w:t>
      </w:r>
      <w:r w:rsidRPr="00DB15FC">
        <w:rPr>
          <w:rFonts w:cstheme="minorHAnsi"/>
          <w:sz w:val="18"/>
          <w:szCs w:val="18"/>
        </w:rPr>
        <w:t xml:space="preserve">. </w:t>
      </w:r>
    </w:p>
  </w:footnote>
  <w:footnote w:id="108">
    <w:p w14:paraId="602CA958" w14:textId="77777777" w:rsidR="00BE48EE" w:rsidRPr="00DB15FC" w:rsidRDefault="00BE48EE" w:rsidP="00BE48EE">
      <w:pPr>
        <w:autoSpaceDE w:val="0"/>
        <w:autoSpaceDN w:val="0"/>
        <w:adjustRightInd w:val="0"/>
        <w:spacing w:after="0" w:line="240" w:lineRule="auto"/>
        <w:rPr>
          <w:rFonts w:cstheme="minorHAnsi"/>
          <w:b/>
          <w:bCs/>
          <w:i/>
          <w:iCs/>
          <w:sz w:val="18"/>
          <w:szCs w:val="18"/>
        </w:rPr>
      </w:pPr>
      <w:r w:rsidRPr="00DB15FC">
        <w:rPr>
          <w:rStyle w:val="FootnoteReference"/>
          <w:rFonts w:cstheme="minorHAnsi"/>
          <w:sz w:val="18"/>
          <w:szCs w:val="18"/>
        </w:rPr>
        <w:footnoteRef/>
      </w:r>
      <w:r w:rsidRPr="00DB15FC">
        <w:rPr>
          <w:rFonts w:cstheme="minorHAnsi"/>
          <w:sz w:val="18"/>
          <w:szCs w:val="18"/>
        </w:rPr>
        <w:t xml:space="preserve"> Australian Psychological Society Family Law and Psychology Interest Group, </w:t>
      </w:r>
      <w:hyperlink r:id="rId86" w:history="1">
        <w:r w:rsidRPr="006C1415">
          <w:rPr>
            <w:rStyle w:val="Hyperlink"/>
            <w:rFonts w:cstheme="minorHAnsi"/>
            <w:sz w:val="18"/>
            <w:szCs w:val="18"/>
          </w:rPr>
          <w:t>Submission No 10</w:t>
        </w:r>
      </w:hyperlink>
      <w:r w:rsidRPr="00DB15FC">
        <w:rPr>
          <w:rFonts w:cstheme="minorHAnsi"/>
          <w:sz w:val="18"/>
          <w:szCs w:val="18"/>
        </w:rPr>
        <w:t xml:space="preserve"> to Senate Standing Committee on Finance and Public Administration, Inquiry into the administration of health practitioner registration by </w:t>
      </w:r>
      <w:r>
        <w:rPr>
          <w:rFonts w:cstheme="minorHAnsi"/>
          <w:sz w:val="18"/>
          <w:szCs w:val="18"/>
        </w:rPr>
        <w:t>Ahpra,</w:t>
      </w:r>
      <w:r w:rsidRPr="00DB15FC">
        <w:rPr>
          <w:rFonts w:cstheme="minorHAnsi"/>
          <w:sz w:val="18"/>
          <w:szCs w:val="18"/>
        </w:rPr>
        <w:t xml:space="preserve"> 11 April 2011</w:t>
      </w:r>
      <w:r>
        <w:rPr>
          <w:rFonts w:cstheme="minorHAnsi"/>
          <w:sz w:val="18"/>
          <w:szCs w:val="18"/>
        </w:rPr>
        <w:t>, p</w:t>
      </w:r>
      <w:r w:rsidRPr="00DB15FC">
        <w:rPr>
          <w:rFonts w:cstheme="minorHAnsi"/>
          <w:sz w:val="18"/>
          <w:szCs w:val="18"/>
        </w:rPr>
        <w:t xml:space="preserve"> 1.</w:t>
      </w:r>
    </w:p>
  </w:footnote>
  <w:footnote w:id="109">
    <w:p w14:paraId="2C697ACC" w14:textId="77777777" w:rsidR="00BE48EE" w:rsidRPr="00DB15FC" w:rsidRDefault="00BE48EE" w:rsidP="00BE48EE">
      <w:pPr>
        <w:pStyle w:val="FootnoteText"/>
        <w:rPr>
          <w:rFonts w:cstheme="minorHAnsi"/>
          <w:sz w:val="18"/>
          <w:szCs w:val="18"/>
        </w:rPr>
      </w:pPr>
      <w:r w:rsidRPr="00DB15FC">
        <w:rPr>
          <w:rStyle w:val="FootnoteReference"/>
          <w:rFonts w:cstheme="minorHAnsi"/>
          <w:sz w:val="18"/>
          <w:szCs w:val="18"/>
        </w:rPr>
        <w:footnoteRef/>
      </w:r>
      <w:r w:rsidRPr="00DB15FC">
        <w:rPr>
          <w:rFonts w:cstheme="minorHAnsi"/>
          <w:sz w:val="18"/>
          <w:szCs w:val="18"/>
        </w:rPr>
        <w:t xml:space="preserve"> AFCC, </w:t>
      </w:r>
      <w:hyperlink r:id="rId87" w:history="1">
        <w:r w:rsidRPr="006C1415">
          <w:rPr>
            <w:rStyle w:val="Hyperlink"/>
            <w:rFonts w:cstheme="minorHAnsi"/>
            <w:sz w:val="18"/>
            <w:szCs w:val="18"/>
            <w:lang w:val="en-AU"/>
          </w:rPr>
          <w:t xml:space="preserve">Submission No </w:t>
        </w:r>
        <w:r w:rsidRPr="006C1415">
          <w:rPr>
            <w:rStyle w:val="Hyperlink"/>
            <w:rFonts w:cstheme="minorHAnsi"/>
            <w:sz w:val="18"/>
            <w:szCs w:val="18"/>
          </w:rPr>
          <w:t>232</w:t>
        </w:r>
      </w:hyperlink>
      <w:r w:rsidRPr="00DB15FC">
        <w:rPr>
          <w:rFonts w:cstheme="minorHAnsi"/>
          <w:sz w:val="18"/>
          <w:szCs w:val="18"/>
          <w:lang w:val="en-AU"/>
        </w:rPr>
        <w:t xml:space="preserve"> to ALRC, </w:t>
      </w:r>
      <w:r>
        <w:rPr>
          <w:rFonts w:cstheme="minorHAnsi"/>
          <w:i/>
          <w:sz w:val="18"/>
          <w:szCs w:val="18"/>
          <w:lang w:val="en-AU"/>
        </w:rPr>
        <w:t xml:space="preserve">Review of the family law system, </w:t>
      </w:r>
      <w:r w:rsidRPr="00DB15FC">
        <w:rPr>
          <w:rFonts w:cstheme="minorHAnsi"/>
          <w:sz w:val="18"/>
          <w:szCs w:val="18"/>
        </w:rPr>
        <w:t>21</w:t>
      </w:r>
      <w:r>
        <w:rPr>
          <w:rFonts w:cstheme="minorHAnsi"/>
          <w:sz w:val="18"/>
          <w:szCs w:val="18"/>
          <w:lang w:val="en-AU"/>
        </w:rPr>
        <w:t xml:space="preserve"> May 2018, p</w:t>
      </w:r>
      <w:r w:rsidRPr="00DB15FC">
        <w:rPr>
          <w:rFonts w:cstheme="minorHAnsi"/>
          <w:b/>
          <w:bCs/>
          <w:i/>
          <w:iCs/>
          <w:sz w:val="18"/>
          <w:szCs w:val="18"/>
        </w:rPr>
        <w:t xml:space="preserve"> </w:t>
      </w:r>
      <w:r w:rsidRPr="00DB15FC">
        <w:rPr>
          <w:rFonts w:cstheme="minorHAnsi"/>
          <w:sz w:val="18"/>
          <w:szCs w:val="18"/>
        </w:rPr>
        <w:t>47.</w:t>
      </w:r>
    </w:p>
  </w:footnote>
  <w:footnote w:id="110">
    <w:p w14:paraId="6598B82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Australian Psychological Society Family Law and Psychology Interest Group, </w:t>
      </w:r>
      <w:hyperlink r:id="rId88" w:history="1">
        <w:r w:rsidRPr="006C1415">
          <w:rPr>
            <w:rStyle w:val="Hyperlink"/>
            <w:rFonts w:cstheme="minorHAnsi"/>
            <w:sz w:val="18"/>
            <w:szCs w:val="18"/>
          </w:rPr>
          <w:t>Submission No 10</w:t>
        </w:r>
      </w:hyperlink>
      <w:r w:rsidRPr="00DB15FC">
        <w:rPr>
          <w:rFonts w:cstheme="minorHAnsi"/>
          <w:sz w:val="18"/>
          <w:szCs w:val="18"/>
        </w:rPr>
        <w:t xml:space="preserve"> to Senate Standing Committee on Finance and Public Administration, </w:t>
      </w:r>
      <w:r w:rsidRPr="00DB15FC">
        <w:rPr>
          <w:rFonts w:cstheme="minorHAnsi"/>
          <w:i/>
          <w:sz w:val="18"/>
          <w:szCs w:val="18"/>
        </w:rPr>
        <w:t xml:space="preserve">Inquiry into the administration of health practitioner registration by </w:t>
      </w:r>
      <w:r>
        <w:rPr>
          <w:rFonts w:cstheme="minorHAnsi"/>
          <w:i/>
          <w:sz w:val="18"/>
          <w:szCs w:val="18"/>
        </w:rPr>
        <w:t>Ahpra</w:t>
      </w:r>
      <w:r>
        <w:rPr>
          <w:rFonts w:cstheme="minorHAnsi"/>
          <w:sz w:val="18"/>
          <w:szCs w:val="18"/>
        </w:rPr>
        <w:t>, 11 April 2011, p</w:t>
      </w:r>
      <w:r w:rsidRPr="00DB15FC">
        <w:rPr>
          <w:rFonts w:cstheme="minorHAnsi"/>
          <w:sz w:val="18"/>
          <w:szCs w:val="18"/>
        </w:rPr>
        <w:t xml:space="preserve"> 2.</w:t>
      </w:r>
    </w:p>
  </w:footnote>
  <w:footnote w:id="111">
    <w:p w14:paraId="2EDE8EE9"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Ahpra</w:t>
      </w:r>
      <w:r w:rsidRPr="00DB15FC">
        <w:rPr>
          <w:rFonts w:cstheme="minorHAnsi"/>
          <w:sz w:val="18"/>
          <w:szCs w:val="18"/>
        </w:rPr>
        <w:t xml:space="preserve"> pers com 24 July 2020.</w:t>
      </w:r>
    </w:p>
  </w:footnote>
  <w:footnote w:id="112">
    <w:p w14:paraId="2B1D3E16"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6C1415">
        <w:rPr>
          <w:rFonts w:cstheme="minorHAnsi"/>
          <w:i/>
          <w:sz w:val="18"/>
          <w:szCs w:val="18"/>
        </w:rPr>
        <w:t>Family Law Act 1975</w:t>
      </w:r>
      <w:r>
        <w:rPr>
          <w:rFonts w:cstheme="minorHAnsi"/>
          <w:sz w:val="18"/>
          <w:szCs w:val="18"/>
        </w:rPr>
        <w:t xml:space="preserve"> (Cth)</w:t>
      </w:r>
      <w:r w:rsidRPr="00DB15FC">
        <w:rPr>
          <w:rFonts w:cstheme="minorHAnsi"/>
          <w:sz w:val="18"/>
          <w:szCs w:val="18"/>
        </w:rPr>
        <w:t xml:space="preserve"> s</w:t>
      </w:r>
      <w:r w:rsidRPr="00DB15FC">
        <w:rPr>
          <w:rFonts w:cstheme="minorHAnsi"/>
          <w:sz w:val="18"/>
          <w:szCs w:val="18"/>
          <w:lang w:val="en-US"/>
        </w:rPr>
        <w:t xml:space="preserve"> 62G(8)</w:t>
      </w:r>
      <w:r>
        <w:rPr>
          <w:rFonts w:cstheme="minorHAnsi"/>
          <w:sz w:val="18"/>
          <w:szCs w:val="18"/>
          <w:lang w:val="en-US"/>
        </w:rPr>
        <w:t>;</w:t>
      </w:r>
      <w:r w:rsidRPr="00DB15FC">
        <w:rPr>
          <w:rFonts w:cstheme="minorHAnsi"/>
          <w:sz w:val="18"/>
          <w:szCs w:val="18"/>
          <w:lang w:val="en-US"/>
        </w:rPr>
        <w:t xml:space="preserve"> </w:t>
      </w:r>
      <w:r w:rsidRPr="005435FB">
        <w:rPr>
          <w:i/>
          <w:sz w:val="18"/>
          <w:szCs w:val="18"/>
        </w:rPr>
        <w:t>Federal Circuit and Family Court of Australia (Family Law) Rules 2021</w:t>
      </w:r>
      <w:r>
        <w:rPr>
          <w:i/>
          <w:sz w:val="18"/>
          <w:szCs w:val="18"/>
        </w:rPr>
        <w:t xml:space="preserve"> </w:t>
      </w:r>
      <w:r>
        <w:rPr>
          <w:sz w:val="18"/>
          <w:szCs w:val="18"/>
        </w:rPr>
        <w:t>rr 8.11(5)(b), 7.03, 7.04</w:t>
      </w:r>
      <w:r>
        <w:rPr>
          <w:rFonts w:cstheme="minorHAnsi"/>
          <w:i/>
          <w:sz w:val="18"/>
          <w:szCs w:val="18"/>
          <w:lang w:val="en-US"/>
        </w:rPr>
        <w:t>.</w:t>
      </w:r>
    </w:p>
  </w:footnote>
  <w:footnote w:id="113">
    <w:p w14:paraId="1BE3A9BC" w14:textId="77777777" w:rsidR="00BE48EE" w:rsidRPr="00DB15FC" w:rsidRDefault="00BE48EE" w:rsidP="00BE48EE">
      <w:pPr>
        <w:pStyle w:val="FootnoteText"/>
        <w:rPr>
          <w:rFonts w:cstheme="minorHAnsi"/>
          <w:sz w:val="18"/>
          <w:szCs w:val="18"/>
        </w:rPr>
      </w:pPr>
      <w:r w:rsidRPr="00DB15FC">
        <w:rPr>
          <w:rStyle w:val="FootnoteReference"/>
          <w:rFonts w:cstheme="minorHAnsi"/>
          <w:sz w:val="18"/>
          <w:szCs w:val="18"/>
        </w:rPr>
        <w:footnoteRef/>
      </w:r>
      <w:r w:rsidRPr="00DB15FC">
        <w:rPr>
          <w:rFonts w:cstheme="minorHAnsi"/>
          <w:sz w:val="18"/>
          <w:szCs w:val="18"/>
        </w:rPr>
        <w:t xml:space="preserve"> AFCC, </w:t>
      </w:r>
      <w:hyperlink r:id="rId89" w:history="1">
        <w:r w:rsidRPr="006C1415">
          <w:rPr>
            <w:rStyle w:val="Hyperlink"/>
            <w:rFonts w:cstheme="minorHAnsi"/>
            <w:sz w:val="18"/>
            <w:szCs w:val="18"/>
            <w:lang w:val="en-AU"/>
          </w:rPr>
          <w:t xml:space="preserve">Submission No </w:t>
        </w:r>
        <w:r w:rsidRPr="006C1415">
          <w:rPr>
            <w:rStyle w:val="Hyperlink"/>
            <w:rFonts w:cstheme="minorHAnsi"/>
            <w:sz w:val="18"/>
            <w:szCs w:val="18"/>
          </w:rPr>
          <w:t>232</w:t>
        </w:r>
      </w:hyperlink>
      <w:r w:rsidRPr="00DB15FC">
        <w:rPr>
          <w:rFonts w:cstheme="minorHAnsi"/>
          <w:sz w:val="18"/>
          <w:szCs w:val="18"/>
          <w:lang w:val="en-AU"/>
        </w:rPr>
        <w:t xml:space="preserve"> to ALRC, </w:t>
      </w:r>
      <w:r>
        <w:rPr>
          <w:rFonts w:cstheme="minorHAnsi"/>
          <w:i/>
          <w:sz w:val="18"/>
          <w:szCs w:val="18"/>
          <w:lang w:val="en-AU"/>
        </w:rPr>
        <w:t xml:space="preserve">Review of the family law system, </w:t>
      </w:r>
      <w:r w:rsidRPr="00DB15FC">
        <w:rPr>
          <w:rFonts w:cstheme="minorHAnsi"/>
          <w:sz w:val="18"/>
          <w:szCs w:val="18"/>
        </w:rPr>
        <w:t>21</w:t>
      </w:r>
      <w:r>
        <w:rPr>
          <w:rFonts w:cstheme="minorHAnsi"/>
          <w:sz w:val="18"/>
          <w:szCs w:val="18"/>
          <w:lang w:val="en-AU"/>
        </w:rPr>
        <w:t xml:space="preserve"> May 2018, p</w:t>
      </w:r>
      <w:r w:rsidRPr="00DB15FC">
        <w:rPr>
          <w:rFonts w:cstheme="minorHAnsi"/>
          <w:sz w:val="18"/>
          <w:szCs w:val="18"/>
        </w:rPr>
        <w:t xml:space="preserve"> 50.</w:t>
      </w:r>
    </w:p>
  </w:footnote>
  <w:footnote w:id="114">
    <w:p w14:paraId="07F35FA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JSC, Parliament of Australia, </w:t>
      </w:r>
      <w:hyperlink r:id="rId90" w:history="1">
        <w:r w:rsidRPr="000B3D9A">
          <w:rPr>
            <w:rStyle w:val="Hyperlink"/>
            <w:rFonts w:cstheme="minorHAnsi"/>
            <w:i/>
            <w:sz w:val="18"/>
            <w:szCs w:val="18"/>
          </w:rPr>
          <w:t>Improvements in Family Law Proceedings</w:t>
        </w:r>
      </w:hyperlink>
      <w:r>
        <w:rPr>
          <w:rFonts w:cstheme="minorHAnsi"/>
          <w:i/>
          <w:sz w:val="18"/>
          <w:szCs w:val="18"/>
        </w:rPr>
        <w:t xml:space="preserve">, </w:t>
      </w:r>
      <w:r w:rsidRPr="00DB15FC">
        <w:rPr>
          <w:rFonts w:cstheme="minorHAnsi"/>
          <w:sz w:val="18"/>
          <w:szCs w:val="18"/>
        </w:rPr>
        <w:t>Second Interim Report, March 2021</w:t>
      </w:r>
      <w:r>
        <w:rPr>
          <w:rFonts w:cstheme="minorHAnsi"/>
          <w:sz w:val="18"/>
          <w:szCs w:val="18"/>
        </w:rPr>
        <w:t xml:space="preserve">, paragraph </w:t>
      </w:r>
      <w:r>
        <w:rPr>
          <w:rFonts w:cstheme="minorHAnsi"/>
          <w:color w:val="000000"/>
          <w:sz w:val="18"/>
          <w:szCs w:val="18"/>
          <w:lang w:val="en-US"/>
        </w:rPr>
        <w:t>2.146</w:t>
      </w:r>
      <w:r w:rsidRPr="00DB15FC">
        <w:rPr>
          <w:rFonts w:cstheme="minorHAnsi"/>
          <w:color w:val="000000"/>
          <w:sz w:val="18"/>
          <w:szCs w:val="18"/>
          <w:lang w:val="en-US"/>
        </w:rPr>
        <w:t>.</w:t>
      </w:r>
    </w:p>
  </w:footnote>
  <w:footnote w:id="115">
    <w:p w14:paraId="1EAA232D"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Rathus, Jeffries, Menih and Field, </w:t>
      </w:r>
      <w:hyperlink r:id="rId91" w:history="1">
        <w:r w:rsidRPr="00BE403A">
          <w:rPr>
            <w:rStyle w:val="Hyperlink"/>
            <w:rFonts w:cstheme="minorHAnsi"/>
            <w:sz w:val="18"/>
            <w:szCs w:val="18"/>
          </w:rPr>
          <w:t>Submission No 700</w:t>
        </w:r>
      </w:hyperlink>
      <w:r w:rsidRPr="00DB15FC">
        <w:rPr>
          <w:rFonts w:cstheme="minorHAnsi"/>
          <w:sz w:val="18"/>
          <w:szCs w:val="18"/>
        </w:rPr>
        <w:t xml:space="preserve"> to JSC, </w:t>
      </w:r>
      <w:r w:rsidRPr="00DB15FC">
        <w:rPr>
          <w:rFonts w:cstheme="minorHAnsi"/>
          <w:i/>
          <w:sz w:val="18"/>
          <w:szCs w:val="18"/>
        </w:rPr>
        <w:t>Improvements in family law proceedings</w:t>
      </w:r>
      <w:r>
        <w:rPr>
          <w:rFonts w:cstheme="minorHAnsi"/>
          <w:i/>
          <w:sz w:val="18"/>
          <w:szCs w:val="18"/>
        </w:rPr>
        <w:t>,</w:t>
      </w:r>
      <w:r w:rsidRPr="00DB15FC">
        <w:rPr>
          <w:rFonts w:cstheme="minorHAnsi"/>
          <w:i/>
          <w:sz w:val="18"/>
          <w:szCs w:val="18"/>
        </w:rPr>
        <w:t xml:space="preserve"> </w:t>
      </w:r>
      <w:r>
        <w:rPr>
          <w:rFonts w:cstheme="minorHAnsi"/>
          <w:sz w:val="18"/>
          <w:szCs w:val="18"/>
        </w:rPr>
        <w:t>January 2020,</w:t>
      </w:r>
      <w:r w:rsidRPr="00DB15FC">
        <w:rPr>
          <w:rFonts w:cstheme="minorHAnsi"/>
          <w:sz w:val="18"/>
          <w:szCs w:val="18"/>
        </w:rPr>
        <w:t xml:space="preserve"> </w:t>
      </w:r>
      <w:r>
        <w:rPr>
          <w:rFonts w:cstheme="minorHAnsi"/>
          <w:sz w:val="18"/>
          <w:szCs w:val="18"/>
        </w:rPr>
        <w:t xml:space="preserve">p </w:t>
      </w:r>
      <w:r w:rsidRPr="00DB15FC">
        <w:rPr>
          <w:rFonts w:cstheme="minorHAnsi"/>
          <w:sz w:val="18"/>
          <w:szCs w:val="18"/>
        </w:rPr>
        <w:t xml:space="preserve">17; Women’s Legal Service Australia, </w:t>
      </w:r>
      <w:hyperlink r:id="rId92" w:history="1">
        <w:r w:rsidRPr="006C1415">
          <w:rPr>
            <w:rStyle w:val="Hyperlink"/>
            <w:rFonts w:cstheme="minorHAnsi"/>
            <w:sz w:val="18"/>
            <w:szCs w:val="18"/>
          </w:rPr>
          <w:t>Submission No 80</w:t>
        </w:r>
      </w:hyperlink>
      <w:r w:rsidRPr="00DB15FC">
        <w:rPr>
          <w:rFonts w:cstheme="minorHAnsi"/>
          <w:sz w:val="18"/>
          <w:szCs w:val="18"/>
        </w:rPr>
        <w:t xml:space="preserve"> to Senate Community Affairs References Committee, </w:t>
      </w:r>
      <w:r w:rsidRPr="00DB15FC">
        <w:rPr>
          <w:rFonts w:cstheme="minorHAnsi"/>
          <w:i/>
          <w:sz w:val="18"/>
          <w:szCs w:val="18"/>
        </w:rPr>
        <w:t>Complaints Mechanisms Administered under the Health Practitioner Regulation National Law</w:t>
      </w:r>
      <w:r>
        <w:rPr>
          <w:rFonts w:cstheme="minorHAnsi"/>
          <w:i/>
          <w:sz w:val="18"/>
          <w:szCs w:val="18"/>
        </w:rPr>
        <w:t>,</w:t>
      </w:r>
      <w:r w:rsidRPr="00DB15FC">
        <w:rPr>
          <w:rFonts w:cstheme="minorHAnsi"/>
          <w:i/>
          <w:sz w:val="18"/>
          <w:szCs w:val="18"/>
        </w:rPr>
        <w:t xml:space="preserve"> </w:t>
      </w:r>
      <w:r w:rsidRPr="00DB15FC">
        <w:rPr>
          <w:rFonts w:cstheme="minorHAnsi"/>
          <w:sz w:val="18"/>
          <w:szCs w:val="18"/>
        </w:rPr>
        <w:t>February 2017</w:t>
      </w:r>
      <w:r>
        <w:rPr>
          <w:rFonts w:cstheme="minorHAnsi"/>
          <w:sz w:val="18"/>
          <w:szCs w:val="18"/>
        </w:rPr>
        <w:t>, p</w:t>
      </w:r>
      <w:r w:rsidRPr="00DB15FC">
        <w:rPr>
          <w:rFonts w:cstheme="minorHAnsi"/>
          <w:sz w:val="18"/>
          <w:szCs w:val="18"/>
        </w:rPr>
        <w:t xml:space="preserve"> 4.</w:t>
      </w:r>
    </w:p>
  </w:footnote>
  <w:footnote w:id="116">
    <w:p w14:paraId="00143916" w14:textId="77777777" w:rsidR="00BE48EE" w:rsidRPr="00DB15FC" w:rsidRDefault="00BE48EE" w:rsidP="00BE48EE">
      <w:pPr>
        <w:pStyle w:val="FootnoteText"/>
        <w:rPr>
          <w:rFonts w:cstheme="minorHAnsi"/>
          <w:sz w:val="18"/>
          <w:szCs w:val="18"/>
        </w:rPr>
      </w:pPr>
      <w:r w:rsidRPr="00DB15FC">
        <w:rPr>
          <w:rStyle w:val="FootnoteReference"/>
          <w:rFonts w:cstheme="minorHAnsi"/>
          <w:sz w:val="18"/>
          <w:szCs w:val="18"/>
        </w:rPr>
        <w:footnoteRef/>
      </w:r>
      <w:r w:rsidRPr="00DB15FC">
        <w:rPr>
          <w:rFonts w:cstheme="minorHAnsi"/>
          <w:sz w:val="18"/>
          <w:szCs w:val="18"/>
        </w:rPr>
        <w:t xml:space="preserve"> AFCC, </w:t>
      </w:r>
      <w:hyperlink r:id="rId93" w:history="1">
        <w:r w:rsidRPr="006C1415">
          <w:rPr>
            <w:rStyle w:val="Hyperlink"/>
            <w:rFonts w:cstheme="minorHAnsi"/>
            <w:sz w:val="18"/>
            <w:szCs w:val="18"/>
            <w:lang w:val="en-AU"/>
          </w:rPr>
          <w:t xml:space="preserve">Submission No </w:t>
        </w:r>
        <w:r w:rsidRPr="006C1415">
          <w:rPr>
            <w:rStyle w:val="Hyperlink"/>
            <w:rFonts w:cstheme="minorHAnsi"/>
            <w:sz w:val="18"/>
            <w:szCs w:val="18"/>
          </w:rPr>
          <w:t>232</w:t>
        </w:r>
      </w:hyperlink>
      <w:r w:rsidRPr="00DB15FC">
        <w:rPr>
          <w:rFonts w:cstheme="minorHAnsi"/>
          <w:sz w:val="18"/>
          <w:szCs w:val="18"/>
          <w:lang w:val="en-AU"/>
        </w:rPr>
        <w:t xml:space="preserve"> to ALRC, </w:t>
      </w:r>
      <w:r>
        <w:rPr>
          <w:rFonts w:cstheme="minorHAnsi"/>
          <w:i/>
          <w:sz w:val="18"/>
          <w:szCs w:val="18"/>
          <w:lang w:val="en-AU"/>
        </w:rPr>
        <w:t xml:space="preserve">Review of the family law system, </w:t>
      </w:r>
      <w:r w:rsidRPr="00DB15FC">
        <w:rPr>
          <w:rFonts w:cstheme="minorHAnsi"/>
          <w:sz w:val="18"/>
          <w:szCs w:val="18"/>
        </w:rPr>
        <w:t>21</w:t>
      </w:r>
      <w:r>
        <w:rPr>
          <w:rFonts w:cstheme="minorHAnsi"/>
          <w:sz w:val="18"/>
          <w:szCs w:val="18"/>
          <w:lang w:val="en-AU"/>
        </w:rPr>
        <w:t xml:space="preserve"> May 2018, p</w:t>
      </w:r>
      <w:r w:rsidRPr="00DB15FC">
        <w:rPr>
          <w:rFonts w:cstheme="minorHAnsi"/>
          <w:sz w:val="18"/>
          <w:szCs w:val="18"/>
        </w:rPr>
        <w:t xml:space="preserve"> </w:t>
      </w:r>
      <w:r>
        <w:rPr>
          <w:rFonts w:cstheme="minorHAnsi"/>
          <w:sz w:val="18"/>
          <w:szCs w:val="18"/>
          <w:lang w:val="en-AU"/>
        </w:rPr>
        <w:t>43.</w:t>
      </w:r>
    </w:p>
  </w:footnote>
  <w:footnote w:id="117">
    <w:p w14:paraId="22DEBC43"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Pr>
          <w:rFonts w:cstheme="minorHAnsi"/>
          <w:sz w:val="18"/>
          <w:szCs w:val="18"/>
        </w:rPr>
        <w:t xml:space="preserve"> </w:t>
      </w:r>
      <w:r w:rsidRPr="00DB15FC">
        <w:rPr>
          <w:rFonts w:cstheme="minorHAnsi"/>
          <w:sz w:val="18"/>
          <w:szCs w:val="18"/>
        </w:rPr>
        <w:t xml:space="preserve">Rathus, </w:t>
      </w:r>
      <w:r>
        <w:rPr>
          <w:rFonts w:cstheme="minorHAnsi"/>
          <w:sz w:val="18"/>
          <w:szCs w:val="18"/>
        </w:rPr>
        <w:t>J</w:t>
      </w:r>
      <w:r w:rsidRPr="00DB15FC">
        <w:rPr>
          <w:rFonts w:cstheme="minorHAnsi"/>
          <w:sz w:val="18"/>
          <w:szCs w:val="18"/>
        </w:rPr>
        <w:t>e</w:t>
      </w:r>
      <w:r>
        <w:rPr>
          <w:rFonts w:cstheme="minorHAnsi"/>
          <w:sz w:val="18"/>
          <w:szCs w:val="18"/>
        </w:rPr>
        <w:t xml:space="preserve">ffries, Menih and </w:t>
      </w:r>
      <w:r w:rsidRPr="00DB15FC">
        <w:rPr>
          <w:rFonts w:cstheme="minorHAnsi"/>
          <w:sz w:val="18"/>
          <w:szCs w:val="18"/>
        </w:rPr>
        <w:t xml:space="preserve">Field, </w:t>
      </w:r>
      <w:hyperlink r:id="rId94" w:history="1">
        <w:r w:rsidRPr="00BE403A">
          <w:rPr>
            <w:rStyle w:val="Hyperlink"/>
            <w:rFonts w:cstheme="minorHAnsi"/>
            <w:sz w:val="18"/>
            <w:szCs w:val="18"/>
          </w:rPr>
          <w:t>Submission No 700</w:t>
        </w:r>
      </w:hyperlink>
      <w:r w:rsidRPr="00DB15FC">
        <w:rPr>
          <w:rFonts w:cstheme="minorHAnsi"/>
          <w:sz w:val="18"/>
          <w:szCs w:val="18"/>
        </w:rPr>
        <w:t xml:space="preserve"> to JSC, </w:t>
      </w:r>
      <w:r w:rsidRPr="00DB15FC">
        <w:rPr>
          <w:rFonts w:cstheme="minorHAnsi"/>
          <w:i/>
          <w:sz w:val="18"/>
          <w:szCs w:val="18"/>
        </w:rPr>
        <w:t>Improvements in family law proceedings</w:t>
      </w:r>
      <w:r>
        <w:rPr>
          <w:rFonts w:cstheme="minorHAnsi"/>
          <w:i/>
          <w:sz w:val="18"/>
          <w:szCs w:val="18"/>
        </w:rPr>
        <w:t xml:space="preserve">, </w:t>
      </w:r>
      <w:r>
        <w:rPr>
          <w:rFonts w:cstheme="minorHAnsi"/>
          <w:sz w:val="18"/>
          <w:szCs w:val="18"/>
        </w:rPr>
        <w:t>January 2020, p</w:t>
      </w:r>
      <w:r w:rsidRPr="00DB15FC">
        <w:rPr>
          <w:rFonts w:cstheme="minorHAnsi"/>
          <w:sz w:val="18"/>
          <w:szCs w:val="18"/>
        </w:rPr>
        <w:t xml:space="preserve"> 17</w:t>
      </w:r>
      <w:r w:rsidRPr="00DB15FC">
        <w:rPr>
          <w:rFonts w:cstheme="minorHAnsi"/>
          <w:sz w:val="18"/>
          <w:szCs w:val="18"/>
          <w:lang w:val="en-AU"/>
        </w:rPr>
        <w:t>.</w:t>
      </w:r>
    </w:p>
  </w:footnote>
  <w:footnote w:id="118">
    <w:p w14:paraId="55E923D1" w14:textId="77777777" w:rsidR="00BE48EE" w:rsidRPr="00DB15FC" w:rsidRDefault="00BE48EE" w:rsidP="00BE48EE">
      <w:pPr>
        <w:pStyle w:val="FootnoteText"/>
        <w:rPr>
          <w:rFonts w:cstheme="minorHAnsi"/>
          <w:sz w:val="18"/>
          <w:szCs w:val="18"/>
        </w:rPr>
      </w:pPr>
      <w:r w:rsidRPr="00DB15FC">
        <w:rPr>
          <w:rStyle w:val="FootnoteReference"/>
          <w:rFonts w:cstheme="minorHAnsi"/>
          <w:sz w:val="18"/>
          <w:szCs w:val="18"/>
        </w:rPr>
        <w:footnoteRef/>
      </w:r>
      <w:r w:rsidRPr="00DB15FC">
        <w:rPr>
          <w:rFonts w:cstheme="minorHAnsi"/>
          <w:sz w:val="18"/>
          <w:szCs w:val="18"/>
        </w:rPr>
        <w:t xml:space="preserve"> Ibid.</w:t>
      </w:r>
    </w:p>
  </w:footnote>
  <w:footnote w:id="119">
    <w:p w14:paraId="6C0FE95B"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AFCC, </w:t>
      </w:r>
      <w:hyperlink r:id="rId95" w:history="1">
        <w:r w:rsidRPr="006C1415">
          <w:rPr>
            <w:rStyle w:val="Hyperlink"/>
            <w:rFonts w:cstheme="minorHAnsi"/>
            <w:sz w:val="18"/>
            <w:szCs w:val="18"/>
            <w:lang w:val="en-AU"/>
          </w:rPr>
          <w:t xml:space="preserve">Submission No </w:t>
        </w:r>
        <w:r w:rsidRPr="006C1415">
          <w:rPr>
            <w:rStyle w:val="Hyperlink"/>
            <w:rFonts w:cstheme="minorHAnsi"/>
            <w:sz w:val="18"/>
            <w:szCs w:val="18"/>
          </w:rPr>
          <w:t>232</w:t>
        </w:r>
      </w:hyperlink>
      <w:r w:rsidRPr="00DB15FC">
        <w:rPr>
          <w:rFonts w:cstheme="minorHAnsi"/>
          <w:sz w:val="18"/>
          <w:szCs w:val="18"/>
          <w:lang w:val="en-AU"/>
        </w:rPr>
        <w:t xml:space="preserve"> to ALRC, </w:t>
      </w:r>
      <w:r>
        <w:rPr>
          <w:rFonts w:cstheme="minorHAnsi"/>
          <w:i/>
          <w:sz w:val="18"/>
          <w:szCs w:val="18"/>
          <w:lang w:val="en-AU"/>
        </w:rPr>
        <w:t xml:space="preserve">Review of the family law system, </w:t>
      </w:r>
      <w:r w:rsidRPr="00DB15FC">
        <w:rPr>
          <w:rFonts w:cstheme="minorHAnsi"/>
          <w:sz w:val="18"/>
          <w:szCs w:val="18"/>
        </w:rPr>
        <w:t>21</w:t>
      </w:r>
      <w:r>
        <w:rPr>
          <w:rFonts w:cstheme="minorHAnsi"/>
          <w:sz w:val="18"/>
          <w:szCs w:val="18"/>
          <w:lang w:val="en-AU"/>
        </w:rPr>
        <w:t xml:space="preserve"> May 2018, p</w:t>
      </w:r>
      <w:r w:rsidRPr="00DB15FC">
        <w:rPr>
          <w:rFonts w:cstheme="minorHAnsi"/>
          <w:sz w:val="18"/>
          <w:szCs w:val="18"/>
          <w:lang w:val="en-AU"/>
        </w:rPr>
        <w:t xml:space="preserve"> 42</w:t>
      </w:r>
      <w:r>
        <w:rPr>
          <w:rFonts w:cstheme="minorHAnsi"/>
          <w:sz w:val="18"/>
          <w:szCs w:val="18"/>
          <w:lang w:val="en-AU"/>
        </w:rPr>
        <w:t>.</w:t>
      </w:r>
    </w:p>
  </w:footnote>
  <w:footnote w:id="120">
    <w:p w14:paraId="39783F7F" w14:textId="77777777" w:rsidR="00BE48EE" w:rsidRPr="00DB15FC" w:rsidRDefault="00BE48EE" w:rsidP="00BE48EE">
      <w:pPr>
        <w:pStyle w:val="FootnoteText"/>
        <w:rPr>
          <w:rFonts w:cstheme="minorHAnsi"/>
          <w:sz w:val="18"/>
          <w:szCs w:val="18"/>
        </w:rPr>
      </w:pPr>
      <w:r w:rsidRPr="00DB15FC">
        <w:rPr>
          <w:rStyle w:val="FootnoteReference"/>
          <w:rFonts w:cstheme="minorHAnsi"/>
          <w:sz w:val="18"/>
          <w:szCs w:val="18"/>
        </w:rPr>
        <w:footnoteRef/>
      </w:r>
      <w:r w:rsidRPr="00DB15FC">
        <w:rPr>
          <w:rFonts w:cstheme="minorHAnsi"/>
          <w:sz w:val="18"/>
          <w:szCs w:val="18"/>
        </w:rPr>
        <w:t xml:space="preserve"> Rathus, </w:t>
      </w:r>
      <w:r>
        <w:rPr>
          <w:rFonts w:cstheme="minorHAnsi"/>
          <w:sz w:val="18"/>
          <w:szCs w:val="18"/>
        </w:rPr>
        <w:t>J</w:t>
      </w:r>
      <w:r w:rsidRPr="00DB15FC">
        <w:rPr>
          <w:rFonts w:cstheme="minorHAnsi"/>
          <w:sz w:val="18"/>
          <w:szCs w:val="18"/>
        </w:rPr>
        <w:t>e</w:t>
      </w:r>
      <w:r>
        <w:rPr>
          <w:rFonts w:cstheme="minorHAnsi"/>
          <w:sz w:val="18"/>
          <w:szCs w:val="18"/>
        </w:rPr>
        <w:t xml:space="preserve">ffries, Menih and </w:t>
      </w:r>
      <w:r w:rsidRPr="00DB15FC">
        <w:rPr>
          <w:rFonts w:cstheme="minorHAnsi"/>
          <w:sz w:val="18"/>
          <w:szCs w:val="18"/>
        </w:rPr>
        <w:t xml:space="preserve">Field, </w:t>
      </w:r>
      <w:hyperlink r:id="rId96" w:history="1">
        <w:r w:rsidRPr="00BE403A">
          <w:rPr>
            <w:rStyle w:val="Hyperlink"/>
            <w:rFonts w:cstheme="minorHAnsi"/>
            <w:sz w:val="18"/>
            <w:szCs w:val="18"/>
          </w:rPr>
          <w:t>Submission No 700</w:t>
        </w:r>
      </w:hyperlink>
      <w:r w:rsidRPr="00DB15FC">
        <w:rPr>
          <w:rFonts w:cstheme="minorHAnsi"/>
          <w:sz w:val="18"/>
          <w:szCs w:val="18"/>
        </w:rPr>
        <w:t xml:space="preserve"> to JSC, </w:t>
      </w:r>
      <w:r w:rsidRPr="00DB15FC">
        <w:rPr>
          <w:rFonts w:cstheme="minorHAnsi"/>
          <w:i/>
          <w:sz w:val="18"/>
          <w:szCs w:val="18"/>
        </w:rPr>
        <w:t>Improvements in family law proceedings</w:t>
      </w:r>
      <w:r>
        <w:rPr>
          <w:rFonts w:cstheme="minorHAnsi"/>
          <w:i/>
          <w:sz w:val="18"/>
          <w:szCs w:val="18"/>
        </w:rPr>
        <w:t xml:space="preserve">, </w:t>
      </w:r>
      <w:r>
        <w:rPr>
          <w:rFonts w:cstheme="minorHAnsi"/>
          <w:sz w:val="18"/>
          <w:szCs w:val="18"/>
        </w:rPr>
        <w:t>January 2020, p</w:t>
      </w:r>
      <w:r w:rsidRPr="00DB15FC">
        <w:rPr>
          <w:rFonts w:cstheme="minorHAnsi"/>
          <w:sz w:val="18"/>
          <w:szCs w:val="18"/>
        </w:rPr>
        <w:t xml:space="preserve"> 17</w:t>
      </w:r>
      <w:r w:rsidRPr="00DB15FC">
        <w:rPr>
          <w:rFonts w:cstheme="minorHAnsi"/>
          <w:sz w:val="18"/>
          <w:szCs w:val="18"/>
          <w:lang w:val="en-AU"/>
        </w:rPr>
        <w:t>.</w:t>
      </w:r>
    </w:p>
  </w:footnote>
  <w:footnote w:id="121">
    <w:p w14:paraId="5528B34B" w14:textId="77777777" w:rsidR="00BE48EE" w:rsidRPr="00DB15FC" w:rsidRDefault="00BE48EE" w:rsidP="00BE48EE">
      <w:pPr>
        <w:pStyle w:val="FootnoteText"/>
        <w:rPr>
          <w:sz w:val="18"/>
          <w:szCs w:val="18"/>
          <w:lang w:val="en-AU"/>
        </w:rPr>
      </w:pPr>
      <w:r w:rsidRPr="00DB15FC">
        <w:rPr>
          <w:rStyle w:val="FootnoteReference"/>
          <w:sz w:val="18"/>
          <w:szCs w:val="18"/>
        </w:rPr>
        <w:footnoteRef/>
      </w:r>
      <w:r w:rsidRPr="00DB15FC">
        <w:rPr>
          <w:sz w:val="18"/>
          <w:szCs w:val="18"/>
        </w:rPr>
        <w:t xml:space="preserve"> Ibid 18.</w:t>
      </w:r>
    </w:p>
  </w:footnote>
  <w:footnote w:id="122">
    <w:p w14:paraId="15731B04"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Pr>
          <w:rFonts w:cstheme="minorHAnsi"/>
          <w:sz w:val="18"/>
          <w:szCs w:val="18"/>
        </w:rPr>
        <w:t xml:space="preserve"> JSC, Parliament of Australia</w:t>
      </w:r>
      <w:r w:rsidRPr="00DB15FC">
        <w:rPr>
          <w:rFonts w:cstheme="minorHAnsi"/>
          <w:sz w:val="18"/>
          <w:szCs w:val="18"/>
        </w:rPr>
        <w:t xml:space="preserve">, </w:t>
      </w:r>
      <w:hyperlink r:id="rId97" w:history="1">
        <w:r w:rsidRPr="000B3D9A">
          <w:rPr>
            <w:rStyle w:val="Hyperlink"/>
            <w:rFonts w:cstheme="minorHAnsi"/>
            <w:i/>
            <w:sz w:val="18"/>
            <w:szCs w:val="18"/>
          </w:rPr>
          <w:t>Improvements in Family Law Proceedings</w:t>
        </w:r>
      </w:hyperlink>
      <w:r>
        <w:rPr>
          <w:rFonts w:cstheme="minorHAnsi"/>
          <w:sz w:val="18"/>
          <w:szCs w:val="18"/>
        </w:rPr>
        <w:t xml:space="preserve">, </w:t>
      </w:r>
      <w:r w:rsidRPr="00DB15FC">
        <w:rPr>
          <w:rFonts w:cstheme="minorHAnsi"/>
          <w:sz w:val="18"/>
          <w:szCs w:val="18"/>
        </w:rPr>
        <w:t>Second Interim Report, March 2021</w:t>
      </w:r>
      <w:r>
        <w:rPr>
          <w:rFonts w:cstheme="minorHAnsi"/>
          <w:sz w:val="18"/>
          <w:szCs w:val="18"/>
        </w:rPr>
        <w:t xml:space="preserve">, paragraph </w:t>
      </w:r>
      <w:r w:rsidRPr="00DB15FC">
        <w:rPr>
          <w:rFonts w:cstheme="minorHAnsi"/>
          <w:color w:val="000000"/>
          <w:sz w:val="18"/>
          <w:szCs w:val="18"/>
          <w:lang w:val="en-US"/>
        </w:rPr>
        <w:t>2.148.</w:t>
      </w:r>
    </w:p>
  </w:footnote>
  <w:footnote w:id="123">
    <w:p w14:paraId="7BE028F7"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Ibid, paragraph </w:t>
      </w:r>
      <w:r w:rsidRPr="00DB15FC">
        <w:rPr>
          <w:rFonts w:cstheme="minorHAnsi"/>
          <w:color w:val="000000"/>
          <w:sz w:val="18"/>
          <w:szCs w:val="18"/>
          <w:lang w:val="en-US"/>
        </w:rPr>
        <w:t xml:space="preserve">2.146. </w:t>
      </w:r>
    </w:p>
  </w:footnote>
  <w:footnote w:id="124">
    <w:p w14:paraId="619074A1"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lang w:val="en-AU"/>
        </w:rPr>
        <w:t>T</w:t>
      </w:r>
      <w:r w:rsidRPr="00DB15FC">
        <w:rPr>
          <w:rFonts w:cstheme="minorHAnsi"/>
          <w:sz w:val="18"/>
          <w:szCs w:val="18"/>
          <w:lang w:val="en-AU"/>
        </w:rPr>
        <w:t>hese requirements apply to family consultants</w:t>
      </w:r>
      <w:r w:rsidRPr="00FE47D0">
        <w:rPr>
          <w:rFonts w:cstheme="minorHAnsi"/>
          <w:sz w:val="18"/>
          <w:szCs w:val="18"/>
          <w:lang w:val="en-AU"/>
        </w:rPr>
        <w:t xml:space="preserve"> </w:t>
      </w:r>
      <w:r w:rsidRPr="00DB15FC">
        <w:rPr>
          <w:rFonts w:cstheme="minorHAnsi"/>
          <w:sz w:val="18"/>
          <w:szCs w:val="18"/>
          <w:lang w:val="en-AU"/>
        </w:rPr>
        <w:t xml:space="preserve">only, and not single expert witnesses. </w:t>
      </w:r>
    </w:p>
  </w:footnote>
  <w:footnote w:id="125">
    <w:p w14:paraId="7DD729B7"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E971A9">
        <w:rPr>
          <w:rFonts w:cstheme="minorHAnsi"/>
          <w:i/>
          <w:sz w:val="18"/>
          <w:szCs w:val="18"/>
        </w:rPr>
        <w:t>Family Law Act 1975</w:t>
      </w:r>
      <w:r w:rsidRPr="00DB15FC">
        <w:rPr>
          <w:rFonts w:cstheme="minorHAnsi"/>
          <w:i/>
          <w:sz w:val="18"/>
          <w:szCs w:val="18"/>
        </w:rPr>
        <w:t xml:space="preserve"> </w:t>
      </w:r>
      <w:r>
        <w:rPr>
          <w:rFonts w:cstheme="minorHAnsi"/>
          <w:sz w:val="18"/>
          <w:szCs w:val="18"/>
        </w:rPr>
        <w:t xml:space="preserve">(Cth) </w:t>
      </w:r>
      <w:r w:rsidRPr="00DB15FC">
        <w:rPr>
          <w:rFonts w:cstheme="minorHAnsi"/>
          <w:sz w:val="18"/>
          <w:szCs w:val="18"/>
        </w:rPr>
        <w:t>s</w:t>
      </w:r>
      <w:r>
        <w:rPr>
          <w:rFonts w:cstheme="minorHAnsi"/>
          <w:sz w:val="18"/>
          <w:szCs w:val="18"/>
        </w:rPr>
        <w:t xml:space="preserve"> </w:t>
      </w:r>
      <w:r w:rsidRPr="00DB15FC">
        <w:rPr>
          <w:rFonts w:cstheme="minorHAnsi"/>
          <w:sz w:val="18"/>
          <w:szCs w:val="18"/>
        </w:rPr>
        <w:t>62G(2)</w:t>
      </w:r>
      <w:r w:rsidRPr="00DB15FC">
        <w:rPr>
          <w:rFonts w:cstheme="minorHAnsi"/>
          <w:b/>
          <w:iCs/>
          <w:sz w:val="18"/>
          <w:szCs w:val="18"/>
        </w:rPr>
        <w:t>.</w:t>
      </w:r>
    </w:p>
  </w:footnote>
  <w:footnote w:id="126">
    <w:p w14:paraId="42683A88"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Ibid</w:t>
      </w:r>
      <w:r w:rsidRPr="00DB15FC">
        <w:rPr>
          <w:rFonts w:cstheme="minorHAnsi"/>
          <w:sz w:val="18"/>
          <w:szCs w:val="18"/>
        </w:rPr>
        <w:t xml:space="preserve"> s 62G(3A).</w:t>
      </w:r>
    </w:p>
  </w:footnote>
  <w:footnote w:id="127">
    <w:p w14:paraId="339A405C"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E971A9">
        <w:rPr>
          <w:rFonts w:cstheme="minorHAnsi"/>
          <w:sz w:val="18"/>
          <w:szCs w:val="18"/>
          <w:lang w:val="en-AU"/>
        </w:rPr>
        <w:t>Ibid</w:t>
      </w:r>
      <w:r w:rsidRPr="00DB15FC">
        <w:rPr>
          <w:rFonts w:cstheme="minorHAnsi"/>
          <w:sz w:val="18"/>
          <w:szCs w:val="18"/>
          <w:lang w:val="en-AU"/>
        </w:rPr>
        <w:t xml:space="preserve"> s 62G(4</w:t>
      </w:r>
      <w:r>
        <w:rPr>
          <w:rFonts w:cstheme="minorHAnsi"/>
          <w:sz w:val="18"/>
          <w:szCs w:val="18"/>
          <w:lang w:val="en-AU"/>
        </w:rPr>
        <w:t>)</w:t>
      </w:r>
      <w:r w:rsidRPr="00DB15FC">
        <w:rPr>
          <w:rFonts w:cstheme="minorHAnsi"/>
          <w:b/>
          <w:iCs/>
          <w:sz w:val="18"/>
          <w:szCs w:val="18"/>
        </w:rPr>
        <w:t>.</w:t>
      </w:r>
    </w:p>
  </w:footnote>
  <w:footnote w:id="128">
    <w:p w14:paraId="3FA3D1CE" w14:textId="77777777" w:rsidR="00BE48EE" w:rsidRPr="00DB15FC" w:rsidRDefault="00BE48EE" w:rsidP="00BE48EE">
      <w:pPr>
        <w:pStyle w:val="FootnoteText"/>
        <w:tabs>
          <w:tab w:val="center" w:pos="5156"/>
        </w:tabs>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w:t>
      </w:r>
      <w:r w:rsidRPr="00B64273">
        <w:rPr>
          <w:rFonts w:cstheme="minorHAnsi"/>
          <w:i/>
          <w:sz w:val="18"/>
          <w:szCs w:val="18"/>
        </w:rPr>
        <w:t>Federal Circuit and Family Court of Australia (Family Law) Rules</w:t>
      </w:r>
      <w:r>
        <w:rPr>
          <w:rFonts w:cstheme="minorHAnsi"/>
          <w:i/>
          <w:sz w:val="18"/>
          <w:szCs w:val="18"/>
        </w:rPr>
        <w:t xml:space="preserve"> 2021 </w:t>
      </w:r>
      <w:r>
        <w:rPr>
          <w:rFonts w:cstheme="minorHAnsi"/>
          <w:sz w:val="18"/>
          <w:szCs w:val="18"/>
        </w:rPr>
        <w:t>(Cth)</w:t>
      </w:r>
      <w:r w:rsidRPr="00B64273" w:rsidDel="00B64273">
        <w:rPr>
          <w:rFonts w:cstheme="minorHAnsi"/>
          <w:i/>
          <w:sz w:val="18"/>
          <w:szCs w:val="18"/>
        </w:rPr>
        <w:t xml:space="preserve"> </w:t>
      </w:r>
      <w:r w:rsidRPr="00FE47D0">
        <w:rPr>
          <w:rFonts w:cstheme="minorHAnsi"/>
          <w:sz w:val="18"/>
          <w:szCs w:val="18"/>
        </w:rPr>
        <w:t>r 8.11(1)</w:t>
      </w:r>
      <w:r>
        <w:rPr>
          <w:rFonts w:cstheme="minorHAnsi"/>
          <w:sz w:val="18"/>
          <w:szCs w:val="18"/>
        </w:rPr>
        <w:t xml:space="preserve">; </w:t>
      </w:r>
      <w:r w:rsidRPr="003B789D">
        <w:rPr>
          <w:i/>
          <w:sz w:val="18"/>
        </w:rPr>
        <w:t xml:space="preserve">Family Court Rules 2021 </w:t>
      </w:r>
      <w:r w:rsidRPr="003B789D">
        <w:rPr>
          <w:sz w:val="18"/>
        </w:rPr>
        <w:t>(WA) r 4</w:t>
      </w:r>
      <w:r w:rsidRPr="00FE47D0">
        <w:rPr>
          <w:rFonts w:cstheme="minorHAnsi"/>
          <w:sz w:val="18"/>
          <w:szCs w:val="18"/>
        </w:rPr>
        <w:t>.</w:t>
      </w:r>
      <w:r>
        <w:rPr>
          <w:rFonts w:cstheme="minorHAnsi"/>
          <w:sz w:val="18"/>
          <w:szCs w:val="18"/>
        </w:rPr>
        <w:tab/>
      </w:r>
    </w:p>
  </w:footnote>
  <w:footnote w:id="129">
    <w:p w14:paraId="0AB49126" w14:textId="77777777" w:rsidR="00BE48EE" w:rsidRPr="00DB15FC"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 xml:space="preserve">Ibid </w:t>
      </w:r>
      <w:r w:rsidRPr="00B64273">
        <w:rPr>
          <w:rFonts w:cstheme="minorHAnsi"/>
          <w:sz w:val="18"/>
          <w:szCs w:val="18"/>
        </w:rPr>
        <w:t>r</w:t>
      </w:r>
      <w:r>
        <w:rPr>
          <w:rFonts w:cstheme="minorHAnsi"/>
          <w:sz w:val="18"/>
          <w:szCs w:val="18"/>
        </w:rPr>
        <w:t xml:space="preserve"> 8.11(3).</w:t>
      </w:r>
    </w:p>
  </w:footnote>
  <w:footnote w:id="130">
    <w:p w14:paraId="4C3112F4" w14:textId="77777777" w:rsidR="00BE48EE" w:rsidRPr="00B64273" w:rsidRDefault="00BE48EE" w:rsidP="00BE48EE">
      <w:pPr>
        <w:pStyle w:val="FootnoteText"/>
        <w:rPr>
          <w:rFonts w:cstheme="minorHAnsi"/>
          <w:sz w:val="18"/>
          <w:szCs w:val="18"/>
          <w:lang w:val="en-US"/>
        </w:rPr>
      </w:pPr>
      <w:r w:rsidRPr="00DB15FC">
        <w:rPr>
          <w:rStyle w:val="FootnoteReference"/>
          <w:rFonts w:cstheme="minorHAnsi"/>
          <w:sz w:val="18"/>
          <w:szCs w:val="18"/>
        </w:rPr>
        <w:footnoteRef/>
      </w:r>
      <w:r w:rsidRPr="00DB15FC">
        <w:rPr>
          <w:rFonts w:cstheme="minorHAnsi"/>
          <w:sz w:val="18"/>
          <w:szCs w:val="18"/>
        </w:rPr>
        <w:t xml:space="preserve"> </w:t>
      </w:r>
      <w:r>
        <w:rPr>
          <w:rFonts w:cstheme="minorHAnsi"/>
          <w:sz w:val="18"/>
          <w:szCs w:val="18"/>
        </w:rPr>
        <w:t>Ibid</w:t>
      </w:r>
      <w:r w:rsidRPr="00B64273">
        <w:rPr>
          <w:rFonts w:cstheme="minorHAnsi"/>
          <w:sz w:val="18"/>
          <w:szCs w:val="18"/>
        </w:rPr>
        <w:t xml:space="preserve"> r</w:t>
      </w:r>
      <w:r w:rsidRPr="00B64273">
        <w:rPr>
          <w:rFonts w:cstheme="minorHAnsi"/>
          <w:sz w:val="18"/>
          <w:szCs w:val="18"/>
          <w:lang w:val="en-US"/>
        </w:rPr>
        <w:t xml:space="preserve"> 7.03</w:t>
      </w:r>
      <w:r>
        <w:rPr>
          <w:rFonts w:cstheme="minorHAnsi"/>
          <w:sz w:val="18"/>
          <w:szCs w:val="18"/>
          <w:lang w:val="en-US"/>
        </w:rPr>
        <w:t>(1)</w:t>
      </w:r>
      <w:r w:rsidRPr="00B64273">
        <w:rPr>
          <w:rFonts w:cstheme="minorHAnsi"/>
          <w:sz w:val="18"/>
          <w:szCs w:val="18"/>
          <w:lang w:val="en-US"/>
        </w:rPr>
        <w:t>.</w:t>
      </w:r>
    </w:p>
  </w:footnote>
  <w:footnote w:id="131">
    <w:p w14:paraId="11B104AB" w14:textId="77777777" w:rsidR="00BE48EE" w:rsidRPr="00DB15FC" w:rsidRDefault="00BE48EE" w:rsidP="00BE48EE">
      <w:pPr>
        <w:pStyle w:val="FootnoteText"/>
        <w:rPr>
          <w:rFonts w:cstheme="minorHAnsi"/>
          <w:sz w:val="18"/>
          <w:szCs w:val="18"/>
          <w:lang w:val="en-AU"/>
        </w:rPr>
      </w:pPr>
      <w:r w:rsidRPr="00B64273">
        <w:rPr>
          <w:rStyle w:val="FootnoteReference"/>
          <w:rFonts w:cstheme="minorHAnsi"/>
          <w:sz w:val="18"/>
          <w:szCs w:val="18"/>
        </w:rPr>
        <w:footnoteRef/>
      </w:r>
      <w:r w:rsidRPr="00B64273">
        <w:rPr>
          <w:rFonts w:cstheme="minorHAnsi"/>
          <w:sz w:val="18"/>
          <w:szCs w:val="18"/>
        </w:rPr>
        <w:t xml:space="preserve"> </w:t>
      </w:r>
      <w:r w:rsidRPr="00B64273">
        <w:rPr>
          <w:rFonts w:cstheme="minorHAnsi"/>
          <w:i/>
          <w:sz w:val="18"/>
          <w:szCs w:val="18"/>
        </w:rPr>
        <w:t>Federal Circuit and Family Court of Australia (Family Law) Rules</w:t>
      </w:r>
      <w:r>
        <w:rPr>
          <w:rFonts w:cstheme="minorHAnsi"/>
          <w:i/>
          <w:sz w:val="18"/>
          <w:szCs w:val="18"/>
        </w:rPr>
        <w:t xml:space="preserve"> 2021</w:t>
      </w:r>
      <w:r w:rsidRPr="00B64273" w:rsidDel="00B64273">
        <w:rPr>
          <w:rFonts w:cstheme="minorHAnsi"/>
          <w:i/>
          <w:sz w:val="18"/>
          <w:szCs w:val="18"/>
        </w:rPr>
        <w:t xml:space="preserve"> </w:t>
      </w:r>
      <w:r w:rsidRPr="00DB15FC">
        <w:rPr>
          <w:rFonts w:cstheme="minorHAnsi"/>
          <w:sz w:val="18"/>
          <w:szCs w:val="18"/>
          <w:lang w:val="en-AU"/>
        </w:rPr>
        <w:t xml:space="preserve">(Cth) r </w:t>
      </w:r>
      <w:r>
        <w:rPr>
          <w:rFonts w:cstheme="minorHAnsi"/>
          <w:sz w:val="18"/>
          <w:szCs w:val="18"/>
          <w:lang w:val="en-AU"/>
        </w:rPr>
        <w:t>7.22</w:t>
      </w:r>
      <w:r w:rsidRPr="00DB15FC">
        <w:rPr>
          <w:rFonts w:cstheme="minorHAnsi"/>
          <w:sz w:val="18"/>
          <w:szCs w:val="18"/>
          <w:lang w:val="en-AU"/>
        </w:rPr>
        <w:t>.</w:t>
      </w:r>
    </w:p>
  </w:footnote>
  <w:footnote w:id="132">
    <w:p w14:paraId="4F0CC86C" w14:textId="77777777" w:rsidR="00BE48EE" w:rsidRPr="00DB15FC" w:rsidRDefault="00BE48EE" w:rsidP="00BE48EE">
      <w:pPr>
        <w:pStyle w:val="FootnoteText"/>
        <w:rPr>
          <w:rFonts w:cstheme="minorHAnsi"/>
          <w:sz w:val="18"/>
          <w:szCs w:val="18"/>
          <w:lang w:val="en-AU"/>
        </w:rPr>
      </w:pPr>
      <w:r w:rsidRPr="00DB15FC">
        <w:rPr>
          <w:rStyle w:val="FootnoteReference"/>
          <w:rFonts w:cstheme="minorHAnsi"/>
          <w:sz w:val="18"/>
          <w:szCs w:val="18"/>
        </w:rPr>
        <w:footnoteRef/>
      </w:r>
      <w:r w:rsidRPr="00DB15FC">
        <w:rPr>
          <w:rFonts w:cstheme="minorHAnsi"/>
          <w:sz w:val="18"/>
          <w:szCs w:val="18"/>
        </w:rPr>
        <w:t xml:space="preserve"> FCoA, FCC and FCWA, </w:t>
      </w:r>
      <w:hyperlink r:id="rId98" w:history="1">
        <w:r w:rsidRPr="00E32B89">
          <w:rPr>
            <w:rStyle w:val="Hyperlink"/>
            <w:rFonts w:cstheme="minorHAnsi"/>
            <w:i/>
            <w:sz w:val="18"/>
            <w:szCs w:val="18"/>
          </w:rPr>
          <w:t>Australian Standards of Practice for Family Assessments and Reporting</w:t>
        </w:r>
      </w:hyperlink>
      <w:r>
        <w:rPr>
          <w:rFonts w:cstheme="minorHAnsi"/>
          <w:sz w:val="18"/>
          <w:szCs w:val="18"/>
        </w:rPr>
        <w:t>, February 2015</w:t>
      </w:r>
      <w:r w:rsidRPr="00DB15FC">
        <w:rPr>
          <w:rFonts w:cs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C5CC" w14:textId="0FF80082" w:rsidR="00BE48EE" w:rsidRDefault="00BE48EE" w:rsidP="001B5D7A">
    <w:pPr>
      <w:pStyle w:val="Header"/>
      <w:jc w:val="right"/>
    </w:pPr>
  </w:p>
  <w:p w14:paraId="30BF1BD2" w14:textId="77777777" w:rsidR="00BE48EE" w:rsidRDefault="00BE4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25"/>
    <w:multiLevelType w:val="hybridMultilevel"/>
    <w:tmpl w:val="190C635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 w15:restartNumberingAfterBreak="0">
    <w:nsid w:val="01EF6B03"/>
    <w:multiLevelType w:val="hybridMultilevel"/>
    <w:tmpl w:val="9C446CCE"/>
    <w:lvl w:ilvl="0" w:tplc="97F4F23A">
      <w:start w:val="1"/>
      <w:numFmt w:val="bullet"/>
      <w:lvlText w:val=""/>
      <w:lvlJc w:val="left"/>
      <w:pPr>
        <w:ind w:left="720" w:hanging="360"/>
      </w:pPr>
      <w:rPr>
        <w:rFonts w:ascii="Wingdings" w:hAnsi="Wingdings" w:hint="default"/>
        <w:b/>
        <w:i w:val="0"/>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D6715"/>
    <w:multiLevelType w:val="hybridMultilevel"/>
    <w:tmpl w:val="9680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7E3395"/>
    <w:multiLevelType w:val="hybridMultilevel"/>
    <w:tmpl w:val="8BD8616C"/>
    <w:lvl w:ilvl="0" w:tplc="C960DDD6">
      <w:numFmt w:val="bullet"/>
      <w:lvlText w:val="-"/>
      <w:lvlJc w:val="left"/>
      <w:pPr>
        <w:ind w:left="673" w:hanging="360"/>
      </w:pPr>
      <w:rPr>
        <w:rFonts w:ascii="Calibri" w:eastAsiaTheme="minorHAnsi" w:hAnsi="Calibri" w:cs="Calibri"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4" w15:restartNumberingAfterBreak="0">
    <w:nsid w:val="05E130EF"/>
    <w:multiLevelType w:val="hybridMultilevel"/>
    <w:tmpl w:val="D12871D4"/>
    <w:lvl w:ilvl="0" w:tplc="33E2CDF0">
      <w:start w:val="1"/>
      <w:numFmt w:val="lowerLetter"/>
      <w:lvlText w:val="(%1)"/>
      <w:lvlJc w:val="left"/>
      <w:pPr>
        <w:ind w:left="360" w:hanging="360"/>
      </w:pPr>
      <w:rPr>
        <w:rFonts w:hint="default"/>
        <w:b/>
        <w:color w:val="C87200"/>
        <w:sz w:val="28"/>
        <w:szCs w:val="28"/>
      </w:rPr>
    </w:lvl>
    <w:lvl w:ilvl="1" w:tplc="0C090001">
      <w:start w:val="1"/>
      <w:numFmt w:val="bullet"/>
      <w:lvlText w:val=""/>
      <w:lvlJc w:val="left"/>
      <w:pPr>
        <w:ind w:left="1080" w:hanging="360"/>
      </w:pPr>
      <w:rPr>
        <w:rFonts w:ascii="Symbol" w:hAnsi="Symbol" w:hint="default"/>
        <w:color w:val="1F497D" w:themeColor="text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6395A17"/>
    <w:multiLevelType w:val="hybridMultilevel"/>
    <w:tmpl w:val="F272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E41A54"/>
    <w:multiLevelType w:val="hybridMultilevel"/>
    <w:tmpl w:val="6C8CC70A"/>
    <w:lvl w:ilvl="0" w:tplc="03B6B578">
      <w:start w:val="1"/>
      <w:numFmt w:val="lowerLetter"/>
      <w:lvlText w:val="(%1)"/>
      <w:lvlJc w:val="left"/>
      <w:pPr>
        <w:ind w:left="360" w:hanging="360"/>
      </w:pPr>
      <w:rPr>
        <w:rFonts w:hint="default"/>
        <w:b/>
        <w:color w:val="C87200"/>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88514B2"/>
    <w:multiLevelType w:val="hybridMultilevel"/>
    <w:tmpl w:val="6C8CC70A"/>
    <w:lvl w:ilvl="0" w:tplc="03B6B578">
      <w:start w:val="1"/>
      <w:numFmt w:val="lowerLetter"/>
      <w:lvlText w:val="(%1)"/>
      <w:lvlJc w:val="left"/>
      <w:pPr>
        <w:ind w:left="360" w:hanging="360"/>
      </w:pPr>
      <w:rPr>
        <w:rFonts w:hint="default"/>
        <w:b/>
        <w:color w:val="C8720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05C4F95"/>
    <w:multiLevelType w:val="hybridMultilevel"/>
    <w:tmpl w:val="B70CB7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976F4B"/>
    <w:multiLevelType w:val="hybridMultilevel"/>
    <w:tmpl w:val="6C8CC70A"/>
    <w:lvl w:ilvl="0" w:tplc="03B6B578">
      <w:start w:val="1"/>
      <w:numFmt w:val="lowerLetter"/>
      <w:lvlText w:val="(%1)"/>
      <w:lvlJc w:val="left"/>
      <w:pPr>
        <w:ind w:left="360" w:hanging="360"/>
      </w:pPr>
      <w:rPr>
        <w:rFonts w:hint="default"/>
        <w:b/>
        <w:color w:val="C8720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9C106B"/>
    <w:multiLevelType w:val="hybridMultilevel"/>
    <w:tmpl w:val="D12871D4"/>
    <w:lvl w:ilvl="0" w:tplc="33E2CDF0">
      <w:start w:val="1"/>
      <w:numFmt w:val="lowerLetter"/>
      <w:lvlText w:val="(%1)"/>
      <w:lvlJc w:val="left"/>
      <w:pPr>
        <w:ind w:left="360" w:hanging="360"/>
      </w:pPr>
      <w:rPr>
        <w:rFonts w:hint="default"/>
        <w:b/>
        <w:color w:val="C87200"/>
        <w:sz w:val="28"/>
        <w:szCs w:val="28"/>
      </w:rPr>
    </w:lvl>
    <w:lvl w:ilvl="1" w:tplc="0C090001">
      <w:start w:val="1"/>
      <w:numFmt w:val="bullet"/>
      <w:lvlText w:val=""/>
      <w:lvlJc w:val="left"/>
      <w:pPr>
        <w:ind w:left="1080" w:hanging="360"/>
      </w:pPr>
      <w:rPr>
        <w:rFonts w:ascii="Symbol" w:hAnsi="Symbol" w:hint="default"/>
        <w:color w:val="1F497D" w:themeColor="text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6C1FE8"/>
    <w:multiLevelType w:val="hybridMultilevel"/>
    <w:tmpl w:val="3B6E4BC8"/>
    <w:lvl w:ilvl="0" w:tplc="937A33D2">
      <w:start w:val="1"/>
      <w:numFmt w:val="lowerLetter"/>
      <w:lvlText w:val="(%1)"/>
      <w:lvlJc w:val="left"/>
      <w:pPr>
        <w:ind w:left="360" w:hanging="360"/>
      </w:pPr>
      <w:rPr>
        <w:rFonts w:hint="default"/>
        <w:b/>
        <w:color w:val="C872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4D6C3A"/>
    <w:multiLevelType w:val="hybridMultilevel"/>
    <w:tmpl w:val="82986B9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AA0BEB"/>
    <w:multiLevelType w:val="hybridMultilevel"/>
    <w:tmpl w:val="E4F8C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11557"/>
    <w:multiLevelType w:val="multilevel"/>
    <w:tmpl w:val="BA8E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37F4A"/>
    <w:multiLevelType w:val="hybridMultilevel"/>
    <w:tmpl w:val="317E2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C293D"/>
    <w:multiLevelType w:val="hybridMultilevel"/>
    <w:tmpl w:val="DC4C09B0"/>
    <w:lvl w:ilvl="0" w:tplc="1EB20A26">
      <w:start w:val="1"/>
      <w:numFmt w:val="lowerLetter"/>
      <w:lvlText w:val="(%1)"/>
      <w:lvlJc w:val="left"/>
      <w:pPr>
        <w:ind w:left="360" w:hanging="360"/>
      </w:pPr>
      <w:rPr>
        <w:rFonts w:hint="default"/>
        <w:b/>
        <w:color w:val="4040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0E10DA"/>
    <w:multiLevelType w:val="hybridMultilevel"/>
    <w:tmpl w:val="431A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A70060"/>
    <w:multiLevelType w:val="hybridMultilevel"/>
    <w:tmpl w:val="FFFC0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F33817"/>
    <w:multiLevelType w:val="hybridMultilevel"/>
    <w:tmpl w:val="ECA2A784"/>
    <w:lvl w:ilvl="0" w:tplc="10F87284">
      <w:start w:val="1"/>
      <w:numFmt w:val="lowerLetter"/>
      <w:lvlText w:val="(%1)"/>
      <w:lvlJc w:val="left"/>
      <w:pPr>
        <w:ind w:left="760" w:hanging="380"/>
      </w:pPr>
      <w:rPr>
        <w:rFonts w:hint="default"/>
        <w:b w:val="0"/>
        <w:color w:val="auto"/>
      </w:rPr>
    </w:lvl>
    <w:lvl w:ilvl="1" w:tplc="34C24A8E">
      <w:start w:val="1"/>
      <w:numFmt w:val="lowerLetter"/>
      <w:lvlText w:val="(%2)"/>
      <w:lvlJc w:val="left"/>
      <w:pPr>
        <w:ind w:left="1460" w:hanging="360"/>
      </w:pPr>
      <w:rPr>
        <w:rFonts w:hint="default"/>
      </w:r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21" w15:restartNumberingAfterBreak="0">
    <w:nsid w:val="2C074FE6"/>
    <w:multiLevelType w:val="hybridMultilevel"/>
    <w:tmpl w:val="D5C68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253D4D"/>
    <w:multiLevelType w:val="hybridMultilevel"/>
    <w:tmpl w:val="C83A1252"/>
    <w:lvl w:ilvl="0" w:tplc="0C090001">
      <w:start w:val="1"/>
      <w:numFmt w:val="bullet"/>
      <w:lvlText w:val=""/>
      <w:lvlJc w:val="left"/>
      <w:pPr>
        <w:ind w:left="760" w:hanging="380"/>
      </w:pPr>
      <w:rPr>
        <w:rFonts w:ascii="Symbol" w:hAnsi="Symbol" w:hint="default"/>
        <w:b w:val="0"/>
        <w:color w:val="auto"/>
      </w:rPr>
    </w:lvl>
    <w:lvl w:ilvl="1" w:tplc="34C24A8E">
      <w:start w:val="1"/>
      <w:numFmt w:val="lowerLetter"/>
      <w:lvlText w:val="(%2)"/>
      <w:lvlJc w:val="left"/>
      <w:pPr>
        <w:ind w:left="1460" w:hanging="360"/>
      </w:pPr>
      <w:rPr>
        <w:rFonts w:hint="default"/>
      </w:r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23" w15:restartNumberingAfterBreak="0">
    <w:nsid w:val="2CF32E20"/>
    <w:multiLevelType w:val="hybridMultilevel"/>
    <w:tmpl w:val="816E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756D56"/>
    <w:multiLevelType w:val="hybridMultilevel"/>
    <w:tmpl w:val="9ABE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821830"/>
    <w:multiLevelType w:val="hybridMultilevel"/>
    <w:tmpl w:val="3F2E5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D0590B"/>
    <w:multiLevelType w:val="hybridMultilevel"/>
    <w:tmpl w:val="A5AC4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2C2C3C"/>
    <w:multiLevelType w:val="hybridMultilevel"/>
    <w:tmpl w:val="6E507DE0"/>
    <w:lvl w:ilvl="0" w:tplc="06BE089C">
      <w:start w:val="1"/>
      <w:numFmt w:val="decimal"/>
      <w:lvlText w:val="%1."/>
      <w:lvlJc w:val="left"/>
      <w:pPr>
        <w:ind w:left="1440" w:hanging="360"/>
      </w:pPr>
    </w:lvl>
    <w:lvl w:ilvl="1" w:tplc="AFECA2E6">
      <w:start w:val="1"/>
      <w:numFmt w:val="lowerLetter"/>
      <w:lvlText w:val="%2."/>
      <w:lvlJc w:val="left"/>
      <w:pPr>
        <w:ind w:left="2160" w:hanging="360"/>
      </w:pPr>
    </w:lvl>
    <w:lvl w:ilvl="2" w:tplc="E482F5FA" w:tentative="1">
      <w:start w:val="1"/>
      <w:numFmt w:val="lowerRoman"/>
      <w:lvlText w:val="%3."/>
      <w:lvlJc w:val="right"/>
      <w:pPr>
        <w:ind w:left="2880" w:hanging="180"/>
      </w:pPr>
    </w:lvl>
    <w:lvl w:ilvl="3" w:tplc="FA96E368" w:tentative="1">
      <w:start w:val="1"/>
      <w:numFmt w:val="decimal"/>
      <w:lvlText w:val="%4."/>
      <w:lvlJc w:val="left"/>
      <w:pPr>
        <w:ind w:left="3600" w:hanging="360"/>
      </w:pPr>
    </w:lvl>
    <w:lvl w:ilvl="4" w:tplc="A2401558" w:tentative="1">
      <w:start w:val="1"/>
      <w:numFmt w:val="lowerLetter"/>
      <w:lvlText w:val="%5."/>
      <w:lvlJc w:val="left"/>
      <w:pPr>
        <w:ind w:left="4320" w:hanging="360"/>
      </w:pPr>
    </w:lvl>
    <w:lvl w:ilvl="5" w:tplc="4D2E7386" w:tentative="1">
      <w:start w:val="1"/>
      <w:numFmt w:val="lowerRoman"/>
      <w:lvlText w:val="%6."/>
      <w:lvlJc w:val="right"/>
      <w:pPr>
        <w:ind w:left="5040" w:hanging="180"/>
      </w:pPr>
    </w:lvl>
    <w:lvl w:ilvl="6" w:tplc="385A4A34" w:tentative="1">
      <w:start w:val="1"/>
      <w:numFmt w:val="decimal"/>
      <w:lvlText w:val="%7."/>
      <w:lvlJc w:val="left"/>
      <w:pPr>
        <w:ind w:left="5760" w:hanging="360"/>
      </w:pPr>
    </w:lvl>
    <w:lvl w:ilvl="7" w:tplc="221876B6" w:tentative="1">
      <w:start w:val="1"/>
      <w:numFmt w:val="lowerLetter"/>
      <w:lvlText w:val="%8."/>
      <w:lvlJc w:val="left"/>
      <w:pPr>
        <w:ind w:left="6480" w:hanging="360"/>
      </w:pPr>
    </w:lvl>
    <w:lvl w:ilvl="8" w:tplc="89E47BA0" w:tentative="1">
      <w:start w:val="1"/>
      <w:numFmt w:val="lowerRoman"/>
      <w:lvlText w:val="%9."/>
      <w:lvlJc w:val="right"/>
      <w:pPr>
        <w:ind w:left="7200" w:hanging="180"/>
      </w:pPr>
    </w:lvl>
  </w:abstractNum>
  <w:abstractNum w:abstractNumId="28" w15:restartNumberingAfterBreak="0">
    <w:nsid w:val="35F771D0"/>
    <w:multiLevelType w:val="hybridMultilevel"/>
    <w:tmpl w:val="9EBC0114"/>
    <w:lvl w:ilvl="0" w:tplc="C4C0B6BE">
      <w:start w:val="1"/>
      <w:numFmt w:val="bullet"/>
      <w:lvlText w:val=""/>
      <w:lvlJc w:val="left"/>
      <w:pPr>
        <w:ind w:left="1033" w:hanging="360"/>
      </w:pPr>
      <w:rPr>
        <w:rFonts w:ascii="Wingdings" w:hAnsi="Wingdings" w:hint="default"/>
        <w:b/>
        <w:i w:val="0"/>
        <w:color w:val="4D738A"/>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9" w15:restartNumberingAfterBreak="0">
    <w:nsid w:val="3B601099"/>
    <w:multiLevelType w:val="hybridMultilevel"/>
    <w:tmpl w:val="80D03DEA"/>
    <w:lvl w:ilvl="0" w:tplc="C960DD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D1F1D18"/>
    <w:multiLevelType w:val="hybridMultilevel"/>
    <w:tmpl w:val="B068F252"/>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1" w15:restartNumberingAfterBreak="0">
    <w:nsid w:val="3DB57748"/>
    <w:multiLevelType w:val="hybridMultilevel"/>
    <w:tmpl w:val="06ECF118"/>
    <w:lvl w:ilvl="0" w:tplc="A2B4553C">
      <w:start w:val="1"/>
      <w:numFmt w:val="lowerLetter"/>
      <w:lvlText w:val="(%1)"/>
      <w:lvlJc w:val="left"/>
      <w:pPr>
        <w:ind w:left="375" w:hanging="375"/>
      </w:pPr>
      <w:rPr>
        <w:rFonts w:hint="default"/>
        <w:b/>
        <w:color w:val="E36C0A" w:themeColor="accent6" w:themeShade="BF"/>
        <w:sz w:val="28"/>
      </w:rPr>
    </w:lvl>
    <w:lvl w:ilvl="1" w:tplc="E728A0B8">
      <w:start w:val="1"/>
      <w:numFmt w:val="decimal"/>
      <w:lvlText w:val="%2."/>
      <w:lvlJc w:val="left"/>
      <w:pPr>
        <w:ind w:left="1364" w:hanging="644"/>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072060F"/>
    <w:multiLevelType w:val="hybridMultilevel"/>
    <w:tmpl w:val="2682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535B4D"/>
    <w:multiLevelType w:val="hybridMultilevel"/>
    <w:tmpl w:val="D206C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4B0CC8"/>
    <w:multiLevelType w:val="hybridMultilevel"/>
    <w:tmpl w:val="E97E0558"/>
    <w:lvl w:ilvl="0" w:tplc="03B6B578">
      <w:start w:val="1"/>
      <w:numFmt w:val="lowerLetter"/>
      <w:lvlText w:val="(%1)"/>
      <w:lvlJc w:val="left"/>
      <w:pPr>
        <w:ind w:left="360" w:hanging="360"/>
      </w:pPr>
      <w:rPr>
        <w:rFonts w:hint="default"/>
        <w:b/>
        <w:color w:val="C8720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632218A"/>
    <w:multiLevelType w:val="hybridMultilevel"/>
    <w:tmpl w:val="ABD8F0BA"/>
    <w:lvl w:ilvl="0" w:tplc="0C090001">
      <w:start w:val="1"/>
      <w:numFmt w:val="bullet"/>
      <w:lvlText w:val=""/>
      <w:lvlJc w:val="left"/>
      <w:pPr>
        <w:ind w:left="1854" w:hanging="720"/>
      </w:pPr>
      <w:rPr>
        <w:rFonts w:ascii="Symbol" w:hAnsi="Symbol"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476C488B"/>
    <w:multiLevelType w:val="hybridMultilevel"/>
    <w:tmpl w:val="37C877B6"/>
    <w:lvl w:ilvl="0" w:tplc="0C090001">
      <w:start w:val="1"/>
      <w:numFmt w:val="bullet"/>
      <w:lvlText w:val=""/>
      <w:lvlJc w:val="left"/>
      <w:pPr>
        <w:ind w:left="760" w:hanging="380"/>
      </w:pPr>
      <w:rPr>
        <w:rFonts w:ascii="Symbol" w:hAnsi="Symbol" w:hint="default"/>
        <w:b w:val="0"/>
        <w:color w:val="auto"/>
      </w:rPr>
    </w:lvl>
    <w:lvl w:ilvl="1" w:tplc="0C090003">
      <w:start w:val="1"/>
      <w:numFmt w:val="bullet"/>
      <w:lvlText w:val="o"/>
      <w:lvlJc w:val="left"/>
      <w:pPr>
        <w:ind w:left="1460" w:hanging="360"/>
      </w:pPr>
      <w:rPr>
        <w:rFonts w:ascii="Courier New" w:hAnsi="Courier New" w:cs="Courier New" w:hint="default"/>
      </w:r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37" w15:restartNumberingAfterBreak="0">
    <w:nsid w:val="4A3812D0"/>
    <w:multiLevelType w:val="hybridMultilevel"/>
    <w:tmpl w:val="18B64596"/>
    <w:lvl w:ilvl="0" w:tplc="E2EAABF4">
      <w:start w:val="1"/>
      <w:numFmt w:val="lowerLetter"/>
      <w:lvlText w:val="(%1)"/>
      <w:lvlJc w:val="left"/>
      <w:pPr>
        <w:ind w:left="360" w:hanging="360"/>
      </w:pPr>
      <w:rPr>
        <w:rFonts w:asciiTheme="minorHAnsi" w:hAnsiTheme="minorHAnsi" w:cstheme="minorHAnsi" w:hint="default"/>
        <w:b/>
        <w:color w:val="C87200"/>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A3D572C"/>
    <w:multiLevelType w:val="multilevel"/>
    <w:tmpl w:val="0FF47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DE49B9"/>
    <w:multiLevelType w:val="hybridMultilevel"/>
    <w:tmpl w:val="DF00B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C3550AF"/>
    <w:multiLevelType w:val="hybridMultilevel"/>
    <w:tmpl w:val="BBE0FF7A"/>
    <w:lvl w:ilvl="0" w:tplc="745EDD4E">
      <w:start w:val="1"/>
      <w:numFmt w:val="lowerLetter"/>
      <w:lvlText w:val="(%1)"/>
      <w:lvlJc w:val="left"/>
      <w:pPr>
        <w:ind w:left="750" w:hanging="390"/>
      </w:pPr>
      <w:rPr>
        <w:rFonts w:hint="default"/>
        <w:b/>
        <w:color w:val="C872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FD15308"/>
    <w:multiLevelType w:val="hybridMultilevel"/>
    <w:tmpl w:val="1FCAD2F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551975B0"/>
    <w:multiLevelType w:val="hybridMultilevel"/>
    <w:tmpl w:val="5DC81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CD4C2E"/>
    <w:multiLevelType w:val="hybridMultilevel"/>
    <w:tmpl w:val="98AE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7572D5"/>
    <w:multiLevelType w:val="hybridMultilevel"/>
    <w:tmpl w:val="37A663E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5" w15:restartNumberingAfterBreak="0">
    <w:nsid w:val="607122D9"/>
    <w:multiLevelType w:val="hybridMultilevel"/>
    <w:tmpl w:val="46F8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F34672"/>
    <w:multiLevelType w:val="hybridMultilevel"/>
    <w:tmpl w:val="A266B6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E87AA3"/>
    <w:multiLevelType w:val="hybridMultilevel"/>
    <w:tmpl w:val="28D0F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71A2D72"/>
    <w:multiLevelType w:val="hybridMultilevel"/>
    <w:tmpl w:val="4F6C5D3C"/>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CA7051"/>
    <w:multiLevelType w:val="hybridMultilevel"/>
    <w:tmpl w:val="8B50E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EB5D3E"/>
    <w:multiLevelType w:val="hybridMultilevel"/>
    <w:tmpl w:val="A0AC7D52"/>
    <w:lvl w:ilvl="0" w:tplc="03B6B578">
      <w:start w:val="1"/>
      <w:numFmt w:val="lowerLetter"/>
      <w:lvlText w:val="(%1)"/>
      <w:lvlJc w:val="left"/>
      <w:pPr>
        <w:ind w:left="360" w:hanging="360"/>
      </w:pPr>
      <w:rPr>
        <w:rFonts w:hint="default"/>
        <w:b/>
        <w:color w:val="C8720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8D15DB1"/>
    <w:multiLevelType w:val="hybridMultilevel"/>
    <w:tmpl w:val="512E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327D46"/>
    <w:multiLevelType w:val="hybridMultilevel"/>
    <w:tmpl w:val="875E9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EB2138"/>
    <w:multiLevelType w:val="hybridMultilevel"/>
    <w:tmpl w:val="6C8CC70A"/>
    <w:lvl w:ilvl="0" w:tplc="03B6B578">
      <w:start w:val="1"/>
      <w:numFmt w:val="lowerLetter"/>
      <w:lvlText w:val="(%1)"/>
      <w:lvlJc w:val="left"/>
      <w:pPr>
        <w:ind w:left="360" w:hanging="360"/>
      </w:pPr>
      <w:rPr>
        <w:rFonts w:hint="default"/>
        <w:b/>
        <w:color w:val="C8720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B061229"/>
    <w:multiLevelType w:val="hybridMultilevel"/>
    <w:tmpl w:val="BD40B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A367E4"/>
    <w:multiLevelType w:val="hybridMultilevel"/>
    <w:tmpl w:val="A718CF94"/>
    <w:lvl w:ilvl="0" w:tplc="50E6EC94">
      <w:start w:val="1"/>
      <w:numFmt w:val="lowerRoman"/>
      <w:lvlText w:val="(%1)"/>
      <w:lvlJc w:val="left"/>
      <w:pPr>
        <w:ind w:left="1854" w:hanging="72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7" w15:restartNumberingAfterBreak="0">
    <w:nsid w:val="70343D5C"/>
    <w:multiLevelType w:val="hybridMultilevel"/>
    <w:tmpl w:val="B9CC806C"/>
    <w:lvl w:ilvl="0" w:tplc="2D708006">
      <w:start w:val="1"/>
      <w:numFmt w:val="lowerLetter"/>
      <w:lvlText w:val="(%1)"/>
      <w:lvlJc w:val="left"/>
      <w:pPr>
        <w:ind w:left="360" w:hanging="360"/>
      </w:pPr>
      <w:rPr>
        <w:rFonts w:hint="default"/>
        <w:b/>
        <w:color w:val="C872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22F4DD0"/>
    <w:multiLevelType w:val="hybridMultilevel"/>
    <w:tmpl w:val="D118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D67F8D"/>
    <w:multiLevelType w:val="hybridMultilevel"/>
    <w:tmpl w:val="468E1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772928BC"/>
    <w:multiLevelType w:val="hybridMultilevel"/>
    <w:tmpl w:val="EFE6E3F6"/>
    <w:lvl w:ilvl="0" w:tplc="AD9CB4D6">
      <w:start w:val="1"/>
      <w:numFmt w:val="lowerLetter"/>
      <w:pStyle w:val="Heading7"/>
      <w:lvlText w:val="(%1)"/>
      <w:lvlJc w:val="left"/>
      <w:pPr>
        <w:ind w:left="717" w:hanging="360"/>
      </w:pPr>
      <w:rPr>
        <w:rFonts w:hint="default"/>
        <w:b/>
        <w:color w:val="C8720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1" w15:restartNumberingAfterBreak="0">
    <w:nsid w:val="796B5E58"/>
    <w:multiLevelType w:val="hybridMultilevel"/>
    <w:tmpl w:val="81E83450"/>
    <w:lvl w:ilvl="0" w:tplc="F23A43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A5E492A"/>
    <w:multiLevelType w:val="hybridMultilevel"/>
    <w:tmpl w:val="616285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D99187E"/>
    <w:multiLevelType w:val="hybridMultilevel"/>
    <w:tmpl w:val="0A269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F13619F"/>
    <w:multiLevelType w:val="hybridMultilevel"/>
    <w:tmpl w:val="7506D840"/>
    <w:lvl w:ilvl="0" w:tplc="AAECA3B8">
      <w:start w:val="1"/>
      <w:numFmt w:val="bullet"/>
      <w:lvlText w:val=""/>
      <w:lvlJc w:val="left"/>
      <w:pPr>
        <w:ind w:left="360" w:hanging="360"/>
      </w:pPr>
      <w:rPr>
        <w:rFonts w:ascii="Wingdings" w:hAnsi="Wingdings" w:hint="default"/>
        <w:b/>
        <w:i w:val="0"/>
        <w:color w:val="4D738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7"/>
  </w:num>
  <w:num w:numId="2">
    <w:abstractNumId w:val="13"/>
  </w:num>
  <w:num w:numId="3">
    <w:abstractNumId w:val="53"/>
  </w:num>
  <w:num w:numId="4">
    <w:abstractNumId w:val="27"/>
  </w:num>
  <w:num w:numId="5">
    <w:abstractNumId w:val="21"/>
  </w:num>
  <w:num w:numId="6">
    <w:abstractNumId w:val="62"/>
  </w:num>
  <w:num w:numId="7">
    <w:abstractNumId w:val="25"/>
  </w:num>
  <w:num w:numId="8">
    <w:abstractNumId w:val="61"/>
  </w:num>
  <w:num w:numId="9">
    <w:abstractNumId w:val="14"/>
  </w:num>
  <w:num w:numId="10">
    <w:abstractNumId w:val="16"/>
  </w:num>
  <w:num w:numId="11">
    <w:abstractNumId w:val="0"/>
  </w:num>
  <w:num w:numId="12">
    <w:abstractNumId w:val="58"/>
  </w:num>
  <w:num w:numId="13">
    <w:abstractNumId w:val="43"/>
  </w:num>
  <w:num w:numId="14">
    <w:abstractNumId w:val="29"/>
  </w:num>
  <w:num w:numId="15">
    <w:abstractNumId w:val="3"/>
  </w:num>
  <w:num w:numId="16">
    <w:abstractNumId w:val="48"/>
  </w:num>
  <w:num w:numId="17">
    <w:abstractNumId w:val="33"/>
  </w:num>
  <w:num w:numId="18">
    <w:abstractNumId w:val="32"/>
  </w:num>
  <w:num w:numId="19">
    <w:abstractNumId w:val="30"/>
  </w:num>
  <w:num w:numId="20">
    <w:abstractNumId w:val="50"/>
  </w:num>
  <w:num w:numId="21">
    <w:abstractNumId w:val="28"/>
  </w:num>
  <w:num w:numId="22">
    <w:abstractNumId w:val="1"/>
  </w:num>
  <w:num w:numId="23">
    <w:abstractNumId w:val="64"/>
  </w:num>
  <w:num w:numId="24">
    <w:abstractNumId w:val="18"/>
  </w:num>
  <w:num w:numId="25">
    <w:abstractNumId w:val="38"/>
  </w:num>
  <w:num w:numId="26">
    <w:abstractNumId w:val="15"/>
  </w:num>
  <w:num w:numId="27">
    <w:abstractNumId w:val="59"/>
  </w:num>
  <w:num w:numId="28">
    <w:abstractNumId w:val="26"/>
  </w:num>
  <w:num w:numId="29">
    <w:abstractNumId w:val="42"/>
  </w:num>
  <w:num w:numId="30">
    <w:abstractNumId w:val="63"/>
  </w:num>
  <w:num w:numId="31">
    <w:abstractNumId w:val="41"/>
  </w:num>
  <w:num w:numId="32">
    <w:abstractNumId w:val="55"/>
  </w:num>
  <w:num w:numId="33">
    <w:abstractNumId w:val="11"/>
  </w:num>
  <w:num w:numId="34">
    <w:abstractNumId w:val="31"/>
  </w:num>
  <w:num w:numId="35">
    <w:abstractNumId w:val="24"/>
  </w:num>
  <w:num w:numId="36">
    <w:abstractNumId w:val="20"/>
  </w:num>
  <w:num w:numId="37">
    <w:abstractNumId w:val="56"/>
  </w:num>
  <w:num w:numId="38">
    <w:abstractNumId w:val="40"/>
  </w:num>
  <w:num w:numId="39">
    <w:abstractNumId w:val="57"/>
  </w:num>
  <w:num w:numId="40">
    <w:abstractNumId w:val="12"/>
  </w:num>
  <w:num w:numId="41">
    <w:abstractNumId w:val="19"/>
  </w:num>
  <w:num w:numId="42">
    <w:abstractNumId w:val="60"/>
  </w:num>
  <w:num w:numId="43">
    <w:abstractNumId w:val="10"/>
  </w:num>
  <w:num w:numId="44">
    <w:abstractNumId w:val="52"/>
  </w:num>
  <w:num w:numId="45">
    <w:abstractNumId w:val="44"/>
  </w:num>
  <w:num w:numId="46">
    <w:abstractNumId w:val="5"/>
  </w:num>
  <w:num w:numId="47">
    <w:abstractNumId w:val="6"/>
  </w:num>
  <w:num w:numId="48">
    <w:abstractNumId w:val="34"/>
  </w:num>
  <w:num w:numId="49">
    <w:abstractNumId w:val="9"/>
  </w:num>
  <w:num w:numId="50">
    <w:abstractNumId w:val="54"/>
  </w:num>
  <w:num w:numId="51">
    <w:abstractNumId w:val="51"/>
  </w:num>
  <w:num w:numId="52">
    <w:abstractNumId w:val="7"/>
  </w:num>
  <w:num w:numId="53">
    <w:abstractNumId w:val="39"/>
  </w:num>
  <w:num w:numId="54">
    <w:abstractNumId w:val="37"/>
  </w:num>
  <w:num w:numId="55">
    <w:abstractNumId w:val="23"/>
  </w:num>
  <w:num w:numId="56">
    <w:abstractNumId w:val="45"/>
  </w:num>
  <w:num w:numId="57">
    <w:abstractNumId w:val="2"/>
  </w:num>
  <w:num w:numId="58">
    <w:abstractNumId w:val="22"/>
  </w:num>
  <w:num w:numId="59">
    <w:abstractNumId w:val="35"/>
  </w:num>
  <w:num w:numId="60">
    <w:abstractNumId w:val="36"/>
  </w:num>
  <w:num w:numId="61">
    <w:abstractNumId w:val="49"/>
  </w:num>
  <w:num w:numId="62">
    <w:abstractNumId w:val="8"/>
  </w:num>
  <w:num w:numId="63">
    <w:abstractNumId w:val="46"/>
  </w:num>
  <w:num w:numId="64">
    <w:abstractNumId w:val="17"/>
  </w:num>
  <w:num w:numId="65">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B8"/>
    <w:rsid w:val="000019E7"/>
    <w:rsid w:val="00002249"/>
    <w:rsid w:val="00002A24"/>
    <w:rsid w:val="00004E53"/>
    <w:rsid w:val="00006D80"/>
    <w:rsid w:val="000071CD"/>
    <w:rsid w:val="000075FF"/>
    <w:rsid w:val="000140CE"/>
    <w:rsid w:val="00014A58"/>
    <w:rsid w:val="00014B32"/>
    <w:rsid w:val="00014C6F"/>
    <w:rsid w:val="000173A1"/>
    <w:rsid w:val="00024803"/>
    <w:rsid w:val="00024A80"/>
    <w:rsid w:val="00025B14"/>
    <w:rsid w:val="000277C6"/>
    <w:rsid w:val="00027873"/>
    <w:rsid w:val="00031391"/>
    <w:rsid w:val="0003197A"/>
    <w:rsid w:val="00032002"/>
    <w:rsid w:val="00032329"/>
    <w:rsid w:val="00034403"/>
    <w:rsid w:val="00035BF8"/>
    <w:rsid w:val="00036BBA"/>
    <w:rsid w:val="0004078C"/>
    <w:rsid w:val="00040BA9"/>
    <w:rsid w:val="00040C3E"/>
    <w:rsid w:val="00044355"/>
    <w:rsid w:val="0004448F"/>
    <w:rsid w:val="00044B6A"/>
    <w:rsid w:val="00044C17"/>
    <w:rsid w:val="00045A63"/>
    <w:rsid w:val="000460CB"/>
    <w:rsid w:val="00047223"/>
    <w:rsid w:val="00047AD3"/>
    <w:rsid w:val="00050FC8"/>
    <w:rsid w:val="0005138E"/>
    <w:rsid w:val="000513EB"/>
    <w:rsid w:val="0005237A"/>
    <w:rsid w:val="00052393"/>
    <w:rsid w:val="000544B9"/>
    <w:rsid w:val="000544F9"/>
    <w:rsid w:val="000625B4"/>
    <w:rsid w:val="000631EE"/>
    <w:rsid w:val="000642BF"/>
    <w:rsid w:val="00064630"/>
    <w:rsid w:val="00065D97"/>
    <w:rsid w:val="00067AF8"/>
    <w:rsid w:val="000726FF"/>
    <w:rsid w:val="000728B3"/>
    <w:rsid w:val="0007364E"/>
    <w:rsid w:val="00074E90"/>
    <w:rsid w:val="000751FD"/>
    <w:rsid w:val="00075CFE"/>
    <w:rsid w:val="000779BE"/>
    <w:rsid w:val="00080C79"/>
    <w:rsid w:val="0008148F"/>
    <w:rsid w:val="00081750"/>
    <w:rsid w:val="00081FCA"/>
    <w:rsid w:val="00082100"/>
    <w:rsid w:val="00082693"/>
    <w:rsid w:val="00084240"/>
    <w:rsid w:val="000851D3"/>
    <w:rsid w:val="000903A8"/>
    <w:rsid w:val="00093730"/>
    <w:rsid w:val="000937CF"/>
    <w:rsid w:val="00096B7A"/>
    <w:rsid w:val="00097D28"/>
    <w:rsid w:val="000A0E3C"/>
    <w:rsid w:val="000A5CF0"/>
    <w:rsid w:val="000A5E43"/>
    <w:rsid w:val="000A5F9A"/>
    <w:rsid w:val="000A63E2"/>
    <w:rsid w:val="000A7FDA"/>
    <w:rsid w:val="000B07A3"/>
    <w:rsid w:val="000B3D9A"/>
    <w:rsid w:val="000B465C"/>
    <w:rsid w:val="000B4711"/>
    <w:rsid w:val="000B5171"/>
    <w:rsid w:val="000B5D88"/>
    <w:rsid w:val="000B6850"/>
    <w:rsid w:val="000B6EC4"/>
    <w:rsid w:val="000B71A1"/>
    <w:rsid w:val="000C28AE"/>
    <w:rsid w:val="000C2A2B"/>
    <w:rsid w:val="000C3BA5"/>
    <w:rsid w:val="000C4A9C"/>
    <w:rsid w:val="000C595C"/>
    <w:rsid w:val="000C6E5A"/>
    <w:rsid w:val="000C6F8B"/>
    <w:rsid w:val="000C73A0"/>
    <w:rsid w:val="000D041D"/>
    <w:rsid w:val="000D112E"/>
    <w:rsid w:val="000D1335"/>
    <w:rsid w:val="000D3DFC"/>
    <w:rsid w:val="000D4D3F"/>
    <w:rsid w:val="000D5654"/>
    <w:rsid w:val="000E065F"/>
    <w:rsid w:val="000E07F2"/>
    <w:rsid w:val="000E132A"/>
    <w:rsid w:val="000E366E"/>
    <w:rsid w:val="000E3877"/>
    <w:rsid w:val="000E56EC"/>
    <w:rsid w:val="000E5EB6"/>
    <w:rsid w:val="000F1717"/>
    <w:rsid w:val="000F2D3C"/>
    <w:rsid w:val="000F2F5A"/>
    <w:rsid w:val="000F3D72"/>
    <w:rsid w:val="000F4C50"/>
    <w:rsid w:val="000F59F0"/>
    <w:rsid w:val="000F651B"/>
    <w:rsid w:val="00101DEC"/>
    <w:rsid w:val="00103906"/>
    <w:rsid w:val="00104548"/>
    <w:rsid w:val="00105971"/>
    <w:rsid w:val="00106780"/>
    <w:rsid w:val="001070F0"/>
    <w:rsid w:val="00110AD8"/>
    <w:rsid w:val="00111024"/>
    <w:rsid w:val="00111135"/>
    <w:rsid w:val="00113CC2"/>
    <w:rsid w:val="0011430B"/>
    <w:rsid w:val="00115464"/>
    <w:rsid w:val="00115BBC"/>
    <w:rsid w:val="001174A0"/>
    <w:rsid w:val="00120224"/>
    <w:rsid w:val="00120B13"/>
    <w:rsid w:val="00122F1A"/>
    <w:rsid w:val="0012318E"/>
    <w:rsid w:val="0012334E"/>
    <w:rsid w:val="00124944"/>
    <w:rsid w:val="00125432"/>
    <w:rsid w:val="00125791"/>
    <w:rsid w:val="00127010"/>
    <w:rsid w:val="00133551"/>
    <w:rsid w:val="00134046"/>
    <w:rsid w:val="00134D27"/>
    <w:rsid w:val="00135123"/>
    <w:rsid w:val="0013552E"/>
    <w:rsid w:val="00135F92"/>
    <w:rsid w:val="00142265"/>
    <w:rsid w:val="00146378"/>
    <w:rsid w:val="00147351"/>
    <w:rsid w:val="00150501"/>
    <w:rsid w:val="00150780"/>
    <w:rsid w:val="0015191C"/>
    <w:rsid w:val="001519C6"/>
    <w:rsid w:val="00151A0A"/>
    <w:rsid w:val="00151B0D"/>
    <w:rsid w:val="00151CBC"/>
    <w:rsid w:val="00154002"/>
    <w:rsid w:val="00154C7D"/>
    <w:rsid w:val="00157438"/>
    <w:rsid w:val="00157E7A"/>
    <w:rsid w:val="0016194B"/>
    <w:rsid w:val="00162760"/>
    <w:rsid w:val="0016350A"/>
    <w:rsid w:val="00164144"/>
    <w:rsid w:val="00164F62"/>
    <w:rsid w:val="00165646"/>
    <w:rsid w:val="001672A2"/>
    <w:rsid w:val="00167588"/>
    <w:rsid w:val="0017140D"/>
    <w:rsid w:val="00171475"/>
    <w:rsid w:val="0017168D"/>
    <w:rsid w:val="0017180C"/>
    <w:rsid w:val="00172790"/>
    <w:rsid w:val="00173FB5"/>
    <w:rsid w:val="001762DF"/>
    <w:rsid w:val="00177148"/>
    <w:rsid w:val="00180E97"/>
    <w:rsid w:val="0018110F"/>
    <w:rsid w:val="00182EC6"/>
    <w:rsid w:val="001849D3"/>
    <w:rsid w:val="00184FFF"/>
    <w:rsid w:val="00185424"/>
    <w:rsid w:val="00186FB5"/>
    <w:rsid w:val="0018769B"/>
    <w:rsid w:val="00190585"/>
    <w:rsid w:val="0019095C"/>
    <w:rsid w:val="00190C95"/>
    <w:rsid w:val="00191BF9"/>
    <w:rsid w:val="00192A82"/>
    <w:rsid w:val="00192F33"/>
    <w:rsid w:val="0019601E"/>
    <w:rsid w:val="00196F72"/>
    <w:rsid w:val="00197402"/>
    <w:rsid w:val="001A1C9E"/>
    <w:rsid w:val="001A512C"/>
    <w:rsid w:val="001A59F9"/>
    <w:rsid w:val="001A6272"/>
    <w:rsid w:val="001B0409"/>
    <w:rsid w:val="001B1F22"/>
    <w:rsid w:val="001B3795"/>
    <w:rsid w:val="001B57DF"/>
    <w:rsid w:val="001B5D7A"/>
    <w:rsid w:val="001C171F"/>
    <w:rsid w:val="001C19E6"/>
    <w:rsid w:val="001C234F"/>
    <w:rsid w:val="001C2958"/>
    <w:rsid w:val="001C2EAC"/>
    <w:rsid w:val="001C43B1"/>
    <w:rsid w:val="001C5C9B"/>
    <w:rsid w:val="001C72A6"/>
    <w:rsid w:val="001D058E"/>
    <w:rsid w:val="001D0DC0"/>
    <w:rsid w:val="001D1A36"/>
    <w:rsid w:val="001D1A50"/>
    <w:rsid w:val="001D41BF"/>
    <w:rsid w:val="001D5570"/>
    <w:rsid w:val="001D69C3"/>
    <w:rsid w:val="001D6AD0"/>
    <w:rsid w:val="001D74B3"/>
    <w:rsid w:val="001D77D8"/>
    <w:rsid w:val="001E0BF2"/>
    <w:rsid w:val="001E36B8"/>
    <w:rsid w:val="001E3BD0"/>
    <w:rsid w:val="001E6B31"/>
    <w:rsid w:val="001E7CF5"/>
    <w:rsid w:val="001F0605"/>
    <w:rsid w:val="001F11FD"/>
    <w:rsid w:val="001F1ABD"/>
    <w:rsid w:val="001F4C00"/>
    <w:rsid w:val="001F5416"/>
    <w:rsid w:val="001F6802"/>
    <w:rsid w:val="001F6FEE"/>
    <w:rsid w:val="001F72A8"/>
    <w:rsid w:val="00200D09"/>
    <w:rsid w:val="0020245C"/>
    <w:rsid w:val="0020340C"/>
    <w:rsid w:val="00203AF2"/>
    <w:rsid w:val="002045D5"/>
    <w:rsid w:val="00204AD9"/>
    <w:rsid w:val="00206064"/>
    <w:rsid w:val="002071B3"/>
    <w:rsid w:val="00207550"/>
    <w:rsid w:val="00207BBA"/>
    <w:rsid w:val="0021194B"/>
    <w:rsid w:val="00212819"/>
    <w:rsid w:val="00212CA9"/>
    <w:rsid w:val="002149F0"/>
    <w:rsid w:val="00214AE6"/>
    <w:rsid w:val="00214E7F"/>
    <w:rsid w:val="00215154"/>
    <w:rsid w:val="00216BE4"/>
    <w:rsid w:val="00216E10"/>
    <w:rsid w:val="0022002B"/>
    <w:rsid w:val="00221C5A"/>
    <w:rsid w:val="00224DA0"/>
    <w:rsid w:val="00225994"/>
    <w:rsid w:val="002261E2"/>
    <w:rsid w:val="00230B26"/>
    <w:rsid w:val="00230F4A"/>
    <w:rsid w:val="00231136"/>
    <w:rsid w:val="0023209B"/>
    <w:rsid w:val="0023380F"/>
    <w:rsid w:val="00233DAA"/>
    <w:rsid w:val="00235C48"/>
    <w:rsid w:val="00235E45"/>
    <w:rsid w:val="002378C2"/>
    <w:rsid w:val="00241AFB"/>
    <w:rsid w:val="00242901"/>
    <w:rsid w:val="00244588"/>
    <w:rsid w:val="00245237"/>
    <w:rsid w:val="00250140"/>
    <w:rsid w:val="00251106"/>
    <w:rsid w:val="00251545"/>
    <w:rsid w:val="00252AA8"/>
    <w:rsid w:val="00253442"/>
    <w:rsid w:val="002543EE"/>
    <w:rsid w:val="002556FE"/>
    <w:rsid w:val="002562B6"/>
    <w:rsid w:val="002564D6"/>
    <w:rsid w:val="00260D05"/>
    <w:rsid w:val="00262080"/>
    <w:rsid w:val="00264E18"/>
    <w:rsid w:val="002659EF"/>
    <w:rsid w:val="00266388"/>
    <w:rsid w:val="0027059F"/>
    <w:rsid w:val="00272054"/>
    <w:rsid w:val="002748E6"/>
    <w:rsid w:val="002753FE"/>
    <w:rsid w:val="0027780B"/>
    <w:rsid w:val="002808EF"/>
    <w:rsid w:val="002830D8"/>
    <w:rsid w:val="0028379C"/>
    <w:rsid w:val="00284135"/>
    <w:rsid w:val="00284CCD"/>
    <w:rsid w:val="0028565B"/>
    <w:rsid w:val="00285982"/>
    <w:rsid w:val="00286C73"/>
    <w:rsid w:val="00286E25"/>
    <w:rsid w:val="002877FE"/>
    <w:rsid w:val="00287AA1"/>
    <w:rsid w:val="002912F7"/>
    <w:rsid w:val="00291B17"/>
    <w:rsid w:val="00292235"/>
    <w:rsid w:val="00293B84"/>
    <w:rsid w:val="0029488D"/>
    <w:rsid w:val="00294B25"/>
    <w:rsid w:val="00294F82"/>
    <w:rsid w:val="002950E5"/>
    <w:rsid w:val="0029585B"/>
    <w:rsid w:val="00297FBC"/>
    <w:rsid w:val="002A0225"/>
    <w:rsid w:val="002A0994"/>
    <w:rsid w:val="002A1A3A"/>
    <w:rsid w:val="002A3318"/>
    <w:rsid w:val="002A5FAC"/>
    <w:rsid w:val="002A6BAE"/>
    <w:rsid w:val="002A7526"/>
    <w:rsid w:val="002B08A7"/>
    <w:rsid w:val="002B1B80"/>
    <w:rsid w:val="002B2571"/>
    <w:rsid w:val="002B2DC5"/>
    <w:rsid w:val="002B766D"/>
    <w:rsid w:val="002C0324"/>
    <w:rsid w:val="002C099A"/>
    <w:rsid w:val="002C266D"/>
    <w:rsid w:val="002C34DB"/>
    <w:rsid w:val="002C36D2"/>
    <w:rsid w:val="002C3F93"/>
    <w:rsid w:val="002C423C"/>
    <w:rsid w:val="002C4B13"/>
    <w:rsid w:val="002C5CDC"/>
    <w:rsid w:val="002C7309"/>
    <w:rsid w:val="002C77C1"/>
    <w:rsid w:val="002D151E"/>
    <w:rsid w:val="002D19DE"/>
    <w:rsid w:val="002D4363"/>
    <w:rsid w:val="002D4EA0"/>
    <w:rsid w:val="002E0721"/>
    <w:rsid w:val="002E3542"/>
    <w:rsid w:val="002E46DA"/>
    <w:rsid w:val="002E64AD"/>
    <w:rsid w:val="002E74FA"/>
    <w:rsid w:val="002E7E66"/>
    <w:rsid w:val="002F06D9"/>
    <w:rsid w:val="002F0F97"/>
    <w:rsid w:val="002F1FB5"/>
    <w:rsid w:val="002F28D6"/>
    <w:rsid w:val="002F672A"/>
    <w:rsid w:val="002F7486"/>
    <w:rsid w:val="00301AF2"/>
    <w:rsid w:val="00303B6D"/>
    <w:rsid w:val="00305F9D"/>
    <w:rsid w:val="00306A75"/>
    <w:rsid w:val="00306CF0"/>
    <w:rsid w:val="003102DF"/>
    <w:rsid w:val="003117DA"/>
    <w:rsid w:val="00317380"/>
    <w:rsid w:val="003177AB"/>
    <w:rsid w:val="00317CB3"/>
    <w:rsid w:val="00322635"/>
    <w:rsid w:val="00323834"/>
    <w:rsid w:val="003238FA"/>
    <w:rsid w:val="003251A1"/>
    <w:rsid w:val="0032610A"/>
    <w:rsid w:val="003262CD"/>
    <w:rsid w:val="00327139"/>
    <w:rsid w:val="0032790E"/>
    <w:rsid w:val="003312DC"/>
    <w:rsid w:val="00331F53"/>
    <w:rsid w:val="00334030"/>
    <w:rsid w:val="003357C0"/>
    <w:rsid w:val="00335F9B"/>
    <w:rsid w:val="00336D1B"/>
    <w:rsid w:val="00342086"/>
    <w:rsid w:val="00342670"/>
    <w:rsid w:val="00344D14"/>
    <w:rsid w:val="00344EFA"/>
    <w:rsid w:val="00350700"/>
    <w:rsid w:val="00350D14"/>
    <w:rsid w:val="00351799"/>
    <w:rsid w:val="00352F37"/>
    <w:rsid w:val="003542F5"/>
    <w:rsid w:val="0035600A"/>
    <w:rsid w:val="00356FB9"/>
    <w:rsid w:val="00360F0D"/>
    <w:rsid w:val="00360F8F"/>
    <w:rsid w:val="003628F2"/>
    <w:rsid w:val="00363343"/>
    <w:rsid w:val="00370167"/>
    <w:rsid w:val="00371E99"/>
    <w:rsid w:val="00372C25"/>
    <w:rsid w:val="00376120"/>
    <w:rsid w:val="003764BC"/>
    <w:rsid w:val="0038095E"/>
    <w:rsid w:val="00381E48"/>
    <w:rsid w:val="003825E6"/>
    <w:rsid w:val="00387062"/>
    <w:rsid w:val="00387F9B"/>
    <w:rsid w:val="00390C9C"/>
    <w:rsid w:val="0039231F"/>
    <w:rsid w:val="00394664"/>
    <w:rsid w:val="003949BB"/>
    <w:rsid w:val="00395377"/>
    <w:rsid w:val="00395615"/>
    <w:rsid w:val="00396688"/>
    <w:rsid w:val="00396B7A"/>
    <w:rsid w:val="003976CF"/>
    <w:rsid w:val="003A0845"/>
    <w:rsid w:val="003A2E29"/>
    <w:rsid w:val="003B28B8"/>
    <w:rsid w:val="003B5492"/>
    <w:rsid w:val="003B55FB"/>
    <w:rsid w:val="003B5AE8"/>
    <w:rsid w:val="003B789D"/>
    <w:rsid w:val="003C0D23"/>
    <w:rsid w:val="003C3428"/>
    <w:rsid w:val="003C6119"/>
    <w:rsid w:val="003D06FE"/>
    <w:rsid w:val="003D2C17"/>
    <w:rsid w:val="003D3DEE"/>
    <w:rsid w:val="003D4E9F"/>
    <w:rsid w:val="003D4FA0"/>
    <w:rsid w:val="003D65BC"/>
    <w:rsid w:val="003E03D1"/>
    <w:rsid w:val="003E266D"/>
    <w:rsid w:val="003E3FEB"/>
    <w:rsid w:val="003E41A5"/>
    <w:rsid w:val="003E5B61"/>
    <w:rsid w:val="003E611C"/>
    <w:rsid w:val="003E64AB"/>
    <w:rsid w:val="003E7B35"/>
    <w:rsid w:val="003F56DA"/>
    <w:rsid w:val="003F6C1C"/>
    <w:rsid w:val="004003D7"/>
    <w:rsid w:val="004034F6"/>
    <w:rsid w:val="00403540"/>
    <w:rsid w:val="00404CD2"/>
    <w:rsid w:val="00406183"/>
    <w:rsid w:val="004061A4"/>
    <w:rsid w:val="00406EA1"/>
    <w:rsid w:val="00410F3D"/>
    <w:rsid w:val="00412A7C"/>
    <w:rsid w:val="004130AA"/>
    <w:rsid w:val="00415D70"/>
    <w:rsid w:val="00415D7A"/>
    <w:rsid w:val="004170B6"/>
    <w:rsid w:val="00417B4E"/>
    <w:rsid w:val="00420001"/>
    <w:rsid w:val="0042088A"/>
    <w:rsid w:val="00421F88"/>
    <w:rsid w:val="00422976"/>
    <w:rsid w:val="00423377"/>
    <w:rsid w:val="00423B3D"/>
    <w:rsid w:val="00430058"/>
    <w:rsid w:val="00431FE7"/>
    <w:rsid w:val="00432C1F"/>
    <w:rsid w:val="00434703"/>
    <w:rsid w:val="004347F9"/>
    <w:rsid w:val="00434E2B"/>
    <w:rsid w:val="00435EE4"/>
    <w:rsid w:val="00437745"/>
    <w:rsid w:val="0044049C"/>
    <w:rsid w:val="00440683"/>
    <w:rsid w:val="004450A3"/>
    <w:rsid w:val="0044606D"/>
    <w:rsid w:val="00446D71"/>
    <w:rsid w:val="00447804"/>
    <w:rsid w:val="00453257"/>
    <w:rsid w:val="0045328A"/>
    <w:rsid w:val="004555E9"/>
    <w:rsid w:val="004556E2"/>
    <w:rsid w:val="00456797"/>
    <w:rsid w:val="00462EBD"/>
    <w:rsid w:val="00464546"/>
    <w:rsid w:val="00464CB9"/>
    <w:rsid w:val="004652F3"/>
    <w:rsid w:val="00465826"/>
    <w:rsid w:val="00465F3A"/>
    <w:rsid w:val="00471775"/>
    <w:rsid w:val="004721C9"/>
    <w:rsid w:val="004730D9"/>
    <w:rsid w:val="004751F3"/>
    <w:rsid w:val="004756AD"/>
    <w:rsid w:val="00477811"/>
    <w:rsid w:val="00477897"/>
    <w:rsid w:val="0048017E"/>
    <w:rsid w:val="004828DC"/>
    <w:rsid w:val="00482E10"/>
    <w:rsid w:val="0048326B"/>
    <w:rsid w:val="004837DF"/>
    <w:rsid w:val="00483966"/>
    <w:rsid w:val="00483CA5"/>
    <w:rsid w:val="00485D60"/>
    <w:rsid w:val="0048754E"/>
    <w:rsid w:val="0049123F"/>
    <w:rsid w:val="004919A5"/>
    <w:rsid w:val="00493023"/>
    <w:rsid w:val="00493DEE"/>
    <w:rsid w:val="00494931"/>
    <w:rsid w:val="00496C97"/>
    <w:rsid w:val="004A1269"/>
    <w:rsid w:val="004A1BDA"/>
    <w:rsid w:val="004A1BFC"/>
    <w:rsid w:val="004A24E2"/>
    <w:rsid w:val="004A7A41"/>
    <w:rsid w:val="004B0335"/>
    <w:rsid w:val="004B0414"/>
    <w:rsid w:val="004B0975"/>
    <w:rsid w:val="004B3208"/>
    <w:rsid w:val="004B3F9C"/>
    <w:rsid w:val="004B488F"/>
    <w:rsid w:val="004B7CDE"/>
    <w:rsid w:val="004C1393"/>
    <w:rsid w:val="004C17D9"/>
    <w:rsid w:val="004C1EC2"/>
    <w:rsid w:val="004C2A35"/>
    <w:rsid w:val="004C44ED"/>
    <w:rsid w:val="004C5C6E"/>
    <w:rsid w:val="004C78EE"/>
    <w:rsid w:val="004D041B"/>
    <w:rsid w:val="004D186F"/>
    <w:rsid w:val="004D2396"/>
    <w:rsid w:val="004D40AE"/>
    <w:rsid w:val="004D7602"/>
    <w:rsid w:val="004E0352"/>
    <w:rsid w:val="004E03F6"/>
    <w:rsid w:val="004E14C5"/>
    <w:rsid w:val="004E167F"/>
    <w:rsid w:val="004F05C5"/>
    <w:rsid w:val="004F135C"/>
    <w:rsid w:val="004F2BD3"/>
    <w:rsid w:val="004F31C4"/>
    <w:rsid w:val="004F3B8E"/>
    <w:rsid w:val="004F4B7D"/>
    <w:rsid w:val="004F4C61"/>
    <w:rsid w:val="004F60E5"/>
    <w:rsid w:val="004F7963"/>
    <w:rsid w:val="00502B74"/>
    <w:rsid w:val="00510F02"/>
    <w:rsid w:val="00510F97"/>
    <w:rsid w:val="00511D55"/>
    <w:rsid w:val="00511D99"/>
    <w:rsid w:val="00511DE5"/>
    <w:rsid w:val="0051231F"/>
    <w:rsid w:val="00512C5E"/>
    <w:rsid w:val="005131AB"/>
    <w:rsid w:val="0051384A"/>
    <w:rsid w:val="00514AB3"/>
    <w:rsid w:val="00514B9A"/>
    <w:rsid w:val="00514D8F"/>
    <w:rsid w:val="00517ACA"/>
    <w:rsid w:val="00523C54"/>
    <w:rsid w:val="00524E83"/>
    <w:rsid w:val="00525A77"/>
    <w:rsid w:val="005262EA"/>
    <w:rsid w:val="00526D92"/>
    <w:rsid w:val="005319FA"/>
    <w:rsid w:val="005321E6"/>
    <w:rsid w:val="00533E3C"/>
    <w:rsid w:val="00535A15"/>
    <w:rsid w:val="00535C6E"/>
    <w:rsid w:val="005367C3"/>
    <w:rsid w:val="00540EDE"/>
    <w:rsid w:val="00542EFC"/>
    <w:rsid w:val="005435FB"/>
    <w:rsid w:val="00543DD6"/>
    <w:rsid w:val="0054713D"/>
    <w:rsid w:val="00553A74"/>
    <w:rsid w:val="005541C9"/>
    <w:rsid w:val="005543E0"/>
    <w:rsid w:val="0055488A"/>
    <w:rsid w:val="00554F58"/>
    <w:rsid w:val="00555004"/>
    <w:rsid w:val="00556AAD"/>
    <w:rsid w:val="005579CD"/>
    <w:rsid w:val="0056316E"/>
    <w:rsid w:val="00564CB1"/>
    <w:rsid w:val="00565189"/>
    <w:rsid w:val="0056704F"/>
    <w:rsid w:val="00570455"/>
    <w:rsid w:val="00570463"/>
    <w:rsid w:val="00572574"/>
    <w:rsid w:val="00572C1F"/>
    <w:rsid w:val="00573446"/>
    <w:rsid w:val="00575C03"/>
    <w:rsid w:val="00576EEB"/>
    <w:rsid w:val="0057767C"/>
    <w:rsid w:val="0058145A"/>
    <w:rsid w:val="005829B0"/>
    <w:rsid w:val="0058300D"/>
    <w:rsid w:val="00584020"/>
    <w:rsid w:val="00585BCC"/>
    <w:rsid w:val="00587244"/>
    <w:rsid w:val="00590653"/>
    <w:rsid w:val="00590886"/>
    <w:rsid w:val="00591F93"/>
    <w:rsid w:val="00592602"/>
    <w:rsid w:val="00592759"/>
    <w:rsid w:val="00593FBA"/>
    <w:rsid w:val="00594281"/>
    <w:rsid w:val="00594ACF"/>
    <w:rsid w:val="0059512A"/>
    <w:rsid w:val="0059594C"/>
    <w:rsid w:val="00595BE4"/>
    <w:rsid w:val="00596995"/>
    <w:rsid w:val="00596C54"/>
    <w:rsid w:val="0059745D"/>
    <w:rsid w:val="005A49BC"/>
    <w:rsid w:val="005A51C7"/>
    <w:rsid w:val="005B18D8"/>
    <w:rsid w:val="005B2439"/>
    <w:rsid w:val="005B29AF"/>
    <w:rsid w:val="005B35EC"/>
    <w:rsid w:val="005B3C40"/>
    <w:rsid w:val="005C06AC"/>
    <w:rsid w:val="005C09C8"/>
    <w:rsid w:val="005C192C"/>
    <w:rsid w:val="005C1BB3"/>
    <w:rsid w:val="005C2EE6"/>
    <w:rsid w:val="005C41E9"/>
    <w:rsid w:val="005C66D2"/>
    <w:rsid w:val="005C6994"/>
    <w:rsid w:val="005C6AA3"/>
    <w:rsid w:val="005C77F4"/>
    <w:rsid w:val="005D3FEF"/>
    <w:rsid w:val="005D5C20"/>
    <w:rsid w:val="005D671F"/>
    <w:rsid w:val="005D6E89"/>
    <w:rsid w:val="005D7F6B"/>
    <w:rsid w:val="005E0EAF"/>
    <w:rsid w:val="005E272C"/>
    <w:rsid w:val="005E6B27"/>
    <w:rsid w:val="005E78FB"/>
    <w:rsid w:val="005F19CA"/>
    <w:rsid w:val="005F319C"/>
    <w:rsid w:val="005F36F7"/>
    <w:rsid w:val="005F3EA5"/>
    <w:rsid w:val="005F47C8"/>
    <w:rsid w:val="005F4C3A"/>
    <w:rsid w:val="005F5507"/>
    <w:rsid w:val="005F5817"/>
    <w:rsid w:val="005F624F"/>
    <w:rsid w:val="005F6C94"/>
    <w:rsid w:val="005F753B"/>
    <w:rsid w:val="00602116"/>
    <w:rsid w:val="00602C25"/>
    <w:rsid w:val="0060352A"/>
    <w:rsid w:val="006040BB"/>
    <w:rsid w:val="00604B4D"/>
    <w:rsid w:val="00606622"/>
    <w:rsid w:val="006106A7"/>
    <w:rsid w:val="00611991"/>
    <w:rsid w:val="00612891"/>
    <w:rsid w:val="006139A1"/>
    <w:rsid w:val="006150CB"/>
    <w:rsid w:val="0061514D"/>
    <w:rsid w:val="006158F6"/>
    <w:rsid w:val="00615FC5"/>
    <w:rsid w:val="006173B3"/>
    <w:rsid w:val="006200FD"/>
    <w:rsid w:val="006216EF"/>
    <w:rsid w:val="0062245F"/>
    <w:rsid w:val="00622D32"/>
    <w:rsid w:val="006237AA"/>
    <w:rsid w:val="00626C84"/>
    <w:rsid w:val="00627A98"/>
    <w:rsid w:val="00630749"/>
    <w:rsid w:val="006325C2"/>
    <w:rsid w:val="006336D6"/>
    <w:rsid w:val="00635C92"/>
    <w:rsid w:val="00636DF4"/>
    <w:rsid w:val="00636EB6"/>
    <w:rsid w:val="00640489"/>
    <w:rsid w:val="00641574"/>
    <w:rsid w:val="00642A51"/>
    <w:rsid w:val="00643413"/>
    <w:rsid w:val="00651072"/>
    <w:rsid w:val="006537F6"/>
    <w:rsid w:val="00653C39"/>
    <w:rsid w:val="00654597"/>
    <w:rsid w:val="00656694"/>
    <w:rsid w:val="006577E6"/>
    <w:rsid w:val="00657F9F"/>
    <w:rsid w:val="0066294E"/>
    <w:rsid w:val="00663E67"/>
    <w:rsid w:val="006647C1"/>
    <w:rsid w:val="0066515D"/>
    <w:rsid w:val="00665C8B"/>
    <w:rsid w:val="0066731D"/>
    <w:rsid w:val="006704F2"/>
    <w:rsid w:val="006713BA"/>
    <w:rsid w:val="0067288F"/>
    <w:rsid w:val="00674233"/>
    <w:rsid w:val="00674987"/>
    <w:rsid w:val="006770DB"/>
    <w:rsid w:val="00682312"/>
    <w:rsid w:val="00682D5D"/>
    <w:rsid w:val="00683090"/>
    <w:rsid w:val="006845DD"/>
    <w:rsid w:val="00687442"/>
    <w:rsid w:val="006911EE"/>
    <w:rsid w:val="00692783"/>
    <w:rsid w:val="0069300E"/>
    <w:rsid w:val="00696F3F"/>
    <w:rsid w:val="006970C6"/>
    <w:rsid w:val="00697505"/>
    <w:rsid w:val="006A1475"/>
    <w:rsid w:val="006A2246"/>
    <w:rsid w:val="006A3BB5"/>
    <w:rsid w:val="006A4B83"/>
    <w:rsid w:val="006A5180"/>
    <w:rsid w:val="006A7F49"/>
    <w:rsid w:val="006B1E8E"/>
    <w:rsid w:val="006B29EB"/>
    <w:rsid w:val="006B3093"/>
    <w:rsid w:val="006B5CD7"/>
    <w:rsid w:val="006B5F2E"/>
    <w:rsid w:val="006B76D2"/>
    <w:rsid w:val="006C1415"/>
    <w:rsid w:val="006C1D97"/>
    <w:rsid w:val="006C2E5F"/>
    <w:rsid w:val="006C3B4C"/>
    <w:rsid w:val="006C3CB7"/>
    <w:rsid w:val="006C3E52"/>
    <w:rsid w:val="006C4C36"/>
    <w:rsid w:val="006C53AE"/>
    <w:rsid w:val="006C6D43"/>
    <w:rsid w:val="006C7869"/>
    <w:rsid w:val="006D08AB"/>
    <w:rsid w:val="006D1A54"/>
    <w:rsid w:val="006D2B02"/>
    <w:rsid w:val="006D35F6"/>
    <w:rsid w:val="006D4BB6"/>
    <w:rsid w:val="006D5245"/>
    <w:rsid w:val="006D6492"/>
    <w:rsid w:val="006D7865"/>
    <w:rsid w:val="006E06CC"/>
    <w:rsid w:val="006E0AA1"/>
    <w:rsid w:val="006E6B23"/>
    <w:rsid w:val="006E7512"/>
    <w:rsid w:val="006F1BC3"/>
    <w:rsid w:val="006F1BFD"/>
    <w:rsid w:val="006F2A11"/>
    <w:rsid w:val="006F3C08"/>
    <w:rsid w:val="006F3E8B"/>
    <w:rsid w:val="006F4C5B"/>
    <w:rsid w:val="007006AF"/>
    <w:rsid w:val="0070366C"/>
    <w:rsid w:val="00703B33"/>
    <w:rsid w:val="00704DDE"/>
    <w:rsid w:val="00705FEC"/>
    <w:rsid w:val="00706ECF"/>
    <w:rsid w:val="007109C8"/>
    <w:rsid w:val="00710D89"/>
    <w:rsid w:val="00711F68"/>
    <w:rsid w:val="0071263D"/>
    <w:rsid w:val="00716FF1"/>
    <w:rsid w:val="00717532"/>
    <w:rsid w:val="0072034F"/>
    <w:rsid w:val="007204A0"/>
    <w:rsid w:val="0072074C"/>
    <w:rsid w:val="00721D65"/>
    <w:rsid w:val="0072335C"/>
    <w:rsid w:val="007237B8"/>
    <w:rsid w:val="007260FF"/>
    <w:rsid w:val="00726EDA"/>
    <w:rsid w:val="00727E91"/>
    <w:rsid w:val="00731FCE"/>
    <w:rsid w:val="007330EB"/>
    <w:rsid w:val="0073475A"/>
    <w:rsid w:val="007368A1"/>
    <w:rsid w:val="00736C87"/>
    <w:rsid w:val="007400A2"/>
    <w:rsid w:val="0074020C"/>
    <w:rsid w:val="00740332"/>
    <w:rsid w:val="00740A95"/>
    <w:rsid w:val="00741A9A"/>
    <w:rsid w:val="007442F1"/>
    <w:rsid w:val="00746A3C"/>
    <w:rsid w:val="00746EE5"/>
    <w:rsid w:val="0074738A"/>
    <w:rsid w:val="00755230"/>
    <w:rsid w:val="0075531E"/>
    <w:rsid w:val="00756063"/>
    <w:rsid w:val="007575B9"/>
    <w:rsid w:val="007603C7"/>
    <w:rsid w:val="007630B7"/>
    <w:rsid w:val="00763BB5"/>
    <w:rsid w:val="00763C87"/>
    <w:rsid w:val="00764251"/>
    <w:rsid w:val="00775F2F"/>
    <w:rsid w:val="00776373"/>
    <w:rsid w:val="007764F9"/>
    <w:rsid w:val="00776AC9"/>
    <w:rsid w:val="00776AE1"/>
    <w:rsid w:val="007832C1"/>
    <w:rsid w:val="00785E6E"/>
    <w:rsid w:val="00791F54"/>
    <w:rsid w:val="00795B7B"/>
    <w:rsid w:val="007963BD"/>
    <w:rsid w:val="007977EC"/>
    <w:rsid w:val="00797891"/>
    <w:rsid w:val="007A03C6"/>
    <w:rsid w:val="007A7B5B"/>
    <w:rsid w:val="007A7E10"/>
    <w:rsid w:val="007B0031"/>
    <w:rsid w:val="007B2FF3"/>
    <w:rsid w:val="007B3231"/>
    <w:rsid w:val="007B48F3"/>
    <w:rsid w:val="007B5043"/>
    <w:rsid w:val="007B540F"/>
    <w:rsid w:val="007B7DCB"/>
    <w:rsid w:val="007C0B40"/>
    <w:rsid w:val="007C21C1"/>
    <w:rsid w:val="007C2D44"/>
    <w:rsid w:val="007C4ED1"/>
    <w:rsid w:val="007C4FA7"/>
    <w:rsid w:val="007C7213"/>
    <w:rsid w:val="007C7E69"/>
    <w:rsid w:val="007D01AA"/>
    <w:rsid w:val="007D2B3B"/>
    <w:rsid w:val="007D4508"/>
    <w:rsid w:val="007D5374"/>
    <w:rsid w:val="007D5717"/>
    <w:rsid w:val="007D5AF5"/>
    <w:rsid w:val="007D6149"/>
    <w:rsid w:val="007D74D1"/>
    <w:rsid w:val="007E074E"/>
    <w:rsid w:val="007E19EA"/>
    <w:rsid w:val="007E1C07"/>
    <w:rsid w:val="007E268E"/>
    <w:rsid w:val="007E4476"/>
    <w:rsid w:val="007E64FF"/>
    <w:rsid w:val="007E726C"/>
    <w:rsid w:val="007E7B55"/>
    <w:rsid w:val="007F04B4"/>
    <w:rsid w:val="007F0A57"/>
    <w:rsid w:val="007F21CA"/>
    <w:rsid w:val="007F5056"/>
    <w:rsid w:val="007F5CA4"/>
    <w:rsid w:val="00801A05"/>
    <w:rsid w:val="00801CB6"/>
    <w:rsid w:val="00802E54"/>
    <w:rsid w:val="00804994"/>
    <w:rsid w:val="0080526F"/>
    <w:rsid w:val="00806395"/>
    <w:rsid w:val="00812484"/>
    <w:rsid w:val="00812724"/>
    <w:rsid w:val="00813193"/>
    <w:rsid w:val="00813735"/>
    <w:rsid w:val="008148EE"/>
    <w:rsid w:val="00814A2F"/>
    <w:rsid w:val="008156EC"/>
    <w:rsid w:val="00815DE5"/>
    <w:rsid w:val="008168AA"/>
    <w:rsid w:val="00822050"/>
    <w:rsid w:val="00822B63"/>
    <w:rsid w:val="00824435"/>
    <w:rsid w:val="00825EBD"/>
    <w:rsid w:val="00826E69"/>
    <w:rsid w:val="00826F5B"/>
    <w:rsid w:val="0082783E"/>
    <w:rsid w:val="00830273"/>
    <w:rsid w:val="008307C2"/>
    <w:rsid w:val="0083153A"/>
    <w:rsid w:val="008326E1"/>
    <w:rsid w:val="00840A3C"/>
    <w:rsid w:val="00843079"/>
    <w:rsid w:val="00843B7D"/>
    <w:rsid w:val="008443F3"/>
    <w:rsid w:val="0084442B"/>
    <w:rsid w:val="00844D97"/>
    <w:rsid w:val="00844EEB"/>
    <w:rsid w:val="00846E0E"/>
    <w:rsid w:val="008472A5"/>
    <w:rsid w:val="0085269A"/>
    <w:rsid w:val="00855416"/>
    <w:rsid w:val="00857534"/>
    <w:rsid w:val="00857CAC"/>
    <w:rsid w:val="00861596"/>
    <w:rsid w:val="008615DD"/>
    <w:rsid w:val="008621E9"/>
    <w:rsid w:val="008625BC"/>
    <w:rsid w:val="0086380F"/>
    <w:rsid w:val="00864743"/>
    <w:rsid w:val="00866B9B"/>
    <w:rsid w:val="00867223"/>
    <w:rsid w:val="00867744"/>
    <w:rsid w:val="0087204C"/>
    <w:rsid w:val="008724F2"/>
    <w:rsid w:val="00874288"/>
    <w:rsid w:val="008755D4"/>
    <w:rsid w:val="0087649A"/>
    <w:rsid w:val="00881012"/>
    <w:rsid w:val="00881C98"/>
    <w:rsid w:val="00882E7F"/>
    <w:rsid w:val="00882F73"/>
    <w:rsid w:val="0088400F"/>
    <w:rsid w:val="00884F08"/>
    <w:rsid w:val="00885804"/>
    <w:rsid w:val="0088717E"/>
    <w:rsid w:val="00892052"/>
    <w:rsid w:val="0089263C"/>
    <w:rsid w:val="008934DA"/>
    <w:rsid w:val="00893615"/>
    <w:rsid w:val="0089427B"/>
    <w:rsid w:val="00894A94"/>
    <w:rsid w:val="00894BA5"/>
    <w:rsid w:val="00895E23"/>
    <w:rsid w:val="0089648F"/>
    <w:rsid w:val="008A22AA"/>
    <w:rsid w:val="008A2B79"/>
    <w:rsid w:val="008A2FBF"/>
    <w:rsid w:val="008A3F32"/>
    <w:rsid w:val="008A7C26"/>
    <w:rsid w:val="008B2124"/>
    <w:rsid w:val="008B2D62"/>
    <w:rsid w:val="008B2EE1"/>
    <w:rsid w:val="008B30EF"/>
    <w:rsid w:val="008B6674"/>
    <w:rsid w:val="008C1F7C"/>
    <w:rsid w:val="008C2011"/>
    <w:rsid w:val="008C4F40"/>
    <w:rsid w:val="008C7351"/>
    <w:rsid w:val="008D0B13"/>
    <w:rsid w:val="008D2DE0"/>
    <w:rsid w:val="008D2EF7"/>
    <w:rsid w:val="008D3B42"/>
    <w:rsid w:val="008D5B7B"/>
    <w:rsid w:val="008D5C60"/>
    <w:rsid w:val="008D6C02"/>
    <w:rsid w:val="008E1216"/>
    <w:rsid w:val="008E340C"/>
    <w:rsid w:val="008E3788"/>
    <w:rsid w:val="008E5410"/>
    <w:rsid w:val="008E72BA"/>
    <w:rsid w:val="008F0A5D"/>
    <w:rsid w:val="008F0E6A"/>
    <w:rsid w:val="008F4C50"/>
    <w:rsid w:val="008F5F73"/>
    <w:rsid w:val="008F64DB"/>
    <w:rsid w:val="008F6672"/>
    <w:rsid w:val="008F7234"/>
    <w:rsid w:val="008F73BE"/>
    <w:rsid w:val="008F77DA"/>
    <w:rsid w:val="0090116B"/>
    <w:rsid w:val="00901C32"/>
    <w:rsid w:val="009041DA"/>
    <w:rsid w:val="009050CA"/>
    <w:rsid w:val="009061F9"/>
    <w:rsid w:val="009065D2"/>
    <w:rsid w:val="00906D60"/>
    <w:rsid w:val="009078E1"/>
    <w:rsid w:val="00910047"/>
    <w:rsid w:val="009107BD"/>
    <w:rsid w:val="009110A7"/>
    <w:rsid w:val="00911C62"/>
    <w:rsid w:val="00912410"/>
    <w:rsid w:val="00912432"/>
    <w:rsid w:val="009133F5"/>
    <w:rsid w:val="00915378"/>
    <w:rsid w:val="009156C6"/>
    <w:rsid w:val="00915B87"/>
    <w:rsid w:val="00915C9E"/>
    <w:rsid w:val="00916DDB"/>
    <w:rsid w:val="00920638"/>
    <w:rsid w:val="00920934"/>
    <w:rsid w:val="009219C6"/>
    <w:rsid w:val="009242F9"/>
    <w:rsid w:val="0092516F"/>
    <w:rsid w:val="00926F41"/>
    <w:rsid w:val="009303CC"/>
    <w:rsid w:val="00931246"/>
    <w:rsid w:val="00933EC4"/>
    <w:rsid w:val="00933F0E"/>
    <w:rsid w:val="009372C3"/>
    <w:rsid w:val="00942372"/>
    <w:rsid w:val="00945747"/>
    <w:rsid w:val="009464E5"/>
    <w:rsid w:val="009468BC"/>
    <w:rsid w:val="0094729E"/>
    <w:rsid w:val="00950208"/>
    <w:rsid w:val="009505F8"/>
    <w:rsid w:val="00950A84"/>
    <w:rsid w:val="00953859"/>
    <w:rsid w:val="00955315"/>
    <w:rsid w:val="00957D2A"/>
    <w:rsid w:val="009612AC"/>
    <w:rsid w:val="00961778"/>
    <w:rsid w:val="009629B6"/>
    <w:rsid w:val="00963264"/>
    <w:rsid w:val="00963484"/>
    <w:rsid w:val="00964217"/>
    <w:rsid w:val="00964F76"/>
    <w:rsid w:val="00964FD6"/>
    <w:rsid w:val="0096526B"/>
    <w:rsid w:val="00970300"/>
    <w:rsid w:val="00976424"/>
    <w:rsid w:val="009767DA"/>
    <w:rsid w:val="0097701A"/>
    <w:rsid w:val="00977C04"/>
    <w:rsid w:val="00977C83"/>
    <w:rsid w:val="00977CC8"/>
    <w:rsid w:val="00981FC9"/>
    <w:rsid w:val="009838DA"/>
    <w:rsid w:val="0098411A"/>
    <w:rsid w:val="009859C0"/>
    <w:rsid w:val="00986528"/>
    <w:rsid w:val="0098671E"/>
    <w:rsid w:val="009901F0"/>
    <w:rsid w:val="009932D9"/>
    <w:rsid w:val="00994F40"/>
    <w:rsid w:val="00994F53"/>
    <w:rsid w:val="00995D46"/>
    <w:rsid w:val="00996CF9"/>
    <w:rsid w:val="00996EB0"/>
    <w:rsid w:val="009A2644"/>
    <w:rsid w:val="009A4832"/>
    <w:rsid w:val="009A5460"/>
    <w:rsid w:val="009A5874"/>
    <w:rsid w:val="009A62BC"/>
    <w:rsid w:val="009A6329"/>
    <w:rsid w:val="009A6990"/>
    <w:rsid w:val="009A6D4C"/>
    <w:rsid w:val="009A77F0"/>
    <w:rsid w:val="009B3A1D"/>
    <w:rsid w:val="009B4F05"/>
    <w:rsid w:val="009B6040"/>
    <w:rsid w:val="009B6600"/>
    <w:rsid w:val="009C11A3"/>
    <w:rsid w:val="009C3CFE"/>
    <w:rsid w:val="009C604C"/>
    <w:rsid w:val="009D1D7B"/>
    <w:rsid w:val="009D30AA"/>
    <w:rsid w:val="009D3D29"/>
    <w:rsid w:val="009D5CFA"/>
    <w:rsid w:val="009D7E2F"/>
    <w:rsid w:val="009E341A"/>
    <w:rsid w:val="009E3A1E"/>
    <w:rsid w:val="009E3D7D"/>
    <w:rsid w:val="009E6660"/>
    <w:rsid w:val="009F1418"/>
    <w:rsid w:val="009F3B87"/>
    <w:rsid w:val="009F4038"/>
    <w:rsid w:val="009F518E"/>
    <w:rsid w:val="009F6604"/>
    <w:rsid w:val="009F6827"/>
    <w:rsid w:val="009F6999"/>
    <w:rsid w:val="00A0120D"/>
    <w:rsid w:val="00A043E3"/>
    <w:rsid w:val="00A04DD4"/>
    <w:rsid w:val="00A06163"/>
    <w:rsid w:val="00A1034E"/>
    <w:rsid w:val="00A10A4E"/>
    <w:rsid w:val="00A13120"/>
    <w:rsid w:val="00A17A90"/>
    <w:rsid w:val="00A17CB3"/>
    <w:rsid w:val="00A20050"/>
    <w:rsid w:val="00A20182"/>
    <w:rsid w:val="00A20298"/>
    <w:rsid w:val="00A2225E"/>
    <w:rsid w:val="00A22EAB"/>
    <w:rsid w:val="00A25447"/>
    <w:rsid w:val="00A2699C"/>
    <w:rsid w:val="00A32118"/>
    <w:rsid w:val="00A32440"/>
    <w:rsid w:val="00A335B8"/>
    <w:rsid w:val="00A33773"/>
    <w:rsid w:val="00A337EC"/>
    <w:rsid w:val="00A35323"/>
    <w:rsid w:val="00A35C2C"/>
    <w:rsid w:val="00A35DC7"/>
    <w:rsid w:val="00A36343"/>
    <w:rsid w:val="00A36A82"/>
    <w:rsid w:val="00A36B9E"/>
    <w:rsid w:val="00A408B4"/>
    <w:rsid w:val="00A42959"/>
    <w:rsid w:val="00A44A39"/>
    <w:rsid w:val="00A44B03"/>
    <w:rsid w:val="00A5039E"/>
    <w:rsid w:val="00A519E0"/>
    <w:rsid w:val="00A51C7D"/>
    <w:rsid w:val="00A53524"/>
    <w:rsid w:val="00A53DCC"/>
    <w:rsid w:val="00A54110"/>
    <w:rsid w:val="00A562C5"/>
    <w:rsid w:val="00A5738D"/>
    <w:rsid w:val="00A61228"/>
    <w:rsid w:val="00A629EA"/>
    <w:rsid w:val="00A63925"/>
    <w:rsid w:val="00A63EB3"/>
    <w:rsid w:val="00A64210"/>
    <w:rsid w:val="00A64BB9"/>
    <w:rsid w:val="00A65CEC"/>
    <w:rsid w:val="00A66880"/>
    <w:rsid w:val="00A67AB1"/>
    <w:rsid w:val="00A7112B"/>
    <w:rsid w:val="00A72E7F"/>
    <w:rsid w:val="00A74F58"/>
    <w:rsid w:val="00A76912"/>
    <w:rsid w:val="00A77000"/>
    <w:rsid w:val="00A80DC9"/>
    <w:rsid w:val="00A81411"/>
    <w:rsid w:val="00A82633"/>
    <w:rsid w:val="00A83B42"/>
    <w:rsid w:val="00A867CD"/>
    <w:rsid w:val="00A90C91"/>
    <w:rsid w:val="00A93F39"/>
    <w:rsid w:val="00A94BDF"/>
    <w:rsid w:val="00A95FE3"/>
    <w:rsid w:val="00AA0DC2"/>
    <w:rsid w:val="00AA376E"/>
    <w:rsid w:val="00AA3CDB"/>
    <w:rsid w:val="00AA3E97"/>
    <w:rsid w:val="00AA6055"/>
    <w:rsid w:val="00AA776D"/>
    <w:rsid w:val="00AB0A4C"/>
    <w:rsid w:val="00AB1B8F"/>
    <w:rsid w:val="00AB2969"/>
    <w:rsid w:val="00AB5D64"/>
    <w:rsid w:val="00AB5F36"/>
    <w:rsid w:val="00AB6E77"/>
    <w:rsid w:val="00AC2774"/>
    <w:rsid w:val="00AC3575"/>
    <w:rsid w:val="00AC38BF"/>
    <w:rsid w:val="00AC48BA"/>
    <w:rsid w:val="00AC68A5"/>
    <w:rsid w:val="00AD1BAB"/>
    <w:rsid w:val="00AD32BD"/>
    <w:rsid w:val="00AD34D9"/>
    <w:rsid w:val="00AD645D"/>
    <w:rsid w:val="00AD7A21"/>
    <w:rsid w:val="00AD7A8E"/>
    <w:rsid w:val="00AE1415"/>
    <w:rsid w:val="00AE209B"/>
    <w:rsid w:val="00AE3D28"/>
    <w:rsid w:val="00AE486F"/>
    <w:rsid w:val="00AE531E"/>
    <w:rsid w:val="00AE677B"/>
    <w:rsid w:val="00AE70C2"/>
    <w:rsid w:val="00AE7F8A"/>
    <w:rsid w:val="00AF2D6A"/>
    <w:rsid w:val="00AF4F59"/>
    <w:rsid w:val="00AF5DFC"/>
    <w:rsid w:val="00AF6609"/>
    <w:rsid w:val="00B0342D"/>
    <w:rsid w:val="00B03C44"/>
    <w:rsid w:val="00B0540E"/>
    <w:rsid w:val="00B062F5"/>
    <w:rsid w:val="00B11075"/>
    <w:rsid w:val="00B11A56"/>
    <w:rsid w:val="00B11DCD"/>
    <w:rsid w:val="00B12AD8"/>
    <w:rsid w:val="00B132C9"/>
    <w:rsid w:val="00B14074"/>
    <w:rsid w:val="00B14226"/>
    <w:rsid w:val="00B150A7"/>
    <w:rsid w:val="00B1538F"/>
    <w:rsid w:val="00B16949"/>
    <w:rsid w:val="00B17A83"/>
    <w:rsid w:val="00B17C2B"/>
    <w:rsid w:val="00B220C5"/>
    <w:rsid w:val="00B23AE9"/>
    <w:rsid w:val="00B23E94"/>
    <w:rsid w:val="00B24554"/>
    <w:rsid w:val="00B24D29"/>
    <w:rsid w:val="00B25AA9"/>
    <w:rsid w:val="00B26D62"/>
    <w:rsid w:val="00B278D4"/>
    <w:rsid w:val="00B27E3A"/>
    <w:rsid w:val="00B34F0B"/>
    <w:rsid w:val="00B35224"/>
    <w:rsid w:val="00B3691A"/>
    <w:rsid w:val="00B37B21"/>
    <w:rsid w:val="00B37FCF"/>
    <w:rsid w:val="00B40469"/>
    <w:rsid w:val="00B441D3"/>
    <w:rsid w:val="00B46901"/>
    <w:rsid w:val="00B5235F"/>
    <w:rsid w:val="00B52AD0"/>
    <w:rsid w:val="00B532F0"/>
    <w:rsid w:val="00B5441A"/>
    <w:rsid w:val="00B56175"/>
    <w:rsid w:val="00B5632F"/>
    <w:rsid w:val="00B568D0"/>
    <w:rsid w:val="00B56C6A"/>
    <w:rsid w:val="00B5744F"/>
    <w:rsid w:val="00B60E65"/>
    <w:rsid w:val="00B6201C"/>
    <w:rsid w:val="00B620D2"/>
    <w:rsid w:val="00B629DE"/>
    <w:rsid w:val="00B62FE2"/>
    <w:rsid w:val="00B64273"/>
    <w:rsid w:val="00B651A3"/>
    <w:rsid w:val="00B65AE2"/>
    <w:rsid w:val="00B65E96"/>
    <w:rsid w:val="00B66D25"/>
    <w:rsid w:val="00B66ED7"/>
    <w:rsid w:val="00B671E2"/>
    <w:rsid w:val="00B67329"/>
    <w:rsid w:val="00B708FD"/>
    <w:rsid w:val="00B70BCA"/>
    <w:rsid w:val="00B70D35"/>
    <w:rsid w:val="00B70E04"/>
    <w:rsid w:val="00B70F93"/>
    <w:rsid w:val="00B71D39"/>
    <w:rsid w:val="00B71E36"/>
    <w:rsid w:val="00B73360"/>
    <w:rsid w:val="00B74535"/>
    <w:rsid w:val="00B7471B"/>
    <w:rsid w:val="00B7479F"/>
    <w:rsid w:val="00B74A7D"/>
    <w:rsid w:val="00B75F24"/>
    <w:rsid w:val="00B773C1"/>
    <w:rsid w:val="00B8179B"/>
    <w:rsid w:val="00B82D14"/>
    <w:rsid w:val="00B82FAC"/>
    <w:rsid w:val="00B8419F"/>
    <w:rsid w:val="00B84273"/>
    <w:rsid w:val="00B863F7"/>
    <w:rsid w:val="00B874A1"/>
    <w:rsid w:val="00B91B24"/>
    <w:rsid w:val="00B9284F"/>
    <w:rsid w:val="00B92950"/>
    <w:rsid w:val="00B94008"/>
    <w:rsid w:val="00B94D11"/>
    <w:rsid w:val="00B95E6E"/>
    <w:rsid w:val="00B96FB5"/>
    <w:rsid w:val="00B97BAE"/>
    <w:rsid w:val="00BA3339"/>
    <w:rsid w:val="00BA545F"/>
    <w:rsid w:val="00BA64DF"/>
    <w:rsid w:val="00BA68A7"/>
    <w:rsid w:val="00BA77E3"/>
    <w:rsid w:val="00BB0C9B"/>
    <w:rsid w:val="00BB1109"/>
    <w:rsid w:val="00BB114B"/>
    <w:rsid w:val="00BB282D"/>
    <w:rsid w:val="00BB2D7C"/>
    <w:rsid w:val="00BB3850"/>
    <w:rsid w:val="00BB40B3"/>
    <w:rsid w:val="00BB4770"/>
    <w:rsid w:val="00BB4A54"/>
    <w:rsid w:val="00BB4DBF"/>
    <w:rsid w:val="00BB5A3D"/>
    <w:rsid w:val="00BB699B"/>
    <w:rsid w:val="00BB72FF"/>
    <w:rsid w:val="00BC0D4D"/>
    <w:rsid w:val="00BC610B"/>
    <w:rsid w:val="00BD03C8"/>
    <w:rsid w:val="00BD0F9F"/>
    <w:rsid w:val="00BD1263"/>
    <w:rsid w:val="00BD24B0"/>
    <w:rsid w:val="00BD2B68"/>
    <w:rsid w:val="00BD3604"/>
    <w:rsid w:val="00BD3DA5"/>
    <w:rsid w:val="00BD3FFB"/>
    <w:rsid w:val="00BD5BCD"/>
    <w:rsid w:val="00BD630C"/>
    <w:rsid w:val="00BD6552"/>
    <w:rsid w:val="00BE403A"/>
    <w:rsid w:val="00BE4712"/>
    <w:rsid w:val="00BE48EE"/>
    <w:rsid w:val="00BE4DD2"/>
    <w:rsid w:val="00BE71FA"/>
    <w:rsid w:val="00BE7897"/>
    <w:rsid w:val="00BF004D"/>
    <w:rsid w:val="00BF0B2B"/>
    <w:rsid w:val="00BF1339"/>
    <w:rsid w:val="00BF138A"/>
    <w:rsid w:val="00BF278A"/>
    <w:rsid w:val="00BF31D9"/>
    <w:rsid w:val="00BF4118"/>
    <w:rsid w:val="00BF47C7"/>
    <w:rsid w:val="00BF6FF2"/>
    <w:rsid w:val="00C00857"/>
    <w:rsid w:val="00C009DA"/>
    <w:rsid w:val="00C00A22"/>
    <w:rsid w:val="00C012B0"/>
    <w:rsid w:val="00C03974"/>
    <w:rsid w:val="00C062C2"/>
    <w:rsid w:val="00C0665C"/>
    <w:rsid w:val="00C06B52"/>
    <w:rsid w:val="00C06FF8"/>
    <w:rsid w:val="00C0722F"/>
    <w:rsid w:val="00C12F97"/>
    <w:rsid w:val="00C152D9"/>
    <w:rsid w:val="00C17277"/>
    <w:rsid w:val="00C232D1"/>
    <w:rsid w:val="00C25294"/>
    <w:rsid w:val="00C272D5"/>
    <w:rsid w:val="00C2775F"/>
    <w:rsid w:val="00C279C1"/>
    <w:rsid w:val="00C30C8E"/>
    <w:rsid w:val="00C30C96"/>
    <w:rsid w:val="00C31653"/>
    <w:rsid w:val="00C31D3C"/>
    <w:rsid w:val="00C32C01"/>
    <w:rsid w:val="00C354D6"/>
    <w:rsid w:val="00C356D1"/>
    <w:rsid w:val="00C35814"/>
    <w:rsid w:val="00C36095"/>
    <w:rsid w:val="00C36FC8"/>
    <w:rsid w:val="00C37ECE"/>
    <w:rsid w:val="00C41AF3"/>
    <w:rsid w:val="00C454F5"/>
    <w:rsid w:val="00C45C14"/>
    <w:rsid w:val="00C4709D"/>
    <w:rsid w:val="00C514A5"/>
    <w:rsid w:val="00C5179A"/>
    <w:rsid w:val="00C5184A"/>
    <w:rsid w:val="00C607AE"/>
    <w:rsid w:val="00C64202"/>
    <w:rsid w:val="00C651F6"/>
    <w:rsid w:val="00C6742D"/>
    <w:rsid w:val="00C70FDF"/>
    <w:rsid w:val="00C71517"/>
    <w:rsid w:val="00C73576"/>
    <w:rsid w:val="00C73A67"/>
    <w:rsid w:val="00C73D06"/>
    <w:rsid w:val="00C749DD"/>
    <w:rsid w:val="00C74BFC"/>
    <w:rsid w:val="00C764D6"/>
    <w:rsid w:val="00C804D9"/>
    <w:rsid w:val="00C807B8"/>
    <w:rsid w:val="00C80A70"/>
    <w:rsid w:val="00C81C06"/>
    <w:rsid w:val="00C83036"/>
    <w:rsid w:val="00C83162"/>
    <w:rsid w:val="00C85465"/>
    <w:rsid w:val="00C85758"/>
    <w:rsid w:val="00C85947"/>
    <w:rsid w:val="00C85F53"/>
    <w:rsid w:val="00C864DF"/>
    <w:rsid w:val="00C87AB2"/>
    <w:rsid w:val="00C87F19"/>
    <w:rsid w:val="00C907BD"/>
    <w:rsid w:val="00C908CB"/>
    <w:rsid w:val="00C90A42"/>
    <w:rsid w:val="00C91A49"/>
    <w:rsid w:val="00C92CC4"/>
    <w:rsid w:val="00C93634"/>
    <w:rsid w:val="00C938F9"/>
    <w:rsid w:val="00C93D39"/>
    <w:rsid w:val="00C96901"/>
    <w:rsid w:val="00C96B7B"/>
    <w:rsid w:val="00CA0102"/>
    <w:rsid w:val="00CA1AC4"/>
    <w:rsid w:val="00CA30F3"/>
    <w:rsid w:val="00CA43C0"/>
    <w:rsid w:val="00CA51E3"/>
    <w:rsid w:val="00CA582D"/>
    <w:rsid w:val="00CA697B"/>
    <w:rsid w:val="00CA6C1C"/>
    <w:rsid w:val="00CA6DA0"/>
    <w:rsid w:val="00CA7129"/>
    <w:rsid w:val="00CA7FAE"/>
    <w:rsid w:val="00CB0ACC"/>
    <w:rsid w:val="00CB121A"/>
    <w:rsid w:val="00CB165F"/>
    <w:rsid w:val="00CB16ED"/>
    <w:rsid w:val="00CB2990"/>
    <w:rsid w:val="00CB35C9"/>
    <w:rsid w:val="00CB3B77"/>
    <w:rsid w:val="00CB4DBE"/>
    <w:rsid w:val="00CB7527"/>
    <w:rsid w:val="00CC1968"/>
    <w:rsid w:val="00CC1C7E"/>
    <w:rsid w:val="00CC2F44"/>
    <w:rsid w:val="00CC37AC"/>
    <w:rsid w:val="00CC5382"/>
    <w:rsid w:val="00CC61CD"/>
    <w:rsid w:val="00CC6736"/>
    <w:rsid w:val="00CC7A6A"/>
    <w:rsid w:val="00CC7D0B"/>
    <w:rsid w:val="00CC7F1D"/>
    <w:rsid w:val="00CD1220"/>
    <w:rsid w:val="00CD3D9C"/>
    <w:rsid w:val="00CD51E1"/>
    <w:rsid w:val="00CD6857"/>
    <w:rsid w:val="00CD7712"/>
    <w:rsid w:val="00CE013F"/>
    <w:rsid w:val="00CE0339"/>
    <w:rsid w:val="00CE05EE"/>
    <w:rsid w:val="00CE2786"/>
    <w:rsid w:val="00CE2B29"/>
    <w:rsid w:val="00CE44A2"/>
    <w:rsid w:val="00CE49B4"/>
    <w:rsid w:val="00CE567A"/>
    <w:rsid w:val="00CE586E"/>
    <w:rsid w:val="00CE5E10"/>
    <w:rsid w:val="00CE6317"/>
    <w:rsid w:val="00CF22E0"/>
    <w:rsid w:val="00CF2E5E"/>
    <w:rsid w:val="00CF3CCA"/>
    <w:rsid w:val="00CF3DE6"/>
    <w:rsid w:val="00CF409F"/>
    <w:rsid w:val="00CF4C70"/>
    <w:rsid w:val="00CF63AE"/>
    <w:rsid w:val="00CF7F7E"/>
    <w:rsid w:val="00D01994"/>
    <w:rsid w:val="00D02A9A"/>
    <w:rsid w:val="00D03664"/>
    <w:rsid w:val="00D0530B"/>
    <w:rsid w:val="00D068FB"/>
    <w:rsid w:val="00D072A6"/>
    <w:rsid w:val="00D07EE0"/>
    <w:rsid w:val="00D11173"/>
    <w:rsid w:val="00D144EF"/>
    <w:rsid w:val="00D15044"/>
    <w:rsid w:val="00D21BA9"/>
    <w:rsid w:val="00D22BD6"/>
    <w:rsid w:val="00D2623C"/>
    <w:rsid w:val="00D30155"/>
    <w:rsid w:val="00D313F3"/>
    <w:rsid w:val="00D31B0B"/>
    <w:rsid w:val="00D33C67"/>
    <w:rsid w:val="00D3451D"/>
    <w:rsid w:val="00D35515"/>
    <w:rsid w:val="00D36A81"/>
    <w:rsid w:val="00D4236E"/>
    <w:rsid w:val="00D42975"/>
    <w:rsid w:val="00D434E8"/>
    <w:rsid w:val="00D43E01"/>
    <w:rsid w:val="00D442F7"/>
    <w:rsid w:val="00D44D1B"/>
    <w:rsid w:val="00D51C15"/>
    <w:rsid w:val="00D51E3A"/>
    <w:rsid w:val="00D53098"/>
    <w:rsid w:val="00D542EE"/>
    <w:rsid w:val="00D55D23"/>
    <w:rsid w:val="00D56E44"/>
    <w:rsid w:val="00D5714D"/>
    <w:rsid w:val="00D60660"/>
    <w:rsid w:val="00D60F83"/>
    <w:rsid w:val="00D6131B"/>
    <w:rsid w:val="00D61AE2"/>
    <w:rsid w:val="00D6316D"/>
    <w:rsid w:val="00D63B94"/>
    <w:rsid w:val="00D6536E"/>
    <w:rsid w:val="00D702F8"/>
    <w:rsid w:val="00D70AD5"/>
    <w:rsid w:val="00D70CD1"/>
    <w:rsid w:val="00D71956"/>
    <w:rsid w:val="00D7297B"/>
    <w:rsid w:val="00D7303C"/>
    <w:rsid w:val="00D7529D"/>
    <w:rsid w:val="00D76892"/>
    <w:rsid w:val="00D7767C"/>
    <w:rsid w:val="00D80665"/>
    <w:rsid w:val="00D82295"/>
    <w:rsid w:val="00D82A4E"/>
    <w:rsid w:val="00D8510F"/>
    <w:rsid w:val="00D8587B"/>
    <w:rsid w:val="00D87902"/>
    <w:rsid w:val="00D87923"/>
    <w:rsid w:val="00D87E4D"/>
    <w:rsid w:val="00D90DA8"/>
    <w:rsid w:val="00D91C68"/>
    <w:rsid w:val="00D9206D"/>
    <w:rsid w:val="00D929D1"/>
    <w:rsid w:val="00D9717D"/>
    <w:rsid w:val="00D9784D"/>
    <w:rsid w:val="00DA0875"/>
    <w:rsid w:val="00DA11CE"/>
    <w:rsid w:val="00DA3F9F"/>
    <w:rsid w:val="00DA52DA"/>
    <w:rsid w:val="00DA7EAF"/>
    <w:rsid w:val="00DB0190"/>
    <w:rsid w:val="00DB07D4"/>
    <w:rsid w:val="00DB087F"/>
    <w:rsid w:val="00DB0A5E"/>
    <w:rsid w:val="00DB15FC"/>
    <w:rsid w:val="00DB50C5"/>
    <w:rsid w:val="00DC02BE"/>
    <w:rsid w:val="00DC0691"/>
    <w:rsid w:val="00DC0C3E"/>
    <w:rsid w:val="00DC1600"/>
    <w:rsid w:val="00DC1667"/>
    <w:rsid w:val="00DC1683"/>
    <w:rsid w:val="00DC2D96"/>
    <w:rsid w:val="00DC2E86"/>
    <w:rsid w:val="00DC628C"/>
    <w:rsid w:val="00DD0E0B"/>
    <w:rsid w:val="00DD0E38"/>
    <w:rsid w:val="00DD3432"/>
    <w:rsid w:val="00DD38DE"/>
    <w:rsid w:val="00DD3CA4"/>
    <w:rsid w:val="00DD46B6"/>
    <w:rsid w:val="00DD4AA4"/>
    <w:rsid w:val="00DD4C8F"/>
    <w:rsid w:val="00DE0F35"/>
    <w:rsid w:val="00DE11CB"/>
    <w:rsid w:val="00DE1741"/>
    <w:rsid w:val="00DE4011"/>
    <w:rsid w:val="00DE61AE"/>
    <w:rsid w:val="00DE6E63"/>
    <w:rsid w:val="00DF0568"/>
    <w:rsid w:val="00DF0855"/>
    <w:rsid w:val="00DF3DE9"/>
    <w:rsid w:val="00E002FA"/>
    <w:rsid w:val="00E00669"/>
    <w:rsid w:val="00E014B1"/>
    <w:rsid w:val="00E01774"/>
    <w:rsid w:val="00E03FB8"/>
    <w:rsid w:val="00E046C8"/>
    <w:rsid w:val="00E06792"/>
    <w:rsid w:val="00E06999"/>
    <w:rsid w:val="00E0749D"/>
    <w:rsid w:val="00E07684"/>
    <w:rsid w:val="00E10269"/>
    <w:rsid w:val="00E10700"/>
    <w:rsid w:val="00E11A2A"/>
    <w:rsid w:val="00E12DEE"/>
    <w:rsid w:val="00E21B14"/>
    <w:rsid w:val="00E232E7"/>
    <w:rsid w:val="00E23982"/>
    <w:rsid w:val="00E23C97"/>
    <w:rsid w:val="00E24535"/>
    <w:rsid w:val="00E249A7"/>
    <w:rsid w:val="00E252A2"/>
    <w:rsid w:val="00E2587C"/>
    <w:rsid w:val="00E260A7"/>
    <w:rsid w:val="00E30022"/>
    <w:rsid w:val="00E31AA2"/>
    <w:rsid w:val="00E32B89"/>
    <w:rsid w:val="00E34811"/>
    <w:rsid w:val="00E372F6"/>
    <w:rsid w:val="00E37415"/>
    <w:rsid w:val="00E37739"/>
    <w:rsid w:val="00E40208"/>
    <w:rsid w:val="00E4070F"/>
    <w:rsid w:val="00E41854"/>
    <w:rsid w:val="00E41ACF"/>
    <w:rsid w:val="00E4334A"/>
    <w:rsid w:val="00E441E4"/>
    <w:rsid w:val="00E44EE6"/>
    <w:rsid w:val="00E45CF8"/>
    <w:rsid w:val="00E45DA0"/>
    <w:rsid w:val="00E46310"/>
    <w:rsid w:val="00E470C7"/>
    <w:rsid w:val="00E47DB3"/>
    <w:rsid w:val="00E5130E"/>
    <w:rsid w:val="00E51A8C"/>
    <w:rsid w:val="00E522EC"/>
    <w:rsid w:val="00E53E05"/>
    <w:rsid w:val="00E5441D"/>
    <w:rsid w:val="00E546BA"/>
    <w:rsid w:val="00E557F1"/>
    <w:rsid w:val="00E558C7"/>
    <w:rsid w:val="00E60E1A"/>
    <w:rsid w:val="00E6372D"/>
    <w:rsid w:val="00E64CC7"/>
    <w:rsid w:val="00E64EA3"/>
    <w:rsid w:val="00E66075"/>
    <w:rsid w:val="00E701B5"/>
    <w:rsid w:val="00E70C2C"/>
    <w:rsid w:val="00E71081"/>
    <w:rsid w:val="00E72C33"/>
    <w:rsid w:val="00E74256"/>
    <w:rsid w:val="00E76003"/>
    <w:rsid w:val="00E76B84"/>
    <w:rsid w:val="00E8060F"/>
    <w:rsid w:val="00E815AD"/>
    <w:rsid w:val="00E81A50"/>
    <w:rsid w:val="00E83285"/>
    <w:rsid w:val="00E83A57"/>
    <w:rsid w:val="00E84298"/>
    <w:rsid w:val="00E87EE7"/>
    <w:rsid w:val="00E9004B"/>
    <w:rsid w:val="00E909D3"/>
    <w:rsid w:val="00E90D21"/>
    <w:rsid w:val="00E91E6C"/>
    <w:rsid w:val="00E91FD0"/>
    <w:rsid w:val="00E934C9"/>
    <w:rsid w:val="00E93B3A"/>
    <w:rsid w:val="00E93C00"/>
    <w:rsid w:val="00E94548"/>
    <w:rsid w:val="00E95084"/>
    <w:rsid w:val="00E96C95"/>
    <w:rsid w:val="00E971A9"/>
    <w:rsid w:val="00EA19F3"/>
    <w:rsid w:val="00EA301D"/>
    <w:rsid w:val="00EA378C"/>
    <w:rsid w:val="00EA4C25"/>
    <w:rsid w:val="00EA4C86"/>
    <w:rsid w:val="00EA5589"/>
    <w:rsid w:val="00EA5BDB"/>
    <w:rsid w:val="00EA6A0D"/>
    <w:rsid w:val="00EA6AEF"/>
    <w:rsid w:val="00EB0C81"/>
    <w:rsid w:val="00EB1476"/>
    <w:rsid w:val="00EB1F65"/>
    <w:rsid w:val="00EB2102"/>
    <w:rsid w:val="00EB2387"/>
    <w:rsid w:val="00EB31C8"/>
    <w:rsid w:val="00EB502C"/>
    <w:rsid w:val="00EB536D"/>
    <w:rsid w:val="00EC1985"/>
    <w:rsid w:val="00EC4127"/>
    <w:rsid w:val="00EC5ADC"/>
    <w:rsid w:val="00EC6968"/>
    <w:rsid w:val="00EC78A5"/>
    <w:rsid w:val="00ED056F"/>
    <w:rsid w:val="00ED1DBF"/>
    <w:rsid w:val="00ED2B03"/>
    <w:rsid w:val="00ED33B5"/>
    <w:rsid w:val="00ED4908"/>
    <w:rsid w:val="00ED544A"/>
    <w:rsid w:val="00ED5D99"/>
    <w:rsid w:val="00ED6812"/>
    <w:rsid w:val="00ED73CD"/>
    <w:rsid w:val="00EE1DD4"/>
    <w:rsid w:val="00EE1E68"/>
    <w:rsid w:val="00EE1FB0"/>
    <w:rsid w:val="00EE231F"/>
    <w:rsid w:val="00EE240A"/>
    <w:rsid w:val="00EE48DA"/>
    <w:rsid w:val="00EF0141"/>
    <w:rsid w:val="00EF0A9F"/>
    <w:rsid w:val="00EF3CEB"/>
    <w:rsid w:val="00EF4E26"/>
    <w:rsid w:val="00EF5037"/>
    <w:rsid w:val="00F003F8"/>
    <w:rsid w:val="00F02869"/>
    <w:rsid w:val="00F05A73"/>
    <w:rsid w:val="00F0601F"/>
    <w:rsid w:val="00F06AE9"/>
    <w:rsid w:val="00F06D67"/>
    <w:rsid w:val="00F07EF4"/>
    <w:rsid w:val="00F10819"/>
    <w:rsid w:val="00F13045"/>
    <w:rsid w:val="00F133B6"/>
    <w:rsid w:val="00F14069"/>
    <w:rsid w:val="00F145E8"/>
    <w:rsid w:val="00F1601E"/>
    <w:rsid w:val="00F20359"/>
    <w:rsid w:val="00F24300"/>
    <w:rsid w:val="00F24476"/>
    <w:rsid w:val="00F30A41"/>
    <w:rsid w:val="00F319DE"/>
    <w:rsid w:val="00F367B0"/>
    <w:rsid w:val="00F37A25"/>
    <w:rsid w:val="00F40304"/>
    <w:rsid w:val="00F40779"/>
    <w:rsid w:val="00F4101C"/>
    <w:rsid w:val="00F42527"/>
    <w:rsid w:val="00F43260"/>
    <w:rsid w:val="00F435F2"/>
    <w:rsid w:val="00F4460F"/>
    <w:rsid w:val="00F45C06"/>
    <w:rsid w:val="00F531DD"/>
    <w:rsid w:val="00F55D30"/>
    <w:rsid w:val="00F55D8A"/>
    <w:rsid w:val="00F55F02"/>
    <w:rsid w:val="00F57340"/>
    <w:rsid w:val="00F606E3"/>
    <w:rsid w:val="00F60EE9"/>
    <w:rsid w:val="00F60FC5"/>
    <w:rsid w:val="00F65D4D"/>
    <w:rsid w:val="00F65FAF"/>
    <w:rsid w:val="00F6681A"/>
    <w:rsid w:val="00F66F42"/>
    <w:rsid w:val="00F67554"/>
    <w:rsid w:val="00F67619"/>
    <w:rsid w:val="00F720DD"/>
    <w:rsid w:val="00F7333D"/>
    <w:rsid w:val="00F7442D"/>
    <w:rsid w:val="00F7474F"/>
    <w:rsid w:val="00F74934"/>
    <w:rsid w:val="00F77243"/>
    <w:rsid w:val="00F80F53"/>
    <w:rsid w:val="00F812C7"/>
    <w:rsid w:val="00F82556"/>
    <w:rsid w:val="00F8384D"/>
    <w:rsid w:val="00F849FB"/>
    <w:rsid w:val="00F852D2"/>
    <w:rsid w:val="00F85E8D"/>
    <w:rsid w:val="00F86373"/>
    <w:rsid w:val="00F86B91"/>
    <w:rsid w:val="00F87A3E"/>
    <w:rsid w:val="00F9070B"/>
    <w:rsid w:val="00F94F12"/>
    <w:rsid w:val="00FA15FC"/>
    <w:rsid w:val="00FA1920"/>
    <w:rsid w:val="00FA1B70"/>
    <w:rsid w:val="00FA302C"/>
    <w:rsid w:val="00FA398E"/>
    <w:rsid w:val="00FA3D97"/>
    <w:rsid w:val="00FA5631"/>
    <w:rsid w:val="00FA5CE2"/>
    <w:rsid w:val="00FA5E9E"/>
    <w:rsid w:val="00FA6DEA"/>
    <w:rsid w:val="00FA70B1"/>
    <w:rsid w:val="00FA77E3"/>
    <w:rsid w:val="00FB0178"/>
    <w:rsid w:val="00FB2E91"/>
    <w:rsid w:val="00FB3513"/>
    <w:rsid w:val="00FB4707"/>
    <w:rsid w:val="00FB4F6C"/>
    <w:rsid w:val="00FB53F6"/>
    <w:rsid w:val="00FB5682"/>
    <w:rsid w:val="00FB7215"/>
    <w:rsid w:val="00FB7988"/>
    <w:rsid w:val="00FB7AA0"/>
    <w:rsid w:val="00FC0DAB"/>
    <w:rsid w:val="00FC0FCD"/>
    <w:rsid w:val="00FC2E44"/>
    <w:rsid w:val="00FC5FF5"/>
    <w:rsid w:val="00FC6EF9"/>
    <w:rsid w:val="00FD025A"/>
    <w:rsid w:val="00FD06B9"/>
    <w:rsid w:val="00FD2A1B"/>
    <w:rsid w:val="00FD2AAA"/>
    <w:rsid w:val="00FD303D"/>
    <w:rsid w:val="00FD35E2"/>
    <w:rsid w:val="00FD405E"/>
    <w:rsid w:val="00FD5204"/>
    <w:rsid w:val="00FD685C"/>
    <w:rsid w:val="00FE14EC"/>
    <w:rsid w:val="00FE3132"/>
    <w:rsid w:val="00FE47D0"/>
    <w:rsid w:val="00FE5501"/>
    <w:rsid w:val="00FE6019"/>
    <w:rsid w:val="00FE7AEF"/>
    <w:rsid w:val="00FF0A15"/>
    <w:rsid w:val="00FF0B71"/>
    <w:rsid w:val="00FF0FE3"/>
    <w:rsid w:val="00FF2A6C"/>
    <w:rsid w:val="00FF559E"/>
    <w:rsid w:val="00FF65F0"/>
    <w:rsid w:val="00FF6F1F"/>
    <w:rsid w:val="00FF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5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97"/>
    <w:pPr>
      <w:spacing w:line="276" w:lineRule="auto"/>
      <w:jc w:val="both"/>
    </w:pPr>
    <w:rPr>
      <w:sz w:val="22"/>
    </w:rPr>
  </w:style>
  <w:style w:type="paragraph" w:styleId="Heading1">
    <w:name w:val="heading 1"/>
    <w:basedOn w:val="Normal"/>
    <w:next w:val="Normal"/>
    <w:link w:val="Heading1Char"/>
    <w:uiPriority w:val="9"/>
    <w:qFormat/>
    <w:rsid w:val="00190C95"/>
    <w:pPr>
      <w:keepNext/>
      <w:keepLines/>
      <w:spacing w:beforeLines="100" w:before="100" w:after="80" w:line="240" w:lineRule="auto"/>
      <w:jc w:val="center"/>
      <w:outlineLvl w:val="0"/>
    </w:pPr>
    <w:rPr>
      <w:rFonts w:eastAsiaTheme="majorEastAsia" w:cstheme="majorBidi"/>
      <w:b/>
      <w:sz w:val="52"/>
      <w:szCs w:val="40"/>
    </w:rPr>
  </w:style>
  <w:style w:type="paragraph" w:styleId="Heading2">
    <w:name w:val="heading 2"/>
    <w:basedOn w:val="Normal"/>
    <w:next w:val="Normal"/>
    <w:link w:val="Heading2Char"/>
    <w:uiPriority w:val="9"/>
    <w:unhideWhenUsed/>
    <w:qFormat/>
    <w:rsid w:val="00510F97"/>
    <w:pPr>
      <w:keepNext/>
      <w:keepLines/>
      <w:spacing w:before="160" w:after="80" w:line="240" w:lineRule="auto"/>
      <w:outlineLvl w:val="1"/>
    </w:pPr>
    <w:rPr>
      <w:rFonts w:eastAsiaTheme="majorEastAsia" w:cstheme="majorBidi"/>
      <w:color w:val="4D738A"/>
      <w:sz w:val="40"/>
      <w:szCs w:val="32"/>
    </w:rPr>
  </w:style>
  <w:style w:type="paragraph" w:styleId="Heading3">
    <w:name w:val="heading 3"/>
    <w:basedOn w:val="Normal"/>
    <w:next w:val="Normal"/>
    <w:link w:val="Heading3Char"/>
    <w:uiPriority w:val="9"/>
    <w:unhideWhenUsed/>
    <w:qFormat/>
    <w:rsid w:val="00510F97"/>
    <w:pPr>
      <w:keepNext/>
      <w:keepLines/>
      <w:spacing w:before="160" w:after="80" w:line="240" w:lineRule="auto"/>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190C95"/>
    <w:pPr>
      <w:keepNext/>
      <w:keepLines/>
      <w:spacing w:before="80" w:after="0"/>
      <w:outlineLvl w:val="3"/>
    </w:pPr>
    <w:rPr>
      <w:rFonts w:eastAsiaTheme="majorEastAsia" w:cstheme="majorBidi"/>
      <w:b/>
      <w:iCs/>
      <w:color w:val="595959" w:themeColor="text1" w:themeTint="A6"/>
      <w:sz w:val="26"/>
      <w:szCs w:val="30"/>
    </w:rPr>
  </w:style>
  <w:style w:type="paragraph" w:styleId="Heading5">
    <w:name w:val="heading 5"/>
    <w:basedOn w:val="Normal"/>
    <w:next w:val="Normal"/>
    <w:link w:val="Heading5Char"/>
    <w:uiPriority w:val="9"/>
    <w:unhideWhenUsed/>
    <w:qFormat/>
    <w:rsid w:val="00190C95"/>
    <w:pPr>
      <w:keepNext/>
      <w:keepLines/>
      <w:spacing w:before="40" w:after="0"/>
      <w:outlineLvl w:val="4"/>
    </w:pPr>
    <w:rPr>
      <w:rFonts w:eastAsiaTheme="majorEastAsia" w:cstheme="majorBidi"/>
      <w:szCs w:val="28"/>
      <w:u w:val="single"/>
    </w:rPr>
  </w:style>
  <w:style w:type="paragraph" w:styleId="Heading6">
    <w:name w:val="heading 6"/>
    <w:aliases w:val="Question"/>
    <w:basedOn w:val="Normal"/>
    <w:next w:val="Normal"/>
    <w:link w:val="Heading6Char"/>
    <w:uiPriority w:val="9"/>
    <w:unhideWhenUsed/>
    <w:rsid w:val="00F531DD"/>
    <w:pPr>
      <w:keepNext/>
      <w:keepLines/>
      <w:spacing w:before="40" w:after="0"/>
      <w:outlineLvl w:val="5"/>
    </w:pPr>
    <w:rPr>
      <w:rFonts w:eastAsiaTheme="majorEastAsia" w:cstheme="majorBidi"/>
      <w:b/>
      <w:iCs/>
      <w:color w:val="C87200"/>
      <w:sz w:val="28"/>
      <w:szCs w:val="26"/>
    </w:rPr>
  </w:style>
  <w:style w:type="paragraph" w:styleId="Heading7">
    <w:name w:val="heading 7"/>
    <w:aliases w:val="Sub-question"/>
    <w:basedOn w:val="Normal"/>
    <w:next w:val="Normal"/>
    <w:link w:val="Heading7Char"/>
    <w:uiPriority w:val="9"/>
    <w:unhideWhenUsed/>
    <w:rsid w:val="000019E7"/>
    <w:pPr>
      <w:keepNext/>
      <w:keepLines/>
      <w:numPr>
        <w:numId w:val="42"/>
      </w:numPr>
      <w:spacing w:after="0"/>
      <w:ind w:left="357" w:hanging="357"/>
      <w:outlineLvl w:val="6"/>
    </w:pPr>
    <w:rPr>
      <w:rFonts w:eastAsiaTheme="majorEastAsia" w:cstheme="majorBidi"/>
      <w:color w:val="4D738A"/>
      <w:sz w:val="28"/>
      <w:szCs w:val="24"/>
    </w:rPr>
  </w:style>
  <w:style w:type="paragraph" w:styleId="Heading8">
    <w:name w:val="heading 8"/>
    <w:basedOn w:val="Normal"/>
    <w:next w:val="Normal"/>
    <w:link w:val="Heading8Char"/>
    <w:uiPriority w:val="9"/>
    <w:semiHidden/>
    <w:unhideWhenUsed/>
    <w:qFormat/>
    <w:rsid w:val="00B9284F"/>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B9284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95"/>
    <w:rPr>
      <w:rFonts w:eastAsiaTheme="majorEastAsia" w:cstheme="majorBidi"/>
      <w:b/>
      <w:sz w:val="52"/>
      <w:szCs w:val="40"/>
    </w:rPr>
  </w:style>
  <w:style w:type="paragraph" w:styleId="Title">
    <w:name w:val="Title"/>
    <w:basedOn w:val="Normal"/>
    <w:next w:val="Normal"/>
    <w:link w:val="TitleChar"/>
    <w:uiPriority w:val="10"/>
    <w:qFormat/>
    <w:rsid w:val="00B9284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B9284F"/>
    <w:rPr>
      <w:rFonts w:asciiTheme="majorHAnsi" w:eastAsiaTheme="majorEastAsia" w:hAnsiTheme="majorHAnsi" w:cstheme="majorBidi"/>
      <w:caps/>
      <w:color w:val="1F497D" w:themeColor="text2"/>
      <w:spacing w:val="30"/>
      <w:sz w:val="72"/>
      <w:szCs w:val="72"/>
    </w:rPr>
  </w:style>
  <w:style w:type="character" w:customStyle="1" w:styleId="Heading2Char">
    <w:name w:val="Heading 2 Char"/>
    <w:basedOn w:val="DefaultParagraphFont"/>
    <w:link w:val="Heading2"/>
    <w:uiPriority w:val="9"/>
    <w:rsid w:val="00510F97"/>
    <w:rPr>
      <w:rFonts w:eastAsiaTheme="majorEastAsia" w:cstheme="majorBidi"/>
      <w:color w:val="4D738A"/>
      <w:sz w:val="40"/>
      <w:szCs w:val="32"/>
    </w:rPr>
  </w:style>
  <w:style w:type="paragraph" w:styleId="Subtitle">
    <w:name w:val="Subtitle"/>
    <w:basedOn w:val="Normal"/>
    <w:next w:val="Normal"/>
    <w:link w:val="SubtitleChar"/>
    <w:uiPriority w:val="11"/>
    <w:qFormat/>
    <w:rsid w:val="00B9284F"/>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B9284F"/>
    <w:rPr>
      <w:color w:val="1F497D" w:themeColor="text2"/>
      <w:sz w:val="28"/>
      <w:szCs w:val="28"/>
    </w:rPr>
  </w:style>
  <w:style w:type="character" w:customStyle="1" w:styleId="Heading3Char">
    <w:name w:val="Heading 3 Char"/>
    <w:basedOn w:val="DefaultParagraphFont"/>
    <w:link w:val="Heading3"/>
    <w:uiPriority w:val="9"/>
    <w:rsid w:val="00510F97"/>
    <w:rPr>
      <w:rFonts w:eastAsiaTheme="majorEastAsia" w:cstheme="majorBidi"/>
      <w:b/>
      <w:sz w:val="32"/>
      <w:szCs w:val="32"/>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rsid w:val="00151A0A"/>
    <w:pPr>
      <w:ind w:left="1134" w:hanging="567"/>
    </w:pPr>
  </w:style>
  <w:style w:type="character" w:customStyle="1" w:styleId="Heading4Char">
    <w:name w:val="Heading 4 Char"/>
    <w:basedOn w:val="DefaultParagraphFont"/>
    <w:link w:val="Heading4"/>
    <w:uiPriority w:val="9"/>
    <w:rsid w:val="00190C95"/>
    <w:rPr>
      <w:rFonts w:eastAsiaTheme="majorEastAsia" w:cstheme="majorBidi"/>
      <w:b/>
      <w:iCs/>
      <w:color w:val="595959" w:themeColor="text1" w:themeTint="A6"/>
      <w:sz w:val="26"/>
      <w:szCs w:val="30"/>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qFormat/>
    <w:rsid w:val="00964FD6"/>
    <w:rPr>
      <w:rFonts w:asciiTheme="minorHAnsi" w:hAnsiTheme="minorHAnsi"/>
      <w:b/>
      <w:bCs/>
      <w:color w:val="C87200"/>
      <w:sz w:val="28"/>
    </w:rPr>
  </w:style>
  <w:style w:type="character" w:styleId="SubtleEmphasis">
    <w:name w:val="Subtle Emphasis"/>
    <w:basedOn w:val="DefaultParagraphFont"/>
    <w:uiPriority w:val="19"/>
    <w:qFormat/>
    <w:rsid w:val="00B9284F"/>
    <w:rPr>
      <w:i/>
      <w:iCs/>
      <w:color w:val="595959" w:themeColor="text1" w:themeTint="A6"/>
    </w:rPr>
  </w:style>
  <w:style w:type="paragraph" w:styleId="ListParagraph">
    <w:name w:val="List Paragraph"/>
    <w:aliases w:val="List Paragraph1,Recommendation,List Paragraph11,List Paragraph111,L,F5 List Paragraph,Dot pt,CV text,Table text,Medium Grid 1 - Accent 21,Numbered Paragraph,List Paragraph2,Bulit List -  Paragraph,Main numbered paragraph,FooterText,number"/>
    <w:basedOn w:val="Normal"/>
    <w:link w:val="ListParagraphChar"/>
    <w:uiPriority w:val="34"/>
    <w:qFormat/>
    <w:rsid w:val="009C3CFE"/>
    <w:pPr>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qFormat/>
    <w:locked/>
    <w:rsid w:val="009C3CFE"/>
  </w:style>
  <w:style w:type="character" w:styleId="CommentReference">
    <w:name w:val="annotation reference"/>
    <w:basedOn w:val="DefaultParagraphFont"/>
    <w:uiPriority w:val="99"/>
    <w:semiHidden/>
    <w:unhideWhenUsed/>
    <w:rsid w:val="009C3CFE"/>
    <w:rPr>
      <w:sz w:val="16"/>
      <w:szCs w:val="16"/>
    </w:rPr>
  </w:style>
  <w:style w:type="paragraph" w:styleId="CommentText">
    <w:name w:val="annotation text"/>
    <w:basedOn w:val="Normal"/>
    <w:link w:val="CommentTextChar"/>
    <w:uiPriority w:val="99"/>
    <w:unhideWhenUsed/>
    <w:rsid w:val="009C3CF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C3CFE"/>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6A1475"/>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6A1475"/>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6A1475"/>
    <w:rPr>
      <w:vertAlign w:val="superscript"/>
    </w:rPr>
  </w:style>
  <w:style w:type="character" w:customStyle="1" w:styleId="Heading5Char">
    <w:name w:val="Heading 5 Char"/>
    <w:basedOn w:val="DefaultParagraphFont"/>
    <w:link w:val="Heading5"/>
    <w:uiPriority w:val="9"/>
    <w:rsid w:val="00190C95"/>
    <w:rPr>
      <w:rFonts w:eastAsiaTheme="majorEastAsia" w:cstheme="majorBidi"/>
      <w:sz w:val="22"/>
      <w:szCs w:val="28"/>
      <w:u w:val="single"/>
    </w:rPr>
  </w:style>
  <w:style w:type="character" w:customStyle="1" w:styleId="Heading6Char">
    <w:name w:val="Heading 6 Char"/>
    <w:aliases w:val="Question Char"/>
    <w:basedOn w:val="DefaultParagraphFont"/>
    <w:link w:val="Heading6"/>
    <w:uiPriority w:val="9"/>
    <w:rsid w:val="00F531DD"/>
    <w:rPr>
      <w:rFonts w:eastAsiaTheme="majorEastAsia" w:cstheme="majorBidi"/>
      <w:b/>
      <w:iCs/>
      <w:color w:val="C87200"/>
      <w:sz w:val="28"/>
      <w:szCs w:val="26"/>
    </w:rPr>
  </w:style>
  <w:style w:type="character" w:customStyle="1" w:styleId="Heading7Char">
    <w:name w:val="Heading 7 Char"/>
    <w:aliases w:val="Sub-question Char"/>
    <w:basedOn w:val="DefaultParagraphFont"/>
    <w:link w:val="Heading7"/>
    <w:uiPriority w:val="9"/>
    <w:rsid w:val="000019E7"/>
    <w:rPr>
      <w:rFonts w:eastAsiaTheme="majorEastAsia" w:cstheme="majorBidi"/>
      <w:color w:val="4D738A"/>
      <w:sz w:val="28"/>
      <w:szCs w:val="24"/>
    </w:rPr>
  </w:style>
  <w:style w:type="character" w:customStyle="1" w:styleId="Heading8Char">
    <w:name w:val="Heading 8 Char"/>
    <w:basedOn w:val="DefaultParagraphFont"/>
    <w:link w:val="Heading8"/>
    <w:uiPriority w:val="9"/>
    <w:semiHidden/>
    <w:rsid w:val="00B9284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284F"/>
    <w:rPr>
      <w:b/>
      <w:bCs/>
      <w:i/>
      <w:iCs/>
    </w:rPr>
  </w:style>
  <w:style w:type="paragraph" w:styleId="Caption">
    <w:name w:val="caption"/>
    <w:basedOn w:val="Normal"/>
    <w:next w:val="Normal"/>
    <w:uiPriority w:val="35"/>
    <w:semiHidden/>
    <w:unhideWhenUsed/>
    <w:qFormat/>
    <w:rsid w:val="00B9284F"/>
    <w:pPr>
      <w:spacing w:line="240" w:lineRule="auto"/>
    </w:pPr>
    <w:rPr>
      <w:b/>
      <w:bCs/>
      <w:color w:val="404040" w:themeColor="text1" w:themeTint="BF"/>
      <w:sz w:val="16"/>
      <w:szCs w:val="16"/>
    </w:rPr>
  </w:style>
  <w:style w:type="character" w:styleId="Emphasis">
    <w:name w:val="Emphasis"/>
    <w:basedOn w:val="DefaultParagraphFont"/>
    <w:uiPriority w:val="20"/>
    <w:qFormat/>
    <w:rsid w:val="00B9284F"/>
    <w:rPr>
      <w:i/>
      <w:iCs/>
      <w:color w:val="000000" w:themeColor="text1"/>
    </w:rPr>
  </w:style>
  <w:style w:type="paragraph" w:styleId="NoSpacing">
    <w:name w:val="No Spacing"/>
    <w:link w:val="NoSpacingChar"/>
    <w:uiPriority w:val="1"/>
    <w:qFormat/>
    <w:rsid w:val="00B9284F"/>
    <w:pPr>
      <w:spacing w:after="0" w:line="240" w:lineRule="auto"/>
    </w:pPr>
  </w:style>
  <w:style w:type="paragraph" w:styleId="Quote">
    <w:name w:val="Quote"/>
    <w:basedOn w:val="Heading7"/>
    <w:next w:val="Normal"/>
    <w:link w:val="QuoteChar"/>
    <w:uiPriority w:val="29"/>
    <w:qFormat/>
    <w:rsid w:val="00964FD6"/>
    <w:pPr>
      <w:spacing w:before="160"/>
      <w:ind w:left="720" w:right="720"/>
      <w:jc w:val="left"/>
    </w:pPr>
    <w:rPr>
      <w:iCs/>
      <w:color w:val="auto"/>
      <w:sz w:val="24"/>
    </w:rPr>
  </w:style>
  <w:style w:type="character" w:customStyle="1" w:styleId="QuoteChar">
    <w:name w:val="Quote Char"/>
    <w:basedOn w:val="DefaultParagraphFont"/>
    <w:link w:val="Quote"/>
    <w:uiPriority w:val="29"/>
    <w:rsid w:val="00964FD6"/>
    <w:rPr>
      <w:rFonts w:eastAsiaTheme="majorEastAsia" w:cstheme="majorBidi"/>
      <w:iCs/>
      <w:sz w:val="24"/>
      <w:szCs w:val="24"/>
    </w:rPr>
  </w:style>
  <w:style w:type="paragraph" w:styleId="IntenseQuote">
    <w:name w:val="Intense Quote"/>
    <w:basedOn w:val="Normal"/>
    <w:next w:val="Normal"/>
    <w:link w:val="IntenseQuoteChar"/>
    <w:uiPriority w:val="30"/>
    <w:qFormat/>
    <w:rsid w:val="00B9284F"/>
    <w:pPr>
      <w:spacing w:before="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B9284F"/>
    <w:rPr>
      <w:rFonts w:asciiTheme="majorHAnsi" w:eastAsiaTheme="majorEastAsia" w:hAnsiTheme="majorHAnsi" w:cstheme="majorBidi"/>
      <w:caps/>
      <w:color w:val="365F91" w:themeColor="accent1" w:themeShade="BF"/>
      <w:sz w:val="28"/>
      <w:szCs w:val="28"/>
    </w:rPr>
  </w:style>
  <w:style w:type="character" w:styleId="IntenseEmphasis">
    <w:name w:val="Intense Emphasis"/>
    <w:basedOn w:val="DefaultParagraphFont"/>
    <w:uiPriority w:val="21"/>
    <w:qFormat/>
    <w:rsid w:val="00B9284F"/>
    <w:rPr>
      <w:b/>
      <w:bCs/>
      <w:i/>
      <w:iCs/>
      <w:color w:val="auto"/>
    </w:rPr>
  </w:style>
  <w:style w:type="character" w:styleId="SubtleReference">
    <w:name w:val="Subtle Reference"/>
    <w:basedOn w:val="DefaultParagraphFont"/>
    <w:uiPriority w:val="31"/>
    <w:qFormat/>
    <w:rsid w:val="00B9284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284F"/>
    <w:rPr>
      <w:b/>
      <w:bCs/>
      <w:caps w:val="0"/>
      <w:smallCaps/>
      <w:color w:val="auto"/>
      <w:spacing w:val="0"/>
      <w:u w:val="single"/>
    </w:rPr>
  </w:style>
  <w:style w:type="character" w:styleId="BookTitle">
    <w:name w:val="Book Title"/>
    <w:basedOn w:val="DefaultParagraphFont"/>
    <w:uiPriority w:val="33"/>
    <w:qFormat/>
    <w:rsid w:val="00B9284F"/>
    <w:rPr>
      <w:b/>
      <w:bCs/>
      <w:caps w:val="0"/>
      <w:smallCaps/>
      <w:spacing w:val="0"/>
    </w:rPr>
  </w:style>
  <w:style w:type="paragraph" w:styleId="TOCHeading">
    <w:name w:val="TOC Heading"/>
    <w:basedOn w:val="Heading1"/>
    <w:next w:val="Normal"/>
    <w:uiPriority w:val="39"/>
    <w:unhideWhenUsed/>
    <w:qFormat/>
    <w:rsid w:val="00B9284F"/>
    <w:pPr>
      <w:outlineLvl w:val="9"/>
    </w:pPr>
  </w:style>
  <w:style w:type="paragraph" w:styleId="NormalWeb">
    <w:name w:val="Normal (Web)"/>
    <w:basedOn w:val="Normal"/>
    <w:uiPriority w:val="99"/>
    <w:unhideWhenUsed/>
    <w:rsid w:val="001A51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5-h1">
    <w:name w:val="heading5-h1"/>
    <w:basedOn w:val="DefaultParagraphFont"/>
    <w:rsid w:val="00120B13"/>
    <w:rPr>
      <w:rFonts w:ascii="Times New Roman" w:hAnsi="Times New Roman" w:cs="Times New Roman" w:hint="default"/>
      <w:b/>
      <w:bCs/>
      <w:sz w:val="24"/>
      <w:szCs w:val="24"/>
    </w:rPr>
  </w:style>
  <w:style w:type="character" w:customStyle="1" w:styleId="subsection-h1">
    <w:name w:val="subsection-h1"/>
    <w:basedOn w:val="DefaultParagraphFont"/>
    <w:rsid w:val="00120B13"/>
    <w:rPr>
      <w:rFonts w:ascii="Times New Roman" w:hAnsi="Times New Roman" w:cs="Times New Roman" w:hint="default"/>
      <w:sz w:val="24"/>
      <w:szCs w:val="24"/>
    </w:rPr>
  </w:style>
  <w:style w:type="character" w:customStyle="1" w:styleId="defstart-h1">
    <w:name w:val="defstart-h1"/>
    <w:basedOn w:val="DefaultParagraphFont"/>
    <w:rsid w:val="00120B13"/>
    <w:rPr>
      <w:rFonts w:ascii="Times New Roman" w:hAnsi="Times New Roman" w:cs="Times New Roman" w:hint="default"/>
      <w:sz w:val="24"/>
      <w:szCs w:val="24"/>
    </w:rPr>
  </w:style>
  <w:style w:type="character" w:customStyle="1" w:styleId="chardeftext-h1">
    <w:name w:val="chardeftext-h1"/>
    <w:basedOn w:val="DefaultParagraphFont"/>
    <w:rsid w:val="00120B13"/>
    <w:rPr>
      <w:b/>
      <w:bCs/>
      <w:i/>
      <w:iCs/>
    </w:rPr>
  </w:style>
  <w:style w:type="character" w:customStyle="1" w:styleId="NoSpacingChar">
    <w:name w:val="No Spacing Char"/>
    <w:basedOn w:val="DefaultParagraphFont"/>
    <w:link w:val="NoSpacing"/>
    <w:uiPriority w:val="1"/>
    <w:rsid w:val="00120B13"/>
  </w:style>
  <w:style w:type="table" w:styleId="TableGrid">
    <w:name w:val="Table Grid"/>
    <w:basedOn w:val="TableNormal"/>
    <w:uiPriority w:val="39"/>
    <w:rsid w:val="00EF0A9F"/>
    <w:pPr>
      <w:spacing w:after="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73A0"/>
    <w:rPr>
      <w:rFonts w:eastAsiaTheme="minorEastAsia"/>
      <w:b/>
      <w:bCs/>
    </w:rPr>
  </w:style>
  <w:style w:type="character" w:customStyle="1" w:styleId="CommentSubjectChar">
    <w:name w:val="Comment Subject Char"/>
    <w:basedOn w:val="CommentTextChar"/>
    <w:link w:val="CommentSubject"/>
    <w:uiPriority w:val="99"/>
    <w:semiHidden/>
    <w:rsid w:val="000C73A0"/>
    <w:rPr>
      <w:rFonts w:asciiTheme="minorHAnsi" w:eastAsiaTheme="minorHAnsi" w:hAnsiTheme="minorHAnsi" w:cstheme="minorBidi"/>
      <w:b/>
      <w:bCs/>
      <w:sz w:val="20"/>
      <w:szCs w:val="20"/>
      <w:lang w:eastAsia="en-US"/>
    </w:rPr>
  </w:style>
  <w:style w:type="character" w:styleId="Hyperlink">
    <w:name w:val="Hyperlink"/>
    <w:basedOn w:val="DefaultParagraphFont"/>
    <w:uiPriority w:val="99"/>
    <w:unhideWhenUsed/>
    <w:rsid w:val="00C87F19"/>
    <w:rPr>
      <w:color w:val="0000FF" w:themeColor="hyperlink"/>
      <w:u w:val="single"/>
    </w:rPr>
  </w:style>
  <w:style w:type="paragraph" w:styleId="Revision">
    <w:name w:val="Revision"/>
    <w:hidden/>
    <w:uiPriority w:val="99"/>
    <w:semiHidden/>
    <w:rsid w:val="009B6040"/>
    <w:pPr>
      <w:spacing w:after="0" w:line="240" w:lineRule="auto"/>
    </w:pPr>
  </w:style>
  <w:style w:type="paragraph" w:customStyle="1" w:styleId="Paragraph">
    <w:name w:val="Paragraph"/>
    <w:basedOn w:val="Normal"/>
    <w:link w:val="ParagraphChar"/>
    <w:rsid w:val="00824435"/>
    <w:pPr>
      <w:numPr>
        <w:ilvl w:val="12"/>
      </w:numPr>
      <w:spacing w:before="240" w:after="0" w:line="240" w:lineRule="auto"/>
    </w:pPr>
    <w:rPr>
      <w:rFonts w:ascii="Times New Roman" w:eastAsia="Times New Roman" w:hAnsi="Times New Roman" w:cs="Times New Roman"/>
      <w:sz w:val="24"/>
      <w:szCs w:val="20"/>
    </w:rPr>
  </w:style>
  <w:style w:type="character" w:customStyle="1" w:styleId="ParagraphChar">
    <w:name w:val="Paragraph Char"/>
    <w:link w:val="Paragraph"/>
    <w:rsid w:val="00824435"/>
    <w:rPr>
      <w:rFonts w:ascii="Times New Roman" w:eastAsia="Times New Roman" w:hAnsi="Times New Roman" w:cs="Times New Roman"/>
      <w:sz w:val="24"/>
      <w:szCs w:val="20"/>
    </w:rPr>
  </w:style>
  <w:style w:type="paragraph" w:customStyle="1" w:styleId="Default">
    <w:name w:val="Default"/>
    <w:rsid w:val="00044C17"/>
    <w:pPr>
      <w:autoSpaceDE w:val="0"/>
      <w:autoSpaceDN w:val="0"/>
      <w:adjustRightInd w:val="0"/>
      <w:spacing w:after="0" w:line="240" w:lineRule="auto"/>
    </w:pPr>
    <w:rPr>
      <w:rFonts w:ascii="Gilroy Bold" w:hAnsi="Gilroy Bold" w:cs="Gilroy Bold"/>
      <w:color w:val="000000"/>
      <w:sz w:val="24"/>
      <w:szCs w:val="24"/>
      <w:lang w:val="en-GB"/>
    </w:rPr>
  </w:style>
  <w:style w:type="paragraph" w:customStyle="1" w:styleId="Pa27">
    <w:name w:val="Pa27"/>
    <w:basedOn w:val="Default"/>
    <w:next w:val="Default"/>
    <w:uiPriority w:val="99"/>
    <w:rsid w:val="00044C17"/>
    <w:pPr>
      <w:spacing w:line="321" w:lineRule="atLeast"/>
    </w:pPr>
    <w:rPr>
      <w:rFonts w:cstheme="minorBidi"/>
      <w:color w:val="auto"/>
    </w:rPr>
  </w:style>
  <w:style w:type="paragraph" w:customStyle="1" w:styleId="Pa1">
    <w:name w:val="Pa1"/>
    <w:basedOn w:val="Default"/>
    <w:next w:val="Default"/>
    <w:uiPriority w:val="99"/>
    <w:rsid w:val="00044C17"/>
    <w:pPr>
      <w:spacing w:line="171" w:lineRule="atLeast"/>
    </w:pPr>
    <w:rPr>
      <w:rFonts w:cstheme="minorBidi"/>
      <w:color w:val="auto"/>
    </w:rPr>
  </w:style>
  <w:style w:type="paragraph" w:customStyle="1" w:styleId="Pa12">
    <w:name w:val="Pa12"/>
    <w:basedOn w:val="Default"/>
    <w:next w:val="Default"/>
    <w:uiPriority w:val="99"/>
    <w:rsid w:val="00044C17"/>
    <w:pPr>
      <w:spacing w:line="321" w:lineRule="atLeast"/>
    </w:pPr>
    <w:rPr>
      <w:rFonts w:cstheme="minorBidi"/>
      <w:color w:val="auto"/>
    </w:rPr>
  </w:style>
  <w:style w:type="character" w:customStyle="1" w:styleId="A7">
    <w:name w:val="A7"/>
    <w:uiPriority w:val="99"/>
    <w:rsid w:val="00044C17"/>
    <w:rPr>
      <w:rFonts w:cs="Gilroy Bold"/>
      <w:b/>
      <w:bCs/>
      <w:color w:val="000000"/>
      <w:sz w:val="17"/>
      <w:szCs w:val="17"/>
    </w:rPr>
  </w:style>
  <w:style w:type="character" w:customStyle="1" w:styleId="charsectno">
    <w:name w:val="charsectno"/>
    <w:basedOn w:val="DefaultParagraphFont"/>
    <w:rsid w:val="00CA697B"/>
  </w:style>
  <w:style w:type="paragraph" w:styleId="TOC1">
    <w:name w:val="toc 1"/>
    <w:basedOn w:val="Normal"/>
    <w:next w:val="Normal"/>
    <w:autoRedefine/>
    <w:uiPriority w:val="39"/>
    <w:unhideWhenUsed/>
    <w:rsid w:val="0080526F"/>
    <w:pPr>
      <w:tabs>
        <w:tab w:val="right" w:leader="dot" w:pos="10302"/>
      </w:tabs>
      <w:spacing w:after="100"/>
    </w:pPr>
  </w:style>
  <w:style w:type="paragraph" w:styleId="TOC2">
    <w:name w:val="toc 2"/>
    <w:basedOn w:val="Normal"/>
    <w:next w:val="Normal"/>
    <w:autoRedefine/>
    <w:uiPriority w:val="39"/>
    <w:unhideWhenUsed/>
    <w:rsid w:val="00FD303D"/>
    <w:pPr>
      <w:spacing w:after="100"/>
      <w:ind w:left="210"/>
    </w:pPr>
  </w:style>
  <w:style w:type="paragraph" w:styleId="TOC3">
    <w:name w:val="toc 3"/>
    <w:basedOn w:val="Normal"/>
    <w:next w:val="Normal"/>
    <w:autoRedefine/>
    <w:uiPriority w:val="39"/>
    <w:unhideWhenUsed/>
    <w:rsid w:val="00FD303D"/>
    <w:pPr>
      <w:spacing w:after="100"/>
      <w:ind w:left="420"/>
    </w:pPr>
  </w:style>
  <w:style w:type="character" w:styleId="FollowedHyperlink">
    <w:name w:val="FollowedHyperlink"/>
    <w:basedOn w:val="DefaultParagraphFont"/>
    <w:uiPriority w:val="99"/>
    <w:semiHidden/>
    <w:unhideWhenUsed/>
    <w:rsid w:val="00D9784D"/>
    <w:rPr>
      <w:color w:val="800080" w:themeColor="followedHyperlink"/>
      <w:u w:val="single"/>
    </w:rPr>
  </w:style>
  <w:style w:type="table" w:styleId="GridTable4-Accent1">
    <w:name w:val="Grid Table 4 Accent 1"/>
    <w:basedOn w:val="TableNormal"/>
    <w:uiPriority w:val="49"/>
    <w:rsid w:val="008647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8F7234"/>
    <w:pPr>
      <w:spacing w:after="100"/>
      <w:ind w:left="630"/>
    </w:pPr>
  </w:style>
  <w:style w:type="paragraph" w:customStyle="1" w:styleId="acthead5">
    <w:name w:val="acthead5"/>
    <w:basedOn w:val="Normal"/>
    <w:rsid w:val="00AF5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rsid w:val="00AF5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0">
    <w:name w:val="paragraph"/>
    <w:basedOn w:val="Normal"/>
    <w:rsid w:val="00AF5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FA7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DBodyTextChar">
    <w:name w:val="PD Body Text Char"/>
    <w:basedOn w:val="DefaultParagraphFont"/>
    <w:link w:val="PDBodyText"/>
    <w:locked/>
    <w:rsid w:val="00E522EC"/>
    <w:rPr>
      <w:rFonts w:ascii="Calibri" w:hAnsi="Calibri" w:cs="Calibri"/>
      <w:lang w:eastAsia="en-US"/>
    </w:rPr>
  </w:style>
  <w:style w:type="paragraph" w:customStyle="1" w:styleId="PDBodyText">
    <w:name w:val="PD Body Text"/>
    <w:basedOn w:val="Normal"/>
    <w:link w:val="PDBodyTextChar"/>
    <w:rsid w:val="00E522EC"/>
    <w:pPr>
      <w:autoSpaceDE w:val="0"/>
      <w:autoSpaceDN w:val="0"/>
      <w:spacing w:before="60" w:after="120"/>
    </w:pPr>
    <w:rPr>
      <w:rFonts w:ascii="Calibri" w:hAnsi="Calibri" w:cs="Calibri"/>
      <w:lang w:eastAsia="en-US"/>
    </w:rPr>
  </w:style>
  <w:style w:type="paragraph" w:customStyle="1" w:styleId="ahprabody">
    <w:name w:val="ahprabody"/>
    <w:basedOn w:val="Normal"/>
    <w:rsid w:val="000903A8"/>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5C06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EndnoteText">
    <w:name w:val="endnote text"/>
    <w:basedOn w:val="Normal"/>
    <w:link w:val="EndnoteTextChar"/>
    <w:uiPriority w:val="99"/>
    <w:semiHidden/>
    <w:unhideWhenUsed/>
    <w:rsid w:val="00297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FBC"/>
    <w:rPr>
      <w:sz w:val="20"/>
      <w:szCs w:val="20"/>
    </w:rPr>
  </w:style>
  <w:style w:type="character" w:styleId="EndnoteReference">
    <w:name w:val="endnote reference"/>
    <w:basedOn w:val="DefaultParagraphFont"/>
    <w:uiPriority w:val="99"/>
    <w:semiHidden/>
    <w:unhideWhenUsed/>
    <w:rsid w:val="00297FBC"/>
    <w:rPr>
      <w:vertAlign w:val="superscript"/>
    </w:rPr>
  </w:style>
  <w:style w:type="paragraph" w:styleId="TableofFigures">
    <w:name w:val="table of figures"/>
    <w:basedOn w:val="Normal"/>
    <w:next w:val="Normal"/>
    <w:uiPriority w:val="99"/>
    <w:unhideWhenUsed/>
    <w:rsid w:val="00A33773"/>
    <w:pPr>
      <w:spacing w:after="0"/>
    </w:pPr>
  </w:style>
  <w:style w:type="paragraph" w:styleId="Index1">
    <w:name w:val="index 1"/>
    <w:basedOn w:val="Normal"/>
    <w:next w:val="Normal"/>
    <w:autoRedefine/>
    <w:uiPriority w:val="99"/>
    <w:semiHidden/>
    <w:unhideWhenUsed/>
    <w:rsid w:val="00A33773"/>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9626">
      <w:bodyDiv w:val="1"/>
      <w:marLeft w:val="0"/>
      <w:marRight w:val="0"/>
      <w:marTop w:val="0"/>
      <w:marBottom w:val="0"/>
      <w:divBdr>
        <w:top w:val="none" w:sz="0" w:space="0" w:color="auto"/>
        <w:left w:val="none" w:sz="0" w:space="0" w:color="auto"/>
        <w:bottom w:val="none" w:sz="0" w:space="0" w:color="auto"/>
        <w:right w:val="none" w:sz="0" w:space="0" w:color="auto"/>
      </w:divBdr>
    </w:div>
    <w:div w:id="87041801">
      <w:bodyDiv w:val="1"/>
      <w:marLeft w:val="0"/>
      <w:marRight w:val="0"/>
      <w:marTop w:val="0"/>
      <w:marBottom w:val="0"/>
      <w:divBdr>
        <w:top w:val="none" w:sz="0" w:space="0" w:color="auto"/>
        <w:left w:val="none" w:sz="0" w:space="0" w:color="auto"/>
        <w:bottom w:val="none" w:sz="0" w:space="0" w:color="auto"/>
        <w:right w:val="none" w:sz="0" w:space="0" w:color="auto"/>
      </w:divBdr>
    </w:div>
    <w:div w:id="101144530">
      <w:bodyDiv w:val="1"/>
      <w:marLeft w:val="0"/>
      <w:marRight w:val="0"/>
      <w:marTop w:val="0"/>
      <w:marBottom w:val="0"/>
      <w:divBdr>
        <w:top w:val="none" w:sz="0" w:space="0" w:color="auto"/>
        <w:left w:val="none" w:sz="0" w:space="0" w:color="auto"/>
        <w:bottom w:val="none" w:sz="0" w:space="0" w:color="auto"/>
        <w:right w:val="none" w:sz="0" w:space="0" w:color="auto"/>
      </w:divBdr>
    </w:div>
    <w:div w:id="135875597">
      <w:bodyDiv w:val="1"/>
      <w:marLeft w:val="0"/>
      <w:marRight w:val="0"/>
      <w:marTop w:val="0"/>
      <w:marBottom w:val="0"/>
      <w:divBdr>
        <w:top w:val="none" w:sz="0" w:space="0" w:color="auto"/>
        <w:left w:val="none" w:sz="0" w:space="0" w:color="auto"/>
        <w:bottom w:val="none" w:sz="0" w:space="0" w:color="auto"/>
        <w:right w:val="none" w:sz="0" w:space="0" w:color="auto"/>
      </w:divBdr>
      <w:divsChild>
        <w:div w:id="684476683">
          <w:marLeft w:val="547"/>
          <w:marRight w:val="0"/>
          <w:marTop w:val="0"/>
          <w:marBottom w:val="0"/>
          <w:divBdr>
            <w:top w:val="none" w:sz="0" w:space="0" w:color="auto"/>
            <w:left w:val="none" w:sz="0" w:space="0" w:color="auto"/>
            <w:bottom w:val="none" w:sz="0" w:space="0" w:color="auto"/>
            <w:right w:val="none" w:sz="0" w:space="0" w:color="auto"/>
          </w:divBdr>
        </w:div>
        <w:div w:id="726034915">
          <w:marLeft w:val="547"/>
          <w:marRight w:val="0"/>
          <w:marTop w:val="0"/>
          <w:marBottom w:val="0"/>
          <w:divBdr>
            <w:top w:val="none" w:sz="0" w:space="0" w:color="auto"/>
            <w:left w:val="none" w:sz="0" w:space="0" w:color="auto"/>
            <w:bottom w:val="none" w:sz="0" w:space="0" w:color="auto"/>
            <w:right w:val="none" w:sz="0" w:space="0" w:color="auto"/>
          </w:divBdr>
        </w:div>
        <w:div w:id="992097881">
          <w:marLeft w:val="547"/>
          <w:marRight w:val="0"/>
          <w:marTop w:val="0"/>
          <w:marBottom w:val="0"/>
          <w:divBdr>
            <w:top w:val="none" w:sz="0" w:space="0" w:color="auto"/>
            <w:left w:val="none" w:sz="0" w:space="0" w:color="auto"/>
            <w:bottom w:val="none" w:sz="0" w:space="0" w:color="auto"/>
            <w:right w:val="none" w:sz="0" w:space="0" w:color="auto"/>
          </w:divBdr>
        </w:div>
        <w:div w:id="1795980749">
          <w:marLeft w:val="547"/>
          <w:marRight w:val="0"/>
          <w:marTop w:val="0"/>
          <w:marBottom w:val="0"/>
          <w:divBdr>
            <w:top w:val="none" w:sz="0" w:space="0" w:color="auto"/>
            <w:left w:val="none" w:sz="0" w:space="0" w:color="auto"/>
            <w:bottom w:val="none" w:sz="0" w:space="0" w:color="auto"/>
            <w:right w:val="none" w:sz="0" w:space="0" w:color="auto"/>
          </w:divBdr>
        </w:div>
      </w:divsChild>
    </w:div>
    <w:div w:id="216018941">
      <w:bodyDiv w:val="1"/>
      <w:marLeft w:val="0"/>
      <w:marRight w:val="0"/>
      <w:marTop w:val="0"/>
      <w:marBottom w:val="0"/>
      <w:divBdr>
        <w:top w:val="none" w:sz="0" w:space="0" w:color="auto"/>
        <w:left w:val="none" w:sz="0" w:space="0" w:color="auto"/>
        <w:bottom w:val="none" w:sz="0" w:space="0" w:color="auto"/>
        <w:right w:val="none" w:sz="0" w:space="0" w:color="auto"/>
      </w:divBdr>
    </w:div>
    <w:div w:id="219708277">
      <w:bodyDiv w:val="1"/>
      <w:marLeft w:val="0"/>
      <w:marRight w:val="0"/>
      <w:marTop w:val="0"/>
      <w:marBottom w:val="0"/>
      <w:divBdr>
        <w:top w:val="none" w:sz="0" w:space="0" w:color="auto"/>
        <w:left w:val="none" w:sz="0" w:space="0" w:color="auto"/>
        <w:bottom w:val="none" w:sz="0" w:space="0" w:color="auto"/>
        <w:right w:val="none" w:sz="0" w:space="0" w:color="auto"/>
      </w:divBdr>
    </w:div>
    <w:div w:id="248932563">
      <w:bodyDiv w:val="1"/>
      <w:marLeft w:val="0"/>
      <w:marRight w:val="0"/>
      <w:marTop w:val="0"/>
      <w:marBottom w:val="0"/>
      <w:divBdr>
        <w:top w:val="none" w:sz="0" w:space="0" w:color="auto"/>
        <w:left w:val="none" w:sz="0" w:space="0" w:color="auto"/>
        <w:bottom w:val="none" w:sz="0" w:space="0" w:color="auto"/>
        <w:right w:val="none" w:sz="0" w:space="0" w:color="auto"/>
      </w:divBdr>
      <w:divsChild>
        <w:div w:id="727148209">
          <w:marLeft w:val="360"/>
          <w:marRight w:val="0"/>
          <w:marTop w:val="200"/>
          <w:marBottom w:val="0"/>
          <w:divBdr>
            <w:top w:val="none" w:sz="0" w:space="0" w:color="auto"/>
            <w:left w:val="none" w:sz="0" w:space="0" w:color="auto"/>
            <w:bottom w:val="none" w:sz="0" w:space="0" w:color="auto"/>
            <w:right w:val="none" w:sz="0" w:space="0" w:color="auto"/>
          </w:divBdr>
        </w:div>
        <w:div w:id="1049110855">
          <w:marLeft w:val="360"/>
          <w:marRight w:val="0"/>
          <w:marTop w:val="200"/>
          <w:marBottom w:val="0"/>
          <w:divBdr>
            <w:top w:val="none" w:sz="0" w:space="0" w:color="auto"/>
            <w:left w:val="none" w:sz="0" w:space="0" w:color="auto"/>
            <w:bottom w:val="none" w:sz="0" w:space="0" w:color="auto"/>
            <w:right w:val="none" w:sz="0" w:space="0" w:color="auto"/>
          </w:divBdr>
        </w:div>
      </w:divsChild>
    </w:div>
    <w:div w:id="268239506">
      <w:bodyDiv w:val="1"/>
      <w:marLeft w:val="0"/>
      <w:marRight w:val="0"/>
      <w:marTop w:val="0"/>
      <w:marBottom w:val="0"/>
      <w:divBdr>
        <w:top w:val="none" w:sz="0" w:space="0" w:color="auto"/>
        <w:left w:val="none" w:sz="0" w:space="0" w:color="auto"/>
        <w:bottom w:val="none" w:sz="0" w:space="0" w:color="auto"/>
        <w:right w:val="none" w:sz="0" w:space="0" w:color="auto"/>
      </w:divBdr>
    </w:div>
    <w:div w:id="429083307">
      <w:bodyDiv w:val="1"/>
      <w:marLeft w:val="0"/>
      <w:marRight w:val="0"/>
      <w:marTop w:val="0"/>
      <w:marBottom w:val="0"/>
      <w:divBdr>
        <w:top w:val="none" w:sz="0" w:space="0" w:color="auto"/>
        <w:left w:val="none" w:sz="0" w:space="0" w:color="auto"/>
        <w:bottom w:val="none" w:sz="0" w:space="0" w:color="auto"/>
        <w:right w:val="none" w:sz="0" w:space="0" w:color="auto"/>
      </w:divBdr>
    </w:div>
    <w:div w:id="455568446">
      <w:bodyDiv w:val="1"/>
      <w:marLeft w:val="0"/>
      <w:marRight w:val="0"/>
      <w:marTop w:val="0"/>
      <w:marBottom w:val="0"/>
      <w:divBdr>
        <w:top w:val="none" w:sz="0" w:space="0" w:color="auto"/>
        <w:left w:val="none" w:sz="0" w:space="0" w:color="auto"/>
        <w:bottom w:val="none" w:sz="0" w:space="0" w:color="auto"/>
        <w:right w:val="none" w:sz="0" w:space="0" w:color="auto"/>
      </w:divBdr>
      <w:divsChild>
        <w:div w:id="71784632">
          <w:marLeft w:val="547"/>
          <w:marRight w:val="0"/>
          <w:marTop w:val="0"/>
          <w:marBottom w:val="0"/>
          <w:divBdr>
            <w:top w:val="none" w:sz="0" w:space="0" w:color="auto"/>
            <w:left w:val="none" w:sz="0" w:space="0" w:color="auto"/>
            <w:bottom w:val="none" w:sz="0" w:space="0" w:color="auto"/>
            <w:right w:val="none" w:sz="0" w:space="0" w:color="auto"/>
          </w:divBdr>
        </w:div>
        <w:div w:id="1589534640">
          <w:marLeft w:val="547"/>
          <w:marRight w:val="0"/>
          <w:marTop w:val="0"/>
          <w:marBottom w:val="0"/>
          <w:divBdr>
            <w:top w:val="none" w:sz="0" w:space="0" w:color="auto"/>
            <w:left w:val="none" w:sz="0" w:space="0" w:color="auto"/>
            <w:bottom w:val="none" w:sz="0" w:space="0" w:color="auto"/>
            <w:right w:val="none" w:sz="0" w:space="0" w:color="auto"/>
          </w:divBdr>
        </w:div>
      </w:divsChild>
    </w:div>
    <w:div w:id="461309395">
      <w:bodyDiv w:val="1"/>
      <w:marLeft w:val="0"/>
      <w:marRight w:val="0"/>
      <w:marTop w:val="0"/>
      <w:marBottom w:val="0"/>
      <w:divBdr>
        <w:top w:val="none" w:sz="0" w:space="0" w:color="auto"/>
        <w:left w:val="none" w:sz="0" w:space="0" w:color="auto"/>
        <w:bottom w:val="none" w:sz="0" w:space="0" w:color="auto"/>
        <w:right w:val="none" w:sz="0" w:space="0" w:color="auto"/>
      </w:divBdr>
    </w:div>
    <w:div w:id="548879943">
      <w:bodyDiv w:val="1"/>
      <w:marLeft w:val="0"/>
      <w:marRight w:val="0"/>
      <w:marTop w:val="0"/>
      <w:marBottom w:val="0"/>
      <w:divBdr>
        <w:top w:val="none" w:sz="0" w:space="0" w:color="auto"/>
        <w:left w:val="none" w:sz="0" w:space="0" w:color="auto"/>
        <w:bottom w:val="none" w:sz="0" w:space="0" w:color="auto"/>
        <w:right w:val="none" w:sz="0" w:space="0" w:color="auto"/>
      </w:divBdr>
    </w:div>
    <w:div w:id="573200887">
      <w:bodyDiv w:val="1"/>
      <w:marLeft w:val="0"/>
      <w:marRight w:val="0"/>
      <w:marTop w:val="0"/>
      <w:marBottom w:val="0"/>
      <w:divBdr>
        <w:top w:val="none" w:sz="0" w:space="0" w:color="auto"/>
        <w:left w:val="none" w:sz="0" w:space="0" w:color="auto"/>
        <w:bottom w:val="none" w:sz="0" w:space="0" w:color="auto"/>
        <w:right w:val="none" w:sz="0" w:space="0" w:color="auto"/>
      </w:divBdr>
    </w:div>
    <w:div w:id="574975281">
      <w:bodyDiv w:val="1"/>
      <w:marLeft w:val="0"/>
      <w:marRight w:val="0"/>
      <w:marTop w:val="0"/>
      <w:marBottom w:val="0"/>
      <w:divBdr>
        <w:top w:val="none" w:sz="0" w:space="0" w:color="auto"/>
        <w:left w:val="none" w:sz="0" w:space="0" w:color="auto"/>
        <w:bottom w:val="none" w:sz="0" w:space="0" w:color="auto"/>
        <w:right w:val="none" w:sz="0" w:space="0" w:color="auto"/>
      </w:divBdr>
      <w:divsChild>
        <w:div w:id="2041777354">
          <w:marLeft w:val="547"/>
          <w:marRight w:val="0"/>
          <w:marTop w:val="0"/>
          <w:marBottom w:val="0"/>
          <w:divBdr>
            <w:top w:val="none" w:sz="0" w:space="0" w:color="auto"/>
            <w:left w:val="none" w:sz="0" w:space="0" w:color="auto"/>
            <w:bottom w:val="none" w:sz="0" w:space="0" w:color="auto"/>
            <w:right w:val="none" w:sz="0" w:space="0" w:color="auto"/>
          </w:divBdr>
        </w:div>
      </w:divsChild>
    </w:div>
    <w:div w:id="588999285">
      <w:bodyDiv w:val="1"/>
      <w:marLeft w:val="0"/>
      <w:marRight w:val="0"/>
      <w:marTop w:val="0"/>
      <w:marBottom w:val="0"/>
      <w:divBdr>
        <w:top w:val="none" w:sz="0" w:space="0" w:color="auto"/>
        <w:left w:val="none" w:sz="0" w:space="0" w:color="auto"/>
        <w:bottom w:val="none" w:sz="0" w:space="0" w:color="auto"/>
        <w:right w:val="none" w:sz="0" w:space="0" w:color="auto"/>
      </w:divBdr>
      <w:divsChild>
        <w:div w:id="978150338">
          <w:marLeft w:val="547"/>
          <w:marRight w:val="0"/>
          <w:marTop w:val="0"/>
          <w:marBottom w:val="0"/>
          <w:divBdr>
            <w:top w:val="none" w:sz="0" w:space="0" w:color="auto"/>
            <w:left w:val="none" w:sz="0" w:space="0" w:color="auto"/>
            <w:bottom w:val="none" w:sz="0" w:space="0" w:color="auto"/>
            <w:right w:val="none" w:sz="0" w:space="0" w:color="auto"/>
          </w:divBdr>
        </w:div>
        <w:div w:id="1789160312">
          <w:marLeft w:val="547"/>
          <w:marRight w:val="0"/>
          <w:marTop w:val="0"/>
          <w:marBottom w:val="0"/>
          <w:divBdr>
            <w:top w:val="none" w:sz="0" w:space="0" w:color="auto"/>
            <w:left w:val="none" w:sz="0" w:space="0" w:color="auto"/>
            <w:bottom w:val="none" w:sz="0" w:space="0" w:color="auto"/>
            <w:right w:val="none" w:sz="0" w:space="0" w:color="auto"/>
          </w:divBdr>
        </w:div>
      </w:divsChild>
    </w:div>
    <w:div w:id="643781418">
      <w:bodyDiv w:val="1"/>
      <w:marLeft w:val="0"/>
      <w:marRight w:val="0"/>
      <w:marTop w:val="0"/>
      <w:marBottom w:val="0"/>
      <w:divBdr>
        <w:top w:val="none" w:sz="0" w:space="0" w:color="auto"/>
        <w:left w:val="none" w:sz="0" w:space="0" w:color="auto"/>
        <w:bottom w:val="none" w:sz="0" w:space="0" w:color="auto"/>
        <w:right w:val="none" w:sz="0" w:space="0" w:color="auto"/>
      </w:divBdr>
    </w:div>
    <w:div w:id="661734756">
      <w:bodyDiv w:val="1"/>
      <w:marLeft w:val="0"/>
      <w:marRight w:val="0"/>
      <w:marTop w:val="0"/>
      <w:marBottom w:val="0"/>
      <w:divBdr>
        <w:top w:val="none" w:sz="0" w:space="0" w:color="auto"/>
        <w:left w:val="none" w:sz="0" w:space="0" w:color="auto"/>
        <w:bottom w:val="none" w:sz="0" w:space="0" w:color="auto"/>
        <w:right w:val="none" w:sz="0" w:space="0" w:color="auto"/>
      </w:divBdr>
      <w:divsChild>
        <w:div w:id="1521314730">
          <w:marLeft w:val="0"/>
          <w:marRight w:val="0"/>
          <w:marTop w:val="0"/>
          <w:marBottom w:val="0"/>
          <w:divBdr>
            <w:top w:val="none" w:sz="0" w:space="0" w:color="auto"/>
            <w:left w:val="none" w:sz="0" w:space="0" w:color="auto"/>
            <w:bottom w:val="none" w:sz="0" w:space="0" w:color="auto"/>
            <w:right w:val="none" w:sz="0" w:space="0" w:color="auto"/>
          </w:divBdr>
          <w:divsChild>
            <w:div w:id="223489750">
              <w:marLeft w:val="0"/>
              <w:marRight w:val="0"/>
              <w:marTop w:val="0"/>
              <w:marBottom w:val="0"/>
              <w:divBdr>
                <w:top w:val="none" w:sz="0" w:space="0" w:color="auto"/>
                <w:left w:val="none" w:sz="0" w:space="0" w:color="auto"/>
                <w:bottom w:val="none" w:sz="0" w:space="0" w:color="auto"/>
                <w:right w:val="none" w:sz="0" w:space="0" w:color="auto"/>
              </w:divBdr>
            </w:div>
            <w:div w:id="309402033">
              <w:marLeft w:val="0"/>
              <w:marRight w:val="0"/>
              <w:marTop w:val="0"/>
              <w:marBottom w:val="0"/>
              <w:divBdr>
                <w:top w:val="none" w:sz="0" w:space="0" w:color="auto"/>
                <w:left w:val="none" w:sz="0" w:space="0" w:color="auto"/>
                <w:bottom w:val="none" w:sz="0" w:space="0" w:color="auto"/>
                <w:right w:val="none" w:sz="0" w:space="0" w:color="auto"/>
              </w:divBdr>
            </w:div>
            <w:div w:id="392050104">
              <w:marLeft w:val="0"/>
              <w:marRight w:val="0"/>
              <w:marTop w:val="0"/>
              <w:marBottom w:val="0"/>
              <w:divBdr>
                <w:top w:val="none" w:sz="0" w:space="0" w:color="auto"/>
                <w:left w:val="none" w:sz="0" w:space="0" w:color="auto"/>
                <w:bottom w:val="none" w:sz="0" w:space="0" w:color="auto"/>
                <w:right w:val="none" w:sz="0" w:space="0" w:color="auto"/>
              </w:divBdr>
            </w:div>
            <w:div w:id="447429221">
              <w:marLeft w:val="0"/>
              <w:marRight w:val="0"/>
              <w:marTop w:val="0"/>
              <w:marBottom w:val="0"/>
              <w:divBdr>
                <w:top w:val="none" w:sz="0" w:space="0" w:color="auto"/>
                <w:left w:val="none" w:sz="0" w:space="0" w:color="auto"/>
                <w:bottom w:val="none" w:sz="0" w:space="0" w:color="auto"/>
                <w:right w:val="none" w:sz="0" w:space="0" w:color="auto"/>
              </w:divBdr>
            </w:div>
            <w:div w:id="557205192">
              <w:marLeft w:val="0"/>
              <w:marRight w:val="0"/>
              <w:marTop w:val="0"/>
              <w:marBottom w:val="0"/>
              <w:divBdr>
                <w:top w:val="none" w:sz="0" w:space="0" w:color="auto"/>
                <w:left w:val="none" w:sz="0" w:space="0" w:color="auto"/>
                <w:bottom w:val="none" w:sz="0" w:space="0" w:color="auto"/>
                <w:right w:val="none" w:sz="0" w:space="0" w:color="auto"/>
              </w:divBdr>
            </w:div>
            <w:div w:id="690842008">
              <w:marLeft w:val="0"/>
              <w:marRight w:val="0"/>
              <w:marTop w:val="0"/>
              <w:marBottom w:val="0"/>
              <w:divBdr>
                <w:top w:val="none" w:sz="0" w:space="0" w:color="auto"/>
                <w:left w:val="none" w:sz="0" w:space="0" w:color="auto"/>
                <w:bottom w:val="none" w:sz="0" w:space="0" w:color="auto"/>
                <w:right w:val="none" w:sz="0" w:space="0" w:color="auto"/>
              </w:divBdr>
            </w:div>
            <w:div w:id="753211292">
              <w:marLeft w:val="0"/>
              <w:marRight w:val="0"/>
              <w:marTop w:val="0"/>
              <w:marBottom w:val="0"/>
              <w:divBdr>
                <w:top w:val="none" w:sz="0" w:space="0" w:color="auto"/>
                <w:left w:val="none" w:sz="0" w:space="0" w:color="auto"/>
                <w:bottom w:val="none" w:sz="0" w:space="0" w:color="auto"/>
                <w:right w:val="none" w:sz="0" w:space="0" w:color="auto"/>
              </w:divBdr>
            </w:div>
            <w:div w:id="797604280">
              <w:marLeft w:val="0"/>
              <w:marRight w:val="0"/>
              <w:marTop w:val="0"/>
              <w:marBottom w:val="0"/>
              <w:divBdr>
                <w:top w:val="none" w:sz="0" w:space="0" w:color="auto"/>
                <w:left w:val="none" w:sz="0" w:space="0" w:color="auto"/>
                <w:bottom w:val="none" w:sz="0" w:space="0" w:color="auto"/>
                <w:right w:val="none" w:sz="0" w:space="0" w:color="auto"/>
              </w:divBdr>
            </w:div>
            <w:div w:id="976571739">
              <w:marLeft w:val="0"/>
              <w:marRight w:val="0"/>
              <w:marTop w:val="0"/>
              <w:marBottom w:val="0"/>
              <w:divBdr>
                <w:top w:val="none" w:sz="0" w:space="0" w:color="auto"/>
                <w:left w:val="none" w:sz="0" w:space="0" w:color="auto"/>
                <w:bottom w:val="none" w:sz="0" w:space="0" w:color="auto"/>
                <w:right w:val="none" w:sz="0" w:space="0" w:color="auto"/>
              </w:divBdr>
            </w:div>
            <w:div w:id="1096907384">
              <w:marLeft w:val="0"/>
              <w:marRight w:val="0"/>
              <w:marTop w:val="0"/>
              <w:marBottom w:val="0"/>
              <w:divBdr>
                <w:top w:val="none" w:sz="0" w:space="0" w:color="auto"/>
                <w:left w:val="none" w:sz="0" w:space="0" w:color="auto"/>
                <w:bottom w:val="none" w:sz="0" w:space="0" w:color="auto"/>
                <w:right w:val="none" w:sz="0" w:space="0" w:color="auto"/>
              </w:divBdr>
            </w:div>
            <w:div w:id="1191650491">
              <w:marLeft w:val="0"/>
              <w:marRight w:val="0"/>
              <w:marTop w:val="0"/>
              <w:marBottom w:val="0"/>
              <w:divBdr>
                <w:top w:val="none" w:sz="0" w:space="0" w:color="auto"/>
                <w:left w:val="none" w:sz="0" w:space="0" w:color="auto"/>
                <w:bottom w:val="none" w:sz="0" w:space="0" w:color="auto"/>
                <w:right w:val="none" w:sz="0" w:space="0" w:color="auto"/>
              </w:divBdr>
            </w:div>
            <w:div w:id="1229540203">
              <w:marLeft w:val="0"/>
              <w:marRight w:val="0"/>
              <w:marTop w:val="0"/>
              <w:marBottom w:val="0"/>
              <w:divBdr>
                <w:top w:val="none" w:sz="0" w:space="0" w:color="auto"/>
                <w:left w:val="none" w:sz="0" w:space="0" w:color="auto"/>
                <w:bottom w:val="none" w:sz="0" w:space="0" w:color="auto"/>
                <w:right w:val="none" w:sz="0" w:space="0" w:color="auto"/>
              </w:divBdr>
            </w:div>
            <w:div w:id="1376850500">
              <w:marLeft w:val="0"/>
              <w:marRight w:val="0"/>
              <w:marTop w:val="0"/>
              <w:marBottom w:val="0"/>
              <w:divBdr>
                <w:top w:val="none" w:sz="0" w:space="0" w:color="auto"/>
                <w:left w:val="none" w:sz="0" w:space="0" w:color="auto"/>
                <w:bottom w:val="none" w:sz="0" w:space="0" w:color="auto"/>
                <w:right w:val="none" w:sz="0" w:space="0" w:color="auto"/>
              </w:divBdr>
            </w:div>
            <w:div w:id="1727337585">
              <w:marLeft w:val="0"/>
              <w:marRight w:val="0"/>
              <w:marTop w:val="0"/>
              <w:marBottom w:val="0"/>
              <w:divBdr>
                <w:top w:val="none" w:sz="0" w:space="0" w:color="auto"/>
                <w:left w:val="none" w:sz="0" w:space="0" w:color="auto"/>
                <w:bottom w:val="none" w:sz="0" w:space="0" w:color="auto"/>
                <w:right w:val="none" w:sz="0" w:space="0" w:color="auto"/>
              </w:divBdr>
            </w:div>
            <w:div w:id="1843347624">
              <w:marLeft w:val="0"/>
              <w:marRight w:val="0"/>
              <w:marTop w:val="0"/>
              <w:marBottom w:val="0"/>
              <w:divBdr>
                <w:top w:val="none" w:sz="0" w:space="0" w:color="auto"/>
                <w:left w:val="none" w:sz="0" w:space="0" w:color="auto"/>
                <w:bottom w:val="none" w:sz="0" w:space="0" w:color="auto"/>
                <w:right w:val="none" w:sz="0" w:space="0" w:color="auto"/>
              </w:divBdr>
            </w:div>
            <w:div w:id="2044986639">
              <w:marLeft w:val="0"/>
              <w:marRight w:val="0"/>
              <w:marTop w:val="0"/>
              <w:marBottom w:val="0"/>
              <w:divBdr>
                <w:top w:val="none" w:sz="0" w:space="0" w:color="auto"/>
                <w:left w:val="none" w:sz="0" w:space="0" w:color="auto"/>
                <w:bottom w:val="none" w:sz="0" w:space="0" w:color="auto"/>
                <w:right w:val="none" w:sz="0" w:space="0" w:color="auto"/>
              </w:divBdr>
            </w:div>
            <w:div w:id="2076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9724">
      <w:bodyDiv w:val="1"/>
      <w:marLeft w:val="0"/>
      <w:marRight w:val="0"/>
      <w:marTop w:val="0"/>
      <w:marBottom w:val="0"/>
      <w:divBdr>
        <w:top w:val="none" w:sz="0" w:space="0" w:color="auto"/>
        <w:left w:val="none" w:sz="0" w:space="0" w:color="auto"/>
        <w:bottom w:val="none" w:sz="0" w:space="0" w:color="auto"/>
        <w:right w:val="none" w:sz="0" w:space="0" w:color="auto"/>
      </w:divBdr>
    </w:div>
    <w:div w:id="697505715">
      <w:bodyDiv w:val="1"/>
      <w:marLeft w:val="0"/>
      <w:marRight w:val="0"/>
      <w:marTop w:val="0"/>
      <w:marBottom w:val="0"/>
      <w:divBdr>
        <w:top w:val="none" w:sz="0" w:space="0" w:color="auto"/>
        <w:left w:val="none" w:sz="0" w:space="0" w:color="auto"/>
        <w:bottom w:val="none" w:sz="0" w:space="0" w:color="auto"/>
        <w:right w:val="none" w:sz="0" w:space="0" w:color="auto"/>
      </w:divBdr>
    </w:div>
    <w:div w:id="765268969">
      <w:bodyDiv w:val="1"/>
      <w:marLeft w:val="0"/>
      <w:marRight w:val="0"/>
      <w:marTop w:val="0"/>
      <w:marBottom w:val="0"/>
      <w:divBdr>
        <w:top w:val="none" w:sz="0" w:space="0" w:color="auto"/>
        <w:left w:val="none" w:sz="0" w:space="0" w:color="auto"/>
        <w:bottom w:val="none" w:sz="0" w:space="0" w:color="auto"/>
        <w:right w:val="none" w:sz="0" w:space="0" w:color="auto"/>
      </w:divBdr>
      <w:divsChild>
        <w:div w:id="36585673">
          <w:marLeft w:val="547"/>
          <w:marRight w:val="0"/>
          <w:marTop w:val="0"/>
          <w:marBottom w:val="0"/>
          <w:divBdr>
            <w:top w:val="none" w:sz="0" w:space="0" w:color="auto"/>
            <w:left w:val="none" w:sz="0" w:space="0" w:color="auto"/>
            <w:bottom w:val="none" w:sz="0" w:space="0" w:color="auto"/>
            <w:right w:val="none" w:sz="0" w:space="0" w:color="auto"/>
          </w:divBdr>
        </w:div>
        <w:div w:id="134756594">
          <w:marLeft w:val="547"/>
          <w:marRight w:val="0"/>
          <w:marTop w:val="0"/>
          <w:marBottom w:val="0"/>
          <w:divBdr>
            <w:top w:val="none" w:sz="0" w:space="0" w:color="auto"/>
            <w:left w:val="none" w:sz="0" w:space="0" w:color="auto"/>
            <w:bottom w:val="none" w:sz="0" w:space="0" w:color="auto"/>
            <w:right w:val="none" w:sz="0" w:space="0" w:color="auto"/>
          </w:divBdr>
        </w:div>
        <w:div w:id="323093785">
          <w:marLeft w:val="547"/>
          <w:marRight w:val="0"/>
          <w:marTop w:val="0"/>
          <w:marBottom w:val="0"/>
          <w:divBdr>
            <w:top w:val="none" w:sz="0" w:space="0" w:color="auto"/>
            <w:left w:val="none" w:sz="0" w:space="0" w:color="auto"/>
            <w:bottom w:val="none" w:sz="0" w:space="0" w:color="auto"/>
            <w:right w:val="none" w:sz="0" w:space="0" w:color="auto"/>
          </w:divBdr>
        </w:div>
        <w:div w:id="1334721325">
          <w:marLeft w:val="547"/>
          <w:marRight w:val="0"/>
          <w:marTop w:val="0"/>
          <w:marBottom w:val="0"/>
          <w:divBdr>
            <w:top w:val="none" w:sz="0" w:space="0" w:color="auto"/>
            <w:left w:val="none" w:sz="0" w:space="0" w:color="auto"/>
            <w:bottom w:val="none" w:sz="0" w:space="0" w:color="auto"/>
            <w:right w:val="none" w:sz="0" w:space="0" w:color="auto"/>
          </w:divBdr>
        </w:div>
      </w:divsChild>
    </w:div>
    <w:div w:id="819464009">
      <w:bodyDiv w:val="1"/>
      <w:marLeft w:val="0"/>
      <w:marRight w:val="0"/>
      <w:marTop w:val="0"/>
      <w:marBottom w:val="0"/>
      <w:divBdr>
        <w:top w:val="none" w:sz="0" w:space="0" w:color="auto"/>
        <w:left w:val="none" w:sz="0" w:space="0" w:color="auto"/>
        <w:bottom w:val="none" w:sz="0" w:space="0" w:color="auto"/>
        <w:right w:val="none" w:sz="0" w:space="0" w:color="auto"/>
      </w:divBdr>
      <w:divsChild>
        <w:div w:id="18969888">
          <w:marLeft w:val="547"/>
          <w:marRight w:val="0"/>
          <w:marTop w:val="0"/>
          <w:marBottom w:val="0"/>
          <w:divBdr>
            <w:top w:val="none" w:sz="0" w:space="0" w:color="auto"/>
            <w:left w:val="none" w:sz="0" w:space="0" w:color="auto"/>
            <w:bottom w:val="none" w:sz="0" w:space="0" w:color="auto"/>
            <w:right w:val="none" w:sz="0" w:space="0" w:color="auto"/>
          </w:divBdr>
        </w:div>
        <w:div w:id="532155407">
          <w:marLeft w:val="547"/>
          <w:marRight w:val="0"/>
          <w:marTop w:val="0"/>
          <w:marBottom w:val="0"/>
          <w:divBdr>
            <w:top w:val="none" w:sz="0" w:space="0" w:color="auto"/>
            <w:left w:val="none" w:sz="0" w:space="0" w:color="auto"/>
            <w:bottom w:val="none" w:sz="0" w:space="0" w:color="auto"/>
            <w:right w:val="none" w:sz="0" w:space="0" w:color="auto"/>
          </w:divBdr>
        </w:div>
        <w:div w:id="1573277306">
          <w:marLeft w:val="547"/>
          <w:marRight w:val="0"/>
          <w:marTop w:val="0"/>
          <w:marBottom w:val="0"/>
          <w:divBdr>
            <w:top w:val="none" w:sz="0" w:space="0" w:color="auto"/>
            <w:left w:val="none" w:sz="0" w:space="0" w:color="auto"/>
            <w:bottom w:val="none" w:sz="0" w:space="0" w:color="auto"/>
            <w:right w:val="none" w:sz="0" w:space="0" w:color="auto"/>
          </w:divBdr>
        </w:div>
        <w:div w:id="1899199464">
          <w:marLeft w:val="547"/>
          <w:marRight w:val="0"/>
          <w:marTop w:val="0"/>
          <w:marBottom w:val="0"/>
          <w:divBdr>
            <w:top w:val="none" w:sz="0" w:space="0" w:color="auto"/>
            <w:left w:val="none" w:sz="0" w:space="0" w:color="auto"/>
            <w:bottom w:val="none" w:sz="0" w:space="0" w:color="auto"/>
            <w:right w:val="none" w:sz="0" w:space="0" w:color="auto"/>
          </w:divBdr>
        </w:div>
      </w:divsChild>
    </w:div>
    <w:div w:id="842933854">
      <w:bodyDiv w:val="1"/>
      <w:marLeft w:val="0"/>
      <w:marRight w:val="0"/>
      <w:marTop w:val="0"/>
      <w:marBottom w:val="0"/>
      <w:divBdr>
        <w:top w:val="none" w:sz="0" w:space="0" w:color="auto"/>
        <w:left w:val="none" w:sz="0" w:space="0" w:color="auto"/>
        <w:bottom w:val="none" w:sz="0" w:space="0" w:color="auto"/>
        <w:right w:val="none" w:sz="0" w:space="0" w:color="auto"/>
      </w:divBdr>
    </w:div>
    <w:div w:id="857474906">
      <w:bodyDiv w:val="1"/>
      <w:marLeft w:val="0"/>
      <w:marRight w:val="0"/>
      <w:marTop w:val="0"/>
      <w:marBottom w:val="0"/>
      <w:divBdr>
        <w:top w:val="none" w:sz="0" w:space="0" w:color="auto"/>
        <w:left w:val="none" w:sz="0" w:space="0" w:color="auto"/>
        <w:bottom w:val="none" w:sz="0" w:space="0" w:color="auto"/>
        <w:right w:val="none" w:sz="0" w:space="0" w:color="auto"/>
      </w:divBdr>
    </w:div>
    <w:div w:id="862742679">
      <w:bodyDiv w:val="1"/>
      <w:marLeft w:val="0"/>
      <w:marRight w:val="0"/>
      <w:marTop w:val="0"/>
      <w:marBottom w:val="0"/>
      <w:divBdr>
        <w:top w:val="none" w:sz="0" w:space="0" w:color="auto"/>
        <w:left w:val="none" w:sz="0" w:space="0" w:color="auto"/>
        <w:bottom w:val="none" w:sz="0" w:space="0" w:color="auto"/>
        <w:right w:val="none" w:sz="0" w:space="0" w:color="auto"/>
      </w:divBdr>
    </w:div>
    <w:div w:id="931357063">
      <w:bodyDiv w:val="1"/>
      <w:marLeft w:val="0"/>
      <w:marRight w:val="0"/>
      <w:marTop w:val="0"/>
      <w:marBottom w:val="0"/>
      <w:divBdr>
        <w:top w:val="none" w:sz="0" w:space="0" w:color="auto"/>
        <w:left w:val="none" w:sz="0" w:space="0" w:color="auto"/>
        <w:bottom w:val="none" w:sz="0" w:space="0" w:color="auto"/>
        <w:right w:val="none" w:sz="0" w:space="0" w:color="auto"/>
      </w:divBdr>
    </w:div>
    <w:div w:id="973438776">
      <w:bodyDiv w:val="1"/>
      <w:marLeft w:val="0"/>
      <w:marRight w:val="0"/>
      <w:marTop w:val="0"/>
      <w:marBottom w:val="0"/>
      <w:divBdr>
        <w:top w:val="none" w:sz="0" w:space="0" w:color="auto"/>
        <w:left w:val="none" w:sz="0" w:space="0" w:color="auto"/>
        <w:bottom w:val="none" w:sz="0" w:space="0" w:color="auto"/>
        <w:right w:val="none" w:sz="0" w:space="0" w:color="auto"/>
      </w:divBdr>
    </w:div>
    <w:div w:id="986280836">
      <w:bodyDiv w:val="1"/>
      <w:marLeft w:val="0"/>
      <w:marRight w:val="0"/>
      <w:marTop w:val="0"/>
      <w:marBottom w:val="0"/>
      <w:divBdr>
        <w:top w:val="none" w:sz="0" w:space="0" w:color="auto"/>
        <w:left w:val="none" w:sz="0" w:space="0" w:color="auto"/>
        <w:bottom w:val="none" w:sz="0" w:space="0" w:color="auto"/>
        <w:right w:val="none" w:sz="0" w:space="0" w:color="auto"/>
      </w:divBdr>
    </w:div>
    <w:div w:id="1097405355">
      <w:bodyDiv w:val="1"/>
      <w:marLeft w:val="0"/>
      <w:marRight w:val="0"/>
      <w:marTop w:val="0"/>
      <w:marBottom w:val="0"/>
      <w:divBdr>
        <w:top w:val="none" w:sz="0" w:space="0" w:color="auto"/>
        <w:left w:val="none" w:sz="0" w:space="0" w:color="auto"/>
        <w:bottom w:val="none" w:sz="0" w:space="0" w:color="auto"/>
        <w:right w:val="none" w:sz="0" w:space="0" w:color="auto"/>
      </w:divBdr>
    </w:div>
    <w:div w:id="1208685923">
      <w:bodyDiv w:val="1"/>
      <w:marLeft w:val="0"/>
      <w:marRight w:val="0"/>
      <w:marTop w:val="0"/>
      <w:marBottom w:val="0"/>
      <w:divBdr>
        <w:top w:val="none" w:sz="0" w:space="0" w:color="auto"/>
        <w:left w:val="none" w:sz="0" w:space="0" w:color="auto"/>
        <w:bottom w:val="none" w:sz="0" w:space="0" w:color="auto"/>
        <w:right w:val="none" w:sz="0" w:space="0" w:color="auto"/>
      </w:divBdr>
    </w:div>
    <w:div w:id="1220825075">
      <w:bodyDiv w:val="1"/>
      <w:marLeft w:val="0"/>
      <w:marRight w:val="0"/>
      <w:marTop w:val="0"/>
      <w:marBottom w:val="0"/>
      <w:divBdr>
        <w:top w:val="none" w:sz="0" w:space="0" w:color="auto"/>
        <w:left w:val="none" w:sz="0" w:space="0" w:color="auto"/>
        <w:bottom w:val="none" w:sz="0" w:space="0" w:color="auto"/>
        <w:right w:val="none" w:sz="0" w:space="0" w:color="auto"/>
      </w:divBdr>
    </w:div>
    <w:div w:id="1268925538">
      <w:bodyDiv w:val="1"/>
      <w:marLeft w:val="0"/>
      <w:marRight w:val="0"/>
      <w:marTop w:val="0"/>
      <w:marBottom w:val="0"/>
      <w:divBdr>
        <w:top w:val="none" w:sz="0" w:space="0" w:color="auto"/>
        <w:left w:val="none" w:sz="0" w:space="0" w:color="auto"/>
        <w:bottom w:val="none" w:sz="0" w:space="0" w:color="auto"/>
        <w:right w:val="none" w:sz="0" w:space="0" w:color="auto"/>
      </w:divBdr>
      <w:divsChild>
        <w:div w:id="504593313">
          <w:marLeft w:val="547"/>
          <w:marRight w:val="0"/>
          <w:marTop w:val="0"/>
          <w:marBottom w:val="0"/>
          <w:divBdr>
            <w:top w:val="none" w:sz="0" w:space="0" w:color="auto"/>
            <w:left w:val="none" w:sz="0" w:space="0" w:color="auto"/>
            <w:bottom w:val="none" w:sz="0" w:space="0" w:color="auto"/>
            <w:right w:val="none" w:sz="0" w:space="0" w:color="auto"/>
          </w:divBdr>
        </w:div>
        <w:div w:id="931860506">
          <w:marLeft w:val="547"/>
          <w:marRight w:val="0"/>
          <w:marTop w:val="0"/>
          <w:marBottom w:val="0"/>
          <w:divBdr>
            <w:top w:val="none" w:sz="0" w:space="0" w:color="auto"/>
            <w:left w:val="none" w:sz="0" w:space="0" w:color="auto"/>
            <w:bottom w:val="none" w:sz="0" w:space="0" w:color="auto"/>
            <w:right w:val="none" w:sz="0" w:space="0" w:color="auto"/>
          </w:divBdr>
        </w:div>
        <w:div w:id="1266384186">
          <w:marLeft w:val="547"/>
          <w:marRight w:val="0"/>
          <w:marTop w:val="0"/>
          <w:marBottom w:val="0"/>
          <w:divBdr>
            <w:top w:val="none" w:sz="0" w:space="0" w:color="auto"/>
            <w:left w:val="none" w:sz="0" w:space="0" w:color="auto"/>
            <w:bottom w:val="none" w:sz="0" w:space="0" w:color="auto"/>
            <w:right w:val="none" w:sz="0" w:space="0" w:color="auto"/>
          </w:divBdr>
        </w:div>
      </w:divsChild>
    </w:div>
    <w:div w:id="1427311279">
      <w:bodyDiv w:val="1"/>
      <w:marLeft w:val="0"/>
      <w:marRight w:val="0"/>
      <w:marTop w:val="0"/>
      <w:marBottom w:val="0"/>
      <w:divBdr>
        <w:top w:val="none" w:sz="0" w:space="0" w:color="auto"/>
        <w:left w:val="none" w:sz="0" w:space="0" w:color="auto"/>
        <w:bottom w:val="none" w:sz="0" w:space="0" w:color="auto"/>
        <w:right w:val="none" w:sz="0" w:space="0" w:color="auto"/>
      </w:divBdr>
      <w:divsChild>
        <w:div w:id="375543936">
          <w:marLeft w:val="547"/>
          <w:marRight w:val="0"/>
          <w:marTop w:val="0"/>
          <w:marBottom w:val="0"/>
          <w:divBdr>
            <w:top w:val="none" w:sz="0" w:space="0" w:color="auto"/>
            <w:left w:val="none" w:sz="0" w:space="0" w:color="auto"/>
            <w:bottom w:val="none" w:sz="0" w:space="0" w:color="auto"/>
            <w:right w:val="none" w:sz="0" w:space="0" w:color="auto"/>
          </w:divBdr>
        </w:div>
        <w:div w:id="756367349">
          <w:marLeft w:val="547"/>
          <w:marRight w:val="0"/>
          <w:marTop w:val="0"/>
          <w:marBottom w:val="0"/>
          <w:divBdr>
            <w:top w:val="none" w:sz="0" w:space="0" w:color="auto"/>
            <w:left w:val="none" w:sz="0" w:space="0" w:color="auto"/>
            <w:bottom w:val="none" w:sz="0" w:space="0" w:color="auto"/>
            <w:right w:val="none" w:sz="0" w:space="0" w:color="auto"/>
          </w:divBdr>
        </w:div>
        <w:div w:id="884104638">
          <w:marLeft w:val="547"/>
          <w:marRight w:val="0"/>
          <w:marTop w:val="0"/>
          <w:marBottom w:val="0"/>
          <w:divBdr>
            <w:top w:val="none" w:sz="0" w:space="0" w:color="auto"/>
            <w:left w:val="none" w:sz="0" w:space="0" w:color="auto"/>
            <w:bottom w:val="none" w:sz="0" w:space="0" w:color="auto"/>
            <w:right w:val="none" w:sz="0" w:space="0" w:color="auto"/>
          </w:divBdr>
        </w:div>
      </w:divsChild>
    </w:div>
    <w:div w:id="1429081930">
      <w:bodyDiv w:val="1"/>
      <w:marLeft w:val="0"/>
      <w:marRight w:val="0"/>
      <w:marTop w:val="0"/>
      <w:marBottom w:val="0"/>
      <w:divBdr>
        <w:top w:val="none" w:sz="0" w:space="0" w:color="auto"/>
        <w:left w:val="none" w:sz="0" w:space="0" w:color="auto"/>
        <w:bottom w:val="none" w:sz="0" w:space="0" w:color="auto"/>
        <w:right w:val="none" w:sz="0" w:space="0" w:color="auto"/>
      </w:divBdr>
    </w:div>
    <w:div w:id="1437796867">
      <w:bodyDiv w:val="1"/>
      <w:marLeft w:val="0"/>
      <w:marRight w:val="0"/>
      <w:marTop w:val="0"/>
      <w:marBottom w:val="0"/>
      <w:divBdr>
        <w:top w:val="none" w:sz="0" w:space="0" w:color="auto"/>
        <w:left w:val="none" w:sz="0" w:space="0" w:color="auto"/>
        <w:bottom w:val="none" w:sz="0" w:space="0" w:color="auto"/>
        <w:right w:val="none" w:sz="0" w:space="0" w:color="auto"/>
      </w:divBdr>
    </w:div>
    <w:div w:id="1485321134">
      <w:bodyDiv w:val="1"/>
      <w:marLeft w:val="0"/>
      <w:marRight w:val="0"/>
      <w:marTop w:val="0"/>
      <w:marBottom w:val="0"/>
      <w:divBdr>
        <w:top w:val="none" w:sz="0" w:space="0" w:color="auto"/>
        <w:left w:val="none" w:sz="0" w:space="0" w:color="auto"/>
        <w:bottom w:val="none" w:sz="0" w:space="0" w:color="auto"/>
        <w:right w:val="none" w:sz="0" w:space="0" w:color="auto"/>
      </w:divBdr>
    </w:div>
    <w:div w:id="1488475681">
      <w:bodyDiv w:val="1"/>
      <w:marLeft w:val="0"/>
      <w:marRight w:val="0"/>
      <w:marTop w:val="0"/>
      <w:marBottom w:val="0"/>
      <w:divBdr>
        <w:top w:val="none" w:sz="0" w:space="0" w:color="auto"/>
        <w:left w:val="none" w:sz="0" w:space="0" w:color="auto"/>
        <w:bottom w:val="none" w:sz="0" w:space="0" w:color="auto"/>
        <w:right w:val="none" w:sz="0" w:space="0" w:color="auto"/>
      </w:divBdr>
    </w:div>
    <w:div w:id="1513955884">
      <w:bodyDiv w:val="1"/>
      <w:marLeft w:val="0"/>
      <w:marRight w:val="0"/>
      <w:marTop w:val="0"/>
      <w:marBottom w:val="0"/>
      <w:divBdr>
        <w:top w:val="none" w:sz="0" w:space="0" w:color="auto"/>
        <w:left w:val="none" w:sz="0" w:space="0" w:color="auto"/>
        <w:bottom w:val="none" w:sz="0" w:space="0" w:color="auto"/>
        <w:right w:val="none" w:sz="0" w:space="0" w:color="auto"/>
      </w:divBdr>
    </w:div>
    <w:div w:id="1606156825">
      <w:bodyDiv w:val="1"/>
      <w:marLeft w:val="0"/>
      <w:marRight w:val="0"/>
      <w:marTop w:val="0"/>
      <w:marBottom w:val="0"/>
      <w:divBdr>
        <w:top w:val="none" w:sz="0" w:space="0" w:color="auto"/>
        <w:left w:val="none" w:sz="0" w:space="0" w:color="auto"/>
        <w:bottom w:val="none" w:sz="0" w:space="0" w:color="auto"/>
        <w:right w:val="none" w:sz="0" w:space="0" w:color="auto"/>
      </w:divBdr>
    </w:div>
    <w:div w:id="1622607014">
      <w:bodyDiv w:val="1"/>
      <w:marLeft w:val="0"/>
      <w:marRight w:val="0"/>
      <w:marTop w:val="0"/>
      <w:marBottom w:val="0"/>
      <w:divBdr>
        <w:top w:val="none" w:sz="0" w:space="0" w:color="auto"/>
        <w:left w:val="none" w:sz="0" w:space="0" w:color="auto"/>
        <w:bottom w:val="none" w:sz="0" w:space="0" w:color="auto"/>
        <w:right w:val="none" w:sz="0" w:space="0" w:color="auto"/>
      </w:divBdr>
      <w:divsChild>
        <w:div w:id="368067959">
          <w:marLeft w:val="547"/>
          <w:marRight w:val="0"/>
          <w:marTop w:val="0"/>
          <w:marBottom w:val="0"/>
          <w:divBdr>
            <w:top w:val="none" w:sz="0" w:space="0" w:color="auto"/>
            <w:left w:val="none" w:sz="0" w:space="0" w:color="auto"/>
            <w:bottom w:val="none" w:sz="0" w:space="0" w:color="auto"/>
            <w:right w:val="none" w:sz="0" w:space="0" w:color="auto"/>
          </w:divBdr>
        </w:div>
        <w:div w:id="715472070">
          <w:marLeft w:val="547"/>
          <w:marRight w:val="0"/>
          <w:marTop w:val="0"/>
          <w:marBottom w:val="0"/>
          <w:divBdr>
            <w:top w:val="none" w:sz="0" w:space="0" w:color="auto"/>
            <w:left w:val="none" w:sz="0" w:space="0" w:color="auto"/>
            <w:bottom w:val="none" w:sz="0" w:space="0" w:color="auto"/>
            <w:right w:val="none" w:sz="0" w:space="0" w:color="auto"/>
          </w:divBdr>
        </w:div>
        <w:div w:id="2026326541">
          <w:marLeft w:val="547"/>
          <w:marRight w:val="0"/>
          <w:marTop w:val="0"/>
          <w:marBottom w:val="0"/>
          <w:divBdr>
            <w:top w:val="none" w:sz="0" w:space="0" w:color="auto"/>
            <w:left w:val="none" w:sz="0" w:space="0" w:color="auto"/>
            <w:bottom w:val="none" w:sz="0" w:space="0" w:color="auto"/>
            <w:right w:val="none" w:sz="0" w:space="0" w:color="auto"/>
          </w:divBdr>
        </w:div>
      </w:divsChild>
    </w:div>
    <w:div w:id="1644459008">
      <w:bodyDiv w:val="1"/>
      <w:marLeft w:val="0"/>
      <w:marRight w:val="0"/>
      <w:marTop w:val="0"/>
      <w:marBottom w:val="0"/>
      <w:divBdr>
        <w:top w:val="none" w:sz="0" w:space="0" w:color="auto"/>
        <w:left w:val="none" w:sz="0" w:space="0" w:color="auto"/>
        <w:bottom w:val="none" w:sz="0" w:space="0" w:color="auto"/>
        <w:right w:val="none" w:sz="0" w:space="0" w:color="auto"/>
      </w:divBdr>
    </w:div>
    <w:div w:id="1663191808">
      <w:bodyDiv w:val="1"/>
      <w:marLeft w:val="0"/>
      <w:marRight w:val="0"/>
      <w:marTop w:val="0"/>
      <w:marBottom w:val="0"/>
      <w:divBdr>
        <w:top w:val="none" w:sz="0" w:space="0" w:color="auto"/>
        <w:left w:val="none" w:sz="0" w:space="0" w:color="auto"/>
        <w:bottom w:val="none" w:sz="0" w:space="0" w:color="auto"/>
        <w:right w:val="none" w:sz="0" w:space="0" w:color="auto"/>
      </w:divBdr>
    </w:div>
    <w:div w:id="1681008615">
      <w:bodyDiv w:val="1"/>
      <w:marLeft w:val="0"/>
      <w:marRight w:val="0"/>
      <w:marTop w:val="0"/>
      <w:marBottom w:val="0"/>
      <w:divBdr>
        <w:top w:val="none" w:sz="0" w:space="0" w:color="auto"/>
        <w:left w:val="none" w:sz="0" w:space="0" w:color="auto"/>
        <w:bottom w:val="none" w:sz="0" w:space="0" w:color="auto"/>
        <w:right w:val="none" w:sz="0" w:space="0" w:color="auto"/>
      </w:divBdr>
      <w:divsChild>
        <w:div w:id="1298604907">
          <w:marLeft w:val="0"/>
          <w:marRight w:val="0"/>
          <w:marTop w:val="0"/>
          <w:marBottom w:val="0"/>
          <w:divBdr>
            <w:top w:val="none" w:sz="0" w:space="0" w:color="auto"/>
            <w:left w:val="none" w:sz="0" w:space="0" w:color="auto"/>
            <w:bottom w:val="none" w:sz="0" w:space="0" w:color="auto"/>
            <w:right w:val="none" w:sz="0" w:space="0" w:color="auto"/>
          </w:divBdr>
          <w:divsChild>
            <w:div w:id="666979722">
              <w:marLeft w:val="-225"/>
              <w:marRight w:val="-225"/>
              <w:marTop w:val="0"/>
              <w:marBottom w:val="0"/>
              <w:divBdr>
                <w:top w:val="none" w:sz="0" w:space="0" w:color="auto"/>
                <w:left w:val="none" w:sz="0" w:space="0" w:color="auto"/>
                <w:bottom w:val="none" w:sz="0" w:space="0" w:color="auto"/>
                <w:right w:val="none" w:sz="0" w:space="0" w:color="auto"/>
              </w:divBdr>
              <w:divsChild>
                <w:div w:id="740760102">
                  <w:marLeft w:val="0"/>
                  <w:marRight w:val="0"/>
                  <w:marTop w:val="0"/>
                  <w:marBottom w:val="0"/>
                  <w:divBdr>
                    <w:top w:val="none" w:sz="0" w:space="0" w:color="auto"/>
                    <w:left w:val="none" w:sz="0" w:space="0" w:color="auto"/>
                    <w:bottom w:val="none" w:sz="0" w:space="0" w:color="auto"/>
                    <w:right w:val="none" w:sz="0" w:space="0" w:color="auto"/>
                  </w:divBdr>
                  <w:divsChild>
                    <w:div w:id="1096092060">
                      <w:marLeft w:val="-225"/>
                      <w:marRight w:val="-225"/>
                      <w:marTop w:val="0"/>
                      <w:marBottom w:val="0"/>
                      <w:divBdr>
                        <w:top w:val="none" w:sz="0" w:space="0" w:color="auto"/>
                        <w:left w:val="none" w:sz="0" w:space="0" w:color="auto"/>
                        <w:bottom w:val="none" w:sz="0" w:space="0" w:color="auto"/>
                        <w:right w:val="none" w:sz="0" w:space="0" w:color="auto"/>
                      </w:divBdr>
                      <w:divsChild>
                        <w:div w:id="1613826194">
                          <w:marLeft w:val="0"/>
                          <w:marRight w:val="0"/>
                          <w:marTop w:val="0"/>
                          <w:marBottom w:val="0"/>
                          <w:divBdr>
                            <w:top w:val="none" w:sz="0" w:space="0" w:color="auto"/>
                            <w:left w:val="none" w:sz="0" w:space="0" w:color="auto"/>
                            <w:bottom w:val="none" w:sz="0" w:space="0" w:color="auto"/>
                            <w:right w:val="none" w:sz="0" w:space="0" w:color="auto"/>
                          </w:divBdr>
                          <w:divsChild>
                            <w:div w:id="1631588879">
                              <w:marLeft w:val="-225"/>
                              <w:marRight w:val="-225"/>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925727278">
                                      <w:marLeft w:val="0"/>
                                      <w:marRight w:val="0"/>
                                      <w:marTop w:val="0"/>
                                      <w:marBottom w:val="0"/>
                                      <w:divBdr>
                                        <w:top w:val="none" w:sz="0" w:space="0" w:color="auto"/>
                                        <w:left w:val="none" w:sz="0" w:space="0" w:color="auto"/>
                                        <w:bottom w:val="none" w:sz="0" w:space="0" w:color="auto"/>
                                        <w:right w:val="none" w:sz="0" w:space="0" w:color="auto"/>
                                      </w:divBdr>
                                      <w:divsChild>
                                        <w:div w:id="1638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728085">
      <w:bodyDiv w:val="1"/>
      <w:marLeft w:val="0"/>
      <w:marRight w:val="0"/>
      <w:marTop w:val="0"/>
      <w:marBottom w:val="0"/>
      <w:divBdr>
        <w:top w:val="none" w:sz="0" w:space="0" w:color="auto"/>
        <w:left w:val="none" w:sz="0" w:space="0" w:color="auto"/>
        <w:bottom w:val="none" w:sz="0" w:space="0" w:color="auto"/>
        <w:right w:val="none" w:sz="0" w:space="0" w:color="auto"/>
      </w:divBdr>
      <w:divsChild>
        <w:div w:id="2057121989">
          <w:marLeft w:val="0"/>
          <w:marRight w:val="0"/>
          <w:marTop w:val="0"/>
          <w:marBottom w:val="0"/>
          <w:divBdr>
            <w:top w:val="none" w:sz="0" w:space="0" w:color="auto"/>
            <w:left w:val="none" w:sz="0" w:space="0" w:color="auto"/>
            <w:bottom w:val="none" w:sz="0" w:space="0" w:color="auto"/>
            <w:right w:val="none" w:sz="0" w:space="0" w:color="auto"/>
          </w:divBdr>
          <w:divsChild>
            <w:div w:id="181214663">
              <w:marLeft w:val="0"/>
              <w:marRight w:val="0"/>
              <w:marTop w:val="0"/>
              <w:marBottom w:val="0"/>
              <w:divBdr>
                <w:top w:val="none" w:sz="0" w:space="0" w:color="auto"/>
                <w:left w:val="none" w:sz="0" w:space="0" w:color="auto"/>
                <w:bottom w:val="none" w:sz="0" w:space="0" w:color="auto"/>
                <w:right w:val="none" w:sz="0" w:space="0" w:color="auto"/>
              </w:divBdr>
            </w:div>
            <w:div w:id="200629410">
              <w:marLeft w:val="0"/>
              <w:marRight w:val="0"/>
              <w:marTop w:val="0"/>
              <w:marBottom w:val="0"/>
              <w:divBdr>
                <w:top w:val="none" w:sz="0" w:space="0" w:color="auto"/>
                <w:left w:val="none" w:sz="0" w:space="0" w:color="auto"/>
                <w:bottom w:val="none" w:sz="0" w:space="0" w:color="auto"/>
                <w:right w:val="none" w:sz="0" w:space="0" w:color="auto"/>
              </w:divBdr>
            </w:div>
            <w:div w:id="296568533">
              <w:marLeft w:val="0"/>
              <w:marRight w:val="0"/>
              <w:marTop w:val="0"/>
              <w:marBottom w:val="0"/>
              <w:divBdr>
                <w:top w:val="none" w:sz="0" w:space="0" w:color="auto"/>
                <w:left w:val="none" w:sz="0" w:space="0" w:color="auto"/>
                <w:bottom w:val="none" w:sz="0" w:space="0" w:color="auto"/>
                <w:right w:val="none" w:sz="0" w:space="0" w:color="auto"/>
              </w:divBdr>
            </w:div>
            <w:div w:id="574507977">
              <w:marLeft w:val="0"/>
              <w:marRight w:val="0"/>
              <w:marTop w:val="0"/>
              <w:marBottom w:val="0"/>
              <w:divBdr>
                <w:top w:val="none" w:sz="0" w:space="0" w:color="auto"/>
                <w:left w:val="none" w:sz="0" w:space="0" w:color="auto"/>
                <w:bottom w:val="none" w:sz="0" w:space="0" w:color="auto"/>
                <w:right w:val="none" w:sz="0" w:space="0" w:color="auto"/>
              </w:divBdr>
            </w:div>
            <w:div w:id="658768931">
              <w:marLeft w:val="0"/>
              <w:marRight w:val="0"/>
              <w:marTop w:val="0"/>
              <w:marBottom w:val="0"/>
              <w:divBdr>
                <w:top w:val="none" w:sz="0" w:space="0" w:color="auto"/>
                <w:left w:val="none" w:sz="0" w:space="0" w:color="auto"/>
                <w:bottom w:val="none" w:sz="0" w:space="0" w:color="auto"/>
                <w:right w:val="none" w:sz="0" w:space="0" w:color="auto"/>
              </w:divBdr>
            </w:div>
            <w:div w:id="813064213">
              <w:marLeft w:val="0"/>
              <w:marRight w:val="0"/>
              <w:marTop w:val="0"/>
              <w:marBottom w:val="0"/>
              <w:divBdr>
                <w:top w:val="none" w:sz="0" w:space="0" w:color="auto"/>
                <w:left w:val="none" w:sz="0" w:space="0" w:color="auto"/>
                <w:bottom w:val="none" w:sz="0" w:space="0" w:color="auto"/>
                <w:right w:val="none" w:sz="0" w:space="0" w:color="auto"/>
              </w:divBdr>
            </w:div>
            <w:div w:id="1027412553">
              <w:marLeft w:val="0"/>
              <w:marRight w:val="0"/>
              <w:marTop w:val="0"/>
              <w:marBottom w:val="0"/>
              <w:divBdr>
                <w:top w:val="none" w:sz="0" w:space="0" w:color="auto"/>
                <w:left w:val="none" w:sz="0" w:space="0" w:color="auto"/>
                <w:bottom w:val="none" w:sz="0" w:space="0" w:color="auto"/>
                <w:right w:val="none" w:sz="0" w:space="0" w:color="auto"/>
              </w:divBdr>
            </w:div>
            <w:div w:id="1074086092">
              <w:marLeft w:val="0"/>
              <w:marRight w:val="0"/>
              <w:marTop w:val="0"/>
              <w:marBottom w:val="0"/>
              <w:divBdr>
                <w:top w:val="none" w:sz="0" w:space="0" w:color="auto"/>
                <w:left w:val="none" w:sz="0" w:space="0" w:color="auto"/>
                <w:bottom w:val="none" w:sz="0" w:space="0" w:color="auto"/>
                <w:right w:val="none" w:sz="0" w:space="0" w:color="auto"/>
              </w:divBdr>
            </w:div>
            <w:div w:id="1157527349">
              <w:marLeft w:val="0"/>
              <w:marRight w:val="0"/>
              <w:marTop w:val="0"/>
              <w:marBottom w:val="0"/>
              <w:divBdr>
                <w:top w:val="none" w:sz="0" w:space="0" w:color="auto"/>
                <w:left w:val="none" w:sz="0" w:space="0" w:color="auto"/>
                <w:bottom w:val="none" w:sz="0" w:space="0" w:color="auto"/>
                <w:right w:val="none" w:sz="0" w:space="0" w:color="auto"/>
              </w:divBdr>
            </w:div>
            <w:div w:id="1275943735">
              <w:marLeft w:val="0"/>
              <w:marRight w:val="0"/>
              <w:marTop w:val="0"/>
              <w:marBottom w:val="0"/>
              <w:divBdr>
                <w:top w:val="none" w:sz="0" w:space="0" w:color="auto"/>
                <w:left w:val="none" w:sz="0" w:space="0" w:color="auto"/>
                <w:bottom w:val="none" w:sz="0" w:space="0" w:color="auto"/>
                <w:right w:val="none" w:sz="0" w:space="0" w:color="auto"/>
              </w:divBdr>
            </w:div>
            <w:div w:id="1392002807">
              <w:marLeft w:val="0"/>
              <w:marRight w:val="0"/>
              <w:marTop w:val="0"/>
              <w:marBottom w:val="0"/>
              <w:divBdr>
                <w:top w:val="none" w:sz="0" w:space="0" w:color="auto"/>
                <w:left w:val="none" w:sz="0" w:space="0" w:color="auto"/>
                <w:bottom w:val="none" w:sz="0" w:space="0" w:color="auto"/>
                <w:right w:val="none" w:sz="0" w:space="0" w:color="auto"/>
              </w:divBdr>
            </w:div>
            <w:div w:id="1646012807">
              <w:marLeft w:val="0"/>
              <w:marRight w:val="0"/>
              <w:marTop w:val="0"/>
              <w:marBottom w:val="0"/>
              <w:divBdr>
                <w:top w:val="none" w:sz="0" w:space="0" w:color="auto"/>
                <w:left w:val="none" w:sz="0" w:space="0" w:color="auto"/>
                <w:bottom w:val="none" w:sz="0" w:space="0" w:color="auto"/>
                <w:right w:val="none" w:sz="0" w:space="0" w:color="auto"/>
              </w:divBdr>
            </w:div>
            <w:div w:id="1772554905">
              <w:marLeft w:val="0"/>
              <w:marRight w:val="0"/>
              <w:marTop w:val="0"/>
              <w:marBottom w:val="0"/>
              <w:divBdr>
                <w:top w:val="none" w:sz="0" w:space="0" w:color="auto"/>
                <w:left w:val="none" w:sz="0" w:space="0" w:color="auto"/>
                <w:bottom w:val="none" w:sz="0" w:space="0" w:color="auto"/>
                <w:right w:val="none" w:sz="0" w:space="0" w:color="auto"/>
              </w:divBdr>
            </w:div>
            <w:div w:id="1780366441">
              <w:marLeft w:val="0"/>
              <w:marRight w:val="0"/>
              <w:marTop w:val="0"/>
              <w:marBottom w:val="0"/>
              <w:divBdr>
                <w:top w:val="none" w:sz="0" w:space="0" w:color="auto"/>
                <w:left w:val="none" w:sz="0" w:space="0" w:color="auto"/>
                <w:bottom w:val="none" w:sz="0" w:space="0" w:color="auto"/>
                <w:right w:val="none" w:sz="0" w:space="0" w:color="auto"/>
              </w:divBdr>
            </w:div>
            <w:div w:id="1784418920">
              <w:marLeft w:val="0"/>
              <w:marRight w:val="0"/>
              <w:marTop w:val="0"/>
              <w:marBottom w:val="0"/>
              <w:divBdr>
                <w:top w:val="none" w:sz="0" w:space="0" w:color="auto"/>
                <w:left w:val="none" w:sz="0" w:space="0" w:color="auto"/>
                <w:bottom w:val="none" w:sz="0" w:space="0" w:color="auto"/>
                <w:right w:val="none" w:sz="0" w:space="0" w:color="auto"/>
              </w:divBdr>
            </w:div>
            <w:div w:id="2032682849">
              <w:marLeft w:val="0"/>
              <w:marRight w:val="0"/>
              <w:marTop w:val="0"/>
              <w:marBottom w:val="0"/>
              <w:divBdr>
                <w:top w:val="none" w:sz="0" w:space="0" w:color="auto"/>
                <w:left w:val="none" w:sz="0" w:space="0" w:color="auto"/>
                <w:bottom w:val="none" w:sz="0" w:space="0" w:color="auto"/>
                <w:right w:val="none" w:sz="0" w:space="0" w:color="auto"/>
              </w:divBdr>
            </w:div>
            <w:div w:id="20785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526">
      <w:bodyDiv w:val="1"/>
      <w:marLeft w:val="0"/>
      <w:marRight w:val="0"/>
      <w:marTop w:val="0"/>
      <w:marBottom w:val="0"/>
      <w:divBdr>
        <w:top w:val="none" w:sz="0" w:space="0" w:color="auto"/>
        <w:left w:val="none" w:sz="0" w:space="0" w:color="auto"/>
        <w:bottom w:val="none" w:sz="0" w:space="0" w:color="auto"/>
        <w:right w:val="none" w:sz="0" w:space="0" w:color="auto"/>
      </w:divBdr>
    </w:div>
    <w:div w:id="1742556465">
      <w:bodyDiv w:val="1"/>
      <w:marLeft w:val="0"/>
      <w:marRight w:val="0"/>
      <w:marTop w:val="0"/>
      <w:marBottom w:val="0"/>
      <w:divBdr>
        <w:top w:val="none" w:sz="0" w:space="0" w:color="auto"/>
        <w:left w:val="none" w:sz="0" w:space="0" w:color="auto"/>
        <w:bottom w:val="none" w:sz="0" w:space="0" w:color="auto"/>
        <w:right w:val="none" w:sz="0" w:space="0" w:color="auto"/>
      </w:divBdr>
    </w:div>
    <w:div w:id="1862892688">
      <w:bodyDiv w:val="1"/>
      <w:marLeft w:val="0"/>
      <w:marRight w:val="0"/>
      <w:marTop w:val="0"/>
      <w:marBottom w:val="0"/>
      <w:divBdr>
        <w:top w:val="none" w:sz="0" w:space="0" w:color="auto"/>
        <w:left w:val="none" w:sz="0" w:space="0" w:color="auto"/>
        <w:bottom w:val="none" w:sz="0" w:space="0" w:color="auto"/>
        <w:right w:val="none" w:sz="0" w:space="0" w:color="auto"/>
      </w:divBdr>
      <w:divsChild>
        <w:div w:id="1784953476">
          <w:marLeft w:val="547"/>
          <w:marRight w:val="0"/>
          <w:marTop w:val="0"/>
          <w:marBottom w:val="0"/>
          <w:divBdr>
            <w:top w:val="none" w:sz="0" w:space="0" w:color="auto"/>
            <w:left w:val="none" w:sz="0" w:space="0" w:color="auto"/>
            <w:bottom w:val="none" w:sz="0" w:space="0" w:color="auto"/>
            <w:right w:val="none" w:sz="0" w:space="0" w:color="auto"/>
          </w:divBdr>
        </w:div>
      </w:divsChild>
    </w:div>
    <w:div w:id="1931035895">
      <w:bodyDiv w:val="1"/>
      <w:marLeft w:val="0"/>
      <w:marRight w:val="0"/>
      <w:marTop w:val="0"/>
      <w:marBottom w:val="0"/>
      <w:divBdr>
        <w:top w:val="none" w:sz="0" w:space="0" w:color="auto"/>
        <w:left w:val="none" w:sz="0" w:space="0" w:color="auto"/>
        <w:bottom w:val="none" w:sz="0" w:space="0" w:color="auto"/>
        <w:right w:val="none" w:sz="0" w:space="0" w:color="auto"/>
      </w:divBdr>
    </w:div>
    <w:div w:id="1975284137">
      <w:bodyDiv w:val="1"/>
      <w:marLeft w:val="0"/>
      <w:marRight w:val="0"/>
      <w:marTop w:val="0"/>
      <w:marBottom w:val="0"/>
      <w:divBdr>
        <w:top w:val="none" w:sz="0" w:space="0" w:color="auto"/>
        <w:left w:val="none" w:sz="0" w:space="0" w:color="auto"/>
        <w:bottom w:val="none" w:sz="0" w:space="0" w:color="auto"/>
        <w:right w:val="none" w:sz="0" w:space="0" w:color="auto"/>
      </w:divBdr>
    </w:div>
    <w:div w:id="2018268114">
      <w:bodyDiv w:val="1"/>
      <w:marLeft w:val="0"/>
      <w:marRight w:val="0"/>
      <w:marTop w:val="0"/>
      <w:marBottom w:val="0"/>
      <w:divBdr>
        <w:top w:val="none" w:sz="0" w:space="0" w:color="auto"/>
        <w:left w:val="none" w:sz="0" w:space="0" w:color="auto"/>
        <w:bottom w:val="none" w:sz="0" w:space="0" w:color="auto"/>
        <w:right w:val="none" w:sz="0" w:space="0" w:color="auto"/>
      </w:divBdr>
    </w:div>
    <w:div w:id="2110735162">
      <w:bodyDiv w:val="1"/>
      <w:marLeft w:val="0"/>
      <w:marRight w:val="0"/>
      <w:marTop w:val="0"/>
      <w:marBottom w:val="0"/>
      <w:divBdr>
        <w:top w:val="none" w:sz="0" w:space="0" w:color="auto"/>
        <w:left w:val="none" w:sz="0" w:space="0" w:color="auto"/>
        <w:bottom w:val="none" w:sz="0" w:space="0" w:color="auto"/>
        <w:right w:val="none" w:sz="0" w:space="0" w:color="auto"/>
      </w:divBdr>
    </w:div>
    <w:div w:id="21287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afccnet.org.au/" TargetMode="External"/><Relationship Id="rId21" Type="http://schemas.openxmlformats.org/officeDocument/2006/relationships/hyperlink" Target="https://www.alrc.gov.au/wp-content/uploads/2019/08/family-law_-101._victorian_aboriginal_legal_service_submission.pdf" TargetMode="External"/><Relationship Id="rId34" Type="http://schemas.openxmlformats.org/officeDocument/2006/relationships/hyperlink" Target="http://www.medicalboard.gov.au/Registration/Obligations-on-Medical-Practitioners.aspx" TargetMode="External"/><Relationship Id="rId42" Type="http://schemas.openxmlformats.org/officeDocument/2006/relationships/hyperlink" Target="https://www.aasw.asn.au/professional-development/continuing-professional-development-cpd" TargetMode="External"/><Relationship Id="rId47" Type="http://schemas.openxmlformats.org/officeDocument/2006/relationships/hyperlink" Target="https://www.ahpra.gov.au/Registration/Registration-Standards/Criminal-history.aspx" TargetMode="External"/><Relationship Id="rId50" Type="http://schemas.openxmlformats.org/officeDocument/2006/relationships/hyperlink" Target="https://www.alrc.gov.au/inquiry/review-of-the-family-law-system/" TargetMode="External"/><Relationship Id="rId55" Type="http://schemas.openxmlformats.org/officeDocument/2006/relationships/hyperlink" Target="https://www.yourhealthinmind.org/find-a-psychiatrist" TargetMode="External"/><Relationship Id="rId63" Type="http://schemas.openxmlformats.org/officeDocument/2006/relationships/hyperlink" Target="https://www.fcfcoa.gov.au/complaints-policy" TargetMode="External"/><Relationship Id="rId68" Type="http://schemas.openxmlformats.org/officeDocument/2006/relationships/hyperlink" Target="https://www.ahpra.gov.au/notifications/how-we-manage-concerns/investigation.aspx" TargetMode="External"/><Relationship Id="rId76" Type="http://schemas.openxmlformats.org/officeDocument/2006/relationships/hyperlink" Target="https://www.ranzcp.org/about-us/complaints-about-psychiatrists" TargetMode="External"/><Relationship Id="rId84" Type="http://schemas.openxmlformats.org/officeDocument/2006/relationships/hyperlink" Target="https://www.aph.gov.au/DocumentStore.ashx?id=1973345d-070b-438e-880b-0b48df358b0c&amp;subId=678463" TargetMode="External"/><Relationship Id="rId89" Type="http://schemas.openxmlformats.org/officeDocument/2006/relationships/hyperlink" Target="https://www.alrc.gov.au/wp-content/uploads/2019/08/family-law-232._association_of_family_and_conciliation_courts_australian_chapter_amended_for_website.pdf" TargetMode="External"/><Relationship Id="rId97" Type="http://schemas.openxmlformats.org/officeDocument/2006/relationships/hyperlink" Target="https://www.aph.gov.au/Parliamentary_Business/Committees/Joint/Family_Law_System/FamilyLaw/Second_Interim_Report" TargetMode="External"/><Relationship Id="rId7" Type="http://schemas.openxmlformats.org/officeDocument/2006/relationships/hyperlink" Target="https://www.ag.gov.au/families-and-marriage/publications/government-response-alrc-report-135-family-law-future-inquiry-family-law-system" TargetMode="External"/><Relationship Id="rId71" Type="http://schemas.openxmlformats.org/officeDocument/2006/relationships/hyperlink" Target="http://www.hccc.nsw.gov.au/understanding-complaints/what-can-i-make-a-complaint-about" TargetMode="External"/><Relationship Id="rId92" Type="http://schemas.openxmlformats.org/officeDocument/2006/relationships/hyperlink" Target="https://www.aph.gov.au/DocumentStore.ashx?id=3252aa58-8089-4019-a728-0d7d01f5c42b&amp;subId=464252" TargetMode="External"/><Relationship Id="rId2" Type="http://schemas.openxmlformats.org/officeDocument/2006/relationships/hyperlink" Target="https://www.alrc.gov.au/inquiry/review-of-the-family-law-system/" TargetMode="External"/><Relationship Id="rId16" Type="http://schemas.openxmlformats.org/officeDocument/2006/relationships/hyperlink" Target="https://www.alrc.gov.au/inquiry/review-of-the-family-law-system/" TargetMode="External"/><Relationship Id="rId29" Type="http://schemas.openxmlformats.org/officeDocument/2006/relationships/hyperlink" Target="https://www.aasw.asn.au/careers-study/education-standards-accreditation" TargetMode="External"/><Relationship Id="rId11" Type="http://schemas.openxmlformats.org/officeDocument/2006/relationships/hyperlink" Target="https://www.aph.gov.au/Parliamentary_Business/Committees/Joint/Family_Law_System/FamilyLaw/Second_Interim_Report" TargetMode="External"/><Relationship Id="rId24" Type="http://schemas.openxmlformats.org/officeDocument/2006/relationships/hyperlink" Target="https://www.alrc.gov.au/wp-content/uploads/2019/08/family-law-_166._research_team_z_rathus_am_dr_s_jeffries_dr_h_menih_professor_r_field.pdf" TargetMode="External"/><Relationship Id="rId32" Type="http://schemas.openxmlformats.org/officeDocument/2006/relationships/hyperlink" Target="http://www.ranzcp.org/pre-fellowship/become-a-psychiatrist" TargetMode="External"/><Relationship Id="rId37" Type="http://schemas.openxmlformats.org/officeDocument/2006/relationships/hyperlink" Target="https://www.aasw.asn.au/social-policy-advocacy/aasw-collective-trade-mark" TargetMode="External"/><Relationship Id="rId40" Type="http://schemas.openxmlformats.org/officeDocument/2006/relationships/hyperlink" Target="https://www.ranzcp.org/membership/faculties-sections-and-networks" TargetMode="External"/><Relationship Id="rId45" Type="http://schemas.openxmlformats.org/officeDocument/2006/relationships/hyperlink" Target="http://www.psychologyboard.gov.au/Standards-and-Guidelines/Registration-Standards.aspx" TargetMode="External"/><Relationship Id="rId53" Type="http://schemas.openxmlformats.org/officeDocument/2006/relationships/hyperlink" Target="https://www.ahpra.gov.au/Registration/Registers-of-Practitioners.aspx" TargetMode="External"/><Relationship Id="rId58" Type="http://schemas.openxmlformats.org/officeDocument/2006/relationships/hyperlink" Target="https://www.ombo.nsw.gov.au/news-and-publications/publications/guidelines/state-and-local-government/effective-complaint-handling-guidelines-3rd-edition" TargetMode="External"/><Relationship Id="rId66" Type="http://schemas.openxmlformats.org/officeDocument/2006/relationships/hyperlink" Target="https://www.fcfcoa.gov.au/complaints-policy" TargetMode="External"/><Relationship Id="rId74" Type="http://schemas.openxmlformats.org/officeDocument/2006/relationships/hyperlink" Target="http://www.aasw.asn.au/information-for-the-community/making-a-complaint" TargetMode="External"/><Relationship Id="rId79" Type="http://schemas.openxmlformats.org/officeDocument/2006/relationships/hyperlink" Target="https://www.alrc.gov.au/inquiry/review-of-the-family-law-system/" TargetMode="External"/><Relationship Id="rId87" Type="http://schemas.openxmlformats.org/officeDocument/2006/relationships/hyperlink" Target="https://www.alrc.gov.au/wp-content/uploads/2019/08/family-law-232._association_of_family_and_conciliation_courts_australian_chapter_amended_for_website.pdf" TargetMode="External"/><Relationship Id="rId5" Type="http://schemas.openxmlformats.org/officeDocument/2006/relationships/hyperlink" Target="https://www.alrc.gov.au/inquiry/review-of-the-family-law-system/" TargetMode="External"/><Relationship Id="rId61" Type="http://schemas.openxmlformats.org/officeDocument/2006/relationships/hyperlink" Target="https://www.aph.gov.au/Parliamentary_Business/Committees/Joint/Family_Law_System/FamilyLaw/Second_Interim_Report" TargetMode="External"/><Relationship Id="rId82" Type="http://schemas.openxmlformats.org/officeDocument/2006/relationships/hyperlink" Target="https://www.aasw.asn.au/document/item/3863" TargetMode="External"/><Relationship Id="rId90" Type="http://schemas.openxmlformats.org/officeDocument/2006/relationships/hyperlink" Target="https://www.aph.gov.au/Parliamentary_Business/Committees/Joint/Family_Law_System/FamilyLaw/Second_Interim_Report" TargetMode="External"/><Relationship Id="rId95" Type="http://schemas.openxmlformats.org/officeDocument/2006/relationships/hyperlink" Target="https://www.alrc.gov.au/wp-content/uploads/2019/08/family-law-232._association_of_family_and_conciliation_courts_australian_chapter_amended_for_website.pdf" TargetMode="External"/><Relationship Id="rId19" Type="http://schemas.openxmlformats.org/officeDocument/2006/relationships/hyperlink" Target="https://www.alrc.gov.au/wp-content/uploads/2019/08/family-law_-106._rainbow_families_victoria_submission_23_may.pdf" TargetMode="External"/><Relationship Id="rId14" Type="http://schemas.openxmlformats.org/officeDocument/2006/relationships/hyperlink" Target="https://www.alrc.gov.au/wp-content/uploads/2019/08/family-law_-45._womens_legal_services_australia_wlsa_submission.pdf" TargetMode="External"/><Relationship Id="rId22" Type="http://schemas.openxmlformats.org/officeDocument/2006/relationships/hyperlink" Target="https://www.alrc.gov.au/inquiry/review-of-the-family-law-system/" TargetMode="External"/><Relationship Id="rId27" Type="http://schemas.openxmlformats.org/officeDocument/2006/relationships/hyperlink" Target="http://afccnet.org.au/frw-introductory/" TargetMode="External"/><Relationship Id="rId30" Type="http://schemas.openxmlformats.org/officeDocument/2006/relationships/hyperlink" Target="http://www.psychologyboard.gov.au/Registration/Provisional/Retirement-of-4-2-internship.aspx" TargetMode="External"/><Relationship Id="rId35" Type="http://schemas.openxmlformats.org/officeDocument/2006/relationships/hyperlink" Target="https://www.aasw.asn.au/professional-development/continuing-professional-development-cpd" TargetMode="External"/><Relationship Id="rId43" Type="http://schemas.openxmlformats.org/officeDocument/2006/relationships/hyperlink" Target="https://www.fcfcoa.gov.au/fl/pubs/aus-standards-practice-2015" TargetMode="External"/><Relationship Id="rId48" Type="http://schemas.openxmlformats.org/officeDocument/2006/relationships/hyperlink" Target="https://www.aasw.asn.au/membership-information/become-a-member/membership" TargetMode="External"/><Relationship Id="rId56" Type="http://schemas.openxmlformats.org/officeDocument/2006/relationships/hyperlink" Target="https://www.aasw.asn.au/find-a-social-worker/search/" TargetMode="External"/><Relationship Id="rId64" Type="http://schemas.openxmlformats.org/officeDocument/2006/relationships/hyperlink" Target="https://www.lawcouncil.asn.au/resources/submissions/family-law-amendment-family-violence-and-cross-examination-of-parties-bill-2018" TargetMode="External"/><Relationship Id="rId69" Type="http://schemas.openxmlformats.org/officeDocument/2006/relationships/hyperlink" Target="https://www.ahpra.gov.au/notifications/how-we-manage-concerns/possible-outcomes.aspx" TargetMode="External"/><Relationship Id="rId77" Type="http://schemas.openxmlformats.org/officeDocument/2006/relationships/hyperlink" Target="https://www.alrc.gov.au/inquiry/review-of-the-family-law-system/" TargetMode="External"/><Relationship Id="rId8" Type="http://schemas.openxmlformats.org/officeDocument/2006/relationships/hyperlink" Target="https://www.fcfcoa.gov.au/fl/pubs/aus-standards-practice-2015" TargetMode="External"/><Relationship Id="rId51" Type="http://schemas.openxmlformats.org/officeDocument/2006/relationships/hyperlink" Target="https://www.aph.gov.au/Parliamentary_Business/Committees/Joint/Family_Law_System/FamilyLaw/Second_Interim_Report" TargetMode="External"/><Relationship Id="rId72" Type="http://schemas.openxmlformats.org/officeDocument/2006/relationships/hyperlink" Target="https://www.hccc.nsw.gov.au/health-consumers/frequently-asked-questions-health-consumers" TargetMode="External"/><Relationship Id="rId80" Type="http://schemas.openxmlformats.org/officeDocument/2006/relationships/hyperlink" Target="https://www.ag.gov.au/families-and-marriage/publications/government-response-alrc-report-135-family-law-future-inquiry-family-law-system" TargetMode="External"/><Relationship Id="rId85" Type="http://schemas.openxmlformats.org/officeDocument/2006/relationships/hyperlink" Target="https://www.aph.gov.au/DocumentStore.ashx?id=8ea522c4-a16f-45db-9511-fadbcf2b74e8&amp;subId=463928" TargetMode="External"/><Relationship Id="rId93" Type="http://schemas.openxmlformats.org/officeDocument/2006/relationships/hyperlink" Target="https://www.alrc.gov.au/wp-content/uploads/2019/08/family-law-232._association_of_family_and_conciliation_courts_australian_chapter_amended_for_website.pdf" TargetMode="External"/><Relationship Id="rId98" Type="http://schemas.openxmlformats.org/officeDocument/2006/relationships/hyperlink" Target="https://www.fcfcoa.gov.au/fl/pubs/aus-standards-practice-2015" TargetMode="External"/><Relationship Id="rId3" Type="http://schemas.openxmlformats.org/officeDocument/2006/relationships/hyperlink" Target="https://www.aph.gov.au/Parliamentary_Business/Committees/House/Social_Policy_and_Legal_Affairs/FVlawreform/Report" TargetMode="External"/><Relationship Id="rId12" Type="http://schemas.openxmlformats.org/officeDocument/2006/relationships/hyperlink" Target="https://www.fcfcoa.gov.au/fl/pubs/aus-standards-practice-2015" TargetMode="External"/><Relationship Id="rId17" Type="http://schemas.openxmlformats.org/officeDocument/2006/relationships/hyperlink" Target="https://www.alrc.gov.au/wp-content/uploads/2019/08/family-law-217._australian_human_rights_commission_submission.pdf" TargetMode="External"/><Relationship Id="rId25" Type="http://schemas.openxmlformats.org/officeDocument/2006/relationships/hyperlink" Target="https://www.aph.gov.au/Parliamentary_Business/Committees/Joint/Family_Law_System/FamilyLaw/Second_Interim_Report" TargetMode="External"/><Relationship Id="rId33" Type="http://schemas.openxmlformats.org/officeDocument/2006/relationships/hyperlink" Target="https://www.health.gov.au/initiatives-and-programs/national-registration-and-accreditation-scheme" TargetMode="External"/><Relationship Id="rId38" Type="http://schemas.openxmlformats.org/officeDocument/2006/relationships/hyperlink" Target="https://www.ahpra.gov.au/Registration/Registers-of-Practitioners.aspx" TargetMode="External"/><Relationship Id="rId46" Type="http://schemas.openxmlformats.org/officeDocument/2006/relationships/hyperlink" Target="https://www.aasw.asn.au/professional-development/continuing-professional-development-cpd" TargetMode="External"/><Relationship Id="rId59" Type="http://schemas.openxmlformats.org/officeDocument/2006/relationships/hyperlink" Target="https://www.aph.gov.au/DocumentStore.ashx?id=d4bc9629-b167-41ff-98a6-bf882042e132&amp;subId=678983" TargetMode="External"/><Relationship Id="rId67" Type="http://schemas.openxmlformats.org/officeDocument/2006/relationships/hyperlink" Target="https://www.ahpra.gov.au/Notifications/How-we-manage-concerns/Assessment.aspx" TargetMode="External"/><Relationship Id="rId20" Type="http://schemas.openxmlformats.org/officeDocument/2006/relationships/hyperlink" Target="https://www.alrc.gov.au/wp-content/uploads/2019/08/family-law_290._natsils.pdf" TargetMode="External"/><Relationship Id="rId41" Type="http://schemas.openxmlformats.org/officeDocument/2006/relationships/hyperlink" Target="https://credentials.aasw.asn.au/tips-for-applying/" TargetMode="External"/><Relationship Id="rId54" Type="http://schemas.openxmlformats.org/officeDocument/2006/relationships/hyperlink" Target="https://www.ahpra.gov.au/registration/registers-of-practitioners/cancelled-health-practitioners.aspx" TargetMode="External"/><Relationship Id="rId62" Type="http://schemas.openxmlformats.org/officeDocument/2006/relationships/hyperlink" Target="https://www.alrc.gov.au/wp-content/uploads/2019/08/family-law-_166._research_team_z_rathus_am_dr_s_jeffries_dr_h_menih_professor_r_field.pdf" TargetMode="External"/><Relationship Id="rId70" Type="http://schemas.openxmlformats.org/officeDocument/2006/relationships/hyperlink" Target="https://www.ahpra.gov.au/Notifications/Further-information/NSW-and-Qld.aspx" TargetMode="External"/><Relationship Id="rId75" Type="http://schemas.openxmlformats.org/officeDocument/2006/relationships/hyperlink" Target="http://www.psychology.org.au/About-Us/contact-us/Public-complaints-about-psychologists-(1)" TargetMode="External"/><Relationship Id="rId83" Type="http://schemas.openxmlformats.org/officeDocument/2006/relationships/hyperlink" Target="https://parlinfo.aph.gov.au/parlInfo/search/display/display.w3p;query=Id%3A%22committees%2Fcommsen%2Fb4755a0c-ba84-49a2-abd6-3636ab288ad3%2F0000%22" TargetMode="External"/><Relationship Id="rId88" Type="http://schemas.openxmlformats.org/officeDocument/2006/relationships/hyperlink" Target="https://www.aph.gov.au/DocumentStore.ashx?id=9aa2fe87-d21c-4305-ae2a-a26758e8bba8" TargetMode="External"/><Relationship Id="rId91" Type="http://schemas.openxmlformats.org/officeDocument/2006/relationships/hyperlink" Target="https://www.aph.gov.au/DocumentStore.ashx?id=d4bc9629-b167-41ff-98a6-bf882042e132&amp;subId=678983" TargetMode="External"/><Relationship Id="rId96" Type="http://schemas.openxmlformats.org/officeDocument/2006/relationships/hyperlink" Target="https://www.aph.gov.au/DocumentStore.ashx?id=d4bc9629-b167-41ff-98a6-bf882042e132&amp;subId=678983" TargetMode="External"/><Relationship Id="rId1" Type="http://schemas.openxmlformats.org/officeDocument/2006/relationships/hyperlink" Target="https://www.aph.gov.au/Parliamentary_Business/Committees/Joint/Family_Law_System/FamilyLaw/Second_Interim_Report" TargetMode="External"/><Relationship Id="rId6" Type="http://schemas.openxmlformats.org/officeDocument/2006/relationships/hyperlink" Target="https://www.aph.gov.au/Parliamentary_Business/Committees/Joint/Family_Law_System/FamilyLaw/Second_Interim_Report" TargetMode="External"/><Relationship Id="rId15" Type="http://schemas.openxmlformats.org/officeDocument/2006/relationships/hyperlink" Target="https://www.fcfcoa.gov.au/fl/pubs/aus-standards-practice-2015" TargetMode="External"/><Relationship Id="rId23" Type="http://schemas.openxmlformats.org/officeDocument/2006/relationships/hyperlink" Target="https://www.alrc.gov.au/wp-content/uploads/2019/08/10._people_with_disability_australia_pwda_submission.docx" TargetMode="External"/><Relationship Id="rId28" Type="http://schemas.openxmlformats.org/officeDocument/2006/relationships/hyperlink" Target="http://afccnet.org.au/endorsed-family-report-writers/" TargetMode="External"/><Relationship Id="rId36" Type="http://schemas.openxmlformats.org/officeDocument/2006/relationships/hyperlink" Target="https://www.aasw.asn.au/social-policy-advocacy/national-registration-and-accreditation-scheme/national-registration-and-accreditation-scheme" TargetMode="External"/><Relationship Id="rId49" Type="http://schemas.openxmlformats.org/officeDocument/2006/relationships/hyperlink" Target="http://www.aasw.asn.au/membership-information/faqs/renewal-faq" TargetMode="External"/><Relationship Id="rId57" Type="http://schemas.openxmlformats.org/officeDocument/2006/relationships/hyperlink" Target="https://www.psychology.org.au/Find-a-Psychologist" TargetMode="External"/><Relationship Id="rId10" Type="http://schemas.openxmlformats.org/officeDocument/2006/relationships/hyperlink" Target="https://www.alrc.gov.au/inquiry/review-of-the-family-law-system/" TargetMode="External"/><Relationship Id="rId31" Type="http://schemas.openxmlformats.org/officeDocument/2006/relationships/hyperlink" Target="http://www.psychology.org.au/Training-and-careers/Careers-and-studying-psychology/studying-psychology/Study-pathways" TargetMode="External"/><Relationship Id="rId44" Type="http://schemas.openxmlformats.org/officeDocument/2006/relationships/hyperlink" Target="http://www.ranzcp.org/files/cpd/2021-cpd-program-guide.aspx" TargetMode="External"/><Relationship Id="rId52" Type="http://schemas.openxmlformats.org/officeDocument/2006/relationships/hyperlink" Target="https://www.fcfcoa.gov.au/fl/pubs/aus-standards-practice-2015" TargetMode="External"/><Relationship Id="rId60" Type="http://schemas.openxmlformats.org/officeDocument/2006/relationships/hyperlink" Target="https://www.aph.gov.au/DocumentStore.ashx?id=3252aa58-8089-4019-a728-0d7d01f5c42b&amp;subId=464252" TargetMode="External"/><Relationship Id="rId65" Type="http://schemas.openxmlformats.org/officeDocument/2006/relationships/hyperlink" Target="https://www.alrc.gov.au/wp-content/uploads/2019/08/family-law-_166._research_team_z_rathus_am_dr_s_jeffries_dr_h_menih_professor_r_field.pdf" TargetMode="External"/><Relationship Id="rId73" Type="http://schemas.openxmlformats.org/officeDocument/2006/relationships/hyperlink" Target="https://www.oho.qld.gov.au/about-us" TargetMode="External"/><Relationship Id="rId78" Type="http://schemas.openxmlformats.org/officeDocument/2006/relationships/hyperlink" Target="https://www.ag.gov.au/families-and-marriage/publications/sharing-experts-reports-between-child-protection-system-and-family-law-system" TargetMode="External"/><Relationship Id="rId81" Type="http://schemas.openxmlformats.org/officeDocument/2006/relationships/hyperlink" Target="https://www.aph.gov.au/Parliamentary_Business/Committees/Joint/Family_Law_System/FamilyLaw/Second_Interim_Report" TargetMode="External"/><Relationship Id="rId86" Type="http://schemas.openxmlformats.org/officeDocument/2006/relationships/hyperlink" Target="https://www.aph.gov.au/DocumentStore.ashx?id=9aa2fe87-d21c-4305-ae2a-a26758e8bba8" TargetMode="External"/><Relationship Id="rId94" Type="http://schemas.openxmlformats.org/officeDocument/2006/relationships/hyperlink" Target="https://www.aph.gov.au/DocumentStore.ashx?id=d4bc9629-b167-41ff-98a6-bf882042e132&amp;subId=678983" TargetMode="External"/><Relationship Id="rId4" Type="http://schemas.openxmlformats.org/officeDocument/2006/relationships/hyperlink" Target="https://www.aph.gov.au/Parliamentary_Business/Committees/Senate/Finance_and_Public_Administration/Domestic_Violence/Report" TargetMode="External"/><Relationship Id="rId9" Type="http://schemas.openxmlformats.org/officeDocument/2006/relationships/hyperlink" Target="https://www.fcfcoa.gov.au/fl/pubs/aus-standards-practice-2015" TargetMode="External"/><Relationship Id="rId13" Type="http://schemas.openxmlformats.org/officeDocument/2006/relationships/hyperlink" Target="https://www.alrc.gov.au/inquiry/review-of-the-family-law-system/" TargetMode="External"/><Relationship Id="rId18" Type="http://schemas.openxmlformats.org/officeDocument/2006/relationships/hyperlink" Target="https://www.alrc.gov.au/wp-content/uploads/2019/08/family-law_-61._victoria_legal_aid_submission.docx" TargetMode="External"/><Relationship Id="rId39" Type="http://schemas.openxmlformats.org/officeDocument/2006/relationships/hyperlink" Target="https://www.psychologyboard.gov.au/Endorsement/Pathways-to-endors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14497</Words>
  <Characters>82634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Improving the competency and accountability of family report writers</dc:title>
  <dc:subject/>
  <dc:creator/>
  <cp:keywords/>
  <cp:lastModifiedBy/>
  <cp:revision>1</cp:revision>
  <dcterms:created xsi:type="dcterms:W3CDTF">2021-10-13T22:43:00Z</dcterms:created>
  <dcterms:modified xsi:type="dcterms:W3CDTF">2021-10-22T01:51:00Z</dcterms:modified>
</cp:coreProperties>
</file>