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9A4BAB" w14:textId="77777777" w:rsidR="002C6531" w:rsidRPr="00780D76" w:rsidRDefault="00C552A3" w:rsidP="007635BF">
      <w:pPr>
        <w:pStyle w:val="Title"/>
        <w:spacing w:after="0" w:line="520" w:lineRule="exact"/>
        <w:rPr>
          <w:rFonts w:asciiTheme="minorHAnsi" w:hAnsiTheme="minorHAnsi" w:cstheme="minorHAnsi"/>
          <w:b/>
          <w:sz w:val="42"/>
          <w:szCs w:val="42"/>
        </w:rPr>
      </w:pPr>
      <w:bookmarkStart w:id="0" w:name="_GoBack"/>
      <w:bookmarkEnd w:id="0"/>
      <w:r w:rsidRPr="00780D76">
        <w:rPr>
          <w:rFonts w:asciiTheme="minorHAnsi" w:hAnsiTheme="minorHAnsi" w:cstheme="minorHAnsi"/>
          <w:b/>
          <w:sz w:val="42"/>
          <w:szCs w:val="42"/>
        </w:rPr>
        <w:t xml:space="preserve">Consultation to inform options for </w:t>
      </w:r>
      <w:r w:rsidR="007635BF" w:rsidRPr="00780D76">
        <w:rPr>
          <w:rFonts w:asciiTheme="minorHAnsi" w:hAnsiTheme="minorHAnsi" w:cstheme="minorHAnsi"/>
          <w:b/>
          <w:sz w:val="42"/>
          <w:szCs w:val="42"/>
        </w:rPr>
        <w:br/>
      </w:r>
      <w:r w:rsidRPr="00780D76">
        <w:rPr>
          <w:rFonts w:asciiTheme="minorHAnsi" w:hAnsiTheme="minorHAnsi" w:cstheme="minorHAnsi"/>
          <w:b/>
          <w:sz w:val="42"/>
          <w:szCs w:val="42"/>
        </w:rPr>
        <w:t xml:space="preserve">implementing the Model Law on Electronic </w:t>
      </w:r>
      <w:r w:rsidR="007635BF" w:rsidRPr="00780D76">
        <w:rPr>
          <w:rFonts w:asciiTheme="minorHAnsi" w:hAnsiTheme="minorHAnsi" w:cstheme="minorHAnsi"/>
          <w:b/>
          <w:sz w:val="42"/>
          <w:szCs w:val="42"/>
        </w:rPr>
        <w:br/>
      </w:r>
      <w:r w:rsidRPr="00780D76">
        <w:rPr>
          <w:rFonts w:asciiTheme="minorHAnsi" w:hAnsiTheme="minorHAnsi" w:cstheme="minorHAnsi"/>
          <w:b/>
          <w:sz w:val="42"/>
          <w:szCs w:val="42"/>
        </w:rPr>
        <w:t>Transferable Records in Australia</w:t>
      </w:r>
    </w:p>
    <w:p w14:paraId="5555C612" w14:textId="77777777" w:rsidR="002C6531" w:rsidRPr="00780D76" w:rsidRDefault="002C6531" w:rsidP="002C6531">
      <w:pPr>
        <w:rPr>
          <w:rFonts w:asciiTheme="minorHAnsi" w:hAnsiTheme="minorHAnsi" w:cstheme="minorHAnsi"/>
        </w:rPr>
      </w:pPr>
      <w:r w:rsidRPr="00780D76">
        <w:rPr>
          <w:rFonts w:asciiTheme="minorHAnsi" w:hAnsiTheme="minorHAnsi" w:cstheme="minorHAnsi"/>
        </w:rPr>
        <w:br w:type="page"/>
      </w:r>
    </w:p>
    <w:p w14:paraId="569C9068" w14:textId="77777777" w:rsidR="00C552A3" w:rsidRPr="00780D76" w:rsidRDefault="00C552A3" w:rsidP="00040EE5">
      <w:pPr>
        <w:pStyle w:val="PolicyStatement"/>
        <w:ind w:left="0"/>
        <w:rPr>
          <w:rFonts w:asciiTheme="minorHAnsi" w:hAnsiTheme="minorHAnsi" w:cstheme="minorHAnsi"/>
        </w:rPr>
        <w:sectPr w:rsidR="00C552A3" w:rsidRPr="00780D76" w:rsidSect="007635BF">
          <w:headerReference w:type="even" r:id="rId7"/>
          <w:headerReference w:type="default" r:id="rId8"/>
          <w:headerReference w:type="first" r:id="rId9"/>
          <w:footerReference w:type="first" r:id="rId10"/>
          <w:pgSz w:w="11906" w:h="16838" w:code="9"/>
          <w:pgMar w:top="4423" w:right="1418" w:bottom="1418" w:left="1418" w:header="709" w:footer="953" w:gutter="0"/>
          <w:cols w:space="708"/>
          <w:titlePg/>
          <w:docGrid w:linePitch="360"/>
        </w:sectPr>
      </w:pPr>
    </w:p>
    <w:p w14:paraId="4F5CC6E3" w14:textId="77777777" w:rsidR="00A90E6C" w:rsidRPr="00780D76" w:rsidRDefault="00A90E6C" w:rsidP="00A90E6C">
      <w:pPr>
        <w:pStyle w:val="Heading1"/>
        <w:spacing w:line="276" w:lineRule="auto"/>
        <w:jc w:val="both"/>
        <w:rPr>
          <w:rFonts w:asciiTheme="minorHAnsi" w:hAnsiTheme="minorHAnsi" w:cstheme="minorHAnsi"/>
          <w:b w:val="0"/>
          <w:color w:val="auto"/>
          <w:sz w:val="21"/>
          <w:szCs w:val="21"/>
        </w:rPr>
      </w:pPr>
      <w:bookmarkStart w:id="1" w:name="_Toc176273394"/>
      <w:bookmarkStart w:id="2" w:name="_Toc176273301"/>
    </w:p>
    <w:p w14:paraId="3546DBE4" w14:textId="77777777" w:rsidR="00A90E6C" w:rsidRPr="00780D76" w:rsidRDefault="00A90E6C" w:rsidP="00A90E6C">
      <w:pPr>
        <w:pStyle w:val="Heading1"/>
        <w:spacing w:line="276" w:lineRule="auto"/>
        <w:jc w:val="both"/>
        <w:rPr>
          <w:rFonts w:asciiTheme="minorHAnsi" w:hAnsiTheme="minorHAnsi" w:cstheme="minorHAnsi"/>
          <w:b w:val="0"/>
          <w:color w:val="auto"/>
          <w:sz w:val="21"/>
          <w:szCs w:val="21"/>
        </w:rPr>
      </w:pPr>
    </w:p>
    <w:p w14:paraId="7A6E831B" w14:textId="77777777" w:rsidR="00A90E6C" w:rsidRPr="00780D76" w:rsidRDefault="00A90E6C" w:rsidP="00A90E6C">
      <w:pPr>
        <w:pStyle w:val="Heading1"/>
        <w:spacing w:line="276" w:lineRule="auto"/>
        <w:jc w:val="both"/>
        <w:rPr>
          <w:rFonts w:asciiTheme="minorHAnsi" w:hAnsiTheme="minorHAnsi" w:cstheme="minorHAnsi"/>
          <w:b w:val="0"/>
          <w:color w:val="auto"/>
          <w:sz w:val="21"/>
          <w:szCs w:val="21"/>
        </w:rPr>
      </w:pPr>
    </w:p>
    <w:p w14:paraId="7CA8955F" w14:textId="77777777" w:rsidR="00A90E6C" w:rsidRPr="00780D76" w:rsidRDefault="00A90E6C" w:rsidP="00A90E6C">
      <w:pPr>
        <w:pStyle w:val="Heading1"/>
        <w:spacing w:line="276" w:lineRule="auto"/>
        <w:jc w:val="both"/>
        <w:rPr>
          <w:rFonts w:asciiTheme="minorHAnsi" w:hAnsiTheme="minorHAnsi" w:cstheme="minorHAnsi"/>
          <w:b w:val="0"/>
          <w:color w:val="auto"/>
          <w:sz w:val="21"/>
          <w:szCs w:val="21"/>
        </w:rPr>
      </w:pPr>
    </w:p>
    <w:p w14:paraId="6A77535F" w14:textId="77777777" w:rsidR="00A90E6C" w:rsidRPr="00780D76" w:rsidRDefault="00A90E6C" w:rsidP="00A90E6C">
      <w:pPr>
        <w:pStyle w:val="Heading1"/>
        <w:spacing w:line="276" w:lineRule="auto"/>
        <w:jc w:val="both"/>
        <w:rPr>
          <w:rFonts w:asciiTheme="minorHAnsi" w:hAnsiTheme="minorHAnsi" w:cstheme="minorHAnsi"/>
          <w:b w:val="0"/>
          <w:color w:val="auto"/>
          <w:sz w:val="21"/>
          <w:szCs w:val="21"/>
        </w:rPr>
      </w:pPr>
    </w:p>
    <w:p w14:paraId="7EC65912" w14:textId="77777777" w:rsidR="00A90E6C" w:rsidRPr="00780D76" w:rsidRDefault="00A90E6C" w:rsidP="00A90E6C">
      <w:pPr>
        <w:pStyle w:val="Heading1"/>
        <w:spacing w:line="276" w:lineRule="auto"/>
        <w:jc w:val="both"/>
        <w:rPr>
          <w:rFonts w:asciiTheme="minorHAnsi" w:hAnsiTheme="minorHAnsi" w:cstheme="minorHAnsi"/>
          <w:b w:val="0"/>
          <w:color w:val="auto"/>
          <w:sz w:val="21"/>
          <w:szCs w:val="21"/>
        </w:rPr>
      </w:pPr>
    </w:p>
    <w:p w14:paraId="1A540785" w14:textId="77777777" w:rsidR="00A90E6C" w:rsidRPr="00780D76" w:rsidRDefault="00A90E6C" w:rsidP="00A90E6C">
      <w:pPr>
        <w:pStyle w:val="Heading1"/>
        <w:spacing w:line="276" w:lineRule="auto"/>
        <w:jc w:val="both"/>
        <w:rPr>
          <w:rFonts w:asciiTheme="minorHAnsi" w:hAnsiTheme="minorHAnsi" w:cstheme="minorHAnsi"/>
          <w:b w:val="0"/>
          <w:color w:val="auto"/>
          <w:sz w:val="21"/>
          <w:szCs w:val="21"/>
        </w:rPr>
      </w:pPr>
    </w:p>
    <w:p w14:paraId="24B13616" w14:textId="77777777" w:rsidR="00A90E6C" w:rsidRPr="00780D76" w:rsidRDefault="00A90E6C" w:rsidP="00A90E6C">
      <w:pPr>
        <w:pStyle w:val="Heading1"/>
        <w:spacing w:line="276" w:lineRule="auto"/>
        <w:jc w:val="both"/>
        <w:rPr>
          <w:rFonts w:asciiTheme="minorHAnsi" w:hAnsiTheme="minorHAnsi" w:cstheme="minorHAnsi"/>
          <w:b w:val="0"/>
          <w:color w:val="auto"/>
          <w:sz w:val="21"/>
          <w:szCs w:val="21"/>
        </w:rPr>
      </w:pPr>
    </w:p>
    <w:p w14:paraId="3D74A962" w14:textId="77777777" w:rsidR="00A90E6C" w:rsidRPr="00780D76" w:rsidRDefault="00A90E6C" w:rsidP="00A90E6C">
      <w:pPr>
        <w:pStyle w:val="Heading1"/>
        <w:spacing w:line="276" w:lineRule="auto"/>
        <w:jc w:val="both"/>
        <w:rPr>
          <w:rFonts w:asciiTheme="minorHAnsi" w:hAnsiTheme="minorHAnsi" w:cstheme="minorHAnsi"/>
          <w:b w:val="0"/>
          <w:color w:val="auto"/>
          <w:sz w:val="21"/>
          <w:szCs w:val="21"/>
        </w:rPr>
      </w:pPr>
    </w:p>
    <w:p w14:paraId="3F92E1B4" w14:textId="77777777" w:rsidR="00A90E6C" w:rsidRPr="00780D76" w:rsidRDefault="00A90E6C" w:rsidP="00A90E6C">
      <w:pPr>
        <w:pStyle w:val="Heading1"/>
        <w:spacing w:line="276" w:lineRule="auto"/>
        <w:jc w:val="both"/>
        <w:rPr>
          <w:rFonts w:asciiTheme="minorHAnsi" w:hAnsiTheme="minorHAnsi" w:cstheme="minorHAnsi"/>
          <w:b w:val="0"/>
          <w:color w:val="auto"/>
          <w:sz w:val="21"/>
          <w:szCs w:val="21"/>
        </w:rPr>
      </w:pPr>
    </w:p>
    <w:p w14:paraId="00E98CB6" w14:textId="77777777" w:rsidR="00A90E6C" w:rsidRPr="00780D76" w:rsidRDefault="00A90E6C" w:rsidP="00A90E6C">
      <w:pPr>
        <w:pStyle w:val="Heading1"/>
        <w:spacing w:line="276" w:lineRule="auto"/>
        <w:jc w:val="both"/>
        <w:rPr>
          <w:rFonts w:asciiTheme="minorHAnsi" w:hAnsiTheme="minorHAnsi" w:cstheme="minorHAnsi"/>
          <w:b w:val="0"/>
          <w:color w:val="auto"/>
          <w:sz w:val="21"/>
          <w:szCs w:val="21"/>
        </w:rPr>
      </w:pPr>
    </w:p>
    <w:p w14:paraId="1AC7DF30" w14:textId="77777777" w:rsidR="00A90E6C" w:rsidRPr="00780D76" w:rsidRDefault="00A90E6C" w:rsidP="00A90E6C">
      <w:pPr>
        <w:pStyle w:val="Heading1"/>
        <w:spacing w:line="276" w:lineRule="auto"/>
        <w:jc w:val="both"/>
        <w:rPr>
          <w:rFonts w:asciiTheme="minorHAnsi" w:hAnsiTheme="minorHAnsi" w:cstheme="minorHAnsi"/>
          <w:b w:val="0"/>
          <w:color w:val="auto"/>
          <w:sz w:val="21"/>
          <w:szCs w:val="21"/>
        </w:rPr>
      </w:pPr>
    </w:p>
    <w:p w14:paraId="00C9E958" w14:textId="77777777" w:rsidR="00A90E6C" w:rsidRPr="00780D76" w:rsidRDefault="00A90E6C" w:rsidP="00A90E6C">
      <w:pPr>
        <w:pStyle w:val="Heading1"/>
        <w:spacing w:line="276" w:lineRule="auto"/>
        <w:jc w:val="both"/>
        <w:rPr>
          <w:rFonts w:asciiTheme="minorHAnsi" w:hAnsiTheme="minorHAnsi" w:cstheme="minorHAnsi"/>
          <w:b w:val="0"/>
          <w:color w:val="auto"/>
          <w:sz w:val="21"/>
          <w:szCs w:val="21"/>
        </w:rPr>
      </w:pPr>
    </w:p>
    <w:p w14:paraId="5D0976B9" w14:textId="77777777" w:rsidR="009B6057" w:rsidRPr="00780D76" w:rsidRDefault="009B6057" w:rsidP="009A52A0">
      <w:pPr>
        <w:rPr>
          <w:rFonts w:asciiTheme="minorHAnsi" w:hAnsiTheme="minorHAnsi" w:cstheme="minorHAnsi"/>
          <w:color w:val="auto"/>
          <w:szCs w:val="21"/>
        </w:rPr>
      </w:pPr>
      <w:bookmarkStart w:id="3" w:name="_Toc176275096"/>
      <w:bookmarkStart w:id="4" w:name="_Toc176420762"/>
    </w:p>
    <w:p w14:paraId="4F1C7DAC" w14:textId="77777777" w:rsidR="009B6057" w:rsidRPr="00780D76" w:rsidRDefault="009B6057" w:rsidP="009A52A0">
      <w:pPr>
        <w:rPr>
          <w:rFonts w:asciiTheme="minorHAnsi" w:hAnsiTheme="minorHAnsi" w:cstheme="minorHAnsi"/>
          <w:color w:val="auto"/>
          <w:szCs w:val="21"/>
        </w:rPr>
      </w:pPr>
    </w:p>
    <w:p w14:paraId="130E10BF" w14:textId="77777777" w:rsidR="009B6057" w:rsidRPr="00780D76" w:rsidRDefault="009B6057" w:rsidP="009A52A0">
      <w:pPr>
        <w:rPr>
          <w:rFonts w:asciiTheme="minorHAnsi" w:hAnsiTheme="minorHAnsi" w:cstheme="minorHAnsi"/>
          <w:color w:val="auto"/>
          <w:szCs w:val="21"/>
        </w:rPr>
      </w:pPr>
    </w:p>
    <w:p w14:paraId="1DA51A06" w14:textId="77777777" w:rsidR="009B6057" w:rsidRPr="00780D76" w:rsidRDefault="009B6057" w:rsidP="009A52A0">
      <w:pPr>
        <w:rPr>
          <w:rFonts w:asciiTheme="minorHAnsi" w:hAnsiTheme="minorHAnsi" w:cstheme="minorHAnsi"/>
          <w:color w:val="auto"/>
          <w:szCs w:val="21"/>
        </w:rPr>
      </w:pPr>
    </w:p>
    <w:p w14:paraId="61E41937" w14:textId="77777777" w:rsidR="009B6057" w:rsidRPr="00780D76" w:rsidRDefault="009B6057" w:rsidP="009A52A0">
      <w:pPr>
        <w:rPr>
          <w:rFonts w:asciiTheme="minorHAnsi" w:hAnsiTheme="minorHAnsi" w:cstheme="minorHAnsi"/>
          <w:color w:val="auto"/>
          <w:szCs w:val="21"/>
        </w:rPr>
      </w:pPr>
    </w:p>
    <w:p w14:paraId="06A8464D" w14:textId="77777777" w:rsidR="009B6057" w:rsidRPr="00780D76" w:rsidRDefault="009B6057" w:rsidP="009A52A0">
      <w:pPr>
        <w:rPr>
          <w:rFonts w:asciiTheme="minorHAnsi" w:hAnsiTheme="minorHAnsi" w:cstheme="minorHAnsi"/>
          <w:color w:val="auto"/>
          <w:szCs w:val="21"/>
        </w:rPr>
      </w:pPr>
    </w:p>
    <w:p w14:paraId="009D99FF" w14:textId="77777777" w:rsidR="00A90E6C" w:rsidRPr="00780D76" w:rsidRDefault="00A90E6C" w:rsidP="009A52A0">
      <w:pPr>
        <w:rPr>
          <w:rFonts w:asciiTheme="minorHAnsi" w:hAnsiTheme="minorHAnsi" w:cstheme="minorHAnsi"/>
          <w:b/>
          <w:color w:val="auto"/>
          <w:szCs w:val="21"/>
        </w:rPr>
      </w:pPr>
      <w:r w:rsidRPr="00780D76">
        <w:rPr>
          <w:rFonts w:asciiTheme="minorHAnsi" w:hAnsiTheme="minorHAnsi" w:cstheme="minorHAnsi"/>
          <w:b/>
          <w:color w:val="auto"/>
          <w:szCs w:val="21"/>
        </w:rPr>
        <w:t>© Commonwealth of Australia 2024</w:t>
      </w:r>
      <w:bookmarkEnd w:id="1"/>
      <w:bookmarkEnd w:id="2"/>
      <w:bookmarkEnd w:id="3"/>
      <w:bookmarkEnd w:id="4"/>
      <w:r w:rsidRPr="00780D76">
        <w:rPr>
          <w:rFonts w:asciiTheme="minorHAnsi" w:hAnsiTheme="minorHAnsi" w:cstheme="minorHAnsi"/>
          <w:b/>
          <w:color w:val="auto"/>
          <w:szCs w:val="21"/>
        </w:rPr>
        <w:t xml:space="preserve"> </w:t>
      </w:r>
    </w:p>
    <w:p w14:paraId="39296A95" w14:textId="77777777" w:rsidR="00A90E6C" w:rsidRPr="00780D76" w:rsidRDefault="00A90E6C" w:rsidP="009A52A0">
      <w:pPr>
        <w:rPr>
          <w:rFonts w:asciiTheme="minorHAnsi" w:hAnsiTheme="minorHAnsi" w:cstheme="minorHAnsi"/>
          <w:b/>
          <w:color w:val="auto"/>
          <w:szCs w:val="21"/>
        </w:rPr>
      </w:pPr>
      <w:bookmarkStart w:id="5" w:name="_Toc176273395"/>
      <w:bookmarkStart w:id="6" w:name="_Toc176273302"/>
      <w:bookmarkStart w:id="7" w:name="_Toc176275097"/>
      <w:bookmarkStart w:id="8" w:name="_Toc176420763"/>
      <w:r w:rsidRPr="00780D76">
        <w:rPr>
          <w:rFonts w:asciiTheme="minorHAnsi" w:hAnsiTheme="minorHAnsi" w:cstheme="minorHAnsi"/>
          <w:color w:val="auto"/>
          <w:szCs w:val="21"/>
        </w:rPr>
        <w:t>With the exception of the Coat of Arms and where otherwise stated, all material presented in this publication is provided under a Creative Commons Attribution 4.0 International licence (www.creativecommons.org/licenses).</w:t>
      </w:r>
      <w:bookmarkEnd w:id="5"/>
      <w:bookmarkEnd w:id="6"/>
      <w:bookmarkEnd w:id="7"/>
      <w:bookmarkEnd w:id="8"/>
      <w:r w:rsidRPr="00780D76">
        <w:rPr>
          <w:rFonts w:asciiTheme="minorHAnsi" w:hAnsiTheme="minorHAnsi" w:cstheme="minorHAnsi"/>
          <w:color w:val="auto"/>
          <w:szCs w:val="21"/>
        </w:rPr>
        <w:t xml:space="preserve"> </w:t>
      </w:r>
    </w:p>
    <w:p w14:paraId="04EAB0A6" w14:textId="77777777" w:rsidR="00A90E6C" w:rsidRPr="00780D76" w:rsidRDefault="00A90E6C" w:rsidP="009A52A0">
      <w:pPr>
        <w:rPr>
          <w:rFonts w:asciiTheme="minorHAnsi" w:hAnsiTheme="minorHAnsi" w:cstheme="minorHAnsi"/>
          <w:b/>
          <w:color w:val="auto"/>
          <w:szCs w:val="21"/>
        </w:rPr>
      </w:pPr>
      <w:bookmarkStart w:id="9" w:name="_Toc176273396"/>
      <w:bookmarkStart w:id="10" w:name="_Toc176273303"/>
      <w:bookmarkStart w:id="11" w:name="_Toc176275098"/>
      <w:bookmarkStart w:id="12" w:name="_Toc176420764"/>
      <w:r w:rsidRPr="00780D76">
        <w:rPr>
          <w:rFonts w:asciiTheme="minorHAnsi" w:hAnsiTheme="minorHAnsi" w:cstheme="minorHAnsi"/>
          <w:color w:val="auto"/>
          <w:szCs w:val="21"/>
        </w:rPr>
        <w:t>For the avoidance of doubt, this means this licence only applies to material as set out in this document.</w:t>
      </w:r>
      <w:bookmarkEnd w:id="9"/>
      <w:bookmarkEnd w:id="10"/>
      <w:bookmarkEnd w:id="11"/>
      <w:bookmarkEnd w:id="12"/>
      <w:r w:rsidRPr="00780D76">
        <w:rPr>
          <w:rFonts w:asciiTheme="minorHAnsi" w:hAnsiTheme="minorHAnsi" w:cstheme="minorHAnsi"/>
          <w:color w:val="auto"/>
          <w:szCs w:val="21"/>
        </w:rPr>
        <w:t xml:space="preserve"> </w:t>
      </w:r>
    </w:p>
    <w:p w14:paraId="3A877911" w14:textId="77777777" w:rsidR="00A90E6C" w:rsidRPr="00780D76" w:rsidRDefault="00A90E6C" w:rsidP="009A52A0">
      <w:pPr>
        <w:rPr>
          <w:rFonts w:asciiTheme="minorHAnsi" w:hAnsiTheme="minorHAnsi" w:cstheme="minorHAnsi"/>
          <w:b/>
          <w:color w:val="auto"/>
          <w:szCs w:val="21"/>
        </w:rPr>
      </w:pPr>
      <w:bookmarkStart w:id="13" w:name="_Toc176273397"/>
      <w:bookmarkStart w:id="14" w:name="_Toc176273304"/>
      <w:bookmarkStart w:id="15" w:name="_Toc176275099"/>
      <w:bookmarkStart w:id="16" w:name="_Toc176420765"/>
      <w:r w:rsidRPr="00780D76">
        <w:rPr>
          <w:rFonts w:asciiTheme="minorHAnsi" w:hAnsiTheme="minorHAnsi" w:cstheme="minorHAnsi"/>
          <w:color w:val="auto"/>
          <w:szCs w:val="21"/>
        </w:rPr>
        <w:t>The details of the relevant licence conditions are available on the Creative Commons website as is the full legal code for the CC BY 4.0 licence (www.creativecommons.org/licenses).</w:t>
      </w:r>
      <w:bookmarkEnd w:id="13"/>
      <w:bookmarkEnd w:id="14"/>
      <w:bookmarkEnd w:id="15"/>
      <w:bookmarkEnd w:id="16"/>
      <w:r w:rsidRPr="00780D76">
        <w:rPr>
          <w:rFonts w:asciiTheme="minorHAnsi" w:hAnsiTheme="minorHAnsi" w:cstheme="minorHAnsi"/>
          <w:color w:val="auto"/>
          <w:szCs w:val="21"/>
        </w:rPr>
        <w:t xml:space="preserve"> </w:t>
      </w:r>
    </w:p>
    <w:p w14:paraId="7A3C53D2" w14:textId="77777777" w:rsidR="00A90E6C" w:rsidRPr="00780D76" w:rsidRDefault="00A90E6C" w:rsidP="009A52A0">
      <w:pPr>
        <w:rPr>
          <w:rFonts w:asciiTheme="minorHAnsi" w:hAnsiTheme="minorHAnsi" w:cstheme="minorHAnsi"/>
          <w:b/>
          <w:color w:val="auto"/>
          <w:szCs w:val="21"/>
        </w:rPr>
      </w:pPr>
      <w:bookmarkStart w:id="17" w:name="_Toc176273398"/>
      <w:bookmarkStart w:id="18" w:name="_Toc176273305"/>
      <w:bookmarkStart w:id="19" w:name="_Toc176275100"/>
      <w:bookmarkStart w:id="20" w:name="_Toc176420766"/>
      <w:r w:rsidRPr="00780D76">
        <w:rPr>
          <w:rFonts w:asciiTheme="minorHAnsi" w:hAnsiTheme="minorHAnsi" w:cstheme="minorHAnsi"/>
          <w:b/>
          <w:color w:val="auto"/>
          <w:szCs w:val="21"/>
        </w:rPr>
        <w:t>Use of the Coat of Arms</w:t>
      </w:r>
      <w:bookmarkEnd w:id="17"/>
      <w:bookmarkEnd w:id="18"/>
      <w:bookmarkEnd w:id="19"/>
      <w:bookmarkEnd w:id="20"/>
      <w:r w:rsidRPr="00780D76">
        <w:rPr>
          <w:rFonts w:asciiTheme="minorHAnsi" w:hAnsiTheme="minorHAnsi" w:cstheme="minorHAnsi"/>
          <w:b/>
          <w:color w:val="auto"/>
          <w:szCs w:val="21"/>
        </w:rPr>
        <w:t xml:space="preserve"> </w:t>
      </w:r>
    </w:p>
    <w:p w14:paraId="7768868A" w14:textId="77777777" w:rsidR="00A90E6C" w:rsidRPr="00780D76" w:rsidRDefault="00A90E6C" w:rsidP="009A52A0">
      <w:pPr>
        <w:rPr>
          <w:rFonts w:asciiTheme="minorHAnsi" w:hAnsiTheme="minorHAnsi" w:cstheme="minorHAnsi"/>
          <w:b/>
          <w:color w:val="auto"/>
          <w:szCs w:val="21"/>
        </w:rPr>
      </w:pPr>
      <w:bookmarkStart w:id="21" w:name="_Toc176275101"/>
      <w:bookmarkStart w:id="22" w:name="_Toc176420767"/>
      <w:bookmarkStart w:id="23" w:name="_Toc176273399"/>
      <w:bookmarkStart w:id="24" w:name="_Toc176273306"/>
      <w:r w:rsidRPr="00780D76">
        <w:rPr>
          <w:rFonts w:asciiTheme="minorHAnsi" w:hAnsiTheme="minorHAnsi" w:cstheme="minorHAnsi"/>
          <w:color w:val="auto"/>
          <w:szCs w:val="21"/>
        </w:rPr>
        <w:t>The terms under which the Coat of Arms can be used are detailed on the Department of the Prime Minister and Cabinet website (</w:t>
      </w:r>
      <w:hyperlink r:id="rId11" w:history="1">
        <w:r w:rsidRPr="00780D76">
          <w:rPr>
            <w:rStyle w:val="Hyperlink"/>
            <w:rFonts w:asciiTheme="minorHAnsi" w:hAnsiTheme="minorHAnsi" w:cstheme="minorHAnsi"/>
            <w:szCs w:val="21"/>
          </w:rPr>
          <w:t>www.pmc.gov.au/resources/commonwealth-coat-arms-information-and-guideline</w:t>
        </w:r>
        <w:bookmarkEnd w:id="21"/>
        <w:bookmarkEnd w:id="22"/>
      </w:hyperlink>
      <w:bookmarkEnd w:id="23"/>
      <w:bookmarkEnd w:id="24"/>
    </w:p>
    <w:sdt>
      <w:sdtPr>
        <w:rPr>
          <w:rFonts w:asciiTheme="minorHAnsi" w:eastAsia="Times New Roman" w:hAnsiTheme="minorHAnsi" w:cstheme="minorHAnsi"/>
          <w:color w:val="000000" w:themeColor="text1"/>
          <w:sz w:val="21"/>
          <w:szCs w:val="24"/>
          <w:lang w:val="en-AU"/>
        </w:rPr>
        <w:id w:val="-77828531"/>
        <w:docPartObj>
          <w:docPartGallery w:val="Table of Contents"/>
          <w:docPartUnique/>
        </w:docPartObj>
      </w:sdtPr>
      <w:sdtEndPr>
        <w:rPr>
          <w:b/>
          <w:bCs/>
          <w:noProof/>
        </w:rPr>
      </w:sdtEndPr>
      <w:sdtContent>
        <w:p w14:paraId="7FFE41A8" w14:textId="77777777" w:rsidR="00584752" w:rsidRPr="00780D76" w:rsidRDefault="00584752" w:rsidP="00E0603E">
          <w:pPr>
            <w:pStyle w:val="TOCHeading"/>
            <w:spacing w:line="240" w:lineRule="auto"/>
            <w:rPr>
              <w:rStyle w:val="Heading3Char"/>
              <w:rFonts w:asciiTheme="minorHAnsi" w:hAnsiTheme="minorHAnsi" w:cstheme="minorHAnsi"/>
            </w:rPr>
          </w:pPr>
          <w:r w:rsidRPr="00780D76">
            <w:rPr>
              <w:rStyle w:val="Heading3Char"/>
              <w:rFonts w:asciiTheme="minorHAnsi" w:hAnsiTheme="minorHAnsi" w:cstheme="minorHAnsi"/>
            </w:rPr>
            <w:t>Contents</w:t>
          </w:r>
        </w:p>
        <w:p w14:paraId="5829CF07" w14:textId="6147DA84" w:rsidR="009B6057" w:rsidRPr="00780D76" w:rsidRDefault="00AA592D" w:rsidP="00A10DE8">
          <w:pPr>
            <w:pStyle w:val="TOC1"/>
            <w:rPr>
              <w:rFonts w:eastAsiaTheme="minorEastAsia"/>
              <w:color w:val="auto"/>
              <w:sz w:val="22"/>
              <w:szCs w:val="22"/>
              <w:lang w:eastAsia="en-AU"/>
            </w:rPr>
          </w:pPr>
          <w:r w:rsidRPr="00780D76">
            <w:fldChar w:fldCharType="begin"/>
          </w:r>
          <w:r w:rsidRPr="00780D76">
            <w:instrText xml:space="preserve"> TOC \o "1-2" \h \z \u </w:instrText>
          </w:r>
          <w:r w:rsidRPr="00780D76">
            <w:fldChar w:fldCharType="separate"/>
          </w:r>
          <w:hyperlink w:anchor="_Toc176437870" w:history="1">
            <w:r w:rsidR="009B6057" w:rsidRPr="00780D76">
              <w:rPr>
                <w:rStyle w:val="Hyperlink"/>
                <w:rFonts w:asciiTheme="minorHAnsi" w:hAnsiTheme="minorHAnsi"/>
                <w:b/>
              </w:rPr>
              <w:t>1.</w:t>
            </w:r>
            <w:r w:rsidR="009B6057" w:rsidRPr="00780D76">
              <w:rPr>
                <w:rFonts w:eastAsiaTheme="minorEastAsia"/>
                <w:b/>
                <w:color w:val="auto"/>
                <w:sz w:val="22"/>
                <w:szCs w:val="22"/>
                <w:lang w:eastAsia="en-AU"/>
              </w:rPr>
              <w:tab/>
            </w:r>
            <w:r w:rsidR="009B6057" w:rsidRPr="00780D76">
              <w:rPr>
                <w:rStyle w:val="Hyperlink"/>
                <w:rFonts w:asciiTheme="minorHAnsi" w:hAnsiTheme="minorHAnsi"/>
                <w:b/>
              </w:rPr>
              <w:t>Chapter 1: Background</w:t>
            </w:r>
            <w:r w:rsidR="009B6057" w:rsidRPr="00780D76">
              <w:rPr>
                <w:webHidden/>
              </w:rPr>
              <w:tab/>
            </w:r>
            <w:r w:rsidR="009B6057" w:rsidRPr="00780D76">
              <w:rPr>
                <w:b/>
                <w:webHidden/>
              </w:rPr>
              <w:fldChar w:fldCharType="begin"/>
            </w:r>
            <w:r w:rsidR="009B6057" w:rsidRPr="00780D76">
              <w:rPr>
                <w:b/>
                <w:webHidden/>
              </w:rPr>
              <w:instrText xml:space="preserve"> PAGEREF _Toc176437870 \h </w:instrText>
            </w:r>
            <w:r w:rsidR="009B6057" w:rsidRPr="00780D76">
              <w:rPr>
                <w:b/>
                <w:webHidden/>
              </w:rPr>
            </w:r>
            <w:r w:rsidR="009B6057" w:rsidRPr="00780D76">
              <w:rPr>
                <w:b/>
                <w:webHidden/>
              </w:rPr>
              <w:fldChar w:fldCharType="separate"/>
            </w:r>
            <w:r w:rsidR="00A10CB9">
              <w:rPr>
                <w:b/>
                <w:webHidden/>
              </w:rPr>
              <w:t>4</w:t>
            </w:r>
            <w:r w:rsidR="009B6057" w:rsidRPr="00780D76">
              <w:rPr>
                <w:b/>
                <w:webHidden/>
              </w:rPr>
              <w:fldChar w:fldCharType="end"/>
            </w:r>
          </w:hyperlink>
        </w:p>
        <w:p w14:paraId="56F82944" w14:textId="25EC80BB" w:rsidR="009B6057" w:rsidRPr="00780D76" w:rsidRDefault="00150CD2" w:rsidP="00A10DE8">
          <w:pPr>
            <w:pStyle w:val="TOC1"/>
            <w:rPr>
              <w:rFonts w:eastAsiaTheme="minorEastAsia"/>
              <w:color w:val="auto"/>
              <w:sz w:val="22"/>
              <w:szCs w:val="22"/>
              <w:lang w:eastAsia="en-AU"/>
            </w:rPr>
          </w:pPr>
          <w:hyperlink w:anchor="_Toc176437871" w:history="1">
            <w:r w:rsidR="009B6057" w:rsidRPr="00780D76">
              <w:rPr>
                <w:rStyle w:val="Hyperlink"/>
                <w:rFonts w:asciiTheme="minorHAnsi" w:hAnsiTheme="minorHAnsi"/>
                <w:lang w:eastAsia="en-AU"/>
              </w:rPr>
              <w:t>1.1.</w:t>
            </w:r>
            <w:r w:rsidR="009B6057" w:rsidRPr="00780D76">
              <w:rPr>
                <w:rFonts w:eastAsiaTheme="minorEastAsia"/>
                <w:color w:val="auto"/>
                <w:sz w:val="22"/>
                <w:szCs w:val="22"/>
                <w:lang w:eastAsia="en-AU"/>
              </w:rPr>
              <w:tab/>
            </w:r>
            <w:r w:rsidR="009B6057" w:rsidRPr="00780D76">
              <w:rPr>
                <w:rStyle w:val="Hyperlink"/>
                <w:rFonts w:asciiTheme="minorHAnsi" w:hAnsiTheme="minorHAnsi"/>
                <w:lang w:eastAsia="en-AU"/>
              </w:rPr>
              <w:t>Introduction to the consultation</w:t>
            </w:r>
            <w:r w:rsidR="009B6057" w:rsidRPr="00780D76">
              <w:rPr>
                <w:webHidden/>
              </w:rPr>
              <w:tab/>
            </w:r>
            <w:r w:rsidR="009B6057" w:rsidRPr="00780D76">
              <w:rPr>
                <w:webHidden/>
              </w:rPr>
              <w:fldChar w:fldCharType="begin"/>
            </w:r>
            <w:r w:rsidR="009B6057" w:rsidRPr="00780D76">
              <w:rPr>
                <w:webHidden/>
              </w:rPr>
              <w:instrText xml:space="preserve"> PAGEREF _Toc176437871 \h </w:instrText>
            </w:r>
            <w:r w:rsidR="009B6057" w:rsidRPr="00780D76">
              <w:rPr>
                <w:webHidden/>
              </w:rPr>
            </w:r>
            <w:r w:rsidR="009B6057" w:rsidRPr="00780D76">
              <w:rPr>
                <w:webHidden/>
              </w:rPr>
              <w:fldChar w:fldCharType="separate"/>
            </w:r>
            <w:r w:rsidR="00A10CB9">
              <w:rPr>
                <w:webHidden/>
              </w:rPr>
              <w:t>4</w:t>
            </w:r>
            <w:r w:rsidR="009B6057" w:rsidRPr="00780D76">
              <w:rPr>
                <w:webHidden/>
              </w:rPr>
              <w:fldChar w:fldCharType="end"/>
            </w:r>
          </w:hyperlink>
        </w:p>
        <w:p w14:paraId="0953FADC" w14:textId="0D18C4B5" w:rsidR="009B6057" w:rsidRPr="00780D76" w:rsidRDefault="00150CD2" w:rsidP="00A10DE8">
          <w:pPr>
            <w:pStyle w:val="TOC1"/>
            <w:rPr>
              <w:rFonts w:eastAsiaTheme="minorEastAsia"/>
              <w:color w:val="auto"/>
              <w:sz w:val="22"/>
              <w:szCs w:val="22"/>
              <w:lang w:eastAsia="en-AU"/>
            </w:rPr>
          </w:pPr>
          <w:hyperlink w:anchor="_Toc176437872" w:history="1">
            <w:r w:rsidR="009B6057" w:rsidRPr="00780D76">
              <w:rPr>
                <w:rStyle w:val="Hyperlink"/>
                <w:rFonts w:asciiTheme="minorHAnsi" w:hAnsiTheme="minorHAnsi"/>
                <w:lang w:eastAsia="en-AU"/>
              </w:rPr>
              <w:t>1.2.</w:t>
            </w:r>
            <w:r w:rsidR="009B6057" w:rsidRPr="00780D76">
              <w:rPr>
                <w:rFonts w:eastAsiaTheme="minorEastAsia"/>
                <w:color w:val="auto"/>
                <w:sz w:val="22"/>
                <w:szCs w:val="22"/>
                <w:lang w:eastAsia="en-AU"/>
              </w:rPr>
              <w:tab/>
            </w:r>
            <w:r w:rsidR="009B6057" w:rsidRPr="00780D76">
              <w:rPr>
                <w:rStyle w:val="Hyperlink"/>
                <w:rFonts w:asciiTheme="minorHAnsi" w:hAnsiTheme="minorHAnsi"/>
                <w:lang w:eastAsia="en-AU"/>
              </w:rPr>
              <w:t>What is the Model Law on Electronic Transferable Records?</w:t>
            </w:r>
            <w:r w:rsidR="009B6057" w:rsidRPr="00780D76">
              <w:rPr>
                <w:webHidden/>
              </w:rPr>
              <w:tab/>
            </w:r>
            <w:r w:rsidR="009B6057" w:rsidRPr="00780D76">
              <w:rPr>
                <w:webHidden/>
              </w:rPr>
              <w:fldChar w:fldCharType="begin"/>
            </w:r>
            <w:r w:rsidR="009B6057" w:rsidRPr="00780D76">
              <w:rPr>
                <w:webHidden/>
              </w:rPr>
              <w:instrText xml:space="preserve"> PAGEREF _Toc176437872 \h </w:instrText>
            </w:r>
            <w:r w:rsidR="009B6057" w:rsidRPr="00780D76">
              <w:rPr>
                <w:webHidden/>
              </w:rPr>
            </w:r>
            <w:r w:rsidR="009B6057" w:rsidRPr="00780D76">
              <w:rPr>
                <w:webHidden/>
              </w:rPr>
              <w:fldChar w:fldCharType="separate"/>
            </w:r>
            <w:r w:rsidR="00A10CB9">
              <w:rPr>
                <w:webHidden/>
              </w:rPr>
              <w:t>4</w:t>
            </w:r>
            <w:r w:rsidR="009B6057" w:rsidRPr="00780D76">
              <w:rPr>
                <w:webHidden/>
              </w:rPr>
              <w:fldChar w:fldCharType="end"/>
            </w:r>
          </w:hyperlink>
        </w:p>
        <w:p w14:paraId="75CB85A3" w14:textId="3A8D2077" w:rsidR="009B6057" w:rsidRPr="00780D76" w:rsidRDefault="00150CD2" w:rsidP="00A10DE8">
          <w:pPr>
            <w:pStyle w:val="TOC1"/>
            <w:rPr>
              <w:rFonts w:eastAsiaTheme="minorEastAsia"/>
              <w:color w:val="auto"/>
              <w:sz w:val="22"/>
              <w:szCs w:val="22"/>
              <w:lang w:eastAsia="en-AU"/>
            </w:rPr>
          </w:pPr>
          <w:hyperlink w:anchor="_Toc176437873" w:history="1">
            <w:r w:rsidR="009B6057" w:rsidRPr="00780D76">
              <w:rPr>
                <w:rStyle w:val="Hyperlink"/>
                <w:rFonts w:asciiTheme="minorHAnsi" w:hAnsiTheme="minorHAnsi"/>
                <w:lang w:eastAsia="en-AU"/>
              </w:rPr>
              <w:t>1.3.</w:t>
            </w:r>
            <w:r w:rsidR="009B6057" w:rsidRPr="00780D76">
              <w:rPr>
                <w:rFonts w:eastAsiaTheme="minorEastAsia"/>
                <w:color w:val="auto"/>
                <w:sz w:val="22"/>
                <w:szCs w:val="22"/>
                <w:lang w:eastAsia="en-AU"/>
              </w:rPr>
              <w:tab/>
            </w:r>
            <w:r w:rsidR="009B6057" w:rsidRPr="00780D76">
              <w:rPr>
                <w:rStyle w:val="Hyperlink"/>
                <w:rFonts w:asciiTheme="minorHAnsi" w:hAnsiTheme="minorHAnsi"/>
                <w:lang w:eastAsia="en-AU"/>
              </w:rPr>
              <w:t>Why are we pursuing this project?</w:t>
            </w:r>
            <w:r w:rsidR="009B6057" w:rsidRPr="00780D76">
              <w:rPr>
                <w:webHidden/>
              </w:rPr>
              <w:tab/>
            </w:r>
            <w:r w:rsidR="009B6057" w:rsidRPr="00780D76">
              <w:rPr>
                <w:webHidden/>
              </w:rPr>
              <w:fldChar w:fldCharType="begin"/>
            </w:r>
            <w:r w:rsidR="009B6057" w:rsidRPr="00780D76">
              <w:rPr>
                <w:webHidden/>
              </w:rPr>
              <w:instrText xml:space="preserve"> PAGEREF _Toc176437873 \h </w:instrText>
            </w:r>
            <w:r w:rsidR="009B6057" w:rsidRPr="00780D76">
              <w:rPr>
                <w:webHidden/>
              </w:rPr>
            </w:r>
            <w:r w:rsidR="009B6057" w:rsidRPr="00780D76">
              <w:rPr>
                <w:webHidden/>
              </w:rPr>
              <w:fldChar w:fldCharType="separate"/>
            </w:r>
            <w:r w:rsidR="00A10CB9">
              <w:rPr>
                <w:webHidden/>
              </w:rPr>
              <w:t>5</w:t>
            </w:r>
            <w:r w:rsidR="009B6057" w:rsidRPr="00780D76">
              <w:rPr>
                <w:webHidden/>
              </w:rPr>
              <w:fldChar w:fldCharType="end"/>
            </w:r>
          </w:hyperlink>
        </w:p>
        <w:p w14:paraId="1BD2B581" w14:textId="1A1B834A" w:rsidR="009B6057" w:rsidRPr="00780D76" w:rsidRDefault="00150CD2" w:rsidP="00A10DE8">
          <w:pPr>
            <w:pStyle w:val="TOC1"/>
            <w:rPr>
              <w:rFonts w:eastAsiaTheme="minorEastAsia"/>
              <w:color w:val="auto"/>
              <w:sz w:val="22"/>
              <w:szCs w:val="22"/>
              <w:lang w:eastAsia="en-AU"/>
            </w:rPr>
          </w:pPr>
          <w:hyperlink w:anchor="_Toc176437874" w:history="1">
            <w:r w:rsidR="009B6057" w:rsidRPr="00780D76">
              <w:rPr>
                <w:rStyle w:val="Hyperlink"/>
                <w:rFonts w:asciiTheme="minorHAnsi" w:hAnsiTheme="minorHAnsi"/>
                <w:lang w:eastAsia="en-AU"/>
              </w:rPr>
              <w:t>1.4.</w:t>
            </w:r>
            <w:r w:rsidR="009B6057" w:rsidRPr="00780D76">
              <w:rPr>
                <w:rFonts w:eastAsiaTheme="minorEastAsia"/>
                <w:color w:val="auto"/>
                <w:sz w:val="22"/>
                <w:szCs w:val="22"/>
                <w:lang w:eastAsia="en-AU"/>
              </w:rPr>
              <w:tab/>
            </w:r>
            <w:r w:rsidR="009B6057" w:rsidRPr="00780D76">
              <w:rPr>
                <w:rStyle w:val="Hyperlink"/>
                <w:rFonts w:asciiTheme="minorHAnsi" w:hAnsiTheme="minorHAnsi"/>
                <w:lang w:eastAsia="en-AU"/>
              </w:rPr>
              <w:t>What options are being considered?</w:t>
            </w:r>
            <w:r w:rsidR="009B6057" w:rsidRPr="00780D76">
              <w:rPr>
                <w:webHidden/>
              </w:rPr>
              <w:tab/>
            </w:r>
            <w:r w:rsidR="009B6057" w:rsidRPr="00780D76">
              <w:rPr>
                <w:webHidden/>
              </w:rPr>
              <w:fldChar w:fldCharType="begin"/>
            </w:r>
            <w:r w:rsidR="009B6057" w:rsidRPr="00780D76">
              <w:rPr>
                <w:webHidden/>
              </w:rPr>
              <w:instrText xml:space="preserve"> PAGEREF _Toc176437874 \h </w:instrText>
            </w:r>
            <w:r w:rsidR="009B6057" w:rsidRPr="00780D76">
              <w:rPr>
                <w:webHidden/>
              </w:rPr>
            </w:r>
            <w:r w:rsidR="009B6057" w:rsidRPr="00780D76">
              <w:rPr>
                <w:webHidden/>
              </w:rPr>
              <w:fldChar w:fldCharType="separate"/>
            </w:r>
            <w:r w:rsidR="00A10CB9">
              <w:rPr>
                <w:webHidden/>
              </w:rPr>
              <w:t>5</w:t>
            </w:r>
            <w:r w:rsidR="009B6057" w:rsidRPr="00780D76">
              <w:rPr>
                <w:webHidden/>
              </w:rPr>
              <w:fldChar w:fldCharType="end"/>
            </w:r>
          </w:hyperlink>
        </w:p>
        <w:p w14:paraId="7D89CFEE" w14:textId="175D897A" w:rsidR="009B6057" w:rsidRPr="00780D76" w:rsidRDefault="00150CD2" w:rsidP="00A10DE8">
          <w:pPr>
            <w:pStyle w:val="TOC1"/>
            <w:rPr>
              <w:rFonts w:eastAsiaTheme="minorEastAsia"/>
              <w:color w:val="auto"/>
              <w:sz w:val="22"/>
              <w:szCs w:val="22"/>
              <w:lang w:eastAsia="en-AU"/>
            </w:rPr>
          </w:pPr>
          <w:hyperlink w:anchor="_Toc176437875" w:history="1">
            <w:r w:rsidR="009B6057" w:rsidRPr="00780D76">
              <w:rPr>
                <w:rStyle w:val="Hyperlink"/>
                <w:rFonts w:asciiTheme="minorHAnsi" w:hAnsiTheme="minorHAnsi"/>
                <w:lang w:eastAsia="en-AU"/>
              </w:rPr>
              <w:t>1.5.</w:t>
            </w:r>
            <w:r w:rsidR="009B6057" w:rsidRPr="00780D76">
              <w:rPr>
                <w:rFonts w:eastAsiaTheme="minorEastAsia"/>
                <w:color w:val="auto"/>
                <w:sz w:val="22"/>
                <w:szCs w:val="22"/>
                <w:lang w:eastAsia="en-AU"/>
              </w:rPr>
              <w:tab/>
            </w:r>
            <w:r w:rsidR="009B6057" w:rsidRPr="00780D76">
              <w:rPr>
                <w:rStyle w:val="Hyperlink"/>
                <w:rFonts w:asciiTheme="minorHAnsi" w:hAnsiTheme="minorHAnsi"/>
                <w:lang w:eastAsia="en-AU"/>
              </w:rPr>
              <w:t>What happens after this consultation process?</w:t>
            </w:r>
            <w:r w:rsidR="009B6057" w:rsidRPr="00780D76">
              <w:rPr>
                <w:webHidden/>
              </w:rPr>
              <w:tab/>
            </w:r>
            <w:r w:rsidR="009B6057" w:rsidRPr="00780D76">
              <w:rPr>
                <w:webHidden/>
              </w:rPr>
              <w:fldChar w:fldCharType="begin"/>
            </w:r>
            <w:r w:rsidR="009B6057" w:rsidRPr="00780D76">
              <w:rPr>
                <w:webHidden/>
              </w:rPr>
              <w:instrText xml:space="preserve"> PAGEREF _Toc176437875 \h </w:instrText>
            </w:r>
            <w:r w:rsidR="009B6057" w:rsidRPr="00780D76">
              <w:rPr>
                <w:webHidden/>
              </w:rPr>
            </w:r>
            <w:r w:rsidR="009B6057" w:rsidRPr="00780D76">
              <w:rPr>
                <w:webHidden/>
              </w:rPr>
              <w:fldChar w:fldCharType="separate"/>
            </w:r>
            <w:r w:rsidR="00A10CB9">
              <w:rPr>
                <w:webHidden/>
              </w:rPr>
              <w:t>6</w:t>
            </w:r>
            <w:r w:rsidR="009B6057" w:rsidRPr="00780D76">
              <w:rPr>
                <w:webHidden/>
              </w:rPr>
              <w:fldChar w:fldCharType="end"/>
            </w:r>
          </w:hyperlink>
        </w:p>
        <w:p w14:paraId="2AFAD4E6" w14:textId="5255C0F5" w:rsidR="009B6057" w:rsidRPr="00780D76" w:rsidRDefault="00150CD2" w:rsidP="00A10DE8">
          <w:pPr>
            <w:pStyle w:val="TOC1"/>
            <w:rPr>
              <w:rFonts w:eastAsiaTheme="minorEastAsia"/>
              <w:color w:val="auto"/>
              <w:sz w:val="22"/>
              <w:szCs w:val="22"/>
              <w:lang w:eastAsia="en-AU"/>
            </w:rPr>
          </w:pPr>
          <w:hyperlink w:anchor="_Toc176437876" w:history="1">
            <w:r w:rsidR="009B6057" w:rsidRPr="00780D76">
              <w:rPr>
                <w:rStyle w:val="Hyperlink"/>
                <w:rFonts w:asciiTheme="minorHAnsi" w:hAnsiTheme="minorHAnsi"/>
              </w:rPr>
              <w:t>1.6.</w:t>
            </w:r>
            <w:r w:rsidR="009B6057" w:rsidRPr="00780D76">
              <w:rPr>
                <w:rFonts w:eastAsiaTheme="minorEastAsia"/>
                <w:color w:val="auto"/>
                <w:sz w:val="22"/>
                <w:szCs w:val="22"/>
                <w:lang w:eastAsia="en-AU"/>
              </w:rPr>
              <w:tab/>
            </w:r>
            <w:r w:rsidR="009B6057" w:rsidRPr="00780D76">
              <w:rPr>
                <w:rStyle w:val="Hyperlink"/>
                <w:rFonts w:asciiTheme="minorHAnsi" w:hAnsiTheme="minorHAnsi"/>
              </w:rPr>
              <w:t xml:space="preserve">How </w:t>
            </w:r>
            <w:r w:rsidR="009B6057" w:rsidRPr="00780D76">
              <w:rPr>
                <w:rStyle w:val="Hyperlink"/>
                <w:rFonts w:asciiTheme="minorHAnsi" w:hAnsiTheme="minorHAnsi"/>
                <w:lang w:eastAsia="en-AU"/>
              </w:rPr>
              <w:t>to</w:t>
            </w:r>
            <w:r w:rsidR="009B6057" w:rsidRPr="00780D76">
              <w:rPr>
                <w:rStyle w:val="Hyperlink"/>
                <w:rFonts w:asciiTheme="minorHAnsi" w:hAnsiTheme="minorHAnsi"/>
              </w:rPr>
              <w:t xml:space="preserve"> share your views</w:t>
            </w:r>
            <w:r w:rsidR="009B6057" w:rsidRPr="00780D76">
              <w:rPr>
                <w:webHidden/>
              </w:rPr>
              <w:tab/>
            </w:r>
            <w:r w:rsidR="009B6057" w:rsidRPr="00780D76">
              <w:rPr>
                <w:webHidden/>
              </w:rPr>
              <w:fldChar w:fldCharType="begin"/>
            </w:r>
            <w:r w:rsidR="009B6057" w:rsidRPr="00780D76">
              <w:rPr>
                <w:webHidden/>
              </w:rPr>
              <w:instrText xml:space="preserve"> PAGEREF _Toc176437876 \h </w:instrText>
            </w:r>
            <w:r w:rsidR="009B6057" w:rsidRPr="00780D76">
              <w:rPr>
                <w:webHidden/>
              </w:rPr>
            </w:r>
            <w:r w:rsidR="009B6057" w:rsidRPr="00780D76">
              <w:rPr>
                <w:webHidden/>
              </w:rPr>
              <w:fldChar w:fldCharType="separate"/>
            </w:r>
            <w:r w:rsidR="00A10CB9">
              <w:rPr>
                <w:webHidden/>
              </w:rPr>
              <w:t>6</w:t>
            </w:r>
            <w:r w:rsidR="009B6057" w:rsidRPr="00780D76">
              <w:rPr>
                <w:webHidden/>
              </w:rPr>
              <w:fldChar w:fldCharType="end"/>
            </w:r>
          </w:hyperlink>
        </w:p>
        <w:p w14:paraId="73C643B5" w14:textId="66A33BCB" w:rsidR="009B6057" w:rsidRPr="00780D76" w:rsidRDefault="00150CD2" w:rsidP="00A10DE8">
          <w:pPr>
            <w:pStyle w:val="TOC1"/>
            <w:rPr>
              <w:rFonts w:eastAsiaTheme="minorEastAsia"/>
              <w:color w:val="auto"/>
              <w:sz w:val="22"/>
              <w:szCs w:val="22"/>
              <w:lang w:eastAsia="en-AU"/>
            </w:rPr>
          </w:pPr>
          <w:hyperlink w:anchor="_Toc176437877" w:history="1">
            <w:r w:rsidR="009B6057" w:rsidRPr="00780D76">
              <w:rPr>
                <w:rStyle w:val="Hyperlink"/>
                <w:rFonts w:asciiTheme="minorHAnsi" w:hAnsiTheme="minorHAnsi"/>
                <w:b/>
              </w:rPr>
              <w:t>2.</w:t>
            </w:r>
            <w:r w:rsidR="009B6057" w:rsidRPr="00780D76">
              <w:rPr>
                <w:rFonts w:eastAsiaTheme="minorEastAsia"/>
                <w:color w:val="auto"/>
                <w:sz w:val="22"/>
                <w:szCs w:val="22"/>
                <w:lang w:eastAsia="en-AU"/>
              </w:rPr>
              <w:tab/>
            </w:r>
            <w:r w:rsidR="00BE35EF" w:rsidRPr="0084133D">
              <w:rPr>
                <w:rStyle w:val="Hyperlink"/>
                <w:rFonts w:asciiTheme="minorHAnsi" w:hAnsiTheme="minorHAnsi"/>
                <w:b/>
              </w:rPr>
              <w:t xml:space="preserve">Chapter 2: </w:t>
            </w:r>
            <w:r w:rsidR="009B6057" w:rsidRPr="00780D76">
              <w:rPr>
                <w:rStyle w:val="Hyperlink"/>
                <w:rFonts w:asciiTheme="minorHAnsi" w:hAnsiTheme="minorHAnsi"/>
                <w:b/>
              </w:rPr>
              <w:t>How transferable records are used in Australia</w:t>
            </w:r>
            <w:r w:rsidR="009B6057" w:rsidRPr="00780D76">
              <w:rPr>
                <w:webHidden/>
              </w:rPr>
              <w:tab/>
            </w:r>
            <w:r w:rsidR="009B6057" w:rsidRPr="00780D76">
              <w:rPr>
                <w:webHidden/>
              </w:rPr>
              <w:fldChar w:fldCharType="begin"/>
            </w:r>
            <w:r w:rsidR="009B6057" w:rsidRPr="00780D76">
              <w:rPr>
                <w:webHidden/>
              </w:rPr>
              <w:instrText xml:space="preserve"> PAGEREF _Toc176437877 \h </w:instrText>
            </w:r>
            <w:r w:rsidR="009B6057" w:rsidRPr="00780D76">
              <w:rPr>
                <w:webHidden/>
              </w:rPr>
            </w:r>
            <w:r w:rsidR="009B6057" w:rsidRPr="00780D76">
              <w:rPr>
                <w:webHidden/>
              </w:rPr>
              <w:fldChar w:fldCharType="separate"/>
            </w:r>
            <w:r w:rsidR="00A10CB9">
              <w:rPr>
                <w:webHidden/>
              </w:rPr>
              <w:t>7</w:t>
            </w:r>
            <w:r w:rsidR="009B6057" w:rsidRPr="00780D76">
              <w:rPr>
                <w:webHidden/>
              </w:rPr>
              <w:fldChar w:fldCharType="end"/>
            </w:r>
          </w:hyperlink>
        </w:p>
        <w:p w14:paraId="182073E3" w14:textId="6AEF0BA7" w:rsidR="009B6057" w:rsidRPr="00780D76" w:rsidRDefault="00150CD2" w:rsidP="00A10DE8">
          <w:pPr>
            <w:pStyle w:val="TOC1"/>
            <w:rPr>
              <w:rFonts w:eastAsiaTheme="minorEastAsia"/>
              <w:color w:val="auto"/>
              <w:sz w:val="22"/>
              <w:szCs w:val="22"/>
              <w:lang w:eastAsia="en-AU"/>
            </w:rPr>
          </w:pPr>
          <w:hyperlink w:anchor="_Toc176437878" w:history="1">
            <w:r w:rsidR="009B6057" w:rsidRPr="00780D76">
              <w:rPr>
                <w:rStyle w:val="Hyperlink"/>
                <w:rFonts w:asciiTheme="minorHAnsi" w:hAnsiTheme="minorHAnsi"/>
                <w:lang w:eastAsia="en-AU"/>
              </w:rPr>
              <w:t>2.1.</w:t>
            </w:r>
            <w:r w:rsidR="009B6057" w:rsidRPr="00780D76">
              <w:rPr>
                <w:rFonts w:eastAsiaTheme="minorEastAsia"/>
                <w:color w:val="auto"/>
                <w:sz w:val="22"/>
                <w:szCs w:val="22"/>
                <w:lang w:eastAsia="en-AU"/>
              </w:rPr>
              <w:tab/>
            </w:r>
            <w:r w:rsidR="009B6057" w:rsidRPr="00780D76">
              <w:rPr>
                <w:rStyle w:val="Hyperlink"/>
                <w:rFonts w:asciiTheme="minorHAnsi" w:hAnsiTheme="minorHAnsi"/>
                <w:lang w:eastAsia="en-AU"/>
              </w:rPr>
              <w:t>What are transferable records?</w:t>
            </w:r>
            <w:r w:rsidR="009B6057" w:rsidRPr="00780D76">
              <w:rPr>
                <w:webHidden/>
              </w:rPr>
              <w:tab/>
            </w:r>
            <w:r w:rsidR="009B6057" w:rsidRPr="00780D76">
              <w:rPr>
                <w:webHidden/>
              </w:rPr>
              <w:fldChar w:fldCharType="begin"/>
            </w:r>
            <w:r w:rsidR="009B6057" w:rsidRPr="00780D76">
              <w:rPr>
                <w:webHidden/>
              </w:rPr>
              <w:instrText xml:space="preserve"> PAGEREF _Toc176437878 \h </w:instrText>
            </w:r>
            <w:r w:rsidR="009B6057" w:rsidRPr="00780D76">
              <w:rPr>
                <w:webHidden/>
              </w:rPr>
            </w:r>
            <w:r w:rsidR="009B6057" w:rsidRPr="00780D76">
              <w:rPr>
                <w:webHidden/>
              </w:rPr>
              <w:fldChar w:fldCharType="separate"/>
            </w:r>
            <w:r w:rsidR="00A10CB9">
              <w:rPr>
                <w:webHidden/>
              </w:rPr>
              <w:t>7</w:t>
            </w:r>
            <w:r w:rsidR="009B6057" w:rsidRPr="00780D76">
              <w:rPr>
                <w:webHidden/>
              </w:rPr>
              <w:fldChar w:fldCharType="end"/>
            </w:r>
          </w:hyperlink>
        </w:p>
        <w:p w14:paraId="300A8C21" w14:textId="57CE655A" w:rsidR="009B6057" w:rsidRPr="00780D76" w:rsidRDefault="00150CD2" w:rsidP="00A10DE8">
          <w:pPr>
            <w:pStyle w:val="TOC1"/>
            <w:rPr>
              <w:rFonts w:eastAsiaTheme="minorEastAsia"/>
              <w:color w:val="auto"/>
              <w:sz w:val="22"/>
              <w:szCs w:val="22"/>
              <w:lang w:eastAsia="en-AU"/>
            </w:rPr>
          </w:pPr>
          <w:hyperlink w:anchor="_Toc176437879" w:history="1">
            <w:r w:rsidR="009B6057" w:rsidRPr="00780D76">
              <w:rPr>
                <w:rStyle w:val="Hyperlink"/>
                <w:rFonts w:asciiTheme="minorHAnsi" w:hAnsiTheme="minorHAnsi"/>
                <w:lang w:eastAsia="en-AU"/>
              </w:rPr>
              <w:t>2.2.</w:t>
            </w:r>
            <w:r w:rsidR="009B6057" w:rsidRPr="00780D76">
              <w:rPr>
                <w:rFonts w:eastAsiaTheme="minorEastAsia"/>
                <w:color w:val="auto"/>
                <w:sz w:val="22"/>
                <w:szCs w:val="22"/>
                <w:lang w:eastAsia="en-AU"/>
              </w:rPr>
              <w:tab/>
            </w:r>
            <w:r w:rsidR="009B6057" w:rsidRPr="00780D76">
              <w:rPr>
                <w:rStyle w:val="Hyperlink"/>
                <w:rFonts w:asciiTheme="minorHAnsi" w:hAnsiTheme="minorHAnsi"/>
                <w:lang w:eastAsia="en-AU"/>
              </w:rPr>
              <w:t>How are transferable records currently used in Australia?</w:t>
            </w:r>
            <w:r w:rsidR="009B6057" w:rsidRPr="00780D76">
              <w:rPr>
                <w:webHidden/>
              </w:rPr>
              <w:tab/>
            </w:r>
            <w:r w:rsidR="009B6057" w:rsidRPr="00780D76">
              <w:rPr>
                <w:webHidden/>
              </w:rPr>
              <w:fldChar w:fldCharType="begin"/>
            </w:r>
            <w:r w:rsidR="009B6057" w:rsidRPr="00780D76">
              <w:rPr>
                <w:webHidden/>
              </w:rPr>
              <w:instrText xml:space="preserve"> PAGEREF _Toc176437879 \h </w:instrText>
            </w:r>
            <w:r w:rsidR="009B6057" w:rsidRPr="00780D76">
              <w:rPr>
                <w:webHidden/>
              </w:rPr>
            </w:r>
            <w:r w:rsidR="009B6057" w:rsidRPr="00780D76">
              <w:rPr>
                <w:webHidden/>
              </w:rPr>
              <w:fldChar w:fldCharType="separate"/>
            </w:r>
            <w:r w:rsidR="00A10CB9">
              <w:rPr>
                <w:webHidden/>
              </w:rPr>
              <w:t>9</w:t>
            </w:r>
            <w:r w:rsidR="009B6057" w:rsidRPr="00780D76">
              <w:rPr>
                <w:webHidden/>
              </w:rPr>
              <w:fldChar w:fldCharType="end"/>
            </w:r>
          </w:hyperlink>
        </w:p>
        <w:p w14:paraId="1FAE9E77" w14:textId="5F395B80" w:rsidR="009B6057" w:rsidRPr="00780D76" w:rsidRDefault="00150CD2" w:rsidP="00A10DE8">
          <w:pPr>
            <w:pStyle w:val="TOC1"/>
            <w:rPr>
              <w:rFonts w:eastAsiaTheme="minorEastAsia"/>
              <w:color w:val="auto"/>
              <w:sz w:val="22"/>
              <w:szCs w:val="22"/>
              <w:lang w:eastAsia="en-AU"/>
            </w:rPr>
          </w:pPr>
          <w:hyperlink w:anchor="_Toc176437880" w:history="1">
            <w:r w:rsidR="009B6057" w:rsidRPr="00780D76">
              <w:rPr>
                <w:rStyle w:val="Hyperlink"/>
                <w:rFonts w:asciiTheme="minorHAnsi" w:hAnsiTheme="minorHAnsi"/>
                <w:lang w:eastAsia="en-AU"/>
              </w:rPr>
              <w:t>2.3.</w:t>
            </w:r>
            <w:r w:rsidR="009B6057" w:rsidRPr="00780D76">
              <w:rPr>
                <w:rFonts w:eastAsiaTheme="minorEastAsia"/>
                <w:color w:val="auto"/>
                <w:sz w:val="22"/>
                <w:szCs w:val="22"/>
                <w:lang w:eastAsia="en-AU"/>
              </w:rPr>
              <w:tab/>
            </w:r>
            <w:r w:rsidR="009B6057" w:rsidRPr="00780D76">
              <w:rPr>
                <w:rStyle w:val="Hyperlink"/>
                <w:rFonts w:asciiTheme="minorHAnsi" w:hAnsiTheme="minorHAnsi"/>
                <w:lang w:eastAsia="en-AU"/>
              </w:rPr>
              <w:t>Current experiences using paper-based transferable records</w:t>
            </w:r>
            <w:r w:rsidR="009B6057" w:rsidRPr="00780D76">
              <w:rPr>
                <w:webHidden/>
              </w:rPr>
              <w:tab/>
            </w:r>
            <w:r w:rsidR="009B6057" w:rsidRPr="00780D76">
              <w:rPr>
                <w:webHidden/>
              </w:rPr>
              <w:fldChar w:fldCharType="begin"/>
            </w:r>
            <w:r w:rsidR="009B6057" w:rsidRPr="00780D76">
              <w:rPr>
                <w:webHidden/>
              </w:rPr>
              <w:instrText xml:space="preserve"> PAGEREF _Toc176437880 \h </w:instrText>
            </w:r>
            <w:r w:rsidR="009B6057" w:rsidRPr="00780D76">
              <w:rPr>
                <w:webHidden/>
              </w:rPr>
            </w:r>
            <w:r w:rsidR="009B6057" w:rsidRPr="00780D76">
              <w:rPr>
                <w:webHidden/>
              </w:rPr>
              <w:fldChar w:fldCharType="separate"/>
            </w:r>
            <w:r w:rsidR="00A10CB9">
              <w:rPr>
                <w:webHidden/>
              </w:rPr>
              <w:t>10</w:t>
            </w:r>
            <w:r w:rsidR="009B6057" w:rsidRPr="00780D76">
              <w:rPr>
                <w:webHidden/>
              </w:rPr>
              <w:fldChar w:fldCharType="end"/>
            </w:r>
          </w:hyperlink>
        </w:p>
        <w:p w14:paraId="0901F1DB" w14:textId="22F286BD" w:rsidR="009B6057" w:rsidRPr="00780D76" w:rsidRDefault="00150CD2" w:rsidP="00A10DE8">
          <w:pPr>
            <w:pStyle w:val="TOC1"/>
            <w:rPr>
              <w:rFonts w:eastAsiaTheme="minorEastAsia"/>
              <w:color w:val="auto"/>
              <w:sz w:val="22"/>
              <w:szCs w:val="22"/>
              <w:lang w:eastAsia="en-AU"/>
            </w:rPr>
          </w:pPr>
          <w:hyperlink w:anchor="_Toc176437881" w:history="1">
            <w:r w:rsidR="009B6057" w:rsidRPr="00780D76">
              <w:rPr>
                <w:rStyle w:val="Hyperlink"/>
                <w:rFonts w:asciiTheme="minorHAnsi" w:hAnsiTheme="minorHAnsi"/>
                <w:lang w:eastAsia="en-AU"/>
              </w:rPr>
              <w:t>2.4.</w:t>
            </w:r>
            <w:r w:rsidR="009B6057" w:rsidRPr="00780D76">
              <w:rPr>
                <w:rFonts w:eastAsiaTheme="minorEastAsia"/>
                <w:color w:val="auto"/>
                <w:sz w:val="22"/>
                <w:szCs w:val="22"/>
                <w:lang w:eastAsia="en-AU"/>
              </w:rPr>
              <w:tab/>
            </w:r>
            <w:r w:rsidR="009B6057" w:rsidRPr="00780D76">
              <w:rPr>
                <w:rStyle w:val="Hyperlink"/>
                <w:rFonts w:asciiTheme="minorHAnsi" w:hAnsiTheme="minorHAnsi"/>
                <w:lang w:eastAsia="en-AU"/>
              </w:rPr>
              <w:t>Paper-based transferable record requirements and paperless trade</w:t>
            </w:r>
            <w:r w:rsidR="009B6057" w:rsidRPr="00780D76">
              <w:rPr>
                <w:webHidden/>
              </w:rPr>
              <w:tab/>
            </w:r>
            <w:r w:rsidR="009B6057" w:rsidRPr="00780D76">
              <w:rPr>
                <w:webHidden/>
              </w:rPr>
              <w:fldChar w:fldCharType="begin"/>
            </w:r>
            <w:r w:rsidR="009B6057" w:rsidRPr="00780D76">
              <w:rPr>
                <w:webHidden/>
              </w:rPr>
              <w:instrText xml:space="preserve"> PAGEREF _Toc176437881 \h </w:instrText>
            </w:r>
            <w:r w:rsidR="009B6057" w:rsidRPr="00780D76">
              <w:rPr>
                <w:webHidden/>
              </w:rPr>
            </w:r>
            <w:r w:rsidR="009B6057" w:rsidRPr="00780D76">
              <w:rPr>
                <w:webHidden/>
              </w:rPr>
              <w:fldChar w:fldCharType="separate"/>
            </w:r>
            <w:r w:rsidR="00A10CB9">
              <w:rPr>
                <w:webHidden/>
              </w:rPr>
              <w:t>13</w:t>
            </w:r>
            <w:r w:rsidR="009B6057" w:rsidRPr="00780D76">
              <w:rPr>
                <w:webHidden/>
              </w:rPr>
              <w:fldChar w:fldCharType="end"/>
            </w:r>
          </w:hyperlink>
        </w:p>
        <w:p w14:paraId="2AA821FF" w14:textId="48B209EA" w:rsidR="009B6057" w:rsidRPr="00780D76" w:rsidRDefault="00150CD2" w:rsidP="00A10DE8">
          <w:pPr>
            <w:pStyle w:val="TOC1"/>
            <w:rPr>
              <w:rFonts w:eastAsiaTheme="minorEastAsia"/>
              <w:color w:val="auto"/>
              <w:sz w:val="22"/>
              <w:szCs w:val="22"/>
              <w:lang w:eastAsia="en-AU"/>
            </w:rPr>
          </w:pPr>
          <w:hyperlink w:anchor="_Toc176437882" w:history="1">
            <w:r w:rsidR="009B6057" w:rsidRPr="00780D76">
              <w:rPr>
                <w:rStyle w:val="Hyperlink"/>
                <w:rFonts w:asciiTheme="minorHAnsi" w:hAnsiTheme="minorHAnsi"/>
                <w:b/>
              </w:rPr>
              <w:t>3.</w:t>
            </w:r>
            <w:r w:rsidR="009B6057" w:rsidRPr="0084133D">
              <w:rPr>
                <w:rStyle w:val="Hyperlink"/>
                <w:rFonts w:asciiTheme="minorHAnsi" w:hAnsiTheme="minorHAnsi"/>
                <w:b/>
              </w:rPr>
              <w:tab/>
            </w:r>
            <w:r w:rsidR="00BE35EF" w:rsidRPr="0084133D">
              <w:rPr>
                <w:rStyle w:val="Hyperlink"/>
                <w:rFonts w:asciiTheme="minorHAnsi" w:hAnsiTheme="minorHAnsi"/>
                <w:b/>
              </w:rPr>
              <w:t xml:space="preserve">Chapter 3: </w:t>
            </w:r>
            <w:r w:rsidR="009B6057" w:rsidRPr="00780D76">
              <w:rPr>
                <w:rStyle w:val="Hyperlink"/>
                <w:rFonts w:asciiTheme="minorHAnsi" w:hAnsiTheme="minorHAnsi"/>
                <w:b/>
              </w:rPr>
              <w:t>A</w:t>
            </w:r>
            <w:r w:rsidR="009B6057" w:rsidRPr="00780D76">
              <w:rPr>
                <w:rStyle w:val="Hyperlink"/>
                <w:rFonts w:asciiTheme="minorHAnsi" w:hAnsiTheme="minorHAnsi"/>
                <w:b/>
                <w:lang w:eastAsia="en-AU"/>
              </w:rPr>
              <w:t>ustralian law applying to transferable records</w:t>
            </w:r>
            <w:r w:rsidR="009B6057" w:rsidRPr="00780D76">
              <w:rPr>
                <w:webHidden/>
              </w:rPr>
              <w:tab/>
            </w:r>
            <w:r w:rsidR="009B6057" w:rsidRPr="00780D76">
              <w:rPr>
                <w:webHidden/>
              </w:rPr>
              <w:fldChar w:fldCharType="begin"/>
            </w:r>
            <w:r w:rsidR="009B6057" w:rsidRPr="00780D76">
              <w:rPr>
                <w:webHidden/>
              </w:rPr>
              <w:instrText xml:space="preserve"> PAGEREF _Toc176437882 \h </w:instrText>
            </w:r>
            <w:r w:rsidR="009B6057" w:rsidRPr="00780D76">
              <w:rPr>
                <w:webHidden/>
              </w:rPr>
            </w:r>
            <w:r w:rsidR="009B6057" w:rsidRPr="00780D76">
              <w:rPr>
                <w:webHidden/>
              </w:rPr>
              <w:fldChar w:fldCharType="separate"/>
            </w:r>
            <w:r w:rsidR="00A10CB9">
              <w:rPr>
                <w:webHidden/>
              </w:rPr>
              <w:t>15</w:t>
            </w:r>
            <w:r w:rsidR="009B6057" w:rsidRPr="00780D76">
              <w:rPr>
                <w:webHidden/>
              </w:rPr>
              <w:fldChar w:fldCharType="end"/>
            </w:r>
          </w:hyperlink>
        </w:p>
        <w:p w14:paraId="0F2CF966" w14:textId="1748584D" w:rsidR="009B6057" w:rsidRPr="00780D76" w:rsidRDefault="00150CD2" w:rsidP="00A10DE8">
          <w:pPr>
            <w:pStyle w:val="TOC1"/>
            <w:rPr>
              <w:rFonts w:eastAsiaTheme="minorEastAsia"/>
              <w:color w:val="auto"/>
              <w:sz w:val="22"/>
              <w:szCs w:val="22"/>
              <w:lang w:eastAsia="en-AU"/>
            </w:rPr>
          </w:pPr>
          <w:hyperlink w:anchor="_Toc176437883" w:history="1">
            <w:r w:rsidR="009B6057" w:rsidRPr="00780D76">
              <w:rPr>
                <w:rStyle w:val="Hyperlink"/>
                <w:rFonts w:asciiTheme="minorHAnsi" w:hAnsiTheme="minorHAnsi"/>
                <w:lang w:eastAsia="en-AU"/>
              </w:rPr>
              <w:t>3.1.</w:t>
            </w:r>
            <w:r w:rsidR="009B6057" w:rsidRPr="00780D76">
              <w:rPr>
                <w:rFonts w:eastAsiaTheme="minorEastAsia"/>
                <w:color w:val="auto"/>
                <w:sz w:val="22"/>
                <w:szCs w:val="22"/>
                <w:lang w:eastAsia="en-AU"/>
              </w:rPr>
              <w:tab/>
            </w:r>
            <w:r w:rsidR="009B6057" w:rsidRPr="00780D76">
              <w:rPr>
                <w:rStyle w:val="Hyperlink"/>
                <w:rFonts w:asciiTheme="minorHAnsi" w:hAnsiTheme="minorHAnsi"/>
                <w:lang w:eastAsia="en-AU"/>
              </w:rPr>
              <w:t>Possession, transfer and use of transferable records under Australian law</w:t>
            </w:r>
            <w:r w:rsidR="009B6057" w:rsidRPr="00780D76">
              <w:rPr>
                <w:webHidden/>
              </w:rPr>
              <w:tab/>
            </w:r>
            <w:r w:rsidR="009B6057" w:rsidRPr="00780D76">
              <w:rPr>
                <w:webHidden/>
              </w:rPr>
              <w:fldChar w:fldCharType="begin"/>
            </w:r>
            <w:r w:rsidR="009B6057" w:rsidRPr="00780D76">
              <w:rPr>
                <w:webHidden/>
              </w:rPr>
              <w:instrText xml:space="preserve"> PAGEREF _Toc176437883 \h </w:instrText>
            </w:r>
            <w:r w:rsidR="009B6057" w:rsidRPr="00780D76">
              <w:rPr>
                <w:webHidden/>
              </w:rPr>
            </w:r>
            <w:r w:rsidR="009B6057" w:rsidRPr="00780D76">
              <w:rPr>
                <w:webHidden/>
              </w:rPr>
              <w:fldChar w:fldCharType="separate"/>
            </w:r>
            <w:r w:rsidR="00A10CB9">
              <w:rPr>
                <w:webHidden/>
              </w:rPr>
              <w:t>15</w:t>
            </w:r>
            <w:r w:rsidR="009B6057" w:rsidRPr="00780D76">
              <w:rPr>
                <w:webHidden/>
              </w:rPr>
              <w:fldChar w:fldCharType="end"/>
            </w:r>
          </w:hyperlink>
        </w:p>
        <w:p w14:paraId="4B6875A7" w14:textId="4D1FACE8" w:rsidR="009B6057" w:rsidRPr="00780D76" w:rsidRDefault="00150CD2" w:rsidP="00A10DE8">
          <w:pPr>
            <w:pStyle w:val="TOC1"/>
            <w:rPr>
              <w:rFonts w:eastAsiaTheme="minorEastAsia"/>
              <w:color w:val="auto"/>
              <w:sz w:val="22"/>
              <w:szCs w:val="22"/>
              <w:lang w:eastAsia="en-AU"/>
            </w:rPr>
          </w:pPr>
          <w:hyperlink w:anchor="_Toc176437884" w:history="1">
            <w:r w:rsidR="009B6057" w:rsidRPr="00780D76">
              <w:rPr>
                <w:rStyle w:val="Hyperlink"/>
                <w:rFonts w:asciiTheme="minorHAnsi" w:hAnsiTheme="minorHAnsi"/>
                <w:lang w:eastAsia="en-AU"/>
              </w:rPr>
              <w:t>3.2.</w:t>
            </w:r>
            <w:r w:rsidR="009B6057" w:rsidRPr="00780D76">
              <w:rPr>
                <w:rFonts w:eastAsiaTheme="minorEastAsia"/>
                <w:color w:val="auto"/>
                <w:sz w:val="22"/>
                <w:szCs w:val="22"/>
                <w:lang w:eastAsia="en-AU"/>
              </w:rPr>
              <w:tab/>
            </w:r>
            <w:r w:rsidR="009B6057" w:rsidRPr="00780D76">
              <w:rPr>
                <w:rStyle w:val="Hyperlink"/>
                <w:rFonts w:asciiTheme="minorHAnsi" w:hAnsiTheme="minorHAnsi"/>
                <w:lang w:eastAsia="en-AU"/>
              </w:rPr>
              <w:t>Transferable records as property, including under the PPSA</w:t>
            </w:r>
            <w:r w:rsidR="009B6057" w:rsidRPr="00780D76">
              <w:rPr>
                <w:webHidden/>
              </w:rPr>
              <w:tab/>
            </w:r>
            <w:r w:rsidR="009B6057" w:rsidRPr="00780D76">
              <w:rPr>
                <w:webHidden/>
              </w:rPr>
              <w:fldChar w:fldCharType="begin"/>
            </w:r>
            <w:r w:rsidR="009B6057" w:rsidRPr="00780D76">
              <w:rPr>
                <w:webHidden/>
              </w:rPr>
              <w:instrText xml:space="preserve"> PAGEREF _Toc176437884 \h </w:instrText>
            </w:r>
            <w:r w:rsidR="009B6057" w:rsidRPr="00780D76">
              <w:rPr>
                <w:webHidden/>
              </w:rPr>
            </w:r>
            <w:r w:rsidR="009B6057" w:rsidRPr="00780D76">
              <w:rPr>
                <w:webHidden/>
              </w:rPr>
              <w:fldChar w:fldCharType="separate"/>
            </w:r>
            <w:r w:rsidR="00A10CB9">
              <w:rPr>
                <w:webHidden/>
              </w:rPr>
              <w:t>16</w:t>
            </w:r>
            <w:r w:rsidR="009B6057" w:rsidRPr="00780D76">
              <w:rPr>
                <w:webHidden/>
              </w:rPr>
              <w:fldChar w:fldCharType="end"/>
            </w:r>
          </w:hyperlink>
        </w:p>
        <w:p w14:paraId="017658F8" w14:textId="6A654731" w:rsidR="009B6057" w:rsidRPr="00780D76" w:rsidRDefault="00150CD2" w:rsidP="00A10DE8">
          <w:pPr>
            <w:pStyle w:val="TOC1"/>
            <w:rPr>
              <w:rFonts w:eastAsiaTheme="minorEastAsia"/>
              <w:color w:val="auto"/>
              <w:sz w:val="22"/>
              <w:szCs w:val="22"/>
              <w:lang w:eastAsia="en-AU"/>
            </w:rPr>
          </w:pPr>
          <w:hyperlink w:anchor="_Toc176437885" w:history="1">
            <w:r w:rsidR="009B6057" w:rsidRPr="00780D76">
              <w:rPr>
                <w:rStyle w:val="Hyperlink"/>
                <w:rFonts w:asciiTheme="minorHAnsi" w:hAnsiTheme="minorHAnsi"/>
                <w:lang w:eastAsia="en-AU"/>
              </w:rPr>
              <w:t>3.3.</w:t>
            </w:r>
            <w:r w:rsidR="009B6057" w:rsidRPr="00780D76">
              <w:rPr>
                <w:rFonts w:eastAsiaTheme="minorEastAsia"/>
                <w:color w:val="auto"/>
                <w:sz w:val="22"/>
                <w:szCs w:val="22"/>
                <w:lang w:eastAsia="en-AU"/>
              </w:rPr>
              <w:tab/>
            </w:r>
            <w:r w:rsidR="009B6057" w:rsidRPr="00780D76">
              <w:rPr>
                <w:rStyle w:val="Hyperlink"/>
                <w:rFonts w:asciiTheme="minorHAnsi" w:hAnsiTheme="minorHAnsi"/>
                <w:lang w:eastAsia="en-AU"/>
              </w:rPr>
              <w:t>Evidence and regulatory requirements</w:t>
            </w:r>
            <w:r w:rsidR="009B6057" w:rsidRPr="00780D76">
              <w:rPr>
                <w:webHidden/>
              </w:rPr>
              <w:tab/>
            </w:r>
            <w:r w:rsidR="009B6057" w:rsidRPr="00780D76">
              <w:rPr>
                <w:webHidden/>
              </w:rPr>
              <w:fldChar w:fldCharType="begin"/>
            </w:r>
            <w:r w:rsidR="009B6057" w:rsidRPr="00780D76">
              <w:rPr>
                <w:webHidden/>
              </w:rPr>
              <w:instrText xml:space="preserve"> PAGEREF _Toc176437885 \h </w:instrText>
            </w:r>
            <w:r w:rsidR="009B6057" w:rsidRPr="00780D76">
              <w:rPr>
                <w:webHidden/>
              </w:rPr>
            </w:r>
            <w:r w:rsidR="009B6057" w:rsidRPr="00780D76">
              <w:rPr>
                <w:webHidden/>
              </w:rPr>
              <w:fldChar w:fldCharType="separate"/>
            </w:r>
            <w:r w:rsidR="00A10CB9">
              <w:rPr>
                <w:webHidden/>
              </w:rPr>
              <w:t>17</w:t>
            </w:r>
            <w:r w:rsidR="009B6057" w:rsidRPr="00780D76">
              <w:rPr>
                <w:webHidden/>
              </w:rPr>
              <w:fldChar w:fldCharType="end"/>
            </w:r>
          </w:hyperlink>
        </w:p>
        <w:p w14:paraId="343FD8A5" w14:textId="3EFF4E02" w:rsidR="009B6057" w:rsidRPr="00780D76" w:rsidRDefault="00150CD2" w:rsidP="00A10DE8">
          <w:pPr>
            <w:pStyle w:val="TOC1"/>
            <w:rPr>
              <w:rFonts w:eastAsiaTheme="minorEastAsia"/>
              <w:color w:val="auto"/>
              <w:sz w:val="22"/>
              <w:szCs w:val="22"/>
              <w:lang w:eastAsia="en-AU"/>
            </w:rPr>
          </w:pPr>
          <w:hyperlink w:anchor="_Toc176437886" w:history="1">
            <w:r w:rsidR="009B6057" w:rsidRPr="00780D76">
              <w:rPr>
                <w:rStyle w:val="Hyperlink"/>
                <w:rFonts w:asciiTheme="minorHAnsi" w:hAnsiTheme="minorHAnsi"/>
                <w:lang w:eastAsia="en-AU"/>
              </w:rPr>
              <w:t>3.4.</w:t>
            </w:r>
            <w:r w:rsidR="009B6057" w:rsidRPr="00780D76">
              <w:rPr>
                <w:rFonts w:eastAsiaTheme="minorEastAsia"/>
                <w:color w:val="auto"/>
                <w:sz w:val="22"/>
                <w:szCs w:val="22"/>
                <w:lang w:eastAsia="en-AU"/>
              </w:rPr>
              <w:tab/>
            </w:r>
            <w:r w:rsidR="009B6057" w:rsidRPr="00780D76">
              <w:rPr>
                <w:rStyle w:val="Hyperlink"/>
                <w:rFonts w:asciiTheme="minorHAnsi" w:hAnsiTheme="minorHAnsi"/>
                <w:lang w:eastAsia="en-AU"/>
              </w:rPr>
              <w:t>Substantive and content requirements</w:t>
            </w:r>
            <w:r w:rsidR="009B6057" w:rsidRPr="00780D76">
              <w:rPr>
                <w:webHidden/>
              </w:rPr>
              <w:tab/>
            </w:r>
            <w:r w:rsidR="009B6057" w:rsidRPr="00780D76">
              <w:rPr>
                <w:webHidden/>
              </w:rPr>
              <w:fldChar w:fldCharType="begin"/>
            </w:r>
            <w:r w:rsidR="009B6057" w:rsidRPr="00780D76">
              <w:rPr>
                <w:webHidden/>
              </w:rPr>
              <w:instrText xml:space="preserve"> PAGEREF _Toc176437886 \h </w:instrText>
            </w:r>
            <w:r w:rsidR="009B6057" w:rsidRPr="00780D76">
              <w:rPr>
                <w:webHidden/>
              </w:rPr>
            </w:r>
            <w:r w:rsidR="009B6057" w:rsidRPr="00780D76">
              <w:rPr>
                <w:webHidden/>
              </w:rPr>
              <w:fldChar w:fldCharType="separate"/>
            </w:r>
            <w:r w:rsidR="00A10CB9">
              <w:rPr>
                <w:webHidden/>
              </w:rPr>
              <w:t>18</w:t>
            </w:r>
            <w:r w:rsidR="009B6057" w:rsidRPr="00780D76">
              <w:rPr>
                <w:webHidden/>
              </w:rPr>
              <w:fldChar w:fldCharType="end"/>
            </w:r>
          </w:hyperlink>
        </w:p>
        <w:p w14:paraId="1066EE6A" w14:textId="659A72FD" w:rsidR="009B6057" w:rsidRPr="00780D76" w:rsidRDefault="00150CD2" w:rsidP="00A10DE8">
          <w:pPr>
            <w:pStyle w:val="TOC1"/>
            <w:rPr>
              <w:rFonts w:eastAsiaTheme="minorEastAsia"/>
              <w:color w:val="auto"/>
              <w:sz w:val="22"/>
              <w:szCs w:val="22"/>
              <w:lang w:eastAsia="en-AU"/>
            </w:rPr>
          </w:pPr>
          <w:hyperlink w:anchor="_Toc176437887" w:history="1">
            <w:r w:rsidR="009B6057" w:rsidRPr="00780D76">
              <w:rPr>
                <w:rStyle w:val="Hyperlink"/>
                <w:rFonts w:asciiTheme="minorHAnsi" w:hAnsiTheme="minorHAnsi"/>
                <w:lang w:eastAsia="en-AU"/>
              </w:rPr>
              <w:t>3.5.</w:t>
            </w:r>
            <w:r w:rsidR="009B6057" w:rsidRPr="00780D76">
              <w:rPr>
                <w:rFonts w:eastAsiaTheme="minorEastAsia"/>
                <w:color w:val="auto"/>
                <w:sz w:val="22"/>
                <w:szCs w:val="22"/>
                <w:lang w:eastAsia="en-AU"/>
              </w:rPr>
              <w:tab/>
            </w:r>
            <w:r w:rsidR="009B6057" w:rsidRPr="00780D76">
              <w:rPr>
                <w:rStyle w:val="Hyperlink"/>
                <w:rFonts w:asciiTheme="minorHAnsi" w:hAnsiTheme="minorHAnsi"/>
                <w:lang w:eastAsia="en-AU"/>
              </w:rPr>
              <w:t>Application of the Uniform Australian ETAs</w:t>
            </w:r>
            <w:r w:rsidR="009B6057" w:rsidRPr="00780D76">
              <w:rPr>
                <w:webHidden/>
              </w:rPr>
              <w:tab/>
            </w:r>
            <w:r w:rsidR="009B6057" w:rsidRPr="00780D76">
              <w:rPr>
                <w:webHidden/>
              </w:rPr>
              <w:fldChar w:fldCharType="begin"/>
            </w:r>
            <w:r w:rsidR="009B6057" w:rsidRPr="00780D76">
              <w:rPr>
                <w:webHidden/>
              </w:rPr>
              <w:instrText xml:space="preserve"> PAGEREF _Toc176437887 \h </w:instrText>
            </w:r>
            <w:r w:rsidR="009B6057" w:rsidRPr="00780D76">
              <w:rPr>
                <w:webHidden/>
              </w:rPr>
            </w:r>
            <w:r w:rsidR="009B6057" w:rsidRPr="00780D76">
              <w:rPr>
                <w:webHidden/>
              </w:rPr>
              <w:fldChar w:fldCharType="separate"/>
            </w:r>
            <w:r w:rsidR="00A10CB9">
              <w:rPr>
                <w:webHidden/>
              </w:rPr>
              <w:t>19</w:t>
            </w:r>
            <w:r w:rsidR="009B6057" w:rsidRPr="00780D76">
              <w:rPr>
                <w:webHidden/>
              </w:rPr>
              <w:fldChar w:fldCharType="end"/>
            </w:r>
          </w:hyperlink>
        </w:p>
        <w:p w14:paraId="57D50786" w14:textId="257710AF" w:rsidR="009B6057" w:rsidRPr="00780D76" w:rsidRDefault="00150CD2" w:rsidP="00A10DE8">
          <w:pPr>
            <w:pStyle w:val="TOC1"/>
            <w:rPr>
              <w:rFonts w:eastAsiaTheme="minorEastAsia"/>
              <w:color w:val="auto"/>
              <w:sz w:val="22"/>
              <w:szCs w:val="22"/>
              <w:lang w:eastAsia="en-AU"/>
            </w:rPr>
          </w:pPr>
          <w:hyperlink w:anchor="_Toc176437888" w:history="1">
            <w:r w:rsidR="009B6057" w:rsidRPr="00780D76">
              <w:rPr>
                <w:rStyle w:val="Hyperlink"/>
                <w:rFonts w:asciiTheme="minorHAnsi" w:hAnsiTheme="minorHAnsi"/>
                <w:lang w:eastAsia="en-AU"/>
              </w:rPr>
              <w:t>3.6.</w:t>
            </w:r>
            <w:r w:rsidR="009B6057" w:rsidRPr="00780D76">
              <w:rPr>
                <w:rFonts w:eastAsiaTheme="minorEastAsia"/>
                <w:color w:val="auto"/>
                <w:sz w:val="22"/>
                <w:szCs w:val="22"/>
                <w:lang w:eastAsia="en-AU"/>
              </w:rPr>
              <w:tab/>
            </w:r>
            <w:r w:rsidR="009B6057" w:rsidRPr="00780D76">
              <w:rPr>
                <w:rStyle w:val="Hyperlink"/>
                <w:rFonts w:asciiTheme="minorHAnsi" w:hAnsiTheme="minorHAnsi"/>
                <w:lang w:eastAsia="en-AU"/>
              </w:rPr>
              <w:t>Electronic bills of lading under current Australian law</w:t>
            </w:r>
            <w:r w:rsidR="009B6057" w:rsidRPr="00780D76">
              <w:rPr>
                <w:webHidden/>
              </w:rPr>
              <w:tab/>
            </w:r>
            <w:r w:rsidR="009B6057" w:rsidRPr="00780D76">
              <w:rPr>
                <w:webHidden/>
              </w:rPr>
              <w:fldChar w:fldCharType="begin"/>
            </w:r>
            <w:r w:rsidR="009B6057" w:rsidRPr="00780D76">
              <w:rPr>
                <w:webHidden/>
              </w:rPr>
              <w:instrText xml:space="preserve"> PAGEREF _Toc176437888 \h </w:instrText>
            </w:r>
            <w:r w:rsidR="009B6057" w:rsidRPr="00780D76">
              <w:rPr>
                <w:webHidden/>
              </w:rPr>
            </w:r>
            <w:r w:rsidR="009B6057" w:rsidRPr="00780D76">
              <w:rPr>
                <w:webHidden/>
              </w:rPr>
              <w:fldChar w:fldCharType="separate"/>
            </w:r>
            <w:r w:rsidR="00A10CB9">
              <w:rPr>
                <w:webHidden/>
              </w:rPr>
              <w:t>21</w:t>
            </w:r>
            <w:r w:rsidR="009B6057" w:rsidRPr="00780D76">
              <w:rPr>
                <w:webHidden/>
              </w:rPr>
              <w:fldChar w:fldCharType="end"/>
            </w:r>
          </w:hyperlink>
        </w:p>
        <w:p w14:paraId="228E8BEA" w14:textId="148D9C3B" w:rsidR="009B6057" w:rsidRPr="00780D76" w:rsidRDefault="00150CD2" w:rsidP="00A10DE8">
          <w:pPr>
            <w:pStyle w:val="TOC1"/>
            <w:rPr>
              <w:rFonts w:eastAsiaTheme="minorEastAsia"/>
              <w:color w:val="auto"/>
              <w:sz w:val="22"/>
              <w:szCs w:val="22"/>
              <w:lang w:eastAsia="en-AU"/>
            </w:rPr>
          </w:pPr>
          <w:hyperlink w:anchor="_Toc176437889" w:history="1">
            <w:r w:rsidR="009B6057" w:rsidRPr="00780D76">
              <w:rPr>
                <w:rStyle w:val="Hyperlink"/>
                <w:rFonts w:asciiTheme="minorHAnsi" w:hAnsiTheme="minorHAnsi"/>
                <w:lang w:eastAsia="en-AU"/>
              </w:rPr>
              <w:t>4.</w:t>
            </w:r>
            <w:r w:rsidR="009B6057" w:rsidRPr="00780D76">
              <w:rPr>
                <w:rFonts w:eastAsiaTheme="minorEastAsia"/>
                <w:color w:val="auto"/>
                <w:sz w:val="22"/>
                <w:szCs w:val="22"/>
                <w:lang w:eastAsia="en-AU"/>
              </w:rPr>
              <w:tab/>
            </w:r>
            <w:r w:rsidR="00BE35EF" w:rsidRPr="0084133D">
              <w:rPr>
                <w:rStyle w:val="Hyperlink"/>
                <w:rFonts w:asciiTheme="minorHAnsi" w:hAnsiTheme="minorHAnsi"/>
                <w:b/>
              </w:rPr>
              <w:t xml:space="preserve">Chapter 4: </w:t>
            </w:r>
            <w:r w:rsidR="009B6057" w:rsidRPr="00780D76">
              <w:rPr>
                <w:rStyle w:val="Hyperlink"/>
                <w:rFonts w:asciiTheme="minorHAnsi" w:hAnsiTheme="minorHAnsi"/>
                <w:b/>
              </w:rPr>
              <w:t xml:space="preserve">The </w:t>
            </w:r>
            <w:r w:rsidR="009B6057" w:rsidRPr="00780D76">
              <w:rPr>
                <w:rStyle w:val="Hyperlink"/>
                <w:rFonts w:asciiTheme="minorHAnsi" w:hAnsiTheme="minorHAnsi"/>
                <w:b/>
                <w:lang w:eastAsia="en-AU"/>
              </w:rPr>
              <w:t>MLETR in an Australian context</w:t>
            </w:r>
            <w:r w:rsidR="009B6057" w:rsidRPr="00780D76">
              <w:rPr>
                <w:webHidden/>
              </w:rPr>
              <w:tab/>
            </w:r>
            <w:r w:rsidR="009B6057" w:rsidRPr="00780D76">
              <w:rPr>
                <w:webHidden/>
              </w:rPr>
              <w:fldChar w:fldCharType="begin"/>
            </w:r>
            <w:r w:rsidR="009B6057" w:rsidRPr="00780D76">
              <w:rPr>
                <w:webHidden/>
              </w:rPr>
              <w:instrText xml:space="preserve"> PAGEREF _Toc176437889 \h </w:instrText>
            </w:r>
            <w:r w:rsidR="009B6057" w:rsidRPr="00780D76">
              <w:rPr>
                <w:webHidden/>
              </w:rPr>
            </w:r>
            <w:r w:rsidR="009B6057" w:rsidRPr="00780D76">
              <w:rPr>
                <w:webHidden/>
              </w:rPr>
              <w:fldChar w:fldCharType="separate"/>
            </w:r>
            <w:r w:rsidR="00A10CB9">
              <w:rPr>
                <w:webHidden/>
              </w:rPr>
              <w:t>26</w:t>
            </w:r>
            <w:r w:rsidR="009B6057" w:rsidRPr="00780D76">
              <w:rPr>
                <w:webHidden/>
              </w:rPr>
              <w:fldChar w:fldCharType="end"/>
            </w:r>
          </w:hyperlink>
        </w:p>
        <w:p w14:paraId="519A6547" w14:textId="005CCE52" w:rsidR="009B6057" w:rsidRPr="00780D76" w:rsidRDefault="00150CD2" w:rsidP="00A10DE8">
          <w:pPr>
            <w:pStyle w:val="TOC1"/>
            <w:rPr>
              <w:rFonts w:eastAsiaTheme="minorEastAsia"/>
              <w:color w:val="auto"/>
              <w:sz w:val="22"/>
              <w:szCs w:val="22"/>
              <w:lang w:eastAsia="en-AU"/>
            </w:rPr>
          </w:pPr>
          <w:hyperlink w:anchor="_Toc176437890" w:history="1">
            <w:r w:rsidR="009B6057" w:rsidRPr="00780D76">
              <w:rPr>
                <w:rStyle w:val="Hyperlink"/>
                <w:rFonts w:asciiTheme="minorHAnsi" w:hAnsiTheme="minorHAnsi"/>
                <w:lang w:eastAsia="en-AU"/>
              </w:rPr>
              <w:t>4.1.</w:t>
            </w:r>
            <w:r w:rsidR="009B6057" w:rsidRPr="00780D76">
              <w:rPr>
                <w:rFonts w:eastAsiaTheme="minorEastAsia"/>
                <w:color w:val="auto"/>
                <w:sz w:val="22"/>
                <w:szCs w:val="22"/>
                <w:lang w:eastAsia="en-AU"/>
              </w:rPr>
              <w:tab/>
            </w:r>
            <w:r w:rsidR="009B6057" w:rsidRPr="00780D76">
              <w:rPr>
                <w:rStyle w:val="Hyperlink"/>
                <w:rFonts w:asciiTheme="minorHAnsi" w:hAnsiTheme="minorHAnsi"/>
                <w:lang w:eastAsia="en-AU"/>
              </w:rPr>
              <w:t>The MLETR – transferable records covered</w:t>
            </w:r>
            <w:r w:rsidR="009B6057" w:rsidRPr="00780D76">
              <w:rPr>
                <w:webHidden/>
              </w:rPr>
              <w:tab/>
            </w:r>
            <w:r w:rsidR="009B6057" w:rsidRPr="00780D76">
              <w:rPr>
                <w:webHidden/>
              </w:rPr>
              <w:fldChar w:fldCharType="begin"/>
            </w:r>
            <w:r w:rsidR="009B6057" w:rsidRPr="00780D76">
              <w:rPr>
                <w:webHidden/>
              </w:rPr>
              <w:instrText xml:space="preserve"> PAGEREF _Toc176437890 \h </w:instrText>
            </w:r>
            <w:r w:rsidR="009B6057" w:rsidRPr="00780D76">
              <w:rPr>
                <w:webHidden/>
              </w:rPr>
            </w:r>
            <w:r w:rsidR="009B6057" w:rsidRPr="00780D76">
              <w:rPr>
                <w:webHidden/>
              </w:rPr>
              <w:fldChar w:fldCharType="separate"/>
            </w:r>
            <w:r w:rsidR="00A10CB9">
              <w:rPr>
                <w:webHidden/>
              </w:rPr>
              <w:t>26</w:t>
            </w:r>
            <w:r w:rsidR="009B6057" w:rsidRPr="00780D76">
              <w:rPr>
                <w:webHidden/>
              </w:rPr>
              <w:fldChar w:fldCharType="end"/>
            </w:r>
          </w:hyperlink>
        </w:p>
        <w:p w14:paraId="2B2C2365" w14:textId="3F2C3A49" w:rsidR="009B6057" w:rsidRPr="00780D76" w:rsidRDefault="00150CD2" w:rsidP="00A10DE8">
          <w:pPr>
            <w:pStyle w:val="TOC1"/>
            <w:rPr>
              <w:rFonts w:eastAsiaTheme="minorEastAsia"/>
              <w:color w:val="auto"/>
              <w:sz w:val="22"/>
              <w:szCs w:val="22"/>
              <w:lang w:eastAsia="en-AU"/>
            </w:rPr>
          </w:pPr>
          <w:hyperlink w:anchor="_Toc176437891" w:history="1">
            <w:r w:rsidR="009B6057" w:rsidRPr="00780D76">
              <w:rPr>
                <w:rStyle w:val="Hyperlink"/>
                <w:rFonts w:asciiTheme="minorHAnsi" w:hAnsiTheme="minorHAnsi"/>
                <w:lang w:eastAsia="en-AU"/>
              </w:rPr>
              <w:t>4.2.</w:t>
            </w:r>
            <w:r w:rsidR="009B6057" w:rsidRPr="00780D76">
              <w:rPr>
                <w:rFonts w:eastAsiaTheme="minorEastAsia"/>
                <w:color w:val="auto"/>
                <w:sz w:val="22"/>
                <w:szCs w:val="22"/>
                <w:lang w:eastAsia="en-AU"/>
              </w:rPr>
              <w:tab/>
            </w:r>
            <w:r w:rsidR="009B6057" w:rsidRPr="00780D76">
              <w:rPr>
                <w:rStyle w:val="Hyperlink"/>
                <w:rFonts w:asciiTheme="minorHAnsi" w:hAnsiTheme="minorHAnsi"/>
                <w:lang w:eastAsia="en-AU"/>
              </w:rPr>
              <w:t>The MLETR – functional equivalence</w:t>
            </w:r>
            <w:r w:rsidR="009B6057" w:rsidRPr="00780D76">
              <w:rPr>
                <w:webHidden/>
              </w:rPr>
              <w:tab/>
            </w:r>
            <w:r w:rsidR="009B6057" w:rsidRPr="00780D76">
              <w:rPr>
                <w:webHidden/>
              </w:rPr>
              <w:fldChar w:fldCharType="begin"/>
            </w:r>
            <w:r w:rsidR="009B6057" w:rsidRPr="00780D76">
              <w:rPr>
                <w:webHidden/>
              </w:rPr>
              <w:instrText xml:space="preserve"> PAGEREF _Toc176437891 \h </w:instrText>
            </w:r>
            <w:r w:rsidR="009B6057" w:rsidRPr="00780D76">
              <w:rPr>
                <w:webHidden/>
              </w:rPr>
            </w:r>
            <w:r w:rsidR="009B6057" w:rsidRPr="00780D76">
              <w:rPr>
                <w:webHidden/>
              </w:rPr>
              <w:fldChar w:fldCharType="separate"/>
            </w:r>
            <w:r w:rsidR="00A10CB9">
              <w:rPr>
                <w:webHidden/>
              </w:rPr>
              <w:t>29</w:t>
            </w:r>
            <w:r w:rsidR="009B6057" w:rsidRPr="00780D76">
              <w:rPr>
                <w:webHidden/>
              </w:rPr>
              <w:fldChar w:fldCharType="end"/>
            </w:r>
          </w:hyperlink>
        </w:p>
        <w:p w14:paraId="5756A1EC" w14:textId="0B889131" w:rsidR="009B6057" w:rsidRPr="00780D76" w:rsidRDefault="00150CD2" w:rsidP="00A10DE8">
          <w:pPr>
            <w:pStyle w:val="TOC1"/>
            <w:rPr>
              <w:rFonts w:eastAsiaTheme="minorEastAsia"/>
              <w:color w:val="auto"/>
              <w:sz w:val="22"/>
              <w:szCs w:val="22"/>
              <w:lang w:eastAsia="en-AU"/>
            </w:rPr>
          </w:pPr>
          <w:hyperlink w:anchor="_Toc176437892" w:history="1">
            <w:r w:rsidR="009B6057" w:rsidRPr="00780D76">
              <w:rPr>
                <w:rStyle w:val="Hyperlink"/>
                <w:rFonts w:asciiTheme="minorHAnsi" w:hAnsiTheme="minorHAnsi"/>
                <w:lang w:eastAsia="en-AU"/>
              </w:rPr>
              <w:t>4.3.</w:t>
            </w:r>
            <w:r w:rsidR="009B6057" w:rsidRPr="00780D76">
              <w:rPr>
                <w:rFonts w:eastAsiaTheme="minorEastAsia"/>
                <w:color w:val="auto"/>
                <w:sz w:val="22"/>
                <w:szCs w:val="22"/>
                <w:lang w:eastAsia="en-AU"/>
              </w:rPr>
              <w:tab/>
            </w:r>
            <w:r w:rsidR="009B6057" w:rsidRPr="00780D76">
              <w:rPr>
                <w:rStyle w:val="Hyperlink"/>
                <w:rFonts w:asciiTheme="minorHAnsi" w:hAnsiTheme="minorHAnsi"/>
                <w:lang w:eastAsia="en-AU"/>
              </w:rPr>
              <w:t>The MLETR – technology-neutrality</w:t>
            </w:r>
            <w:r w:rsidR="009B6057" w:rsidRPr="00780D76">
              <w:rPr>
                <w:webHidden/>
              </w:rPr>
              <w:tab/>
            </w:r>
            <w:r w:rsidR="009B6057" w:rsidRPr="00780D76">
              <w:rPr>
                <w:webHidden/>
              </w:rPr>
              <w:fldChar w:fldCharType="begin"/>
            </w:r>
            <w:r w:rsidR="009B6057" w:rsidRPr="00780D76">
              <w:rPr>
                <w:webHidden/>
              </w:rPr>
              <w:instrText xml:space="preserve"> PAGEREF _Toc176437892 \h </w:instrText>
            </w:r>
            <w:r w:rsidR="009B6057" w:rsidRPr="00780D76">
              <w:rPr>
                <w:webHidden/>
              </w:rPr>
            </w:r>
            <w:r w:rsidR="009B6057" w:rsidRPr="00780D76">
              <w:rPr>
                <w:webHidden/>
              </w:rPr>
              <w:fldChar w:fldCharType="separate"/>
            </w:r>
            <w:r w:rsidR="00A10CB9">
              <w:rPr>
                <w:webHidden/>
              </w:rPr>
              <w:t>32</w:t>
            </w:r>
            <w:r w:rsidR="009B6057" w:rsidRPr="00780D76">
              <w:rPr>
                <w:webHidden/>
              </w:rPr>
              <w:fldChar w:fldCharType="end"/>
            </w:r>
          </w:hyperlink>
        </w:p>
        <w:p w14:paraId="318EB879" w14:textId="7F5EFCF6" w:rsidR="009B6057" w:rsidRPr="00780D76" w:rsidRDefault="00150CD2" w:rsidP="00A10DE8">
          <w:pPr>
            <w:pStyle w:val="TOC1"/>
            <w:rPr>
              <w:rFonts w:eastAsiaTheme="minorEastAsia"/>
              <w:color w:val="auto"/>
              <w:sz w:val="22"/>
              <w:szCs w:val="22"/>
              <w:lang w:eastAsia="en-AU"/>
            </w:rPr>
          </w:pPr>
          <w:hyperlink w:anchor="_Toc176437893" w:history="1">
            <w:r w:rsidR="009B6057" w:rsidRPr="00780D76">
              <w:rPr>
                <w:rStyle w:val="Hyperlink"/>
                <w:rFonts w:asciiTheme="minorHAnsi" w:hAnsiTheme="minorHAnsi"/>
                <w:lang w:eastAsia="en-AU"/>
              </w:rPr>
              <w:t>5.</w:t>
            </w:r>
            <w:r w:rsidR="009B6057" w:rsidRPr="00780D76">
              <w:rPr>
                <w:rFonts w:eastAsiaTheme="minorEastAsia"/>
                <w:color w:val="auto"/>
                <w:sz w:val="22"/>
                <w:szCs w:val="22"/>
                <w:lang w:eastAsia="en-AU"/>
              </w:rPr>
              <w:tab/>
            </w:r>
            <w:r w:rsidR="00BE35EF" w:rsidRPr="0084133D">
              <w:rPr>
                <w:rStyle w:val="Hyperlink"/>
                <w:rFonts w:asciiTheme="minorHAnsi" w:hAnsiTheme="minorHAnsi"/>
                <w:b/>
              </w:rPr>
              <w:t xml:space="preserve">Chapter 5: </w:t>
            </w:r>
            <w:r w:rsidR="009B6057" w:rsidRPr="00780D76">
              <w:rPr>
                <w:rStyle w:val="Hyperlink"/>
                <w:rFonts w:asciiTheme="minorHAnsi" w:hAnsiTheme="minorHAnsi"/>
                <w:b/>
              </w:rPr>
              <w:t>Inter</w:t>
            </w:r>
            <w:r w:rsidR="009B6057" w:rsidRPr="00780D76">
              <w:rPr>
                <w:rStyle w:val="Hyperlink"/>
                <w:rFonts w:asciiTheme="minorHAnsi" w:hAnsiTheme="minorHAnsi"/>
                <w:b/>
                <w:lang w:eastAsia="en-AU"/>
              </w:rPr>
              <w:t>national interoperability and industry engagement</w:t>
            </w:r>
            <w:r w:rsidR="009B6057" w:rsidRPr="00780D76">
              <w:rPr>
                <w:webHidden/>
              </w:rPr>
              <w:tab/>
            </w:r>
            <w:r w:rsidR="009B6057" w:rsidRPr="00780D76">
              <w:rPr>
                <w:webHidden/>
              </w:rPr>
              <w:fldChar w:fldCharType="begin"/>
            </w:r>
            <w:r w:rsidR="009B6057" w:rsidRPr="00780D76">
              <w:rPr>
                <w:webHidden/>
              </w:rPr>
              <w:instrText xml:space="preserve"> PAGEREF _Toc176437893 \h </w:instrText>
            </w:r>
            <w:r w:rsidR="009B6057" w:rsidRPr="00780D76">
              <w:rPr>
                <w:webHidden/>
              </w:rPr>
            </w:r>
            <w:r w:rsidR="009B6057" w:rsidRPr="00780D76">
              <w:rPr>
                <w:webHidden/>
              </w:rPr>
              <w:fldChar w:fldCharType="separate"/>
            </w:r>
            <w:r w:rsidR="00A10CB9">
              <w:rPr>
                <w:webHidden/>
              </w:rPr>
              <w:t>36</w:t>
            </w:r>
            <w:r w:rsidR="009B6057" w:rsidRPr="00780D76">
              <w:rPr>
                <w:webHidden/>
              </w:rPr>
              <w:fldChar w:fldCharType="end"/>
            </w:r>
          </w:hyperlink>
        </w:p>
        <w:p w14:paraId="4B47B659" w14:textId="44488607" w:rsidR="009B6057" w:rsidRPr="00780D76" w:rsidRDefault="00150CD2" w:rsidP="00A10DE8">
          <w:pPr>
            <w:pStyle w:val="TOC1"/>
            <w:rPr>
              <w:rFonts w:eastAsiaTheme="minorEastAsia"/>
              <w:color w:val="auto"/>
              <w:sz w:val="22"/>
              <w:szCs w:val="22"/>
              <w:lang w:eastAsia="en-AU"/>
            </w:rPr>
          </w:pPr>
          <w:hyperlink w:anchor="_Toc176437894" w:history="1">
            <w:r w:rsidR="009B6057" w:rsidRPr="00780D76">
              <w:rPr>
                <w:rStyle w:val="Hyperlink"/>
                <w:rFonts w:asciiTheme="minorHAnsi" w:hAnsiTheme="minorHAnsi"/>
                <w:lang w:eastAsia="en-AU"/>
              </w:rPr>
              <w:t>5.1.</w:t>
            </w:r>
            <w:r w:rsidR="009B6057" w:rsidRPr="00780D76">
              <w:rPr>
                <w:rFonts w:eastAsiaTheme="minorEastAsia"/>
                <w:color w:val="auto"/>
                <w:sz w:val="22"/>
                <w:szCs w:val="22"/>
                <w:lang w:eastAsia="en-AU"/>
              </w:rPr>
              <w:tab/>
            </w:r>
            <w:r w:rsidR="009B6057" w:rsidRPr="00780D76">
              <w:rPr>
                <w:rStyle w:val="Hyperlink"/>
                <w:rFonts w:asciiTheme="minorHAnsi" w:hAnsiTheme="minorHAnsi"/>
                <w:lang w:eastAsia="en-AU"/>
              </w:rPr>
              <w:t>International legal interoperability</w:t>
            </w:r>
            <w:r w:rsidR="009B6057" w:rsidRPr="00780D76">
              <w:rPr>
                <w:webHidden/>
              </w:rPr>
              <w:tab/>
            </w:r>
            <w:r w:rsidR="009B6057" w:rsidRPr="00780D76">
              <w:rPr>
                <w:webHidden/>
              </w:rPr>
              <w:fldChar w:fldCharType="begin"/>
            </w:r>
            <w:r w:rsidR="009B6057" w:rsidRPr="00780D76">
              <w:rPr>
                <w:webHidden/>
              </w:rPr>
              <w:instrText xml:space="preserve"> PAGEREF _Toc176437894 \h </w:instrText>
            </w:r>
            <w:r w:rsidR="009B6057" w:rsidRPr="00780D76">
              <w:rPr>
                <w:webHidden/>
              </w:rPr>
            </w:r>
            <w:r w:rsidR="009B6057" w:rsidRPr="00780D76">
              <w:rPr>
                <w:webHidden/>
              </w:rPr>
              <w:fldChar w:fldCharType="separate"/>
            </w:r>
            <w:r w:rsidR="00A10CB9">
              <w:rPr>
                <w:webHidden/>
              </w:rPr>
              <w:t>36</w:t>
            </w:r>
            <w:r w:rsidR="009B6057" w:rsidRPr="00780D76">
              <w:rPr>
                <w:webHidden/>
              </w:rPr>
              <w:fldChar w:fldCharType="end"/>
            </w:r>
          </w:hyperlink>
        </w:p>
        <w:p w14:paraId="192B5D9C" w14:textId="3E276097" w:rsidR="009B6057" w:rsidRPr="00780D76" w:rsidRDefault="00150CD2" w:rsidP="00A10DE8">
          <w:pPr>
            <w:pStyle w:val="TOC1"/>
            <w:rPr>
              <w:rFonts w:eastAsiaTheme="minorEastAsia"/>
              <w:color w:val="auto"/>
              <w:sz w:val="22"/>
              <w:szCs w:val="22"/>
              <w:lang w:eastAsia="en-AU"/>
            </w:rPr>
          </w:pPr>
          <w:hyperlink w:anchor="_Toc176437895" w:history="1">
            <w:r w:rsidR="009B6057" w:rsidRPr="00780D76">
              <w:rPr>
                <w:rStyle w:val="Hyperlink"/>
                <w:rFonts w:asciiTheme="minorHAnsi" w:hAnsiTheme="minorHAnsi"/>
                <w:lang w:eastAsia="en-AU"/>
              </w:rPr>
              <w:t>5.2.</w:t>
            </w:r>
            <w:r w:rsidR="009B6057" w:rsidRPr="00780D76">
              <w:rPr>
                <w:rFonts w:eastAsiaTheme="minorEastAsia"/>
                <w:color w:val="auto"/>
                <w:sz w:val="22"/>
                <w:szCs w:val="22"/>
                <w:lang w:eastAsia="en-AU"/>
              </w:rPr>
              <w:tab/>
            </w:r>
            <w:r w:rsidR="009B6057" w:rsidRPr="00780D76">
              <w:rPr>
                <w:rStyle w:val="Hyperlink"/>
                <w:rFonts w:asciiTheme="minorHAnsi" w:hAnsiTheme="minorHAnsi"/>
                <w:lang w:eastAsia="en-AU"/>
              </w:rPr>
              <w:t>MLETR technology</w:t>
            </w:r>
            <w:r w:rsidR="009B6057" w:rsidRPr="00780D76">
              <w:rPr>
                <w:webHidden/>
              </w:rPr>
              <w:tab/>
            </w:r>
            <w:r w:rsidR="009B6057" w:rsidRPr="00780D76">
              <w:rPr>
                <w:webHidden/>
              </w:rPr>
              <w:fldChar w:fldCharType="begin"/>
            </w:r>
            <w:r w:rsidR="009B6057" w:rsidRPr="00780D76">
              <w:rPr>
                <w:webHidden/>
              </w:rPr>
              <w:instrText xml:space="preserve"> PAGEREF _Toc176437895 \h </w:instrText>
            </w:r>
            <w:r w:rsidR="009B6057" w:rsidRPr="00780D76">
              <w:rPr>
                <w:webHidden/>
              </w:rPr>
            </w:r>
            <w:r w:rsidR="009B6057" w:rsidRPr="00780D76">
              <w:rPr>
                <w:webHidden/>
              </w:rPr>
              <w:fldChar w:fldCharType="separate"/>
            </w:r>
            <w:r w:rsidR="00A10CB9">
              <w:rPr>
                <w:webHidden/>
              </w:rPr>
              <w:t>39</w:t>
            </w:r>
            <w:r w:rsidR="009B6057" w:rsidRPr="00780D76">
              <w:rPr>
                <w:webHidden/>
              </w:rPr>
              <w:fldChar w:fldCharType="end"/>
            </w:r>
          </w:hyperlink>
        </w:p>
        <w:p w14:paraId="2FB2E504" w14:textId="189B63DA" w:rsidR="009B6057" w:rsidRPr="00780D76" w:rsidRDefault="00150CD2" w:rsidP="00A10DE8">
          <w:pPr>
            <w:pStyle w:val="TOC1"/>
            <w:rPr>
              <w:rFonts w:eastAsiaTheme="minorEastAsia"/>
              <w:color w:val="auto"/>
              <w:sz w:val="22"/>
              <w:szCs w:val="22"/>
              <w:lang w:eastAsia="en-AU"/>
            </w:rPr>
          </w:pPr>
          <w:hyperlink w:anchor="_Toc176437896" w:history="1">
            <w:r w:rsidR="009B6057" w:rsidRPr="00780D76">
              <w:rPr>
                <w:rStyle w:val="Hyperlink"/>
                <w:rFonts w:asciiTheme="minorHAnsi" w:hAnsiTheme="minorHAnsi"/>
                <w:lang w:eastAsia="en-AU"/>
              </w:rPr>
              <w:t>5.3.</w:t>
            </w:r>
            <w:r w:rsidR="009B6057" w:rsidRPr="00780D76">
              <w:rPr>
                <w:rFonts w:eastAsiaTheme="minorEastAsia"/>
                <w:color w:val="auto"/>
                <w:sz w:val="22"/>
                <w:szCs w:val="22"/>
                <w:lang w:eastAsia="en-AU"/>
              </w:rPr>
              <w:tab/>
            </w:r>
            <w:r w:rsidR="009B6057" w:rsidRPr="00780D76">
              <w:rPr>
                <w:rStyle w:val="Hyperlink"/>
                <w:rFonts w:asciiTheme="minorHAnsi" w:hAnsiTheme="minorHAnsi"/>
                <w:lang w:eastAsia="en-AU"/>
              </w:rPr>
              <w:t>Industry engagement and support</w:t>
            </w:r>
            <w:r w:rsidR="009B6057" w:rsidRPr="00780D76">
              <w:rPr>
                <w:webHidden/>
              </w:rPr>
              <w:tab/>
            </w:r>
            <w:r w:rsidR="009B6057" w:rsidRPr="00780D76">
              <w:rPr>
                <w:webHidden/>
              </w:rPr>
              <w:fldChar w:fldCharType="begin"/>
            </w:r>
            <w:r w:rsidR="009B6057" w:rsidRPr="00780D76">
              <w:rPr>
                <w:webHidden/>
              </w:rPr>
              <w:instrText xml:space="preserve"> PAGEREF _Toc176437896 \h </w:instrText>
            </w:r>
            <w:r w:rsidR="009B6057" w:rsidRPr="00780D76">
              <w:rPr>
                <w:webHidden/>
              </w:rPr>
            </w:r>
            <w:r w:rsidR="009B6057" w:rsidRPr="00780D76">
              <w:rPr>
                <w:webHidden/>
              </w:rPr>
              <w:fldChar w:fldCharType="separate"/>
            </w:r>
            <w:r w:rsidR="00A10CB9">
              <w:rPr>
                <w:webHidden/>
              </w:rPr>
              <w:t>41</w:t>
            </w:r>
            <w:r w:rsidR="009B6057" w:rsidRPr="00780D76">
              <w:rPr>
                <w:webHidden/>
              </w:rPr>
              <w:fldChar w:fldCharType="end"/>
            </w:r>
          </w:hyperlink>
        </w:p>
        <w:p w14:paraId="7D089EE5" w14:textId="03704DA3" w:rsidR="009B6057" w:rsidRPr="00780D76" w:rsidRDefault="00150CD2" w:rsidP="00A10DE8">
          <w:pPr>
            <w:pStyle w:val="TOC1"/>
            <w:rPr>
              <w:rFonts w:eastAsiaTheme="minorEastAsia"/>
              <w:color w:val="auto"/>
              <w:sz w:val="22"/>
              <w:szCs w:val="22"/>
              <w:lang w:eastAsia="en-AU"/>
            </w:rPr>
          </w:pPr>
          <w:hyperlink w:anchor="_Toc176437897" w:history="1">
            <w:r w:rsidR="009B6057" w:rsidRPr="00780D76">
              <w:rPr>
                <w:rStyle w:val="Hyperlink"/>
                <w:rFonts w:asciiTheme="minorHAnsi" w:hAnsiTheme="minorHAnsi"/>
                <w:b/>
              </w:rPr>
              <w:t>Annexure A</w:t>
            </w:r>
            <w:r w:rsidR="009B6057" w:rsidRPr="00780D76">
              <w:rPr>
                <w:rStyle w:val="Hyperlink"/>
                <w:rFonts w:asciiTheme="minorHAnsi" w:hAnsiTheme="minorHAnsi"/>
              </w:rPr>
              <w:t xml:space="preserve"> - Model Law on Electronic Transferable Records</w:t>
            </w:r>
            <w:r w:rsidR="009B6057" w:rsidRPr="00780D76">
              <w:rPr>
                <w:webHidden/>
              </w:rPr>
              <w:tab/>
            </w:r>
            <w:r w:rsidR="009B6057" w:rsidRPr="00780D76">
              <w:rPr>
                <w:webHidden/>
              </w:rPr>
              <w:fldChar w:fldCharType="begin"/>
            </w:r>
            <w:r w:rsidR="009B6057" w:rsidRPr="00780D76">
              <w:rPr>
                <w:webHidden/>
              </w:rPr>
              <w:instrText xml:space="preserve"> PAGEREF _Toc176437897 \h </w:instrText>
            </w:r>
            <w:r w:rsidR="009B6057" w:rsidRPr="00780D76">
              <w:rPr>
                <w:webHidden/>
              </w:rPr>
            </w:r>
            <w:r w:rsidR="009B6057" w:rsidRPr="00780D76">
              <w:rPr>
                <w:webHidden/>
              </w:rPr>
              <w:fldChar w:fldCharType="separate"/>
            </w:r>
            <w:r w:rsidR="00A10CB9">
              <w:rPr>
                <w:webHidden/>
              </w:rPr>
              <w:t>42</w:t>
            </w:r>
            <w:r w:rsidR="009B6057" w:rsidRPr="00780D76">
              <w:rPr>
                <w:webHidden/>
              </w:rPr>
              <w:fldChar w:fldCharType="end"/>
            </w:r>
          </w:hyperlink>
        </w:p>
        <w:p w14:paraId="4EC4AC3B" w14:textId="6C36CE32" w:rsidR="009B6057" w:rsidRPr="00780D76" w:rsidRDefault="00150CD2" w:rsidP="00A10DE8">
          <w:pPr>
            <w:pStyle w:val="TOC1"/>
            <w:rPr>
              <w:rFonts w:eastAsiaTheme="minorEastAsia"/>
              <w:color w:val="auto"/>
              <w:sz w:val="22"/>
              <w:szCs w:val="22"/>
              <w:lang w:eastAsia="en-AU"/>
            </w:rPr>
          </w:pPr>
          <w:hyperlink w:anchor="_Toc176437898" w:history="1">
            <w:r w:rsidR="009B6057" w:rsidRPr="00780D76">
              <w:rPr>
                <w:rStyle w:val="Hyperlink"/>
                <w:rFonts w:asciiTheme="minorHAnsi" w:hAnsiTheme="minorHAnsi"/>
                <w:b/>
              </w:rPr>
              <w:t xml:space="preserve">Annexure B </w:t>
            </w:r>
            <w:r w:rsidR="009B6057" w:rsidRPr="00780D76">
              <w:rPr>
                <w:rStyle w:val="Hyperlink"/>
                <w:rFonts w:asciiTheme="minorHAnsi" w:hAnsiTheme="minorHAnsi"/>
              </w:rPr>
              <w:t>- Consultation questions</w:t>
            </w:r>
            <w:r w:rsidR="009B6057" w:rsidRPr="00780D76">
              <w:rPr>
                <w:webHidden/>
              </w:rPr>
              <w:tab/>
            </w:r>
            <w:r w:rsidR="009B6057" w:rsidRPr="00780D76">
              <w:rPr>
                <w:webHidden/>
              </w:rPr>
              <w:fldChar w:fldCharType="begin"/>
            </w:r>
            <w:r w:rsidR="009B6057" w:rsidRPr="00780D76">
              <w:rPr>
                <w:webHidden/>
              </w:rPr>
              <w:instrText xml:space="preserve"> PAGEREF _Toc176437898 \h </w:instrText>
            </w:r>
            <w:r w:rsidR="009B6057" w:rsidRPr="00780D76">
              <w:rPr>
                <w:webHidden/>
              </w:rPr>
            </w:r>
            <w:r w:rsidR="009B6057" w:rsidRPr="00780D76">
              <w:rPr>
                <w:webHidden/>
              </w:rPr>
              <w:fldChar w:fldCharType="separate"/>
            </w:r>
            <w:r w:rsidR="00A10CB9">
              <w:rPr>
                <w:webHidden/>
              </w:rPr>
              <w:t>52</w:t>
            </w:r>
            <w:r w:rsidR="009B6057" w:rsidRPr="00780D76">
              <w:rPr>
                <w:webHidden/>
              </w:rPr>
              <w:fldChar w:fldCharType="end"/>
            </w:r>
          </w:hyperlink>
        </w:p>
        <w:p w14:paraId="6A1022C8" w14:textId="5E79D6A5" w:rsidR="00A90E6C" w:rsidRPr="00780D76" w:rsidRDefault="00AA592D" w:rsidP="00E0603E">
          <w:pPr>
            <w:spacing w:line="240" w:lineRule="auto"/>
            <w:rPr>
              <w:rFonts w:asciiTheme="minorHAnsi" w:hAnsiTheme="minorHAnsi" w:cstheme="minorHAnsi"/>
            </w:rPr>
            <w:sectPr w:rsidR="00A90E6C" w:rsidRPr="00780D76" w:rsidSect="00144642">
              <w:headerReference w:type="first" r:id="rId12"/>
              <w:footerReference w:type="first" r:id="rId13"/>
              <w:pgSz w:w="11906" w:h="16838" w:code="9"/>
              <w:pgMar w:top="1701" w:right="1418" w:bottom="1134" w:left="1418" w:header="709" w:footer="953" w:gutter="0"/>
              <w:pgNumType w:fmt="lowerRoman"/>
              <w:cols w:space="708"/>
              <w:docGrid w:linePitch="360"/>
            </w:sectPr>
          </w:pPr>
          <w:r w:rsidRPr="00780D76">
            <w:rPr>
              <w:rFonts w:asciiTheme="minorHAnsi" w:hAnsiTheme="minorHAnsi" w:cstheme="minorHAnsi"/>
              <w:noProof/>
            </w:rPr>
            <w:fldChar w:fldCharType="end"/>
          </w:r>
        </w:p>
      </w:sdtContent>
    </w:sdt>
    <w:p w14:paraId="08133A36" w14:textId="77777777" w:rsidR="00040EE5" w:rsidRPr="00780D76" w:rsidRDefault="00040EE5" w:rsidP="008B382E">
      <w:pPr>
        <w:pStyle w:val="Heading1"/>
        <w:keepLines/>
        <w:numPr>
          <w:ilvl w:val="0"/>
          <w:numId w:val="31"/>
        </w:numPr>
        <w:spacing w:before="0" w:after="240" w:line="259" w:lineRule="auto"/>
        <w:ind w:left="426" w:hanging="426"/>
        <w:rPr>
          <w:rFonts w:asciiTheme="minorHAnsi" w:hAnsiTheme="minorHAnsi" w:cstheme="minorHAnsi"/>
        </w:rPr>
      </w:pPr>
      <w:bookmarkStart w:id="25" w:name="_Toc176437870"/>
      <w:r w:rsidRPr="00780D76">
        <w:rPr>
          <w:rFonts w:asciiTheme="minorHAnsi" w:hAnsiTheme="minorHAnsi" w:cstheme="minorHAnsi"/>
        </w:rPr>
        <w:lastRenderedPageBreak/>
        <w:t>Background</w:t>
      </w:r>
      <w:bookmarkEnd w:id="25"/>
      <w:r w:rsidRPr="00780D76">
        <w:rPr>
          <w:rFonts w:asciiTheme="minorHAnsi" w:hAnsiTheme="minorHAnsi" w:cstheme="minorHAnsi"/>
        </w:rPr>
        <w:t xml:space="preserve"> </w:t>
      </w:r>
    </w:p>
    <w:p w14:paraId="64ACDE24" w14:textId="77777777" w:rsidR="00040EE5" w:rsidRPr="00780D76" w:rsidRDefault="00040EE5" w:rsidP="008B382E">
      <w:pPr>
        <w:pStyle w:val="Heading1"/>
        <w:keepLines/>
        <w:numPr>
          <w:ilvl w:val="1"/>
          <w:numId w:val="31"/>
        </w:numPr>
        <w:spacing w:before="0" w:after="240" w:line="259" w:lineRule="auto"/>
        <w:ind w:left="709" w:hanging="709"/>
        <w:rPr>
          <w:rFonts w:asciiTheme="minorHAnsi" w:hAnsiTheme="minorHAnsi" w:cstheme="minorHAnsi"/>
          <w:sz w:val="36"/>
          <w:lang w:eastAsia="en-AU"/>
        </w:rPr>
      </w:pPr>
      <w:bookmarkStart w:id="26" w:name="_Toc176437871"/>
      <w:r w:rsidRPr="00780D76">
        <w:rPr>
          <w:rFonts w:asciiTheme="minorHAnsi" w:hAnsiTheme="minorHAnsi" w:cstheme="minorHAnsi"/>
          <w:sz w:val="36"/>
          <w:lang w:eastAsia="en-AU"/>
        </w:rPr>
        <w:t>Introduction to the consultation</w:t>
      </w:r>
      <w:bookmarkEnd w:id="26"/>
      <w:r w:rsidRPr="00780D76">
        <w:rPr>
          <w:rFonts w:asciiTheme="minorHAnsi" w:hAnsiTheme="minorHAnsi" w:cstheme="minorHAnsi"/>
          <w:sz w:val="36"/>
          <w:lang w:eastAsia="en-AU"/>
        </w:rPr>
        <w:t xml:space="preserve"> </w:t>
      </w:r>
    </w:p>
    <w:p w14:paraId="56D2F194" w14:textId="77777777" w:rsidR="00040EE5"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 xml:space="preserve">The Attorney-General’s Department </w:t>
      </w:r>
      <w:r w:rsidRPr="00780D76">
        <w:rPr>
          <w:rFonts w:asciiTheme="minorHAnsi" w:hAnsiTheme="minorHAnsi" w:cstheme="minorHAnsi"/>
          <w:b/>
        </w:rPr>
        <w:t>(the department)</w:t>
      </w:r>
      <w:r w:rsidRPr="00780D76">
        <w:rPr>
          <w:rFonts w:asciiTheme="minorHAnsi" w:hAnsiTheme="minorHAnsi" w:cstheme="minorHAnsi"/>
        </w:rPr>
        <w:t xml:space="preserve"> is undertaking a public consultation to advise the Australian Government on options for implementing legislation aligned with the Model Law on Electronic Transferable Records </w:t>
      </w:r>
      <w:r w:rsidRPr="00780D76">
        <w:rPr>
          <w:rFonts w:asciiTheme="minorHAnsi" w:hAnsiTheme="minorHAnsi" w:cstheme="minorHAnsi"/>
          <w:b/>
        </w:rPr>
        <w:t>(MLETR)</w:t>
      </w:r>
      <w:r w:rsidRPr="00780D76">
        <w:rPr>
          <w:rFonts w:asciiTheme="minorHAnsi" w:hAnsiTheme="minorHAnsi" w:cstheme="minorHAnsi"/>
        </w:rPr>
        <w:t xml:space="preserve">. </w:t>
      </w:r>
    </w:p>
    <w:p w14:paraId="758AA72F" w14:textId="77777777" w:rsidR="00040EE5"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 xml:space="preserve">The purpose of this consultation is to collect information and insights from the public, which will help us develop potential implementation options, and advise Government on which option would most effectively and appropriately enable the use of electronic transferable records in Australia. </w:t>
      </w:r>
    </w:p>
    <w:p w14:paraId="633CAFE8" w14:textId="77777777" w:rsidR="00040EE5"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 xml:space="preserve">The delivery of options for implementing legislation aligned with MLETR is part of the Government’s Simplified Trade System </w:t>
      </w:r>
      <w:r w:rsidRPr="00780D76">
        <w:rPr>
          <w:rFonts w:asciiTheme="minorHAnsi" w:hAnsiTheme="minorHAnsi" w:cstheme="minorHAnsi"/>
          <w:b/>
        </w:rPr>
        <w:t>(STS)</w:t>
      </w:r>
      <w:r w:rsidRPr="00780D76">
        <w:rPr>
          <w:rFonts w:asciiTheme="minorHAnsi" w:hAnsiTheme="minorHAnsi" w:cstheme="minorHAnsi"/>
        </w:rPr>
        <w:t xml:space="preserve"> reforms. It is a priority reform under a 3-year regulatory reform roadmap, which will deliver benefits to business by simplifying and modernising Australia’s cross-border trade regulatory environment.</w:t>
      </w:r>
      <w:r w:rsidRPr="00780D76">
        <w:rPr>
          <w:rStyle w:val="FootnoteReference"/>
          <w:rFonts w:asciiTheme="minorHAnsi" w:hAnsiTheme="minorHAnsi" w:cstheme="minorHAnsi"/>
        </w:rPr>
        <w:footnoteReference w:id="2"/>
      </w:r>
    </w:p>
    <w:p w14:paraId="2A353E9C" w14:textId="77777777" w:rsidR="00040EE5" w:rsidRPr="00780D76" w:rsidRDefault="00040EE5" w:rsidP="008B382E">
      <w:pPr>
        <w:pStyle w:val="Heading1"/>
        <w:keepLines/>
        <w:numPr>
          <w:ilvl w:val="1"/>
          <w:numId w:val="31"/>
        </w:numPr>
        <w:spacing w:before="0" w:after="240" w:line="259" w:lineRule="auto"/>
        <w:ind w:left="709" w:hanging="709"/>
        <w:rPr>
          <w:rFonts w:asciiTheme="minorHAnsi" w:hAnsiTheme="minorHAnsi" w:cstheme="minorHAnsi"/>
          <w:sz w:val="36"/>
          <w:lang w:eastAsia="en-AU"/>
        </w:rPr>
      </w:pPr>
      <w:bookmarkStart w:id="27" w:name="_Toc176437872"/>
      <w:r w:rsidRPr="00780D76">
        <w:rPr>
          <w:rFonts w:asciiTheme="minorHAnsi" w:hAnsiTheme="minorHAnsi" w:cstheme="minorHAnsi"/>
          <w:sz w:val="36"/>
          <w:lang w:eastAsia="en-AU"/>
        </w:rPr>
        <w:t>What is the Model Law on Electronic Transferable Records?</w:t>
      </w:r>
      <w:bookmarkEnd w:id="27"/>
    </w:p>
    <w:p w14:paraId="57AFACA7" w14:textId="77777777" w:rsidR="00040EE5"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 xml:space="preserve">The MLETR is a model law developed by the UN Commission on International Trade Law </w:t>
      </w:r>
      <w:r w:rsidRPr="00780D76">
        <w:rPr>
          <w:rFonts w:asciiTheme="minorHAnsi" w:hAnsiTheme="minorHAnsi" w:cstheme="minorHAnsi"/>
          <w:b/>
        </w:rPr>
        <w:t>(UNCITRAL)</w:t>
      </w:r>
      <w:r w:rsidRPr="00780D76">
        <w:rPr>
          <w:rFonts w:asciiTheme="minorHAnsi" w:hAnsiTheme="minorHAnsi" w:cstheme="minorHAnsi"/>
        </w:rPr>
        <w:t xml:space="preserve">, which was published in 2017. </w:t>
      </w:r>
    </w:p>
    <w:p w14:paraId="097F7589" w14:textId="77777777" w:rsidR="00040EE5"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 xml:space="preserve">It contains a set of model provisions which, if adopted into domestic law, would allow existing Australian laws that apply to paper-based transferable records to apply in the same manner to transferable records that are in the form of electronic data (or </w:t>
      </w:r>
      <w:r w:rsidRPr="00A10DE8">
        <w:rPr>
          <w:rFonts w:asciiTheme="minorHAnsi" w:hAnsiTheme="minorHAnsi" w:cstheme="minorHAnsi"/>
          <w:b/>
        </w:rPr>
        <w:t>electronic transferable records</w:t>
      </w:r>
      <w:r w:rsidRPr="00780D76">
        <w:rPr>
          <w:rFonts w:asciiTheme="minorHAnsi" w:hAnsiTheme="minorHAnsi" w:cstheme="minorHAnsi"/>
        </w:rPr>
        <w:t xml:space="preserve">). </w:t>
      </w:r>
    </w:p>
    <w:p w14:paraId="79CCCDB3" w14:textId="1E39C404" w:rsidR="00040EE5"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 xml:space="preserve">The MLETR defines ‘transferable documents and instruments’ (called </w:t>
      </w:r>
      <w:r w:rsidRPr="00A10DE8">
        <w:rPr>
          <w:rFonts w:asciiTheme="minorHAnsi" w:hAnsiTheme="minorHAnsi" w:cstheme="minorHAnsi"/>
          <w:b/>
        </w:rPr>
        <w:t>transferable records</w:t>
      </w:r>
      <w:r w:rsidRPr="00780D76">
        <w:rPr>
          <w:rFonts w:asciiTheme="minorHAnsi" w:hAnsiTheme="minorHAnsi" w:cstheme="minorHAnsi"/>
        </w:rPr>
        <w:t xml:space="preserve"> in this paper) as a class of document, issued on paper, which entitles the holder to claim performance of an obligation, and which can be transferred to another person along with the right to performance.</w:t>
      </w:r>
      <w:r w:rsidRPr="00780D76">
        <w:rPr>
          <w:rStyle w:val="FootnoteReference"/>
          <w:rFonts w:asciiTheme="minorHAnsi" w:hAnsiTheme="minorHAnsi" w:cstheme="minorHAnsi"/>
        </w:rPr>
        <w:footnoteReference w:id="3"/>
      </w:r>
      <w:r w:rsidRPr="00780D76">
        <w:rPr>
          <w:rFonts w:asciiTheme="minorHAnsi" w:hAnsiTheme="minorHAnsi" w:cstheme="minorHAnsi"/>
        </w:rPr>
        <w:t xml:space="preserve"> Examples of these records might include bills of exchange, promissory notes, consignment notes, bills of lading and warehouse receipts.</w:t>
      </w:r>
      <w:r w:rsidRPr="00780D76">
        <w:rPr>
          <w:rStyle w:val="FootnoteReference"/>
          <w:rFonts w:asciiTheme="minorHAnsi" w:hAnsiTheme="minorHAnsi" w:cstheme="minorHAnsi"/>
        </w:rPr>
        <w:footnoteReference w:id="4"/>
      </w:r>
    </w:p>
    <w:p w14:paraId="0523ABE3" w14:textId="77777777" w:rsidR="009425D2" w:rsidRDefault="00040EE5" w:rsidP="00040EE5">
      <w:pPr>
        <w:spacing w:line="276" w:lineRule="auto"/>
        <w:jc w:val="both"/>
        <w:rPr>
          <w:rFonts w:asciiTheme="minorHAnsi" w:hAnsiTheme="minorHAnsi" w:cstheme="minorHAnsi"/>
        </w:rPr>
      </w:pPr>
      <w:r w:rsidRPr="00780D76">
        <w:rPr>
          <w:rFonts w:asciiTheme="minorHAnsi" w:hAnsiTheme="minorHAnsi" w:cstheme="minorHAnsi"/>
        </w:rPr>
        <w:t xml:space="preserve">Accordingly, the MLETR is intended to confirm that electronic bills of exchange, bills of lading, promissory notes and other electronic transferable records will have the same legal recognition as their traditional paper-based equivalents – and therefore provide industry stakeholders with confidence that they can choose to use electronic methods for managing these records, and enjoy any potential associated efficiencies or other benefits. </w:t>
      </w:r>
    </w:p>
    <w:p w14:paraId="40FC506D" w14:textId="7BA1B181" w:rsidR="00040EE5"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A copy of the MLETR is attached to this consultation paper at Annexure A.</w:t>
      </w:r>
    </w:p>
    <w:p w14:paraId="2AA63DF1" w14:textId="77777777" w:rsidR="00040EE5" w:rsidRPr="00780D76" w:rsidRDefault="00040EE5" w:rsidP="008B382E">
      <w:pPr>
        <w:pStyle w:val="Heading1"/>
        <w:keepLines/>
        <w:numPr>
          <w:ilvl w:val="1"/>
          <w:numId w:val="31"/>
        </w:numPr>
        <w:spacing w:before="0" w:after="240" w:line="259" w:lineRule="auto"/>
        <w:ind w:left="709" w:hanging="709"/>
        <w:rPr>
          <w:rFonts w:asciiTheme="minorHAnsi" w:hAnsiTheme="minorHAnsi" w:cstheme="minorHAnsi"/>
          <w:sz w:val="36"/>
          <w:lang w:eastAsia="en-AU"/>
        </w:rPr>
      </w:pPr>
      <w:bookmarkStart w:id="28" w:name="_Toc176437873"/>
      <w:r w:rsidRPr="00780D76">
        <w:rPr>
          <w:rFonts w:asciiTheme="minorHAnsi" w:hAnsiTheme="minorHAnsi" w:cstheme="minorHAnsi"/>
          <w:sz w:val="36"/>
          <w:lang w:eastAsia="en-AU"/>
        </w:rPr>
        <w:lastRenderedPageBreak/>
        <w:t>Why are we pursuing this project?</w:t>
      </w:r>
      <w:bookmarkEnd w:id="28"/>
    </w:p>
    <w:p w14:paraId="46A2FFF2" w14:textId="4DF88547" w:rsidR="00040EE5" w:rsidRPr="00780D76" w:rsidRDefault="00040EE5" w:rsidP="00040EE5">
      <w:pPr>
        <w:pStyle w:val="Heading3"/>
        <w:spacing w:line="276" w:lineRule="auto"/>
        <w:rPr>
          <w:rFonts w:asciiTheme="minorHAnsi" w:hAnsiTheme="minorHAnsi" w:cstheme="minorHAnsi"/>
        </w:rPr>
      </w:pPr>
      <w:bookmarkStart w:id="29" w:name="_Toc176420772"/>
      <w:r w:rsidRPr="00780D76">
        <w:rPr>
          <w:rFonts w:asciiTheme="minorHAnsi" w:hAnsiTheme="minorHAnsi" w:cstheme="minorHAnsi"/>
        </w:rPr>
        <w:t>Confirming the legal validity of electronic transferable records is a key part of paperless</w:t>
      </w:r>
      <w:bookmarkEnd w:id="29"/>
      <w:r w:rsidR="00A1700C">
        <w:rPr>
          <w:rFonts w:asciiTheme="minorHAnsi" w:hAnsiTheme="minorHAnsi" w:cstheme="minorHAnsi"/>
        </w:rPr>
        <w:t xml:space="preserve"> trade</w:t>
      </w:r>
      <w:r w:rsidRPr="00780D76">
        <w:rPr>
          <w:rFonts w:asciiTheme="minorHAnsi" w:hAnsiTheme="minorHAnsi" w:cstheme="minorHAnsi"/>
        </w:rPr>
        <w:t xml:space="preserve"> </w:t>
      </w:r>
    </w:p>
    <w:p w14:paraId="7641C5FF" w14:textId="77777777" w:rsidR="00394A8D" w:rsidRPr="00780D76" w:rsidRDefault="00040EE5" w:rsidP="00394A8D">
      <w:pPr>
        <w:spacing w:line="276" w:lineRule="auto"/>
        <w:jc w:val="both"/>
        <w:rPr>
          <w:rFonts w:asciiTheme="minorHAnsi" w:hAnsiTheme="minorHAnsi" w:cstheme="minorHAnsi"/>
          <w:color w:val="auto"/>
          <w:szCs w:val="21"/>
        </w:rPr>
      </w:pPr>
      <w:bookmarkStart w:id="30" w:name="_Toc176420773"/>
      <w:r w:rsidRPr="00780D76">
        <w:rPr>
          <w:rFonts w:asciiTheme="minorHAnsi" w:hAnsiTheme="minorHAnsi" w:cstheme="minorHAnsi"/>
          <w:color w:val="auto"/>
          <w:szCs w:val="21"/>
        </w:rPr>
        <w:t>Transferable records are an essential requirement in many Australian and international trade processes. However, despite advances in technology, most cross-border trade documents (including transferable records) are still in paper form, which is in part due to the limited recognition of electronic transferable records under law.</w:t>
      </w:r>
      <w:r w:rsidRPr="00780D76">
        <w:rPr>
          <w:rStyle w:val="FootnoteReference"/>
          <w:rFonts w:asciiTheme="minorHAnsi" w:hAnsiTheme="minorHAnsi" w:cstheme="minorHAnsi"/>
          <w:color w:val="auto"/>
          <w:szCs w:val="21"/>
        </w:rPr>
        <w:footnoteReference w:id="5"/>
      </w:r>
      <w:r w:rsidRPr="00780D76">
        <w:rPr>
          <w:rFonts w:asciiTheme="minorHAnsi" w:hAnsiTheme="minorHAnsi" w:cstheme="minorHAnsi"/>
          <w:color w:val="auto"/>
          <w:szCs w:val="21"/>
        </w:rPr>
        <w:t xml:space="preserve"> </w:t>
      </w:r>
    </w:p>
    <w:p w14:paraId="5455B4BB" w14:textId="77777777" w:rsidR="00AA592D" w:rsidRPr="00780D76" w:rsidRDefault="00040EE5" w:rsidP="00394A8D">
      <w:pPr>
        <w:spacing w:line="276" w:lineRule="auto"/>
        <w:jc w:val="both"/>
        <w:rPr>
          <w:rFonts w:asciiTheme="minorHAnsi" w:hAnsiTheme="minorHAnsi" w:cstheme="minorHAnsi"/>
          <w:color w:val="auto"/>
          <w:szCs w:val="21"/>
        </w:rPr>
      </w:pPr>
      <w:r w:rsidRPr="00780D76">
        <w:rPr>
          <w:rFonts w:asciiTheme="minorHAnsi" w:hAnsiTheme="minorHAnsi" w:cstheme="minorHAnsi"/>
          <w:color w:val="auto"/>
          <w:szCs w:val="21"/>
        </w:rPr>
        <w:t>The Australian Government has heard that the need to produce paper transferable records can slow or disrupt the trade of goods or other commercial processes, causing inefficiencies and additional costs along the supply chain. The costs and complexity of trade can create a barrier to trade, particularly for resource-</w:t>
      </w:r>
      <w:r w:rsidRPr="00780D76">
        <w:rPr>
          <w:rFonts w:asciiTheme="minorHAnsi" w:hAnsiTheme="minorHAnsi" w:cstheme="minorHAnsi"/>
        </w:rPr>
        <w:t>constrained</w:t>
      </w:r>
      <w:r w:rsidRPr="00780D76">
        <w:rPr>
          <w:rFonts w:asciiTheme="minorHAnsi" w:hAnsiTheme="minorHAnsi" w:cstheme="minorHAnsi"/>
          <w:color w:val="auto"/>
          <w:szCs w:val="21"/>
        </w:rPr>
        <w:t xml:space="preserve"> small businesses. </w:t>
      </w:r>
    </w:p>
    <w:p w14:paraId="770355C1" w14:textId="77777777" w:rsidR="00040EE5" w:rsidRPr="00780D76" w:rsidRDefault="00040EE5" w:rsidP="00394A8D">
      <w:pPr>
        <w:spacing w:line="276" w:lineRule="auto"/>
        <w:jc w:val="both"/>
        <w:rPr>
          <w:rFonts w:asciiTheme="minorHAnsi" w:hAnsiTheme="minorHAnsi" w:cstheme="minorHAnsi"/>
          <w:color w:val="auto"/>
          <w:szCs w:val="21"/>
        </w:rPr>
      </w:pPr>
      <w:r w:rsidRPr="00780D76">
        <w:rPr>
          <w:rFonts w:asciiTheme="minorHAnsi" w:hAnsiTheme="minorHAnsi" w:cstheme="minorHAnsi"/>
          <w:color w:val="auto"/>
          <w:szCs w:val="21"/>
        </w:rPr>
        <w:t>Conversely, the Australian Government understands that recognising the legal validity of electronic transferable records may be a foundational step towards other initiatives to enable ‘paperless trade’ and, based on work undertaken by the Australian Border Force (</w:t>
      </w:r>
      <w:r w:rsidRPr="00780D76">
        <w:rPr>
          <w:rFonts w:asciiTheme="minorHAnsi" w:hAnsiTheme="minorHAnsi" w:cstheme="minorHAnsi"/>
          <w:b/>
          <w:color w:val="auto"/>
          <w:szCs w:val="21"/>
        </w:rPr>
        <w:t>ABF</w:t>
      </w:r>
      <w:r w:rsidRPr="00780D76">
        <w:rPr>
          <w:rFonts w:asciiTheme="minorHAnsi" w:hAnsiTheme="minorHAnsi" w:cstheme="minorHAnsi"/>
          <w:color w:val="auto"/>
          <w:szCs w:val="21"/>
        </w:rPr>
        <w:t>), may help to reduce these inefficiencies and costs, make trade more accessible, and provide other related economic benefits.</w:t>
      </w:r>
      <w:bookmarkEnd w:id="30"/>
    </w:p>
    <w:p w14:paraId="55FDB590" w14:textId="77777777" w:rsidR="00040EE5" w:rsidRPr="00780D76" w:rsidRDefault="00040EE5" w:rsidP="00040EE5">
      <w:pPr>
        <w:pStyle w:val="Heading3"/>
        <w:spacing w:line="276" w:lineRule="auto"/>
        <w:rPr>
          <w:rFonts w:asciiTheme="minorHAnsi" w:hAnsiTheme="minorHAnsi" w:cstheme="minorHAnsi"/>
        </w:rPr>
      </w:pPr>
      <w:bookmarkStart w:id="31" w:name="_Toc176420774"/>
      <w:r w:rsidRPr="00780D76">
        <w:rPr>
          <w:rFonts w:asciiTheme="minorHAnsi" w:hAnsiTheme="minorHAnsi" w:cstheme="minorHAnsi"/>
        </w:rPr>
        <w:t>Why we are exploring options for the Australian legal context</w:t>
      </w:r>
      <w:bookmarkEnd w:id="31"/>
      <w:r w:rsidRPr="00780D76">
        <w:rPr>
          <w:rFonts w:asciiTheme="minorHAnsi" w:hAnsiTheme="minorHAnsi" w:cstheme="minorHAnsi"/>
        </w:rPr>
        <w:t xml:space="preserve"> </w:t>
      </w:r>
    </w:p>
    <w:p w14:paraId="012B373F" w14:textId="77777777" w:rsidR="00AA592D"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Recognising electronic transferable records by implementing a globally-recognised standard, such as the MLETR, also has the potential to ensure Australia’s legal framework is interoperable with those of our trading partners, and to support other international interests and commitments.</w:t>
      </w:r>
      <w:r w:rsidRPr="00780D76">
        <w:rPr>
          <w:rStyle w:val="FootnoteReference"/>
          <w:rFonts w:asciiTheme="minorHAnsi" w:hAnsiTheme="minorHAnsi" w:cstheme="minorHAnsi"/>
        </w:rPr>
        <w:footnoteReference w:id="6"/>
      </w:r>
      <w:r w:rsidRPr="00780D76">
        <w:rPr>
          <w:rFonts w:asciiTheme="minorHAnsi" w:hAnsiTheme="minorHAnsi" w:cstheme="minorHAnsi"/>
        </w:rPr>
        <w:t xml:space="preserve"> </w:t>
      </w:r>
    </w:p>
    <w:p w14:paraId="71F32EDF" w14:textId="77777777" w:rsidR="00AA592D"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 xml:space="preserve">However, the existing legal frameworks relating to transferable records and electronic transactions in Australia can be complex. Also, some of the technologies used to issue these records electronically are relatively new, and we wish to promote industry confidence to develop and take up appropriate technologies and technological standards under an Australian legal framework. </w:t>
      </w:r>
    </w:p>
    <w:p w14:paraId="195A09B1" w14:textId="77777777" w:rsidR="00040EE5"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Accordingly, we are now seeking to explore potential options for legislative reform, to confirm the legal validity of electronic transferable records in a way that promotes industry confidence, preserves the key functions of these records and is consistent with existing Australian law.</w:t>
      </w:r>
    </w:p>
    <w:p w14:paraId="2E3280E0" w14:textId="77777777" w:rsidR="00040EE5" w:rsidRPr="00780D76" w:rsidRDefault="00040EE5" w:rsidP="008B382E">
      <w:pPr>
        <w:pStyle w:val="Heading1"/>
        <w:keepLines/>
        <w:numPr>
          <w:ilvl w:val="1"/>
          <w:numId w:val="31"/>
        </w:numPr>
        <w:spacing w:before="0" w:after="240" w:line="259" w:lineRule="auto"/>
        <w:ind w:left="709" w:hanging="709"/>
        <w:rPr>
          <w:rFonts w:asciiTheme="minorHAnsi" w:hAnsiTheme="minorHAnsi" w:cstheme="minorHAnsi"/>
          <w:sz w:val="36"/>
          <w:lang w:eastAsia="en-AU"/>
        </w:rPr>
      </w:pPr>
      <w:bookmarkStart w:id="32" w:name="_Ref176437572"/>
      <w:bookmarkStart w:id="33" w:name="_Toc176437874"/>
      <w:r w:rsidRPr="00780D76">
        <w:rPr>
          <w:rFonts w:asciiTheme="minorHAnsi" w:hAnsiTheme="minorHAnsi" w:cstheme="minorHAnsi"/>
          <w:sz w:val="36"/>
          <w:lang w:eastAsia="en-AU"/>
        </w:rPr>
        <w:t>What options are being considered?</w:t>
      </w:r>
      <w:bookmarkEnd w:id="32"/>
      <w:bookmarkEnd w:id="33"/>
      <w:r w:rsidRPr="00780D76">
        <w:rPr>
          <w:rFonts w:asciiTheme="minorHAnsi" w:hAnsiTheme="minorHAnsi" w:cstheme="minorHAnsi"/>
          <w:sz w:val="36"/>
          <w:lang w:eastAsia="en-AU"/>
        </w:rPr>
        <w:t xml:space="preserve"> </w:t>
      </w:r>
    </w:p>
    <w:p w14:paraId="6286E658" w14:textId="77777777" w:rsidR="00AA592D"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 xml:space="preserve">The questions in this consultation paper are intended to help us target the most appropriate options for implementation of MLETR under domestic Australian law, and other associated legal or practical issues which may arise in the implementation of MLETR. </w:t>
      </w:r>
    </w:p>
    <w:p w14:paraId="6C3F970E" w14:textId="77777777" w:rsidR="00040EE5"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lastRenderedPageBreak/>
        <w:t>However, at this early stage, we anticipate that potential options might include adoption of MLETR-based legislation within:</w:t>
      </w:r>
    </w:p>
    <w:p w14:paraId="5E92F32A" w14:textId="77777777" w:rsidR="00040EE5" w:rsidRPr="00780D76" w:rsidRDefault="00040EE5" w:rsidP="000E01D0">
      <w:pPr>
        <w:pStyle w:val="ListParagraph"/>
        <w:numPr>
          <w:ilvl w:val="0"/>
          <w:numId w:val="5"/>
        </w:numPr>
        <w:spacing w:line="276" w:lineRule="auto"/>
        <w:jc w:val="both"/>
        <w:rPr>
          <w:rFonts w:asciiTheme="minorHAnsi" w:hAnsiTheme="minorHAnsi" w:cstheme="minorHAnsi"/>
        </w:rPr>
      </w:pPr>
      <w:r w:rsidRPr="00780D76">
        <w:rPr>
          <w:rFonts w:asciiTheme="minorHAnsi" w:hAnsiTheme="minorHAnsi" w:cstheme="minorHAnsi"/>
        </w:rPr>
        <w:t xml:space="preserve">existing electronic transactions law, that is, the </w:t>
      </w:r>
      <w:r w:rsidRPr="00A10DE8">
        <w:rPr>
          <w:rFonts w:asciiTheme="minorHAnsi" w:hAnsiTheme="minorHAnsi" w:cstheme="minorHAnsi"/>
          <w:i/>
        </w:rPr>
        <w:t>Electronic Transactions Act 1999</w:t>
      </w:r>
      <w:r w:rsidRPr="00780D76">
        <w:rPr>
          <w:rFonts w:asciiTheme="minorHAnsi" w:hAnsiTheme="minorHAnsi" w:cstheme="minorHAnsi"/>
        </w:rPr>
        <w:t xml:space="preserve"> (Cth) </w:t>
      </w:r>
      <w:r w:rsidRPr="00780D76">
        <w:rPr>
          <w:rFonts w:asciiTheme="minorHAnsi" w:hAnsiTheme="minorHAnsi" w:cstheme="minorHAnsi"/>
          <w:b/>
        </w:rPr>
        <w:t>(ETA)</w:t>
      </w:r>
      <w:r w:rsidRPr="00780D76">
        <w:rPr>
          <w:rFonts w:asciiTheme="minorHAnsi" w:hAnsiTheme="minorHAnsi" w:cstheme="minorHAnsi"/>
        </w:rPr>
        <w:t xml:space="preserve"> </w:t>
      </w:r>
    </w:p>
    <w:p w14:paraId="46876E7F" w14:textId="77777777" w:rsidR="00040EE5" w:rsidRPr="00780D76" w:rsidRDefault="00040EE5" w:rsidP="000E01D0">
      <w:pPr>
        <w:pStyle w:val="ListParagraph"/>
        <w:numPr>
          <w:ilvl w:val="0"/>
          <w:numId w:val="5"/>
        </w:numPr>
        <w:spacing w:line="276" w:lineRule="auto"/>
        <w:jc w:val="both"/>
        <w:rPr>
          <w:rFonts w:asciiTheme="minorHAnsi" w:hAnsiTheme="minorHAnsi" w:cstheme="minorHAnsi"/>
        </w:rPr>
      </w:pPr>
      <w:r w:rsidRPr="00780D76">
        <w:rPr>
          <w:rFonts w:asciiTheme="minorHAnsi" w:hAnsiTheme="minorHAnsi" w:cstheme="minorHAnsi"/>
        </w:rPr>
        <w:t xml:space="preserve">existing substantive Commonwealth laws relating to transferable records </w:t>
      </w:r>
    </w:p>
    <w:p w14:paraId="54A6C89D" w14:textId="77777777" w:rsidR="00040EE5" w:rsidRPr="00780D76" w:rsidRDefault="00040EE5" w:rsidP="000E01D0">
      <w:pPr>
        <w:pStyle w:val="ListParagraph"/>
        <w:numPr>
          <w:ilvl w:val="0"/>
          <w:numId w:val="5"/>
        </w:numPr>
        <w:spacing w:line="276" w:lineRule="auto"/>
        <w:jc w:val="both"/>
        <w:rPr>
          <w:rFonts w:asciiTheme="minorHAnsi" w:hAnsiTheme="minorHAnsi" w:cstheme="minorHAnsi"/>
        </w:rPr>
      </w:pPr>
      <w:r w:rsidRPr="00780D76">
        <w:rPr>
          <w:rFonts w:asciiTheme="minorHAnsi" w:hAnsiTheme="minorHAnsi" w:cstheme="minorHAnsi"/>
        </w:rPr>
        <w:t xml:space="preserve">standalone Commonwealth law. </w:t>
      </w:r>
    </w:p>
    <w:p w14:paraId="1D6B1E02" w14:textId="77777777" w:rsidR="00040EE5"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 xml:space="preserve">Any adoption of the MLETR may include such modification or changes necessary to address any unique Australian legal circumstances which are identified in the consultation process. </w:t>
      </w:r>
    </w:p>
    <w:p w14:paraId="316AE694" w14:textId="77777777" w:rsidR="00040EE5"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Any options for adoption of MLETR-aligned legislation should also take into account the potential impact upon any relevant state and territory laws, and broadly identify any other laws which might interact with the updated legal framework.</w:t>
      </w:r>
    </w:p>
    <w:p w14:paraId="6D1C89EA" w14:textId="77777777" w:rsidR="00040EE5" w:rsidRPr="00780D76" w:rsidRDefault="00040EE5" w:rsidP="008B382E">
      <w:pPr>
        <w:pStyle w:val="Heading1"/>
        <w:keepLines/>
        <w:numPr>
          <w:ilvl w:val="1"/>
          <w:numId w:val="31"/>
        </w:numPr>
        <w:spacing w:before="0" w:after="240" w:line="259" w:lineRule="auto"/>
        <w:ind w:left="709" w:hanging="709"/>
        <w:rPr>
          <w:rFonts w:asciiTheme="minorHAnsi" w:hAnsiTheme="minorHAnsi" w:cstheme="minorHAnsi"/>
          <w:sz w:val="36"/>
          <w:lang w:eastAsia="en-AU"/>
        </w:rPr>
      </w:pPr>
      <w:bookmarkStart w:id="34" w:name="_Toc176437875"/>
      <w:r w:rsidRPr="00780D76">
        <w:rPr>
          <w:rFonts w:asciiTheme="minorHAnsi" w:hAnsiTheme="minorHAnsi" w:cstheme="minorHAnsi"/>
          <w:sz w:val="36"/>
          <w:lang w:eastAsia="en-AU"/>
        </w:rPr>
        <w:t>What happens after this consultation process?</w:t>
      </w:r>
      <w:bookmarkEnd w:id="34"/>
      <w:r w:rsidRPr="00780D76">
        <w:rPr>
          <w:rFonts w:asciiTheme="minorHAnsi" w:hAnsiTheme="minorHAnsi" w:cstheme="minorHAnsi"/>
          <w:sz w:val="36"/>
          <w:lang w:eastAsia="en-AU"/>
        </w:rPr>
        <w:t xml:space="preserve"> </w:t>
      </w:r>
    </w:p>
    <w:p w14:paraId="7AE3C127" w14:textId="77777777" w:rsidR="00040EE5"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 xml:space="preserve">The department will analyse stakeholder responses to build a list of potential options for implementing the MLETR in Australia. We will present these to government for consideration in 2025, with our recommendation of the most appropriate implementation option to pursue. </w:t>
      </w:r>
    </w:p>
    <w:p w14:paraId="0E75EBC8" w14:textId="77777777" w:rsidR="00040EE5"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 xml:space="preserve">Subject to government approval of any option, the department will undertake further work to implement appropriate legislation under Australian law, and develop guidance materials to help support industry engagement with the legislation. This work will likely involve further consultation, on more targeted questions relating to the approved implementation option. </w:t>
      </w:r>
    </w:p>
    <w:p w14:paraId="5CE31FD0" w14:textId="77777777" w:rsidR="00040EE5" w:rsidRPr="00780D76" w:rsidRDefault="00040EE5" w:rsidP="008B382E">
      <w:pPr>
        <w:pStyle w:val="Heading1"/>
        <w:keepLines/>
        <w:numPr>
          <w:ilvl w:val="1"/>
          <w:numId w:val="31"/>
        </w:numPr>
        <w:spacing w:before="0" w:after="240" w:line="259" w:lineRule="auto"/>
        <w:ind w:left="709" w:hanging="709"/>
        <w:rPr>
          <w:rFonts w:asciiTheme="minorHAnsi" w:hAnsiTheme="minorHAnsi" w:cstheme="minorHAnsi"/>
        </w:rPr>
      </w:pPr>
      <w:bookmarkStart w:id="35" w:name="_Toc176437876"/>
      <w:r w:rsidRPr="00780D76">
        <w:rPr>
          <w:rFonts w:asciiTheme="minorHAnsi" w:hAnsiTheme="minorHAnsi" w:cstheme="minorHAnsi"/>
        </w:rPr>
        <w:t xml:space="preserve">How </w:t>
      </w:r>
      <w:r w:rsidRPr="00780D76">
        <w:rPr>
          <w:rFonts w:asciiTheme="minorHAnsi" w:hAnsiTheme="minorHAnsi" w:cstheme="minorHAnsi"/>
          <w:sz w:val="36"/>
          <w:lang w:eastAsia="en-AU"/>
        </w:rPr>
        <w:t>to</w:t>
      </w:r>
      <w:r w:rsidRPr="00780D76">
        <w:rPr>
          <w:rFonts w:asciiTheme="minorHAnsi" w:hAnsiTheme="minorHAnsi" w:cstheme="minorHAnsi"/>
        </w:rPr>
        <w:t xml:space="preserve"> share your views</w:t>
      </w:r>
      <w:bookmarkEnd w:id="35"/>
      <w:r w:rsidRPr="00780D76">
        <w:rPr>
          <w:rFonts w:asciiTheme="minorHAnsi" w:hAnsiTheme="minorHAnsi" w:cstheme="minorHAnsi"/>
        </w:rPr>
        <w:t xml:space="preserve"> </w:t>
      </w:r>
    </w:p>
    <w:p w14:paraId="10484555" w14:textId="77777777" w:rsidR="00AA592D"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 xml:space="preserve">This paper contains a number of questions, which are also copied at Annexure B for convenience. You may choose to answer as many of these questions as you like: you do not need to answer them all. </w:t>
      </w:r>
    </w:p>
    <w:p w14:paraId="3F988E64" w14:textId="07FB9FA9" w:rsidR="00040EE5" w:rsidRPr="00284592" w:rsidRDefault="00040EE5" w:rsidP="00040EE5">
      <w:pPr>
        <w:spacing w:line="276" w:lineRule="auto"/>
        <w:jc w:val="both"/>
        <w:rPr>
          <w:rFonts w:asciiTheme="minorHAnsi" w:hAnsiTheme="minorHAnsi" w:cstheme="minorHAnsi"/>
          <w:b/>
        </w:rPr>
      </w:pPr>
      <w:r w:rsidRPr="00780D76">
        <w:rPr>
          <w:rFonts w:asciiTheme="minorHAnsi" w:hAnsiTheme="minorHAnsi" w:cstheme="minorHAnsi"/>
        </w:rPr>
        <w:t xml:space="preserve">The department’s preference is that you share your views by providing an online survey submission. This will allow the department to more easily cross-reference positions and data. You may access and answer the survey questions on our Consultation Hub via this link: </w:t>
      </w:r>
      <w:hyperlink r:id="rId14" w:history="1">
        <w:r w:rsidR="00B50880" w:rsidRPr="00284592">
          <w:rPr>
            <w:rStyle w:val="Hyperlink"/>
            <w:rFonts w:asciiTheme="minorHAnsi" w:hAnsiTheme="minorHAnsi" w:cstheme="minorHAnsi"/>
            <w:b/>
          </w:rPr>
          <w:t>https://consultations.ag.gov.au/international-relations/mletr</w:t>
        </w:r>
      </w:hyperlink>
    </w:p>
    <w:p w14:paraId="5A9B7B3A" w14:textId="77777777" w:rsidR="00040EE5"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 xml:space="preserve">You may also upload a document containing your written answer to the survey questions via the department’s Consultation Hub. To help us analyse data more effectively, please identify whichever questions you are answering in your response. </w:t>
      </w:r>
    </w:p>
    <w:p w14:paraId="19D3454D" w14:textId="77777777" w:rsidR="00AA592D"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 xml:space="preserve">If you are having difficulty using the Consultation Hub, you may email a written submission with your written answers to the survey – or your experiences using transferable records and views on adoption of MLETR in Australia – via </w:t>
      </w:r>
      <w:hyperlink r:id="rId15" w:history="1">
        <w:r w:rsidR="00AA592D" w:rsidRPr="00780D76">
          <w:rPr>
            <w:rStyle w:val="Hyperlink"/>
            <w:rFonts w:asciiTheme="minorHAnsi" w:hAnsiTheme="minorHAnsi" w:cstheme="minorHAnsi"/>
            <w:b/>
          </w:rPr>
          <w:t>MLETR@ag.gov.au</w:t>
        </w:r>
      </w:hyperlink>
      <w:r w:rsidRPr="00780D76">
        <w:rPr>
          <w:rFonts w:asciiTheme="minorHAnsi" w:hAnsiTheme="minorHAnsi" w:cstheme="minorHAnsi"/>
        </w:rPr>
        <w:t xml:space="preserve">. </w:t>
      </w:r>
    </w:p>
    <w:p w14:paraId="59165DA8" w14:textId="7774D6F7" w:rsidR="00040EE5"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The closing date for submissions is</w:t>
      </w:r>
      <w:r w:rsidR="00931DE4">
        <w:rPr>
          <w:rFonts w:asciiTheme="minorHAnsi" w:hAnsiTheme="minorHAnsi" w:cstheme="minorHAnsi"/>
        </w:rPr>
        <w:t xml:space="preserve"> </w:t>
      </w:r>
      <w:r w:rsidR="00931DE4" w:rsidRPr="00931DE4">
        <w:rPr>
          <w:rFonts w:asciiTheme="minorHAnsi" w:hAnsiTheme="minorHAnsi" w:cstheme="minorHAnsi"/>
          <w:b/>
        </w:rPr>
        <w:t>28 October 2024</w:t>
      </w:r>
      <w:r w:rsidR="00931DE4">
        <w:rPr>
          <w:rFonts w:asciiTheme="minorHAnsi" w:hAnsiTheme="minorHAnsi" w:cstheme="minorHAnsi"/>
        </w:rPr>
        <w:t xml:space="preserve">. </w:t>
      </w:r>
    </w:p>
    <w:p w14:paraId="44F547D1" w14:textId="77777777" w:rsidR="004A1972" w:rsidRDefault="004A1972">
      <w:pPr>
        <w:spacing w:before="0" w:after="0" w:line="240" w:lineRule="auto"/>
        <w:rPr>
          <w:rFonts w:asciiTheme="minorHAnsi" w:hAnsiTheme="minorHAnsi" w:cstheme="minorHAnsi"/>
          <w:b/>
          <w:bCs/>
          <w:color w:val="50748A"/>
          <w:kern w:val="28"/>
          <w:sz w:val="44"/>
          <w:szCs w:val="36"/>
        </w:rPr>
      </w:pPr>
      <w:bookmarkStart w:id="36" w:name="_Toc176437877"/>
      <w:bookmarkStart w:id="37" w:name="_Ref176445857"/>
      <w:r>
        <w:rPr>
          <w:rFonts w:asciiTheme="minorHAnsi" w:hAnsiTheme="minorHAnsi" w:cstheme="minorHAnsi"/>
        </w:rPr>
        <w:br w:type="page"/>
      </w:r>
    </w:p>
    <w:p w14:paraId="4A13E932" w14:textId="66C23EEF" w:rsidR="00040EE5" w:rsidRPr="00780D76" w:rsidRDefault="00040EE5" w:rsidP="008B382E">
      <w:pPr>
        <w:pStyle w:val="Heading1"/>
        <w:keepLines/>
        <w:numPr>
          <w:ilvl w:val="0"/>
          <w:numId w:val="31"/>
        </w:numPr>
        <w:spacing w:before="0" w:after="240" w:line="259" w:lineRule="auto"/>
        <w:ind w:left="426" w:hanging="426"/>
        <w:rPr>
          <w:rFonts w:asciiTheme="minorHAnsi" w:hAnsiTheme="minorHAnsi" w:cstheme="minorHAnsi"/>
        </w:rPr>
      </w:pPr>
      <w:r w:rsidRPr="00780D76">
        <w:rPr>
          <w:rFonts w:asciiTheme="minorHAnsi" w:hAnsiTheme="minorHAnsi" w:cstheme="minorHAnsi"/>
        </w:rPr>
        <w:lastRenderedPageBreak/>
        <w:t>How transferable records are used in Australia</w:t>
      </w:r>
      <w:bookmarkEnd w:id="36"/>
      <w:bookmarkEnd w:id="37"/>
    </w:p>
    <w:p w14:paraId="78E603F8" w14:textId="77777777" w:rsidR="00040EE5"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 xml:space="preserve">The MLETR confirms that electronic transferable records are just as legally valid as traditional, paper-based transferable records. </w:t>
      </w:r>
    </w:p>
    <w:p w14:paraId="2B333502" w14:textId="77777777" w:rsidR="00040EE5"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 xml:space="preserve">If enacted in Australia, the MLETR would therefore give confidence to Australian trade participants that they may use and exchange electronic transferable records (like electronic bills of lading and bills of exchange) instead of paper versions for the purpose of Australian law. </w:t>
      </w:r>
    </w:p>
    <w:p w14:paraId="66856790" w14:textId="77777777" w:rsidR="00040EE5"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 xml:space="preserve">However, Australian laws dealing with industry’s use of transferable records do not necessarily require much day-to-day oversight from government. Accordingly, this part of the consultation paper is intended to collect information about how stakeholders currently use transferable records. </w:t>
      </w:r>
    </w:p>
    <w:p w14:paraId="26E2F759" w14:textId="77777777" w:rsidR="00040EE5"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This will allow us to build a preliminary understanding about what types of records might be included in the scope of any Australian MLETR legislation, and what uses and practices need to be enabled by electronic means.</w:t>
      </w:r>
    </w:p>
    <w:p w14:paraId="6C37EAB8" w14:textId="77777777" w:rsidR="00AA592D" w:rsidRPr="00780D76" w:rsidRDefault="00AA592D" w:rsidP="008B382E">
      <w:pPr>
        <w:pStyle w:val="Heading1"/>
        <w:keepLines/>
        <w:numPr>
          <w:ilvl w:val="1"/>
          <w:numId w:val="31"/>
        </w:numPr>
        <w:spacing w:before="0" w:after="240" w:line="259" w:lineRule="auto"/>
        <w:ind w:left="709" w:hanging="709"/>
        <w:rPr>
          <w:rFonts w:asciiTheme="minorHAnsi" w:hAnsiTheme="minorHAnsi" w:cstheme="minorHAnsi"/>
          <w:sz w:val="36"/>
          <w:lang w:eastAsia="en-AU"/>
        </w:rPr>
      </w:pPr>
      <w:bookmarkStart w:id="38" w:name="_Toc176437878"/>
      <w:r w:rsidRPr="00780D76">
        <w:rPr>
          <w:rFonts w:asciiTheme="minorHAnsi" w:hAnsiTheme="minorHAnsi" w:cstheme="minorHAnsi"/>
          <w:sz w:val="36"/>
          <w:lang w:eastAsia="en-AU"/>
        </w:rPr>
        <w:t>What are transferable records?</w:t>
      </w:r>
      <w:bookmarkEnd w:id="38"/>
    </w:p>
    <w:p w14:paraId="3834896F" w14:textId="77777777" w:rsidR="00040EE5"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 xml:space="preserve">This section introduces transferable records, and asks stakeholders which paper-based transferable records they use in an Australian context. </w:t>
      </w:r>
    </w:p>
    <w:p w14:paraId="52893313" w14:textId="77777777" w:rsidR="00040EE5"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Transferable records are a specific type of document with a special characteristic, where a person who ‘holds’ or ‘possesses’ the original paper document is given a legal right to claim performance of an obligation from another person. This generally means the holder can collect goods or money from that other person. A person can also ‘transfer’ that right by transferring the paper document.</w:t>
      </w:r>
      <w:r w:rsidRPr="00780D76">
        <w:rPr>
          <w:rStyle w:val="FootnoteReference"/>
          <w:rFonts w:asciiTheme="minorHAnsi" w:hAnsiTheme="minorHAnsi" w:cstheme="minorHAnsi"/>
        </w:rPr>
        <w:footnoteReference w:id="7"/>
      </w:r>
      <w:r w:rsidRPr="00780D76">
        <w:rPr>
          <w:rFonts w:asciiTheme="minorHAnsi" w:hAnsiTheme="minorHAnsi" w:cstheme="minorHAnsi"/>
        </w:rPr>
        <w:t xml:space="preserve"> </w:t>
      </w:r>
    </w:p>
    <w:p w14:paraId="7479523D" w14:textId="77777777" w:rsidR="00040EE5"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 xml:space="preserve">Any record that holds the above characteristics is ‘transferable’, regardless of how it is named. </w:t>
      </w:r>
    </w:p>
    <w:p w14:paraId="6D54F567" w14:textId="77777777" w:rsidR="00040EE5"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 xml:space="preserve">Over a long period, the use of different types of transferable records has become commonplace in many aspects of Australian and international trade and commerce. </w:t>
      </w:r>
    </w:p>
    <w:p w14:paraId="6F576B5F" w14:textId="77777777" w:rsidR="00040EE5"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 xml:space="preserve">As a preliminary step, we are interested in undertaking an inventory of the types of transferable records which are currently used by Australian stakeholders. This will also help us identify to readers the kinds of documents in which we are most interested. </w:t>
      </w:r>
    </w:p>
    <w:p w14:paraId="07BF1E91" w14:textId="10D0F379" w:rsidR="004A1972" w:rsidRDefault="004A1972">
      <w:pPr>
        <w:spacing w:before="0" w:after="0" w:line="240" w:lineRule="auto"/>
        <w:rPr>
          <w:rFonts w:asciiTheme="minorHAnsi" w:hAnsiTheme="minorHAnsi" w:cstheme="minorHAnsi"/>
          <w:b/>
          <w:bCs/>
          <w:color w:val="auto"/>
          <w:sz w:val="28"/>
          <w:szCs w:val="20"/>
          <w:lang w:val="en"/>
        </w:rPr>
      </w:pPr>
      <w:bookmarkStart w:id="39" w:name="_Ref176445241"/>
      <w:r>
        <w:rPr>
          <w:rFonts w:asciiTheme="minorHAnsi" w:hAnsiTheme="minorHAnsi" w:cstheme="minorHAnsi"/>
          <w:b/>
          <w:caps/>
          <w:color w:val="auto"/>
          <w:sz w:val="28"/>
        </w:rPr>
        <w:br w:type="page"/>
      </w:r>
    </w:p>
    <w:p w14:paraId="3B191491" w14:textId="77777777" w:rsidR="009B6057" w:rsidRPr="00780D76" w:rsidRDefault="009B6057" w:rsidP="00A10DE8">
      <w:pPr>
        <w:pStyle w:val="Boxheading"/>
        <w:numPr>
          <w:ilvl w:val="0"/>
          <w:numId w:val="32"/>
        </w:numPr>
        <w:spacing w:line="240" w:lineRule="auto"/>
        <w:outlineLvl w:val="2"/>
        <w:rPr>
          <w:rFonts w:asciiTheme="minorHAnsi" w:hAnsiTheme="minorHAnsi" w:cstheme="minorHAnsi"/>
          <w:b/>
          <w:caps w:val="0"/>
          <w:color w:val="auto"/>
          <w:sz w:val="28"/>
        </w:rPr>
      </w:pPr>
      <w:bookmarkStart w:id="40" w:name="_Ref176524736"/>
    </w:p>
    <w:bookmarkEnd w:id="39"/>
    <w:bookmarkEnd w:id="40"/>
    <w:p w14:paraId="4A044850" w14:textId="77777777" w:rsidR="00040EE5" w:rsidRPr="00780D76" w:rsidRDefault="00040EE5" w:rsidP="00AA592D">
      <w:pPr>
        <w:pStyle w:val="Boxheading"/>
        <w:spacing w:line="240" w:lineRule="auto"/>
        <w:rPr>
          <w:rFonts w:asciiTheme="minorHAnsi" w:hAnsiTheme="minorHAnsi" w:cstheme="minorHAnsi"/>
          <w:caps w:val="0"/>
          <w:color w:val="auto"/>
        </w:rPr>
      </w:pPr>
      <w:r w:rsidRPr="00780D76">
        <w:rPr>
          <w:rFonts w:asciiTheme="minorHAnsi" w:hAnsiTheme="minorHAnsi" w:cstheme="minorHAnsi"/>
          <w:caps w:val="0"/>
          <w:color w:val="auto"/>
        </w:rPr>
        <w:t xml:space="preserve">Please identify which of the below documents you most predominantly use in your business activities. You may select more than one. </w:t>
      </w:r>
    </w:p>
    <w:p w14:paraId="21570247" w14:textId="77777777" w:rsidR="00040EE5" w:rsidRPr="00780D76" w:rsidRDefault="00040EE5" w:rsidP="00AA592D">
      <w:pPr>
        <w:pStyle w:val="Boxheading"/>
        <w:spacing w:line="240" w:lineRule="auto"/>
        <w:rPr>
          <w:rFonts w:asciiTheme="minorHAnsi" w:hAnsiTheme="minorHAnsi" w:cstheme="minorHAnsi"/>
          <w:caps w:val="0"/>
          <w:color w:val="auto"/>
        </w:rPr>
      </w:pPr>
      <w:r w:rsidRPr="00780D76">
        <w:rPr>
          <w:rFonts w:asciiTheme="minorHAnsi" w:hAnsiTheme="minorHAnsi" w:cstheme="minorHAnsi"/>
          <w:caps w:val="0"/>
          <w:color w:val="auto"/>
        </w:rPr>
        <w:t>Alternatively, if you do not use any of these documents yourselves, please select those with which you are most familiar, or with which others in your network most predominantly use.</w:t>
      </w:r>
    </w:p>
    <w:p w14:paraId="21FF0FC6" w14:textId="77777777" w:rsidR="00040EE5" w:rsidRPr="00780D76" w:rsidRDefault="00040EE5" w:rsidP="00AA592D">
      <w:pPr>
        <w:pStyle w:val="Boxheading"/>
        <w:numPr>
          <w:ilvl w:val="0"/>
          <w:numId w:val="6"/>
        </w:numPr>
        <w:spacing w:line="240" w:lineRule="auto"/>
        <w:rPr>
          <w:rFonts w:asciiTheme="minorHAnsi" w:hAnsiTheme="minorHAnsi" w:cstheme="minorHAnsi"/>
          <w:b/>
          <w:caps w:val="0"/>
          <w:color w:val="auto"/>
        </w:rPr>
      </w:pPr>
      <w:r w:rsidRPr="00780D76">
        <w:rPr>
          <w:rFonts w:asciiTheme="minorHAnsi" w:hAnsiTheme="minorHAnsi" w:cstheme="minorHAnsi"/>
          <w:b/>
          <w:caps w:val="0"/>
          <w:color w:val="auto"/>
        </w:rPr>
        <w:t xml:space="preserve">bills of exchange </w:t>
      </w:r>
      <w:r w:rsidRPr="00780D76">
        <w:rPr>
          <w:rFonts w:asciiTheme="minorHAnsi" w:hAnsiTheme="minorHAnsi" w:cstheme="minorHAnsi"/>
          <w:b/>
          <w:caps w:val="0"/>
          <w:color w:val="auto"/>
        </w:rPr>
        <w:tab/>
      </w:r>
      <w:r w:rsidRPr="00780D76">
        <w:rPr>
          <w:rFonts w:asciiTheme="minorHAnsi" w:hAnsiTheme="minorHAnsi" w:cstheme="minorHAnsi"/>
          <w:b/>
          <w:caps w:val="0"/>
          <w:color w:val="auto"/>
        </w:rPr>
        <w:tab/>
      </w:r>
      <w:r w:rsidRPr="00780D76">
        <w:rPr>
          <w:rFonts w:asciiTheme="minorHAnsi" w:hAnsiTheme="minorHAnsi" w:cstheme="minorHAnsi"/>
          <w:b/>
          <w:caps w:val="0"/>
          <w:color w:val="auto"/>
        </w:rPr>
        <w:tab/>
      </w:r>
      <w:r w:rsidRPr="00780D76">
        <w:rPr>
          <w:rFonts w:asciiTheme="minorHAnsi" w:hAnsiTheme="minorHAnsi" w:cstheme="minorHAnsi"/>
          <w:b/>
          <w:caps w:val="0"/>
          <w:color w:val="auto"/>
        </w:rPr>
        <w:tab/>
        <w:t>(h) air waybills</w:t>
      </w:r>
      <w:r w:rsidRPr="00780D76">
        <w:rPr>
          <w:rStyle w:val="FootnoteReference"/>
          <w:rFonts w:asciiTheme="minorHAnsi" w:hAnsiTheme="minorHAnsi" w:cstheme="minorHAnsi"/>
          <w:b/>
          <w:caps w:val="0"/>
          <w:color w:val="auto"/>
        </w:rPr>
        <w:footnoteReference w:id="8"/>
      </w:r>
      <w:r w:rsidRPr="00780D76">
        <w:rPr>
          <w:rFonts w:asciiTheme="minorHAnsi" w:hAnsiTheme="minorHAnsi" w:cstheme="minorHAnsi"/>
          <w:b/>
          <w:caps w:val="0"/>
          <w:color w:val="auto"/>
        </w:rPr>
        <w:t xml:space="preserve"> </w:t>
      </w:r>
    </w:p>
    <w:p w14:paraId="510CD853" w14:textId="77777777" w:rsidR="00040EE5" w:rsidRPr="00780D76" w:rsidRDefault="00040EE5" w:rsidP="00AA592D">
      <w:pPr>
        <w:pStyle w:val="Boxheading"/>
        <w:numPr>
          <w:ilvl w:val="0"/>
          <w:numId w:val="6"/>
        </w:numPr>
        <w:spacing w:line="240" w:lineRule="auto"/>
        <w:rPr>
          <w:rFonts w:asciiTheme="minorHAnsi" w:hAnsiTheme="minorHAnsi" w:cstheme="minorHAnsi"/>
          <w:b/>
          <w:caps w:val="0"/>
          <w:color w:val="auto"/>
        </w:rPr>
      </w:pPr>
      <w:r w:rsidRPr="00780D76">
        <w:rPr>
          <w:rFonts w:asciiTheme="minorHAnsi" w:hAnsiTheme="minorHAnsi" w:cstheme="minorHAnsi"/>
          <w:b/>
          <w:caps w:val="0"/>
          <w:color w:val="auto"/>
        </w:rPr>
        <w:t>cheques</w:t>
      </w:r>
      <w:r w:rsidRPr="00780D76">
        <w:rPr>
          <w:rFonts w:asciiTheme="minorHAnsi" w:hAnsiTheme="minorHAnsi" w:cstheme="minorHAnsi"/>
          <w:b/>
          <w:caps w:val="0"/>
          <w:color w:val="auto"/>
        </w:rPr>
        <w:tab/>
      </w:r>
      <w:r w:rsidRPr="00780D76">
        <w:rPr>
          <w:rFonts w:asciiTheme="minorHAnsi" w:hAnsiTheme="minorHAnsi" w:cstheme="minorHAnsi"/>
          <w:b/>
          <w:caps w:val="0"/>
          <w:color w:val="auto"/>
        </w:rPr>
        <w:tab/>
      </w:r>
      <w:r w:rsidRPr="00780D76">
        <w:rPr>
          <w:rFonts w:asciiTheme="minorHAnsi" w:hAnsiTheme="minorHAnsi" w:cstheme="minorHAnsi"/>
          <w:b/>
          <w:caps w:val="0"/>
          <w:color w:val="auto"/>
        </w:rPr>
        <w:tab/>
      </w:r>
      <w:r w:rsidRPr="00780D76">
        <w:rPr>
          <w:rFonts w:asciiTheme="minorHAnsi" w:hAnsiTheme="minorHAnsi" w:cstheme="minorHAnsi"/>
          <w:b/>
          <w:caps w:val="0"/>
          <w:color w:val="auto"/>
        </w:rPr>
        <w:tab/>
      </w:r>
      <w:r w:rsidRPr="00780D76">
        <w:rPr>
          <w:rFonts w:asciiTheme="minorHAnsi" w:hAnsiTheme="minorHAnsi" w:cstheme="minorHAnsi"/>
          <w:b/>
          <w:caps w:val="0"/>
          <w:color w:val="auto"/>
        </w:rPr>
        <w:tab/>
        <w:t>(i) letters of credit</w:t>
      </w:r>
      <w:r w:rsidRPr="00780D76">
        <w:rPr>
          <w:rStyle w:val="FootnoteReference"/>
          <w:rFonts w:asciiTheme="minorHAnsi" w:hAnsiTheme="minorHAnsi" w:cstheme="minorHAnsi"/>
          <w:b/>
          <w:caps w:val="0"/>
          <w:color w:val="auto"/>
        </w:rPr>
        <w:footnoteReference w:id="9"/>
      </w:r>
    </w:p>
    <w:p w14:paraId="74D3C73C" w14:textId="77777777" w:rsidR="00040EE5" w:rsidRPr="00780D76" w:rsidRDefault="00040EE5" w:rsidP="00AA592D">
      <w:pPr>
        <w:pStyle w:val="Boxheading"/>
        <w:numPr>
          <w:ilvl w:val="0"/>
          <w:numId w:val="6"/>
        </w:numPr>
        <w:spacing w:line="240" w:lineRule="auto"/>
        <w:rPr>
          <w:rFonts w:asciiTheme="minorHAnsi" w:hAnsiTheme="minorHAnsi" w:cstheme="minorHAnsi"/>
          <w:b/>
          <w:caps w:val="0"/>
          <w:color w:val="auto"/>
        </w:rPr>
      </w:pPr>
      <w:r w:rsidRPr="00780D76">
        <w:rPr>
          <w:rFonts w:asciiTheme="minorHAnsi" w:hAnsiTheme="minorHAnsi" w:cstheme="minorHAnsi"/>
          <w:b/>
          <w:caps w:val="0"/>
          <w:color w:val="auto"/>
        </w:rPr>
        <w:t>promissory notes</w:t>
      </w:r>
      <w:r w:rsidRPr="00780D76">
        <w:rPr>
          <w:rFonts w:asciiTheme="minorHAnsi" w:hAnsiTheme="minorHAnsi" w:cstheme="minorHAnsi"/>
          <w:b/>
          <w:caps w:val="0"/>
          <w:color w:val="auto"/>
        </w:rPr>
        <w:tab/>
      </w:r>
      <w:r w:rsidRPr="00780D76">
        <w:rPr>
          <w:rFonts w:asciiTheme="minorHAnsi" w:hAnsiTheme="minorHAnsi" w:cstheme="minorHAnsi"/>
          <w:b/>
          <w:caps w:val="0"/>
          <w:color w:val="auto"/>
        </w:rPr>
        <w:tab/>
      </w:r>
      <w:r w:rsidRPr="00780D76">
        <w:rPr>
          <w:rFonts w:asciiTheme="minorHAnsi" w:hAnsiTheme="minorHAnsi" w:cstheme="minorHAnsi"/>
          <w:b/>
          <w:caps w:val="0"/>
          <w:color w:val="auto"/>
        </w:rPr>
        <w:tab/>
      </w:r>
      <w:r w:rsidRPr="00780D76">
        <w:rPr>
          <w:rFonts w:asciiTheme="minorHAnsi" w:hAnsiTheme="minorHAnsi" w:cstheme="minorHAnsi"/>
          <w:b/>
          <w:caps w:val="0"/>
          <w:color w:val="auto"/>
        </w:rPr>
        <w:tab/>
        <w:t>(j) dock warrants</w:t>
      </w:r>
    </w:p>
    <w:p w14:paraId="7B8F35E4" w14:textId="77777777" w:rsidR="00040EE5" w:rsidRPr="00780D76" w:rsidRDefault="00040EE5" w:rsidP="00AA592D">
      <w:pPr>
        <w:pStyle w:val="Boxheading"/>
        <w:numPr>
          <w:ilvl w:val="0"/>
          <w:numId w:val="6"/>
        </w:numPr>
        <w:spacing w:line="240" w:lineRule="auto"/>
        <w:rPr>
          <w:rFonts w:asciiTheme="minorHAnsi" w:hAnsiTheme="minorHAnsi" w:cstheme="minorHAnsi"/>
          <w:b/>
          <w:caps w:val="0"/>
          <w:color w:val="auto"/>
        </w:rPr>
      </w:pPr>
      <w:r w:rsidRPr="00780D76">
        <w:rPr>
          <w:rFonts w:asciiTheme="minorHAnsi" w:hAnsiTheme="minorHAnsi" w:cstheme="minorHAnsi"/>
          <w:b/>
          <w:caps w:val="0"/>
          <w:color w:val="auto"/>
        </w:rPr>
        <w:t>consignment notes</w:t>
      </w:r>
      <w:r w:rsidRPr="00780D76">
        <w:rPr>
          <w:rFonts w:asciiTheme="minorHAnsi" w:hAnsiTheme="minorHAnsi" w:cstheme="minorHAnsi"/>
          <w:b/>
          <w:caps w:val="0"/>
          <w:color w:val="auto"/>
        </w:rPr>
        <w:tab/>
      </w:r>
      <w:r w:rsidRPr="00780D76">
        <w:rPr>
          <w:rFonts w:asciiTheme="minorHAnsi" w:hAnsiTheme="minorHAnsi" w:cstheme="minorHAnsi"/>
          <w:b/>
          <w:caps w:val="0"/>
          <w:color w:val="auto"/>
        </w:rPr>
        <w:tab/>
      </w:r>
      <w:r w:rsidRPr="00780D76">
        <w:rPr>
          <w:rFonts w:asciiTheme="minorHAnsi" w:hAnsiTheme="minorHAnsi" w:cstheme="minorHAnsi"/>
          <w:b/>
          <w:caps w:val="0"/>
          <w:color w:val="auto"/>
        </w:rPr>
        <w:tab/>
        <w:t>(k) dock receipts</w:t>
      </w:r>
      <w:r w:rsidRPr="00780D76">
        <w:rPr>
          <w:rStyle w:val="FootnoteReference"/>
          <w:rFonts w:asciiTheme="minorHAnsi" w:hAnsiTheme="minorHAnsi" w:cstheme="minorHAnsi"/>
          <w:b/>
          <w:caps w:val="0"/>
          <w:color w:val="auto"/>
        </w:rPr>
        <w:footnoteReference w:id="10"/>
      </w:r>
    </w:p>
    <w:p w14:paraId="401357A6" w14:textId="77777777" w:rsidR="00040EE5" w:rsidRPr="00780D76" w:rsidRDefault="00040EE5" w:rsidP="00AA592D">
      <w:pPr>
        <w:pStyle w:val="Boxheading"/>
        <w:numPr>
          <w:ilvl w:val="0"/>
          <w:numId w:val="6"/>
        </w:numPr>
        <w:spacing w:line="240" w:lineRule="auto"/>
        <w:rPr>
          <w:rFonts w:asciiTheme="minorHAnsi" w:hAnsiTheme="minorHAnsi" w:cstheme="minorHAnsi"/>
          <w:b/>
          <w:caps w:val="0"/>
          <w:color w:val="auto"/>
        </w:rPr>
      </w:pPr>
      <w:r w:rsidRPr="00780D76">
        <w:rPr>
          <w:rFonts w:asciiTheme="minorHAnsi" w:hAnsiTheme="minorHAnsi" w:cstheme="minorHAnsi"/>
          <w:b/>
          <w:caps w:val="0"/>
          <w:color w:val="auto"/>
        </w:rPr>
        <w:t>bills of lading</w:t>
      </w:r>
      <w:r w:rsidRPr="00780D76">
        <w:rPr>
          <w:rFonts w:asciiTheme="minorHAnsi" w:hAnsiTheme="minorHAnsi" w:cstheme="minorHAnsi"/>
          <w:b/>
          <w:caps w:val="0"/>
          <w:color w:val="auto"/>
        </w:rPr>
        <w:tab/>
      </w:r>
      <w:r w:rsidRPr="00780D76">
        <w:rPr>
          <w:rFonts w:asciiTheme="minorHAnsi" w:hAnsiTheme="minorHAnsi" w:cstheme="minorHAnsi"/>
          <w:b/>
          <w:caps w:val="0"/>
          <w:color w:val="auto"/>
        </w:rPr>
        <w:tab/>
      </w:r>
      <w:r w:rsidRPr="00780D76">
        <w:rPr>
          <w:rFonts w:asciiTheme="minorHAnsi" w:hAnsiTheme="minorHAnsi" w:cstheme="minorHAnsi"/>
          <w:b/>
          <w:caps w:val="0"/>
          <w:color w:val="auto"/>
        </w:rPr>
        <w:tab/>
      </w:r>
      <w:r w:rsidRPr="00780D76">
        <w:rPr>
          <w:rFonts w:asciiTheme="minorHAnsi" w:hAnsiTheme="minorHAnsi" w:cstheme="minorHAnsi"/>
          <w:b/>
          <w:caps w:val="0"/>
          <w:color w:val="auto"/>
        </w:rPr>
        <w:tab/>
        <w:t>(l) ships delivery orders</w:t>
      </w:r>
    </w:p>
    <w:p w14:paraId="411663D4" w14:textId="77777777" w:rsidR="00040EE5" w:rsidRPr="00780D76" w:rsidRDefault="00040EE5" w:rsidP="00AA592D">
      <w:pPr>
        <w:pStyle w:val="Boxheading"/>
        <w:numPr>
          <w:ilvl w:val="0"/>
          <w:numId w:val="6"/>
        </w:numPr>
        <w:spacing w:line="240" w:lineRule="auto"/>
        <w:rPr>
          <w:rFonts w:asciiTheme="minorHAnsi" w:hAnsiTheme="minorHAnsi" w:cstheme="minorHAnsi"/>
          <w:b/>
          <w:caps w:val="0"/>
          <w:color w:val="auto"/>
        </w:rPr>
      </w:pPr>
      <w:r w:rsidRPr="00780D76">
        <w:rPr>
          <w:rFonts w:asciiTheme="minorHAnsi" w:hAnsiTheme="minorHAnsi" w:cstheme="minorHAnsi"/>
          <w:b/>
          <w:caps w:val="0"/>
          <w:color w:val="auto"/>
        </w:rPr>
        <w:t>warehouse receipts</w:t>
      </w:r>
      <w:r w:rsidRPr="00780D76">
        <w:rPr>
          <w:rFonts w:asciiTheme="minorHAnsi" w:hAnsiTheme="minorHAnsi" w:cstheme="minorHAnsi"/>
          <w:b/>
          <w:caps w:val="0"/>
          <w:color w:val="auto"/>
        </w:rPr>
        <w:tab/>
      </w:r>
      <w:r w:rsidRPr="00780D76">
        <w:rPr>
          <w:rFonts w:asciiTheme="minorHAnsi" w:hAnsiTheme="minorHAnsi" w:cstheme="minorHAnsi"/>
          <w:b/>
          <w:caps w:val="0"/>
          <w:color w:val="auto"/>
        </w:rPr>
        <w:tab/>
      </w:r>
      <w:r w:rsidRPr="00780D76">
        <w:rPr>
          <w:rFonts w:asciiTheme="minorHAnsi" w:hAnsiTheme="minorHAnsi" w:cstheme="minorHAnsi"/>
          <w:b/>
          <w:caps w:val="0"/>
          <w:color w:val="auto"/>
        </w:rPr>
        <w:tab/>
        <w:t>(m) mate’s receipts</w:t>
      </w:r>
      <w:r w:rsidRPr="00780D76">
        <w:rPr>
          <w:rStyle w:val="FootnoteReference"/>
          <w:rFonts w:asciiTheme="minorHAnsi" w:hAnsiTheme="minorHAnsi" w:cstheme="minorHAnsi"/>
          <w:b/>
          <w:caps w:val="0"/>
          <w:color w:val="auto"/>
        </w:rPr>
        <w:footnoteReference w:id="11"/>
      </w:r>
    </w:p>
    <w:p w14:paraId="1300A4C5" w14:textId="77777777" w:rsidR="00040EE5" w:rsidRPr="00780D76" w:rsidRDefault="00040EE5" w:rsidP="00AA592D">
      <w:pPr>
        <w:pStyle w:val="Boxheading"/>
        <w:numPr>
          <w:ilvl w:val="0"/>
          <w:numId w:val="6"/>
        </w:numPr>
        <w:spacing w:line="240" w:lineRule="auto"/>
        <w:rPr>
          <w:rFonts w:asciiTheme="minorHAnsi" w:hAnsiTheme="minorHAnsi" w:cstheme="minorHAnsi"/>
          <w:b/>
          <w:caps w:val="0"/>
          <w:color w:val="auto"/>
        </w:rPr>
      </w:pPr>
      <w:r w:rsidRPr="00780D76">
        <w:rPr>
          <w:rFonts w:asciiTheme="minorHAnsi" w:hAnsiTheme="minorHAnsi" w:cstheme="minorHAnsi"/>
          <w:b/>
          <w:caps w:val="0"/>
          <w:color w:val="auto"/>
        </w:rPr>
        <w:t xml:space="preserve">transferable insurance certificates, </w:t>
      </w:r>
      <w:r w:rsidRPr="00780D76">
        <w:rPr>
          <w:rFonts w:asciiTheme="minorHAnsi" w:hAnsiTheme="minorHAnsi" w:cstheme="minorHAnsi"/>
          <w:b/>
          <w:caps w:val="0"/>
          <w:color w:val="auto"/>
        </w:rPr>
        <w:tab/>
        <w:t>(n) warehouse-keeper’s certificates</w:t>
      </w:r>
      <w:r w:rsidRPr="00780D76">
        <w:rPr>
          <w:rFonts w:asciiTheme="minorHAnsi" w:hAnsiTheme="minorHAnsi" w:cstheme="minorHAnsi"/>
          <w:b/>
          <w:caps w:val="0"/>
          <w:color w:val="auto"/>
        </w:rPr>
        <w:br/>
        <w:t xml:space="preserve">like marine insurance policies and </w:t>
      </w:r>
      <w:r w:rsidRPr="00780D76">
        <w:rPr>
          <w:rFonts w:asciiTheme="minorHAnsi" w:hAnsiTheme="minorHAnsi" w:cstheme="minorHAnsi"/>
          <w:b/>
          <w:caps w:val="0"/>
          <w:color w:val="auto"/>
        </w:rPr>
        <w:br/>
        <w:t>cargo insurance certificates</w:t>
      </w:r>
      <w:r w:rsidRPr="00780D76">
        <w:rPr>
          <w:rFonts w:asciiTheme="minorHAnsi" w:hAnsiTheme="minorHAnsi" w:cstheme="minorHAnsi"/>
          <w:b/>
          <w:caps w:val="0"/>
          <w:color w:val="auto"/>
        </w:rPr>
        <w:tab/>
      </w:r>
      <w:r w:rsidRPr="00780D76">
        <w:rPr>
          <w:rFonts w:asciiTheme="minorHAnsi" w:hAnsiTheme="minorHAnsi" w:cstheme="minorHAnsi"/>
          <w:b/>
          <w:caps w:val="0"/>
          <w:color w:val="auto"/>
        </w:rPr>
        <w:tab/>
        <w:t>(o) wharfinger’s certificates</w:t>
      </w:r>
      <w:r w:rsidRPr="00780D76">
        <w:rPr>
          <w:rStyle w:val="FootnoteReference"/>
          <w:rFonts w:asciiTheme="minorHAnsi" w:hAnsiTheme="minorHAnsi" w:cstheme="minorHAnsi"/>
          <w:b/>
          <w:caps w:val="0"/>
          <w:color w:val="auto"/>
        </w:rPr>
        <w:footnoteReference w:id="12"/>
      </w:r>
    </w:p>
    <w:p w14:paraId="1ABDCA7F" w14:textId="77777777" w:rsidR="00040EE5" w:rsidRPr="00780D76" w:rsidRDefault="00040EE5" w:rsidP="00AA592D">
      <w:pPr>
        <w:spacing w:line="240" w:lineRule="auto"/>
        <w:rPr>
          <w:rFonts w:asciiTheme="minorHAnsi" w:hAnsiTheme="minorHAnsi" w:cstheme="minorHAnsi"/>
        </w:rPr>
      </w:pPr>
    </w:p>
    <w:p w14:paraId="7E0E3510" w14:textId="77777777" w:rsidR="00040EE5" w:rsidRPr="00780D76" w:rsidRDefault="00040EE5" w:rsidP="00A10DE8">
      <w:pPr>
        <w:pStyle w:val="Boxheading"/>
        <w:numPr>
          <w:ilvl w:val="0"/>
          <w:numId w:val="32"/>
        </w:numPr>
        <w:spacing w:line="240" w:lineRule="auto"/>
        <w:outlineLvl w:val="2"/>
        <w:rPr>
          <w:rFonts w:asciiTheme="minorHAnsi" w:hAnsiTheme="minorHAnsi" w:cstheme="minorHAnsi"/>
          <w:b/>
          <w:caps w:val="0"/>
          <w:color w:val="auto"/>
          <w:sz w:val="28"/>
        </w:rPr>
      </w:pPr>
      <w:bookmarkStart w:id="41" w:name="_Ref176445262"/>
      <w:r w:rsidRPr="00780D76">
        <w:rPr>
          <w:rFonts w:asciiTheme="minorHAnsi" w:hAnsiTheme="minorHAnsi" w:cstheme="minorHAnsi"/>
          <w:b/>
          <w:caps w:val="0"/>
          <w:color w:val="auto"/>
          <w:sz w:val="28"/>
        </w:rPr>
        <w:t xml:space="preserve"> </w:t>
      </w:r>
      <w:bookmarkEnd w:id="41"/>
    </w:p>
    <w:p w14:paraId="0216993B" w14:textId="77777777" w:rsidR="00040EE5" w:rsidRPr="00780D76" w:rsidRDefault="00040EE5" w:rsidP="00AA592D">
      <w:pPr>
        <w:pStyle w:val="Boxheading"/>
        <w:spacing w:line="240" w:lineRule="auto"/>
        <w:rPr>
          <w:rFonts w:asciiTheme="minorHAnsi" w:hAnsiTheme="minorHAnsi" w:cstheme="minorHAnsi"/>
          <w:caps w:val="0"/>
          <w:color w:val="auto"/>
        </w:rPr>
      </w:pPr>
      <w:r w:rsidRPr="00780D76">
        <w:rPr>
          <w:rFonts w:asciiTheme="minorHAnsi" w:hAnsiTheme="minorHAnsi" w:cstheme="minorHAnsi"/>
          <w:caps w:val="0"/>
          <w:color w:val="auto"/>
        </w:rPr>
        <w:t xml:space="preserve">Can you identify any other document, used in Australia or by Australian entities, where a person needs to physically possess the document in order to claim the goods or money stated on the document? </w:t>
      </w:r>
    </w:p>
    <w:p w14:paraId="38012DFF" w14:textId="77777777" w:rsidR="00040EE5" w:rsidRPr="00780D76" w:rsidRDefault="00040EE5" w:rsidP="00AA592D">
      <w:pPr>
        <w:pStyle w:val="Boxheading"/>
        <w:spacing w:line="240" w:lineRule="auto"/>
        <w:rPr>
          <w:rFonts w:asciiTheme="minorHAnsi" w:hAnsiTheme="minorHAnsi" w:cstheme="minorHAnsi"/>
          <w:i/>
          <w:color w:val="auto"/>
          <w:highlight w:val="yellow"/>
        </w:rPr>
      </w:pPr>
      <w:r w:rsidRPr="00780D76">
        <w:rPr>
          <w:rFonts w:asciiTheme="minorHAnsi" w:hAnsiTheme="minorHAnsi" w:cstheme="minorHAnsi"/>
          <w:i/>
          <w:caps w:val="0"/>
          <w:color w:val="auto"/>
        </w:rPr>
        <w:t>Under the MLETR, a ‘transferable record’ is a type of document, issued on paper, which entitles the holder to claim performance of an obligation, and which can be transferred to another person along with the right to performance.</w:t>
      </w:r>
    </w:p>
    <w:p w14:paraId="204E6702" w14:textId="77777777" w:rsidR="00040EE5" w:rsidRPr="00780D76" w:rsidRDefault="00040EE5" w:rsidP="008B382E">
      <w:pPr>
        <w:pStyle w:val="Heading1"/>
        <w:keepLines/>
        <w:numPr>
          <w:ilvl w:val="1"/>
          <w:numId w:val="31"/>
        </w:numPr>
        <w:spacing w:before="0" w:after="240" w:line="259" w:lineRule="auto"/>
        <w:ind w:left="709" w:hanging="709"/>
        <w:rPr>
          <w:rFonts w:asciiTheme="minorHAnsi" w:hAnsiTheme="minorHAnsi" w:cstheme="minorHAnsi"/>
          <w:sz w:val="36"/>
          <w:lang w:eastAsia="en-AU"/>
        </w:rPr>
      </w:pPr>
      <w:bookmarkStart w:id="42" w:name="_Toc176437879"/>
      <w:r w:rsidRPr="00780D76">
        <w:rPr>
          <w:rFonts w:asciiTheme="minorHAnsi" w:hAnsiTheme="minorHAnsi" w:cstheme="minorHAnsi"/>
          <w:sz w:val="36"/>
          <w:lang w:eastAsia="en-AU"/>
        </w:rPr>
        <w:lastRenderedPageBreak/>
        <w:t>How are transferable records currently used in Australia?</w:t>
      </w:r>
      <w:bookmarkEnd w:id="42"/>
    </w:p>
    <w:p w14:paraId="7AD27A42" w14:textId="77777777" w:rsidR="00040EE5"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 xml:space="preserve">We are also interested in undertaking an inventory of the different ways that transferable records are used in Australia. This will help us identify the different commercial uses which may need to be enabled by electronic means, as well as any potential legal and constitutional issues. </w:t>
      </w:r>
    </w:p>
    <w:p w14:paraId="77A94191" w14:textId="77777777" w:rsidR="00040EE5"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 xml:space="preserve">For example, based on our preliminary engagement with stakeholders, our understanding is that ‘bills of lading’ may be used for a wide number of different commercial purposes, including the following: </w:t>
      </w:r>
    </w:p>
    <w:p w14:paraId="334540CD" w14:textId="77777777" w:rsidR="00040EE5" w:rsidRPr="00780D76" w:rsidRDefault="00040EE5" w:rsidP="000E01D0">
      <w:pPr>
        <w:pStyle w:val="ListParagraph"/>
        <w:numPr>
          <w:ilvl w:val="0"/>
          <w:numId w:val="5"/>
        </w:numPr>
        <w:spacing w:line="276" w:lineRule="auto"/>
        <w:jc w:val="both"/>
        <w:rPr>
          <w:rFonts w:asciiTheme="minorHAnsi" w:hAnsiTheme="minorHAnsi" w:cstheme="minorHAnsi"/>
        </w:rPr>
      </w:pPr>
      <w:r w:rsidRPr="00780D76">
        <w:rPr>
          <w:rFonts w:asciiTheme="minorHAnsi" w:hAnsiTheme="minorHAnsi" w:cstheme="minorHAnsi"/>
        </w:rPr>
        <w:t>sellers of goods can hold onto the original bill of lading until the buyer has paid for the goods, or has met another condition of the sale contract, to incentivise payment</w:t>
      </w:r>
    </w:p>
    <w:p w14:paraId="02D3CC52" w14:textId="77777777" w:rsidR="00040EE5" w:rsidRPr="00780D76" w:rsidRDefault="00040EE5" w:rsidP="000E01D0">
      <w:pPr>
        <w:pStyle w:val="ListParagraph"/>
        <w:numPr>
          <w:ilvl w:val="0"/>
          <w:numId w:val="5"/>
        </w:numPr>
        <w:spacing w:line="276" w:lineRule="auto"/>
        <w:jc w:val="both"/>
        <w:rPr>
          <w:rFonts w:asciiTheme="minorHAnsi" w:hAnsiTheme="minorHAnsi" w:cstheme="minorHAnsi"/>
        </w:rPr>
      </w:pPr>
      <w:r w:rsidRPr="00780D76">
        <w:rPr>
          <w:rFonts w:asciiTheme="minorHAnsi" w:hAnsiTheme="minorHAnsi" w:cstheme="minorHAnsi"/>
        </w:rPr>
        <w:t>shippers of goods may need to sign or endorse a bill of lading to give effect to a valid transfer of the bill to the consignee</w:t>
      </w:r>
    </w:p>
    <w:p w14:paraId="12522315" w14:textId="77777777" w:rsidR="00040EE5" w:rsidRPr="00780D76" w:rsidRDefault="00040EE5" w:rsidP="000E01D0">
      <w:pPr>
        <w:pStyle w:val="ListParagraph"/>
        <w:numPr>
          <w:ilvl w:val="0"/>
          <w:numId w:val="5"/>
        </w:numPr>
        <w:spacing w:line="276" w:lineRule="auto"/>
        <w:jc w:val="both"/>
        <w:rPr>
          <w:rFonts w:asciiTheme="minorHAnsi" w:hAnsiTheme="minorHAnsi" w:cstheme="minorHAnsi"/>
        </w:rPr>
      </w:pPr>
      <w:r w:rsidRPr="00780D76">
        <w:rPr>
          <w:rFonts w:asciiTheme="minorHAnsi" w:hAnsiTheme="minorHAnsi" w:cstheme="minorHAnsi"/>
        </w:rPr>
        <w:t>consignees of a bill of lading may produce or give up the bill to a carrier at a port of discharge, in order to collect the transported goods</w:t>
      </w:r>
    </w:p>
    <w:p w14:paraId="7418A66F" w14:textId="77777777" w:rsidR="00040EE5" w:rsidRPr="00780D76" w:rsidRDefault="00040EE5" w:rsidP="000E01D0">
      <w:pPr>
        <w:pStyle w:val="ListParagraph"/>
        <w:numPr>
          <w:ilvl w:val="0"/>
          <w:numId w:val="5"/>
        </w:numPr>
        <w:spacing w:line="276" w:lineRule="auto"/>
        <w:jc w:val="both"/>
        <w:rPr>
          <w:rFonts w:asciiTheme="minorHAnsi" w:hAnsiTheme="minorHAnsi" w:cstheme="minorHAnsi"/>
        </w:rPr>
      </w:pPr>
      <w:r w:rsidRPr="00780D76">
        <w:rPr>
          <w:rFonts w:asciiTheme="minorHAnsi" w:hAnsiTheme="minorHAnsi" w:cstheme="minorHAnsi"/>
        </w:rPr>
        <w:t>buyers of goods can cause the original bill of lading to be transferred to a bank, to be held as security for a loan</w:t>
      </w:r>
    </w:p>
    <w:p w14:paraId="70B5DDF1" w14:textId="77777777" w:rsidR="00040EE5" w:rsidRPr="00780D76" w:rsidRDefault="00040EE5" w:rsidP="000E01D0">
      <w:pPr>
        <w:pStyle w:val="ListParagraph"/>
        <w:numPr>
          <w:ilvl w:val="0"/>
          <w:numId w:val="5"/>
        </w:numPr>
        <w:spacing w:line="276" w:lineRule="auto"/>
        <w:jc w:val="both"/>
        <w:rPr>
          <w:rFonts w:asciiTheme="minorHAnsi" w:hAnsiTheme="minorHAnsi" w:cstheme="minorHAnsi"/>
        </w:rPr>
      </w:pPr>
      <w:r w:rsidRPr="00780D76">
        <w:rPr>
          <w:rFonts w:asciiTheme="minorHAnsi" w:hAnsiTheme="minorHAnsi" w:cstheme="minorHAnsi"/>
        </w:rPr>
        <w:t xml:space="preserve">banks can register a security interest over a physical bill of lading. Note that we discuss potential linkages to the </w:t>
      </w:r>
      <w:r w:rsidRPr="00780D76">
        <w:rPr>
          <w:rFonts w:asciiTheme="minorHAnsi" w:hAnsiTheme="minorHAnsi" w:cstheme="minorHAnsi"/>
          <w:i/>
        </w:rPr>
        <w:t>Personal Property Securities Act 2009</w:t>
      </w:r>
      <w:r w:rsidRPr="00780D76">
        <w:rPr>
          <w:rFonts w:asciiTheme="minorHAnsi" w:hAnsiTheme="minorHAnsi" w:cstheme="minorHAnsi"/>
        </w:rPr>
        <w:t xml:space="preserve"> (Cth) </w:t>
      </w:r>
      <w:r w:rsidRPr="00780D76">
        <w:rPr>
          <w:rFonts w:asciiTheme="minorHAnsi" w:hAnsiTheme="minorHAnsi" w:cstheme="minorHAnsi"/>
          <w:b/>
        </w:rPr>
        <w:t>(PPSA)</w:t>
      </w:r>
      <w:r w:rsidRPr="00780D76">
        <w:rPr>
          <w:rFonts w:asciiTheme="minorHAnsi" w:hAnsiTheme="minorHAnsi" w:cstheme="minorHAnsi"/>
        </w:rPr>
        <w:t xml:space="preserve"> below at </w:t>
      </w:r>
      <w:r w:rsidRPr="00780D76">
        <w:rPr>
          <w:rFonts w:asciiTheme="minorHAnsi" w:hAnsiTheme="minorHAnsi" w:cstheme="minorHAnsi"/>
          <w:b/>
          <w:color w:val="0000FF"/>
          <w:u w:val="single"/>
        </w:rPr>
        <w:t xml:space="preserve">part </w:t>
      </w:r>
      <w:r w:rsidR="009B6057" w:rsidRPr="00780D76">
        <w:rPr>
          <w:rFonts w:asciiTheme="minorHAnsi" w:hAnsiTheme="minorHAnsi" w:cstheme="minorHAnsi"/>
          <w:b/>
          <w:color w:val="0000FF"/>
          <w:u w:val="single"/>
        </w:rPr>
        <w:fldChar w:fldCharType="begin"/>
      </w:r>
      <w:r w:rsidR="009B6057" w:rsidRPr="00780D76">
        <w:rPr>
          <w:rFonts w:asciiTheme="minorHAnsi" w:hAnsiTheme="minorHAnsi" w:cstheme="minorHAnsi"/>
          <w:b/>
          <w:color w:val="0000FF"/>
          <w:u w:val="single"/>
        </w:rPr>
        <w:instrText xml:space="preserve"> REF _Ref176437550 \r \h </w:instrText>
      </w:r>
      <w:r w:rsidR="00BE35EF" w:rsidRPr="00780D76">
        <w:rPr>
          <w:rFonts w:asciiTheme="minorHAnsi" w:hAnsiTheme="minorHAnsi" w:cstheme="minorHAnsi"/>
          <w:b/>
          <w:color w:val="0000FF"/>
          <w:u w:val="single"/>
        </w:rPr>
        <w:instrText xml:space="preserve"> \* MERGEFORMAT </w:instrText>
      </w:r>
      <w:r w:rsidR="009B6057" w:rsidRPr="00780D76">
        <w:rPr>
          <w:rFonts w:asciiTheme="minorHAnsi" w:hAnsiTheme="minorHAnsi" w:cstheme="minorHAnsi"/>
          <w:b/>
          <w:color w:val="0000FF"/>
          <w:u w:val="single"/>
        </w:rPr>
      </w:r>
      <w:r w:rsidR="009B6057" w:rsidRPr="00780D76">
        <w:rPr>
          <w:rFonts w:asciiTheme="minorHAnsi" w:hAnsiTheme="minorHAnsi" w:cstheme="minorHAnsi"/>
          <w:b/>
          <w:color w:val="0000FF"/>
          <w:u w:val="single"/>
        </w:rPr>
        <w:fldChar w:fldCharType="separate"/>
      </w:r>
      <w:r w:rsidR="009B6057" w:rsidRPr="00780D76">
        <w:rPr>
          <w:rFonts w:asciiTheme="minorHAnsi" w:hAnsiTheme="minorHAnsi" w:cstheme="minorHAnsi"/>
          <w:b/>
          <w:color w:val="0000FF"/>
          <w:u w:val="single"/>
        </w:rPr>
        <w:t>3.2</w:t>
      </w:r>
      <w:r w:rsidR="009B6057" w:rsidRPr="00780D76">
        <w:rPr>
          <w:rFonts w:asciiTheme="minorHAnsi" w:hAnsiTheme="minorHAnsi" w:cstheme="minorHAnsi"/>
          <w:b/>
          <w:color w:val="0000FF"/>
          <w:u w:val="single"/>
        </w:rPr>
        <w:fldChar w:fldCharType="end"/>
      </w:r>
      <w:r w:rsidR="009B6057" w:rsidRPr="00780D76">
        <w:rPr>
          <w:rFonts w:asciiTheme="minorHAnsi" w:hAnsiTheme="minorHAnsi" w:cstheme="minorHAnsi"/>
          <w:color w:val="0000FF"/>
        </w:rPr>
        <w:t xml:space="preserve"> </w:t>
      </w:r>
      <w:r w:rsidRPr="00780D76">
        <w:rPr>
          <w:rFonts w:asciiTheme="minorHAnsi" w:hAnsiTheme="minorHAnsi" w:cstheme="minorHAnsi"/>
          <w:color w:val="auto"/>
        </w:rPr>
        <w:t xml:space="preserve">of </w:t>
      </w:r>
      <w:r w:rsidRPr="00780D76">
        <w:rPr>
          <w:rFonts w:asciiTheme="minorHAnsi" w:hAnsiTheme="minorHAnsi" w:cstheme="minorHAnsi"/>
        </w:rPr>
        <w:t>this paper</w:t>
      </w:r>
    </w:p>
    <w:p w14:paraId="0C105CDE" w14:textId="77777777" w:rsidR="00040EE5" w:rsidRPr="00780D76" w:rsidRDefault="00040EE5" w:rsidP="000E01D0">
      <w:pPr>
        <w:pStyle w:val="ListParagraph"/>
        <w:numPr>
          <w:ilvl w:val="0"/>
          <w:numId w:val="5"/>
        </w:numPr>
        <w:spacing w:line="276" w:lineRule="auto"/>
        <w:jc w:val="both"/>
        <w:rPr>
          <w:rFonts w:asciiTheme="minorHAnsi" w:hAnsiTheme="minorHAnsi" w:cstheme="minorHAnsi"/>
        </w:rPr>
      </w:pPr>
      <w:r w:rsidRPr="00780D76">
        <w:rPr>
          <w:rFonts w:asciiTheme="minorHAnsi" w:hAnsiTheme="minorHAnsi" w:cstheme="minorHAnsi"/>
        </w:rPr>
        <w:t>banks can require an original bill of lading to be transferred to them, before they issue a letter of credit to a seller</w:t>
      </w:r>
    </w:p>
    <w:p w14:paraId="6AC75CEE" w14:textId="77777777" w:rsidR="00040EE5" w:rsidRPr="00780D76" w:rsidRDefault="00040EE5" w:rsidP="000E01D0">
      <w:pPr>
        <w:pStyle w:val="ListParagraph"/>
        <w:numPr>
          <w:ilvl w:val="0"/>
          <w:numId w:val="5"/>
        </w:numPr>
        <w:spacing w:line="276" w:lineRule="auto"/>
        <w:jc w:val="both"/>
        <w:rPr>
          <w:rFonts w:asciiTheme="minorHAnsi" w:hAnsiTheme="minorHAnsi" w:cstheme="minorHAnsi"/>
        </w:rPr>
      </w:pPr>
      <w:r w:rsidRPr="00780D76">
        <w:rPr>
          <w:rFonts w:asciiTheme="minorHAnsi" w:hAnsiTheme="minorHAnsi" w:cstheme="minorHAnsi"/>
        </w:rPr>
        <w:t xml:space="preserve">insurance providers might pay insurance proceeds only to the person who is in possession of the original bill of lading. </w:t>
      </w:r>
    </w:p>
    <w:p w14:paraId="7D44FDB5" w14:textId="77777777" w:rsidR="00040EE5"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Bills of lading can also be used for evidentiary or regulatory purposes: A person may be required to lodge or store a bill of lading, or a copy of the bill, with another entity in accordance with law or contract.</w:t>
      </w:r>
    </w:p>
    <w:p w14:paraId="5AC614A5" w14:textId="77777777" w:rsidR="00040EE5" w:rsidRPr="00780D76" w:rsidRDefault="00040EE5" w:rsidP="00A10DE8">
      <w:pPr>
        <w:pStyle w:val="Boxheading"/>
        <w:numPr>
          <w:ilvl w:val="0"/>
          <w:numId w:val="32"/>
        </w:numPr>
        <w:spacing w:line="240" w:lineRule="auto"/>
        <w:outlineLvl w:val="2"/>
        <w:rPr>
          <w:rFonts w:asciiTheme="minorHAnsi" w:hAnsiTheme="minorHAnsi" w:cstheme="minorHAnsi"/>
          <w:b/>
          <w:caps w:val="0"/>
          <w:color w:val="auto"/>
          <w:sz w:val="28"/>
        </w:rPr>
      </w:pPr>
      <w:bookmarkStart w:id="43" w:name="_Hlk176440375"/>
    </w:p>
    <w:p w14:paraId="7C12DC93" w14:textId="3557A54E" w:rsidR="00040EE5" w:rsidRPr="00780D76" w:rsidRDefault="00040EE5" w:rsidP="00AA592D">
      <w:pPr>
        <w:pStyle w:val="Boxheading"/>
        <w:spacing w:line="240" w:lineRule="auto"/>
        <w:jc w:val="both"/>
        <w:rPr>
          <w:rFonts w:asciiTheme="minorHAnsi" w:hAnsiTheme="minorHAnsi" w:cstheme="minorHAnsi"/>
          <w:caps w:val="0"/>
          <w:color w:val="auto"/>
        </w:rPr>
      </w:pPr>
      <w:r w:rsidRPr="00780D76">
        <w:rPr>
          <w:rFonts w:asciiTheme="minorHAnsi" w:hAnsiTheme="minorHAnsi" w:cstheme="minorHAnsi"/>
          <w:caps w:val="0"/>
          <w:color w:val="auto"/>
        </w:rPr>
        <w:t xml:space="preserve">Please describe how you (or your business) use transferable records in your day-to-day business practices. Please reference any records you identified in </w:t>
      </w:r>
      <w:r w:rsidR="009A79A5" w:rsidRPr="00656238">
        <w:rPr>
          <w:rFonts w:asciiTheme="minorHAnsi" w:hAnsiTheme="minorHAnsi" w:cstheme="minorHAnsi"/>
          <w:b/>
          <w:caps w:val="0"/>
          <w:color w:val="0000FF"/>
          <w:u w:val="single"/>
        </w:rPr>
        <w:fldChar w:fldCharType="begin"/>
      </w:r>
      <w:r w:rsidR="009A79A5" w:rsidRPr="00656238">
        <w:rPr>
          <w:rFonts w:asciiTheme="minorHAnsi" w:hAnsiTheme="minorHAnsi" w:cstheme="minorHAnsi"/>
          <w:b/>
          <w:caps w:val="0"/>
          <w:color w:val="0000FF"/>
          <w:u w:val="single"/>
        </w:rPr>
        <w:instrText xml:space="preserve"> REF _Ref176524736 \r \h </w:instrText>
      </w:r>
      <w:r w:rsidR="00A10DE8" w:rsidRPr="00656238">
        <w:rPr>
          <w:rFonts w:asciiTheme="minorHAnsi" w:hAnsiTheme="minorHAnsi" w:cstheme="minorHAnsi"/>
          <w:b/>
          <w:caps w:val="0"/>
          <w:color w:val="0000FF"/>
          <w:u w:val="single"/>
        </w:rPr>
        <w:instrText xml:space="preserve"> \* MERGEFORMAT </w:instrText>
      </w:r>
      <w:r w:rsidR="009A79A5" w:rsidRPr="00656238">
        <w:rPr>
          <w:rFonts w:asciiTheme="minorHAnsi" w:hAnsiTheme="minorHAnsi" w:cstheme="minorHAnsi"/>
          <w:b/>
          <w:caps w:val="0"/>
          <w:color w:val="0000FF"/>
          <w:u w:val="single"/>
        </w:rPr>
      </w:r>
      <w:r w:rsidR="009A79A5" w:rsidRPr="00656238">
        <w:rPr>
          <w:rFonts w:asciiTheme="minorHAnsi" w:hAnsiTheme="minorHAnsi" w:cstheme="minorHAnsi"/>
          <w:b/>
          <w:caps w:val="0"/>
          <w:color w:val="0000FF"/>
          <w:u w:val="single"/>
        </w:rPr>
        <w:fldChar w:fldCharType="separate"/>
      </w:r>
      <w:r w:rsidR="00656238" w:rsidRPr="00656238">
        <w:rPr>
          <w:rFonts w:asciiTheme="minorHAnsi" w:hAnsiTheme="minorHAnsi" w:cstheme="minorHAnsi"/>
          <w:b/>
          <w:caps w:val="0"/>
          <w:color w:val="0000FF"/>
          <w:u w:val="single"/>
        </w:rPr>
        <w:t>Question 1</w:t>
      </w:r>
      <w:r w:rsidR="009A79A5" w:rsidRPr="00656238">
        <w:rPr>
          <w:rFonts w:asciiTheme="minorHAnsi" w:hAnsiTheme="minorHAnsi" w:cstheme="minorHAnsi"/>
          <w:b/>
          <w:caps w:val="0"/>
          <w:color w:val="0000FF"/>
          <w:u w:val="single"/>
        </w:rPr>
        <w:fldChar w:fldCharType="end"/>
      </w:r>
      <w:r w:rsidR="009A79A5" w:rsidRPr="00656238">
        <w:rPr>
          <w:rFonts w:asciiTheme="minorHAnsi" w:hAnsiTheme="minorHAnsi" w:cstheme="minorHAnsi"/>
          <w:caps w:val="0"/>
          <w:color w:val="auto"/>
        </w:rPr>
        <w:t xml:space="preserve"> </w:t>
      </w:r>
      <w:r w:rsidRPr="00656238">
        <w:rPr>
          <w:rFonts w:asciiTheme="minorHAnsi" w:hAnsiTheme="minorHAnsi" w:cstheme="minorHAnsi"/>
          <w:caps w:val="0"/>
          <w:color w:val="auto"/>
        </w:rPr>
        <w:t xml:space="preserve">and </w:t>
      </w:r>
      <w:r w:rsidR="009A79A5" w:rsidRPr="00656238">
        <w:rPr>
          <w:rFonts w:asciiTheme="minorHAnsi" w:hAnsiTheme="minorHAnsi" w:cstheme="minorHAnsi"/>
          <w:b/>
          <w:caps w:val="0"/>
          <w:color w:val="0000FF"/>
          <w:u w:val="single"/>
        </w:rPr>
        <w:fldChar w:fldCharType="begin"/>
      </w:r>
      <w:r w:rsidR="009A79A5" w:rsidRPr="00656238">
        <w:rPr>
          <w:rFonts w:asciiTheme="minorHAnsi" w:hAnsiTheme="minorHAnsi" w:cstheme="minorHAnsi"/>
          <w:b/>
          <w:caps w:val="0"/>
          <w:color w:val="0000FF"/>
          <w:u w:val="single"/>
        </w:rPr>
        <w:instrText xml:space="preserve"> REF _Ref176445262 \r \h </w:instrText>
      </w:r>
      <w:r w:rsidR="00A10DE8" w:rsidRPr="00656238">
        <w:rPr>
          <w:rFonts w:asciiTheme="minorHAnsi" w:hAnsiTheme="minorHAnsi" w:cstheme="minorHAnsi"/>
          <w:b/>
          <w:caps w:val="0"/>
          <w:color w:val="0000FF"/>
          <w:u w:val="single"/>
        </w:rPr>
        <w:instrText xml:space="preserve"> \* MERGEFORMAT </w:instrText>
      </w:r>
      <w:r w:rsidR="009A79A5" w:rsidRPr="00656238">
        <w:rPr>
          <w:rFonts w:asciiTheme="minorHAnsi" w:hAnsiTheme="minorHAnsi" w:cstheme="minorHAnsi"/>
          <w:b/>
          <w:caps w:val="0"/>
          <w:color w:val="0000FF"/>
          <w:u w:val="single"/>
        </w:rPr>
      </w:r>
      <w:r w:rsidR="009A79A5" w:rsidRPr="00656238">
        <w:rPr>
          <w:rFonts w:asciiTheme="minorHAnsi" w:hAnsiTheme="minorHAnsi" w:cstheme="minorHAnsi"/>
          <w:b/>
          <w:caps w:val="0"/>
          <w:color w:val="0000FF"/>
          <w:u w:val="single"/>
        </w:rPr>
        <w:fldChar w:fldCharType="separate"/>
      </w:r>
      <w:r w:rsidR="00656238" w:rsidRPr="00656238">
        <w:rPr>
          <w:rFonts w:asciiTheme="minorHAnsi" w:hAnsiTheme="minorHAnsi" w:cstheme="minorHAnsi"/>
          <w:b/>
          <w:caps w:val="0"/>
          <w:color w:val="0000FF"/>
          <w:u w:val="single"/>
        </w:rPr>
        <w:t>Question 2</w:t>
      </w:r>
      <w:r w:rsidR="009A79A5" w:rsidRPr="00656238">
        <w:rPr>
          <w:rFonts w:asciiTheme="minorHAnsi" w:hAnsiTheme="minorHAnsi" w:cstheme="minorHAnsi"/>
          <w:b/>
          <w:caps w:val="0"/>
          <w:color w:val="0000FF"/>
          <w:u w:val="single"/>
        </w:rPr>
        <w:fldChar w:fldCharType="end"/>
      </w:r>
      <w:r w:rsidRPr="00656238">
        <w:rPr>
          <w:rFonts w:asciiTheme="minorHAnsi" w:hAnsiTheme="minorHAnsi" w:cstheme="minorHAnsi"/>
          <w:b/>
          <w:caps w:val="0"/>
          <w:color w:val="0000FF"/>
          <w:u w:val="single"/>
        </w:rPr>
        <w:t>.</w:t>
      </w:r>
      <w:r w:rsidRPr="00656238">
        <w:rPr>
          <w:rFonts w:asciiTheme="minorHAnsi" w:hAnsiTheme="minorHAnsi" w:cstheme="minorHAnsi"/>
          <w:caps w:val="0"/>
          <w:color w:val="0000FF"/>
        </w:rPr>
        <w:t xml:space="preserve"> </w:t>
      </w:r>
    </w:p>
    <w:p w14:paraId="7AA4DD0C" w14:textId="77777777" w:rsidR="00040EE5" w:rsidRPr="00780D76" w:rsidRDefault="00040EE5" w:rsidP="00AA592D">
      <w:pPr>
        <w:pStyle w:val="Boxheading"/>
        <w:spacing w:line="240" w:lineRule="auto"/>
        <w:jc w:val="both"/>
        <w:rPr>
          <w:rFonts w:asciiTheme="minorHAnsi" w:hAnsiTheme="minorHAnsi" w:cstheme="minorHAnsi"/>
          <w:caps w:val="0"/>
          <w:color w:val="auto"/>
        </w:rPr>
      </w:pPr>
      <w:r w:rsidRPr="00780D76">
        <w:rPr>
          <w:rFonts w:asciiTheme="minorHAnsi" w:hAnsiTheme="minorHAnsi" w:cstheme="minorHAnsi"/>
          <w:caps w:val="0"/>
          <w:color w:val="auto"/>
        </w:rPr>
        <w:t xml:space="preserve">Alternatively, if you do not use these records yourself, please describe broadly the ways in which you understand these records are most commonly used. </w:t>
      </w:r>
    </w:p>
    <w:p w14:paraId="21C11A0F" w14:textId="77777777" w:rsidR="00040EE5" w:rsidRPr="0084133D" w:rsidRDefault="00040EE5" w:rsidP="00AA592D">
      <w:pPr>
        <w:pStyle w:val="Boxheading"/>
        <w:spacing w:line="240" w:lineRule="auto"/>
        <w:jc w:val="both"/>
        <w:rPr>
          <w:rFonts w:asciiTheme="minorHAnsi" w:hAnsiTheme="minorHAnsi" w:cstheme="minorHAnsi"/>
          <w:i/>
          <w:caps w:val="0"/>
          <w:color w:val="auto"/>
        </w:rPr>
      </w:pPr>
      <w:r w:rsidRPr="0084133D">
        <w:rPr>
          <w:rFonts w:asciiTheme="minorHAnsi" w:hAnsiTheme="minorHAnsi" w:cstheme="minorHAnsi"/>
          <w:i/>
          <w:caps w:val="0"/>
          <w:color w:val="auto"/>
        </w:rPr>
        <w:t>For each of these uses, please describe:</w:t>
      </w:r>
    </w:p>
    <w:p w14:paraId="08117F4E" w14:textId="77777777" w:rsidR="00040EE5" w:rsidRPr="00780D76" w:rsidRDefault="00040EE5" w:rsidP="00AA592D">
      <w:pPr>
        <w:pStyle w:val="Boxheading"/>
        <w:numPr>
          <w:ilvl w:val="0"/>
          <w:numId w:val="7"/>
        </w:numPr>
        <w:spacing w:line="240" w:lineRule="auto"/>
        <w:jc w:val="both"/>
        <w:rPr>
          <w:rFonts w:asciiTheme="minorHAnsi" w:hAnsiTheme="minorHAnsi" w:cstheme="minorHAnsi"/>
          <w:i/>
          <w:caps w:val="0"/>
          <w:color w:val="auto"/>
        </w:rPr>
      </w:pPr>
      <w:r w:rsidRPr="00780D76">
        <w:rPr>
          <w:rFonts w:asciiTheme="minorHAnsi" w:hAnsiTheme="minorHAnsi" w:cstheme="minorHAnsi"/>
          <w:i/>
          <w:caps w:val="0"/>
          <w:color w:val="auto"/>
        </w:rPr>
        <w:t>the commercial settings in which you use these records</w:t>
      </w:r>
    </w:p>
    <w:p w14:paraId="224D7C40" w14:textId="77777777" w:rsidR="00040EE5" w:rsidRPr="00780D76" w:rsidRDefault="00040EE5" w:rsidP="00AA592D">
      <w:pPr>
        <w:pStyle w:val="Boxheading"/>
        <w:numPr>
          <w:ilvl w:val="0"/>
          <w:numId w:val="7"/>
        </w:numPr>
        <w:spacing w:line="240" w:lineRule="auto"/>
        <w:jc w:val="both"/>
        <w:rPr>
          <w:rFonts w:asciiTheme="minorHAnsi" w:hAnsiTheme="minorHAnsi" w:cstheme="minorHAnsi"/>
          <w:i/>
          <w:caps w:val="0"/>
          <w:color w:val="auto"/>
        </w:rPr>
      </w:pPr>
      <w:r w:rsidRPr="00780D76">
        <w:rPr>
          <w:rFonts w:asciiTheme="minorHAnsi" w:hAnsiTheme="minorHAnsi" w:cstheme="minorHAnsi"/>
          <w:i/>
          <w:caps w:val="0"/>
          <w:color w:val="auto"/>
        </w:rPr>
        <w:t xml:space="preserve">the entities or people from </w:t>
      </w:r>
      <w:r w:rsidR="00DA1531" w:rsidRPr="00780D76">
        <w:rPr>
          <w:rFonts w:asciiTheme="minorHAnsi" w:hAnsiTheme="minorHAnsi" w:cstheme="minorHAnsi"/>
          <w:i/>
          <w:caps w:val="0"/>
          <w:color w:val="auto"/>
        </w:rPr>
        <w:t xml:space="preserve">whom </w:t>
      </w:r>
      <w:r w:rsidRPr="00780D76">
        <w:rPr>
          <w:rFonts w:asciiTheme="minorHAnsi" w:hAnsiTheme="minorHAnsi" w:cstheme="minorHAnsi"/>
          <w:i/>
          <w:caps w:val="0"/>
          <w:color w:val="auto"/>
        </w:rPr>
        <w:t>you ordinarily receive these records, and in what circumstances</w:t>
      </w:r>
    </w:p>
    <w:p w14:paraId="11A45D79" w14:textId="77777777" w:rsidR="00040EE5" w:rsidRPr="00780D76" w:rsidRDefault="00040EE5" w:rsidP="00AA592D">
      <w:pPr>
        <w:pStyle w:val="Boxheading"/>
        <w:numPr>
          <w:ilvl w:val="0"/>
          <w:numId w:val="7"/>
        </w:numPr>
        <w:spacing w:line="240" w:lineRule="auto"/>
        <w:jc w:val="both"/>
        <w:rPr>
          <w:rFonts w:asciiTheme="minorHAnsi" w:hAnsiTheme="minorHAnsi" w:cstheme="minorHAnsi"/>
          <w:i/>
          <w:caps w:val="0"/>
          <w:color w:val="auto"/>
        </w:rPr>
      </w:pPr>
      <w:r w:rsidRPr="00780D76">
        <w:rPr>
          <w:rFonts w:asciiTheme="minorHAnsi" w:hAnsiTheme="minorHAnsi" w:cstheme="minorHAnsi"/>
          <w:i/>
          <w:caps w:val="0"/>
          <w:color w:val="auto"/>
        </w:rPr>
        <w:t xml:space="preserve">the entities or people you would give or transfer these records to, including why </w:t>
      </w:r>
    </w:p>
    <w:p w14:paraId="69A2A39A" w14:textId="77777777" w:rsidR="00040EE5" w:rsidRPr="00780D76" w:rsidRDefault="00040EE5" w:rsidP="00AA592D">
      <w:pPr>
        <w:pStyle w:val="Boxheading"/>
        <w:numPr>
          <w:ilvl w:val="0"/>
          <w:numId w:val="7"/>
        </w:numPr>
        <w:spacing w:line="240" w:lineRule="auto"/>
        <w:jc w:val="both"/>
        <w:rPr>
          <w:rFonts w:asciiTheme="minorHAnsi" w:hAnsiTheme="minorHAnsi" w:cstheme="minorHAnsi"/>
          <w:i/>
          <w:caps w:val="0"/>
          <w:color w:val="auto"/>
        </w:rPr>
      </w:pPr>
      <w:r w:rsidRPr="00780D76">
        <w:rPr>
          <w:rFonts w:asciiTheme="minorHAnsi" w:hAnsiTheme="minorHAnsi" w:cstheme="minorHAnsi"/>
          <w:i/>
          <w:caps w:val="0"/>
          <w:color w:val="auto"/>
        </w:rPr>
        <w:t>the reasons why physical possession or transfer of the paper record is necessary, if relevant</w:t>
      </w:r>
    </w:p>
    <w:p w14:paraId="1F6B3113" w14:textId="77777777" w:rsidR="00040EE5" w:rsidRPr="00780D76" w:rsidRDefault="00040EE5" w:rsidP="00AA592D">
      <w:pPr>
        <w:pStyle w:val="Boxheading"/>
        <w:numPr>
          <w:ilvl w:val="0"/>
          <w:numId w:val="7"/>
        </w:numPr>
        <w:spacing w:line="240" w:lineRule="auto"/>
        <w:jc w:val="both"/>
        <w:rPr>
          <w:rFonts w:asciiTheme="minorHAnsi" w:hAnsiTheme="minorHAnsi" w:cstheme="minorHAnsi"/>
          <w:i/>
          <w:caps w:val="0"/>
          <w:color w:val="auto"/>
        </w:rPr>
      </w:pPr>
      <w:r w:rsidRPr="00780D76">
        <w:rPr>
          <w:rFonts w:asciiTheme="minorHAnsi" w:hAnsiTheme="minorHAnsi" w:cstheme="minorHAnsi"/>
          <w:i/>
          <w:caps w:val="0"/>
          <w:color w:val="auto"/>
        </w:rPr>
        <w:t>the commercial benefits which come from your use of these records (for example, whether it minimises a particular risk).</w:t>
      </w:r>
    </w:p>
    <w:bookmarkEnd w:id="43"/>
    <w:p w14:paraId="6E466F7B" w14:textId="77777777" w:rsidR="00040EE5" w:rsidRPr="00780D76" w:rsidRDefault="00040EE5" w:rsidP="00AA592D">
      <w:pPr>
        <w:spacing w:line="240" w:lineRule="auto"/>
        <w:rPr>
          <w:rFonts w:asciiTheme="minorHAnsi" w:hAnsiTheme="minorHAnsi" w:cstheme="minorHAnsi"/>
          <w:highlight w:val="yellow"/>
        </w:rPr>
      </w:pPr>
    </w:p>
    <w:p w14:paraId="1F2FA9C3" w14:textId="77777777" w:rsidR="00040EE5" w:rsidRPr="00780D76" w:rsidRDefault="00040EE5" w:rsidP="00A10DE8">
      <w:pPr>
        <w:pStyle w:val="Boxheading"/>
        <w:numPr>
          <w:ilvl w:val="0"/>
          <w:numId w:val="32"/>
        </w:numPr>
        <w:spacing w:line="240" w:lineRule="auto"/>
        <w:outlineLvl w:val="2"/>
        <w:rPr>
          <w:rFonts w:asciiTheme="minorHAnsi" w:hAnsiTheme="minorHAnsi" w:cstheme="minorHAnsi"/>
          <w:b/>
          <w:caps w:val="0"/>
          <w:color w:val="auto"/>
          <w:sz w:val="28"/>
        </w:rPr>
      </w:pPr>
    </w:p>
    <w:p w14:paraId="02905CDC" w14:textId="77777777" w:rsidR="00040EE5" w:rsidRPr="00780D76" w:rsidRDefault="00040EE5" w:rsidP="00AA592D">
      <w:pPr>
        <w:pStyle w:val="Boxheading"/>
        <w:spacing w:line="240" w:lineRule="auto"/>
        <w:jc w:val="both"/>
        <w:rPr>
          <w:rFonts w:asciiTheme="minorHAnsi" w:hAnsiTheme="minorHAnsi" w:cstheme="minorHAnsi"/>
          <w:color w:val="auto"/>
        </w:rPr>
      </w:pPr>
      <w:r w:rsidRPr="00780D76">
        <w:rPr>
          <w:rFonts w:asciiTheme="minorHAnsi" w:hAnsiTheme="minorHAnsi" w:cstheme="minorHAnsi"/>
          <w:caps w:val="0"/>
          <w:color w:val="auto"/>
        </w:rPr>
        <w:t>If you or your business use transferable records in the context of trade, do you use these records in the context of international, inter-state or intra-state trade?</w:t>
      </w:r>
    </w:p>
    <w:p w14:paraId="77470E2E" w14:textId="77777777" w:rsidR="00040EE5" w:rsidRPr="00780D76" w:rsidRDefault="00040EE5" w:rsidP="00AA592D">
      <w:pPr>
        <w:pStyle w:val="Boxheading"/>
        <w:spacing w:line="240" w:lineRule="auto"/>
        <w:jc w:val="both"/>
        <w:rPr>
          <w:rFonts w:asciiTheme="minorHAnsi" w:hAnsiTheme="minorHAnsi" w:cstheme="minorHAnsi"/>
          <w:color w:val="auto"/>
        </w:rPr>
      </w:pPr>
      <w:r w:rsidRPr="00780D76">
        <w:rPr>
          <w:rFonts w:asciiTheme="minorHAnsi" w:hAnsiTheme="minorHAnsi" w:cstheme="minorHAnsi"/>
          <w:caps w:val="0"/>
          <w:color w:val="auto"/>
        </w:rPr>
        <w:t xml:space="preserve">Please tick all that apply. You can select more than one. </w:t>
      </w:r>
    </w:p>
    <w:p w14:paraId="7BF7E5A2" w14:textId="35337E9A" w:rsidR="00711226" w:rsidRPr="00A10DE8" w:rsidRDefault="00CB3720" w:rsidP="008B382E">
      <w:pPr>
        <w:pStyle w:val="Boxheading"/>
        <w:numPr>
          <w:ilvl w:val="0"/>
          <w:numId w:val="30"/>
        </w:numPr>
        <w:spacing w:line="240" w:lineRule="auto"/>
        <w:jc w:val="both"/>
        <w:rPr>
          <w:rFonts w:asciiTheme="minorHAnsi" w:hAnsiTheme="minorHAnsi" w:cstheme="minorHAnsi"/>
          <w:b/>
          <w:color w:val="auto"/>
        </w:rPr>
      </w:pPr>
      <w:r>
        <w:rPr>
          <w:rFonts w:asciiTheme="minorHAnsi" w:hAnsiTheme="minorHAnsi" w:cstheme="minorHAnsi"/>
          <w:b/>
          <w:caps w:val="0"/>
          <w:color w:val="auto"/>
        </w:rPr>
        <w:t>I</w:t>
      </w:r>
      <w:r w:rsidR="00040EE5" w:rsidRPr="00A10DE8">
        <w:rPr>
          <w:rFonts w:asciiTheme="minorHAnsi" w:hAnsiTheme="minorHAnsi" w:cstheme="minorHAnsi"/>
          <w:b/>
          <w:caps w:val="0"/>
          <w:color w:val="auto"/>
        </w:rPr>
        <w:t>nternational trade (goods imported into, or exported from, Australia)</w:t>
      </w:r>
    </w:p>
    <w:p w14:paraId="70317069" w14:textId="2E853B69" w:rsidR="00711226" w:rsidRPr="00A10DE8" w:rsidRDefault="00CB3720" w:rsidP="008B382E">
      <w:pPr>
        <w:pStyle w:val="Boxheading"/>
        <w:numPr>
          <w:ilvl w:val="0"/>
          <w:numId w:val="30"/>
        </w:numPr>
        <w:spacing w:line="240" w:lineRule="auto"/>
        <w:jc w:val="both"/>
        <w:rPr>
          <w:rFonts w:asciiTheme="minorHAnsi" w:hAnsiTheme="minorHAnsi" w:cstheme="minorHAnsi"/>
          <w:b/>
          <w:color w:val="auto"/>
        </w:rPr>
      </w:pPr>
      <w:r>
        <w:rPr>
          <w:rFonts w:asciiTheme="minorHAnsi" w:hAnsiTheme="minorHAnsi" w:cstheme="minorHAnsi"/>
          <w:b/>
          <w:caps w:val="0"/>
          <w:color w:val="auto"/>
        </w:rPr>
        <w:t>I</w:t>
      </w:r>
      <w:r w:rsidR="00040EE5" w:rsidRPr="00A10DE8">
        <w:rPr>
          <w:rFonts w:asciiTheme="minorHAnsi" w:hAnsiTheme="minorHAnsi" w:cstheme="minorHAnsi"/>
          <w:b/>
          <w:caps w:val="0"/>
          <w:color w:val="auto"/>
        </w:rPr>
        <w:t>nter-state domestic trade (goods produced in one state for use in a different state)</w:t>
      </w:r>
    </w:p>
    <w:p w14:paraId="33B25006" w14:textId="7AF86040" w:rsidR="00040EE5" w:rsidRPr="00A10DE8" w:rsidRDefault="00CB3720" w:rsidP="008B382E">
      <w:pPr>
        <w:pStyle w:val="Boxheading"/>
        <w:numPr>
          <w:ilvl w:val="0"/>
          <w:numId w:val="30"/>
        </w:numPr>
        <w:spacing w:line="240" w:lineRule="auto"/>
        <w:jc w:val="both"/>
        <w:rPr>
          <w:rFonts w:asciiTheme="minorHAnsi" w:hAnsiTheme="minorHAnsi" w:cstheme="minorHAnsi"/>
          <w:b/>
          <w:color w:val="auto"/>
        </w:rPr>
      </w:pPr>
      <w:r>
        <w:rPr>
          <w:rFonts w:asciiTheme="minorHAnsi" w:hAnsiTheme="minorHAnsi" w:cstheme="minorHAnsi"/>
          <w:b/>
          <w:caps w:val="0"/>
          <w:color w:val="auto"/>
        </w:rPr>
        <w:t>I</w:t>
      </w:r>
      <w:r w:rsidR="00040EE5" w:rsidRPr="00A10DE8">
        <w:rPr>
          <w:rFonts w:asciiTheme="minorHAnsi" w:hAnsiTheme="minorHAnsi" w:cstheme="minorHAnsi"/>
          <w:b/>
          <w:caps w:val="0"/>
          <w:color w:val="auto"/>
        </w:rPr>
        <w:t>ntra-state domestic trade (goods produced in one state for use in that same state)</w:t>
      </w:r>
    </w:p>
    <w:p w14:paraId="5AB4D4F6" w14:textId="77777777" w:rsidR="00040EE5" w:rsidRPr="00780D76" w:rsidRDefault="00040EE5" w:rsidP="008B382E">
      <w:pPr>
        <w:pStyle w:val="Heading1"/>
        <w:keepLines/>
        <w:numPr>
          <w:ilvl w:val="1"/>
          <w:numId w:val="31"/>
        </w:numPr>
        <w:spacing w:before="0" w:after="240" w:line="259" w:lineRule="auto"/>
        <w:ind w:left="709" w:hanging="709"/>
        <w:rPr>
          <w:rFonts w:asciiTheme="minorHAnsi" w:hAnsiTheme="minorHAnsi" w:cstheme="minorHAnsi"/>
          <w:sz w:val="36"/>
          <w:lang w:eastAsia="en-AU"/>
        </w:rPr>
      </w:pPr>
      <w:bookmarkStart w:id="44" w:name="_Toc176437880"/>
      <w:r w:rsidRPr="00780D76">
        <w:rPr>
          <w:rFonts w:asciiTheme="minorHAnsi" w:hAnsiTheme="minorHAnsi" w:cstheme="minorHAnsi"/>
          <w:sz w:val="36"/>
          <w:lang w:eastAsia="en-AU"/>
        </w:rPr>
        <w:t>Current experiences using paper-based transferable records</w:t>
      </w:r>
      <w:bookmarkEnd w:id="44"/>
    </w:p>
    <w:p w14:paraId="665AD8F3" w14:textId="77777777" w:rsidR="00040EE5"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 xml:space="preserve">We would also like to hear from stakeholders about how paper requirements for transferable records are impacting business’ ability to conduct effective and efficient trade. </w:t>
      </w:r>
    </w:p>
    <w:p w14:paraId="4641DE95" w14:textId="77777777" w:rsidR="00040EE5"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 xml:space="preserve">This will allow us to consider how to overcome these existing issues, and inform our analysis to government on implementation options for the MLETR. </w:t>
      </w:r>
    </w:p>
    <w:p w14:paraId="6804E114" w14:textId="77777777" w:rsidR="00040EE5" w:rsidRPr="00780D76" w:rsidRDefault="00040EE5" w:rsidP="00040EE5">
      <w:pPr>
        <w:pStyle w:val="Heading3"/>
        <w:rPr>
          <w:rFonts w:asciiTheme="minorHAnsi" w:hAnsiTheme="minorHAnsi" w:cstheme="minorHAnsi"/>
        </w:rPr>
      </w:pPr>
      <w:bookmarkStart w:id="45" w:name="_Toc176420782"/>
      <w:r w:rsidRPr="00780D76">
        <w:rPr>
          <w:rFonts w:asciiTheme="minorHAnsi" w:hAnsiTheme="minorHAnsi" w:cstheme="minorHAnsi"/>
        </w:rPr>
        <w:t>Expanding on previous STS consultations</w:t>
      </w:r>
      <w:bookmarkEnd w:id="45"/>
      <w:r w:rsidRPr="00780D76">
        <w:rPr>
          <w:rFonts w:asciiTheme="minorHAnsi" w:hAnsiTheme="minorHAnsi" w:cstheme="minorHAnsi"/>
        </w:rPr>
        <w:t xml:space="preserve"> </w:t>
      </w:r>
    </w:p>
    <w:p w14:paraId="1E3BAC23" w14:textId="77777777" w:rsidR="00040EE5"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 xml:space="preserve">Stakeholders may have already provided views or data on experiences with paper trade documents through prior STS consultations. These have included several public consultations relating to different aspects of simplified trade reform, including paperless trade. </w:t>
      </w:r>
    </w:p>
    <w:p w14:paraId="72477575" w14:textId="77777777" w:rsidR="00040EE5" w:rsidRPr="00780D76" w:rsidRDefault="00040EE5" w:rsidP="00040EE5">
      <w:pPr>
        <w:spacing w:line="276" w:lineRule="auto"/>
        <w:jc w:val="both"/>
        <w:rPr>
          <w:rFonts w:asciiTheme="minorHAnsi" w:hAnsiTheme="minorHAnsi" w:cstheme="minorHAnsi"/>
          <w:highlight w:val="yellow"/>
        </w:rPr>
      </w:pPr>
      <w:r w:rsidRPr="00780D76">
        <w:rPr>
          <w:rFonts w:asciiTheme="minorHAnsi" w:hAnsiTheme="minorHAnsi" w:cstheme="minorHAnsi"/>
        </w:rPr>
        <w:t>For example, we have heard the following experiences of challenges and inefficiencies associated with using paper trade documents:</w:t>
      </w:r>
    </w:p>
    <w:p w14:paraId="3A71F2EE" w14:textId="77777777" w:rsidR="00040EE5" w:rsidRPr="00780D76" w:rsidRDefault="00040EE5" w:rsidP="00040EE5">
      <w:pPr>
        <w:pStyle w:val="PolicyStatement"/>
        <w:spacing w:line="276" w:lineRule="auto"/>
        <w:jc w:val="both"/>
        <w:rPr>
          <w:rFonts w:asciiTheme="minorHAnsi" w:hAnsiTheme="minorHAnsi" w:cstheme="minorHAnsi"/>
        </w:rPr>
      </w:pPr>
      <w:r w:rsidRPr="00780D76">
        <w:rPr>
          <w:rFonts w:asciiTheme="minorHAnsi" w:hAnsiTheme="minorHAnsi" w:cstheme="minorHAnsi"/>
        </w:rPr>
        <w:t>“</w:t>
      </w:r>
      <w:r w:rsidRPr="00A10DE8">
        <w:rPr>
          <w:rFonts w:asciiTheme="minorHAnsi" w:hAnsiTheme="minorHAnsi" w:cstheme="minorHAnsi"/>
          <w:i/>
        </w:rPr>
        <w:t>many SMEs [small and medium-sized enterprises] cannot access trade finance as they are resource-constrained when complying with paper-based trade requirements</w:t>
      </w:r>
      <w:r w:rsidRPr="00780D76">
        <w:rPr>
          <w:rFonts w:asciiTheme="minorHAnsi" w:hAnsiTheme="minorHAnsi" w:cstheme="minorHAnsi"/>
        </w:rPr>
        <w:t xml:space="preserve">” </w:t>
      </w:r>
    </w:p>
    <w:p w14:paraId="40815DD1" w14:textId="77777777" w:rsidR="00040EE5" w:rsidRPr="00780D76" w:rsidRDefault="00040EE5" w:rsidP="00040EE5">
      <w:pPr>
        <w:pStyle w:val="PolicyStatement"/>
        <w:spacing w:line="276" w:lineRule="auto"/>
        <w:jc w:val="both"/>
        <w:rPr>
          <w:rFonts w:asciiTheme="minorHAnsi" w:hAnsiTheme="minorHAnsi" w:cstheme="minorHAnsi"/>
        </w:rPr>
      </w:pPr>
      <w:r w:rsidRPr="00780D76">
        <w:rPr>
          <w:rFonts w:asciiTheme="minorHAnsi" w:hAnsiTheme="minorHAnsi" w:cstheme="minorHAnsi"/>
        </w:rPr>
        <w:t>“</w:t>
      </w:r>
      <w:r w:rsidRPr="00A10DE8">
        <w:rPr>
          <w:rFonts w:asciiTheme="minorHAnsi" w:hAnsiTheme="minorHAnsi" w:cstheme="minorHAnsi"/>
          <w:i/>
        </w:rPr>
        <w:t>manual handling of paper-based trade documents is also prone to error and fraud, leading to additional costs</w:t>
      </w:r>
      <w:r w:rsidRPr="00780D76">
        <w:rPr>
          <w:rFonts w:asciiTheme="minorHAnsi" w:hAnsiTheme="minorHAnsi" w:cstheme="minorHAnsi"/>
        </w:rPr>
        <w:t>”</w:t>
      </w:r>
      <w:r w:rsidRPr="00780D76">
        <w:rPr>
          <w:rStyle w:val="FootnoteReference"/>
          <w:rFonts w:asciiTheme="minorHAnsi" w:hAnsiTheme="minorHAnsi" w:cstheme="minorHAnsi"/>
        </w:rPr>
        <w:footnoteReference w:id="13"/>
      </w:r>
    </w:p>
    <w:p w14:paraId="3DF8EE19" w14:textId="77777777" w:rsidR="00040EE5" w:rsidRPr="00780D76" w:rsidRDefault="00040EE5" w:rsidP="00040EE5">
      <w:pPr>
        <w:pStyle w:val="PolicyStatement"/>
        <w:spacing w:line="276" w:lineRule="auto"/>
        <w:jc w:val="both"/>
        <w:rPr>
          <w:rFonts w:asciiTheme="minorHAnsi" w:hAnsiTheme="minorHAnsi" w:cstheme="minorHAnsi"/>
          <w:highlight w:val="yellow"/>
        </w:rPr>
      </w:pPr>
      <w:r w:rsidRPr="00780D76">
        <w:rPr>
          <w:rFonts w:asciiTheme="minorHAnsi" w:hAnsiTheme="minorHAnsi" w:cstheme="minorHAnsi"/>
        </w:rPr>
        <w:lastRenderedPageBreak/>
        <w:t>“</w:t>
      </w:r>
      <w:r w:rsidRPr="00A10DE8">
        <w:rPr>
          <w:rFonts w:asciiTheme="minorHAnsi" w:hAnsiTheme="minorHAnsi" w:cstheme="minorHAnsi"/>
          <w:i/>
        </w:rPr>
        <w:t>according to the World Bank, it takes an average of 43 hours to complete documentary and border compliance processes for a typical Australian shipment by sea</w:t>
      </w:r>
      <w:r w:rsidRPr="00780D76">
        <w:rPr>
          <w:rFonts w:asciiTheme="minorHAnsi" w:hAnsiTheme="minorHAnsi" w:cstheme="minorHAnsi"/>
        </w:rPr>
        <w:t>.”</w:t>
      </w:r>
      <w:r w:rsidRPr="00780D76">
        <w:rPr>
          <w:rStyle w:val="FootnoteReference"/>
          <w:rFonts w:asciiTheme="minorHAnsi" w:hAnsiTheme="minorHAnsi" w:cstheme="minorHAnsi"/>
        </w:rPr>
        <w:footnoteReference w:id="14"/>
      </w:r>
    </w:p>
    <w:p w14:paraId="11D30063" w14:textId="77777777" w:rsidR="00040EE5"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We have also noted stakeholder support for Australian implementation of the MLETR specifically. For example, one large professional trade body noted that “</w:t>
      </w:r>
      <w:r w:rsidRPr="00A10DE8">
        <w:rPr>
          <w:rFonts w:asciiTheme="minorHAnsi" w:hAnsiTheme="minorHAnsi" w:cstheme="minorHAnsi"/>
          <w:i/>
        </w:rPr>
        <w:t>the implementation of international standards and frameworks, in conjunction with the MLETR, is critical in promoting digital solutions and enabling the transfer of electronic records in cross-border trade</w:t>
      </w:r>
      <w:r w:rsidRPr="00780D76">
        <w:rPr>
          <w:rFonts w:asciiTheme="minorHAnsi" w:hAnsiTheme="minorHAnsi" w:cstheme="minorHAnsi"/>
        </w:rPr>
        <w:t>.”</w:t>
      </w:r>
      <w:r w:rsidRPr="00780D76">
        <w:rPr>
          <w:rStyle w:val="FootnoteReference"/>
          <w:rFonts w:asciiTheme="minorHAnsi" w:hAnsiTheme="minorHAnsi" w:cstheme="minorHAnsi"/>
        </w:rPr>
        <w:footnoteReference w:id="15"/>
      </w:r>
    </w:p>
    <w:p w14:paraId="66C29E7E" w14:textId="77777777" w:rsidR="00040EE5"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Building on these previous consultations, we would like to take this opportunity to hear from a broader range of stakeholders regarding the time and financial impacts which paper transferable records requirements have on their business activities – noting that previous consultations related to paper trade documents more generally, which are not necessarily ‘transferable’.</w:t>
      </w:r>
    </w:p>
    <w:p w14:paraId="53474162" w14:textId="77777777" w:rsidR="00040EE5" w:rsidRPr="00780D76" w:rsidRDefault="00040EE5" w:rsidP="00040EE5">
      <w:pPr>
        <w:spacing w:line="276" w:lineRule="auto"/>
        <w:jc w:val="both"/>
        <w:rPr>
          <w:rFonts w:asciiTheme="minorHAnsi" w:hAnsiTheme="minorHAnsi" w:cstheme="minorHAnsi"/>
          <w:highlight w:val="yellow"/>
        </w:rPr>
      </w:pPr>
      <w:r w:rsidRPr="00780D76">
        <w:rPr>
          <w:rFonts w:asciiTheme="minorHAnsi" w:hAnsiTheme="minorHAnsi" w:cstheme="minorHAnsi"/>
        </w:rPr>
        <w:t>If you have already addressed these issues in previous consultations, please feel free to provide us a copy of your prior submission and refer us to your response.</w:t>
      </w:r>
    </w:p>
    <w:p w14:paraId="6FA41EDF" w14:textId="77777777" w:rsidR="00040EE5" w:rsidRPr="00780D76" w:rsidRDefault="00040EE5" w:rsidP="00A10DE8">
      <w:pPr>
        <w:pStyle w:val="Boxheading"/>
        <w:numPr>
          <w:ilvl w:val="0"/>
          <w:numId w:val="32"/>
        </w:numPr>
        <w:spacing w:line="240" w:lineRule="auto"/>
        <w:outlineLvl w:val="2"/>
        <w:rPr>
          <w:rFonts w:asciiTheme="minorHAnsi" w:hAnsiTheme="minorHAnsi" w:cstheme="minorHAnsi"/>
          <w:b/>
          <w:color w:val="auto"/>
          <w:sz w:val="28"/>
        </w:rPr>
      </w:pPr>
    </w:p>
    <w:p w14:paraId="06413BCA" w14:textId="77777777" w:rsidR="00040EE5" w:rsidRPr="00780D76" w:rsidRDefault="00040EE5" w:rsidP="009B6057">
      <w:pPr>
        <w:pStyle w:val="Boxheading"/>
        <w:spacing w:line="240" w:lineRule="auto"/>
        <w:jc w:val="both"/>
        <w:rPr>
          <w:rFonts w:asciiTheme="minorHAnsi" w:hAnsiTheme="minorHAnsi" w:cstheme="minorHAnsi"/>
          <w:caps w:val="0"/>
          <w:color w:val="auto"/>
        </w:rPr>
      </w:pPr>
      <w:r w:rsidRPr="00780D76">
        <w:rPr>
          <w:rFonts w:asciiTheme="minorHAnsi" w:hAnsiTheme="minorHAnsi" w:cstheme="minorHAnsi"/>
          <w:caps w:val="0"/>
          <w:color w:val="auto"/>
        </w:rPr>
        <w:t xml:space="preserve">How many hours per year do you estimate you, or your business, spend in processing paper-based transferable records? </w:t>
      </w:r>
    </w:p>
    <w:p w14:paraId="0F9F61B8" w14:textId="77777777" w:rsidR="00040EE5" w:rsidRPr="00780D76" w:rsidRDefault="00040EE5" w:rsidP="009B6057">
      <w:pPr>
        <w:pStyle w:val="Boxheading"/>
        <w:spacing w:line="240" w:lineRule="auto"/>
        <w:jc w:val="both"/>
        <w:rPr>
          <w:rFonts w:asciiTheme="minorHAnsi" w:hAnsiTheme="minorHAnsi" w:cstheme="minorHAnsi"/>
          <w:caps w:val="0"/>
          <w:color w:val="auto"/>
        </w:rPr>
      </w:pPr>
      <w:r w:rsidRPr="00780D76">
        <w:rPr>
          <w:rFonts w:asciiTheme="minorHAnsi" w:hAnsiTheme="minorHAnsi" w:cstheme="minorHAnsi"/>
          <w:caps w:val="0"/>
          <w:color w:val="auto"/>
        </w:rPr>
        <w:t xml:space="preserve">(Please refer to the records which you identified in </w:t>
      </w:r>
      <w:r w:rsidR="006F1DCC" w:rsidRPr="00780D76">
        <w:rPr>
          <w:rFonts w:asciiTheme="minorHAnsi" w:hAnsiTheme="minorHAnsi" w:cstheme="minorHAnsi"/>
          <w:b/>
          <w:caps w:val="0"/>
          <w:color w:val="0000FF"/>
          <w:u w:val="single"/>
        </w:rPr>
        <w:fldChar w:fldCharType="begin"/>
      </w:r>
      <w:r w:rsidR="006F1DCC" w:rsidRPr="00780D76">
        <w:rPr>
          <w:rFonts w:asciiTheme="minorHAnsi" w:hAnsiTheme="minorHAnsi" w:cstheme="minorHAnsi"/>
          <w:caps w:val="0"/>
          <w:color w:val="0000FF"/>
        </w:rPr>
        <w:instrText xml:space="preserve"> REF _Ref176445241 \r \h </w:instrText>
      </w:r>
      <w:r w:rsidR="006F1DCC" w:rsidRPr="00780D76">
        <w:rPr>
          <w:rFonts w:asciiTheme="minorHAnsi" w:hAnsiTheme="minorHAnsi" w:cstheme="minorHAnsi"/>
          <w:b/>
          <w:caps w:val="0"/>
          <w:color w:val="0000FF"/>
          <w:u w:val="single"/>
        </w:rPr>
        <w:instrText xml:space="preserve"> \* MERGEFORMAT </w:instrText>
      </w:r>
      <w:r w:rsidR="006F1DCC" w:rsidRPr="00780D76">
        <w:rPr>
          <w:rFonts w:asciiTheme="minorHAnsi" w:hAnsiTheme="minorHAnsi" w:cstheme="minorHAnsi"/>
          <w:b/>
          <w:caps w:val="0"/>
          <w:color w:val="0000FF"/>
          <w:u w:val="single"/>
        </w:rPr>
      </w:r>
      <w:r w:rsidR="006F1DCC" w:rsidRPr="00780D76">
        <w:rPr>
          <w:rFonts w:asciiTheme="minorHAnsi" w:hAnsiTheme="minorHAnsi" w:cstheme="minorHAnsi"/>
          <w:b/>
          <w:caps w:val="0"/>
          <w:color w:val="0000FF"/>
          <w:u w:val="single"/>
        </w:rPr>
        <w:fldChar w:fldCharType="separate"/>
      </w:r>
      <w:r w:rsidR="006F1DCC" w:rsidRPr="00780D76">
        <w:rPr>
          <w:rFonts w:asciiTheme="minorHAnsi" w:hAnsiTheme="minorHAnsi" w:cstheme="minorHAnsi"/>
          <w:b/>
          <w:caps w:val="0"/>
          <w:color w:val="0000FF"/>
          <w:u w:val="single"/>
        </w:rPr>
        <w:t>Question 1</w:t>
      </w:r>
      <w:r w:rsidR="006F1DCC" w:rsidRPr="00780D76">
        <w:rPr>
          <w:rFonts w:asciiTheme="minorHAnsi" w:hAnsiTheme="minorHAnsi" w:cstheme="minorHAnsi"/>
          <w:b/>
          <w:caps w:val="0"/>
          <w:color w:val="0000FF"/>
          <w:u w:val="single"/>
        </w:rPr>
        <w:fldChar w:fldCharType="end"/>
      </w:r>
      <w:r w:rsidR="006F1DCC" w:rsidRPr="00780D76">
        <w:rPr>
          <w:rFonts w:asciiTheme="minorHAnsi" w:hAnsiTheme="minorHAnsi" w:cstheme="minorHAnsi"/>
          <w:b/>
          <w:caps w:val="0"/>
          <w:color w:val="0000FF"/>
          <w:u w:val="single"/>
        </w:rPr>
        <w:t xml:space="preserve"> </w:t>
      </w:r>
      <w:r w:rsidRPr="00780D76">
        <w:rPr>
          <w:rFonts w:asciiTheme="minorHAnsi" w:hAnsiTheme="minorHAnsi" w:cstheme="minorHAnsi"/>
          <w:caps w:val="0"/>
          <w:color w:val="auto"/>
        </w:rPr>
        <w:t xml:space="preserve">and </w:t>
      </w:r>
      <w:r w:rsidR="006F1DCC" w:rsidRPr="00780D76">
        <w:rPr>
          <w:rFonts w:asciiTheme="minorHAnsi" w:hAnsiTheme="minorHAnsi" w:cstheme="minorHAnsi"/>
          <w:b/>
          <w:caps w:val="0"/>
          <w:color w:val="0000FF"/>
          <w:u w:val="single"/>
        </w:rPr>
        <w:fldChar w:fldCharType="begin"/>
      </w:r>
      <w:r w:rsidR="006F1DCC" w:rsidRPr="00780D76">
        <w:rPr>
          <w:rFonts w:asciiTheme="minorHAnsi" w:hAnsiTheme="minorHAnsi" w:cstheme="minorHAnsi"/>
          <w:b/>
          <w:caps w:val="0"/>
          <w:color w:val="0000FF"/>
          <w:u w:val="single"/>
        </w:rPr>
        <w:instrText xml:space="preserve"> REF _Ref176445262 \r \h  \* MERGEFORMAT </w:instrText>
      </w:r>
      <w:r w:rsidR="006F1DCC" w:rsidRPr="00780D76">
        <w:rPr>
          <w:rFonts w:asciiTheme="minorHAnsi" w:hAnsiTheme="minorHAnsi" w:cstheme="minorHAnsi"/>
          <w:b/>
          <w:caps w:val="0"/>
          <w:color w:val="0000FF"/>
          <w:u w:val="single"/>
        </w:rPr>
      </w:r>
      <w:r w:rsidR="006F1DCC" w:rsidRPr="00780D76">
        <w:rPr>
          <w:rFonts w:asciiTheme="minorHAnsi" w:hAnsiTheme="minorHAnsi" w:cstheme="minorHAnsi"/>
          <w:b/>
          <w:caps w:val="0"/>
          <w:color w:val="0000FF"/>
          <w:u w:val="single"/>
        </w:rPr>
        <w:fldChar w:fldCharType="separate"/>
      </w:r>
      <w:r w:rsidR="006F1DCC" w:rsidRPr="00780D76">
        <w:rPr>
          <w:rFonts w:asciiTheme="minorHAnsi" w:hAnsiTheme="minorHAnsi" w:cstheme="minorHAnsi"/>
          <w:b/>
          <w:caps w:val="0"/>
          <w:color w:val="0000FF"/>
          <w:u w:val="single"/>
        </w:rPr>
        <w:t>Question 2</w:t>
      </w:r>
      <w:r w:rsidR="006F1DCC" w:rsidRPr="00780D76">
        <w:rPr>
          <w:rFonts w:asciiTheme="minorHAnsi" w:hAnsiTheme="minorHAnsi" w:cstheme="minorHAnsi"/>
          <w:b/>
          <w:caps w:val="0"/>
          <w:color w:val="0000FF"/>
          <w:u w:val="single"/>
        </w:rPr>
        <w:fldChar w:fldCharType="end"/>
      </w:r>
      <w:r w:rsidRPr="00A10DE8">
        <w:rPr>
          <w:rFonts w:asciiTheme="minorHAnsi" w:hAnsiTheme="minorHAnsi" w:cstheme="minorHAnsi"/>
          <w:caps w:val="0"/>
          <w:color w:val="auto"/>
        </w:rPr>
        <w:t>).</w:t>
      </w:r>
      <w:r w:rsidRPr="00780D76">
        <w:rPr>
          <w:rFonts w:asciiTheme="minorHAnsi" w:hAnsiTheme="minorHAnsi" w:cstheme="minorHAnsi"/>
          <w:caps w:val="0"/>
          <w:color w:val="0000FF"/>
        </w:rPr>
        <w:t xml:space="preserve"> </w:t>
      </w:r>
    </w:p>
    <w:p w14:paraId="70747F32" w14:textId="77777777" w:rsidR="00040EE5" w:rsidRPr="00780D76" w:rsidRDefault="00040EE5" w:rsidP="009B6057">
      <w:pPr>
        <w:pStyle w:val="Boxheading"/>
        <w:spacing w:line="240" w:lineRule="auto"/>
        <w:jc w:val="both"/>
        <w:rPr>
          <w:rFonts w:asciiTheme="minorHAnsi" w:hAnsiTheme="minorHAnsi" w:cstheme="minorHAnsi"/>
          <w:i/>
          <w:caps w:val="0"/>
          <w:color w:val="auto"/>
        </w:rPr>
      </w:pPr>
      <w:r w:rsidRPr="00780D76">
        <w:rPr>
          <w:rFonts w:asciiTheme="minorHAnsi" w:hAnsiTheme="minorHAnsi" w:cstheme="minorHAnsi"/>
          <w:i/>
          <w:caps w:val="0"/>
          <w:color w:val="auto"/>
        </w:rPr>
        <w:t xml:space="preserve">Please provide an estimated or approximate number, for an aggregate of the transferable records you most frequently process, based on available data. </w:t>
      </w:r>
    </w:p>
    <w:p w14:paraId="40409993" w14:textId="7A835FD0" w:rsidR="00040EE5" w:rsidRPr="00780D76" w:rsidRDefault="00040EE5" w:rsidP="009B6057">
      <w:pPr>
        <w:pStyle w:val="Boxheading"/>
        <w:spacing w:line="240" w:lineRule="auto"/>
        <w:jc w:val="both"/>
        <w:rPr>
          <w:rFonts w:asciiTheme="minorHAnsi" w:hAnsiTheme="minorHAnsi" w:cstheme="minorHAnsi"/>
          <w:i/>
          <w:caps w:val="0"/>
          <w:color w:val="auto"/>
        </w:rPr>
      </w:pPr>
      <w:r w:rsidRPr="00780D76">
        <w:rPr>
          <w:rFonts w:asciiTheme="minorHAnsi" w:hAnsiTheme="minorHAnsi" w:cstheme="minorHAnsi"/>
          <w:i/>
          <w:caps w:val="0"/>
          <w:color w:val="auto"/>
        </w:rPr>
        <w:t>‘</w:t>
      </w:r>
      <w:r w:rsidRPr="00780D76">
        <w:rPr>
          <w:rFonts w:asciiTheme="minorHAnsi" w:hAnsiTheme="minorHAnsi" w:cstheme="minorHAnsi"/>
          <w:caps w:val="0"/>
          <w:color w:val="auto"/>
        </w:rPr>
        <w:t>Processing’</w:t>
      </w:r>
      <w:r w:rsidRPr="00780D76">
        <w:rPr>
          <w:rFonts w:asciiTheme="minorHAnsi" w:hAnsiTheme="minorHAnsi" w:cstheme="minorHAnsi"/>
          <w:i/>
          <w:caps w:val="0"/>
          <w:color w:val="auto"/>
        </w:rPr>
        <w:t xml:space="preserve"> for these purposes includes arranging couriers, posting, reviewing, completing, amending, accounting for unexpected changes or errors, filing, and other similar actions</w:t>
      </w:r>
      <w:r w:rsidR="00BF3C49">
        <w:rPr>
          <w:rFonts w:asciiTheme="minorHAnsi" w:hAnsiTheme="minorHAnsi" w:cstheme="minorHAnsi"/>
          <w:i/>
          <w:caps w:val="0"/>
          <w:color w:val="auto"/>
        </w:rPr>
        <w:t>.</w:t>
      </w:r>
    </w:p>
    <w:p w14:paraId="09507259" w14:textId="77777777" w:rsidR="00040EE5" w:rsidRPr="00780D76" w:rsidRDefault="00040EE5" w:rsidP="00040EE5">
      <w:pPr>
        <w:pStyle w:val="Heading3"/>
        <w:rPr>
          <w:rFonts w:asciiTheme="minorHAnsi" w:hAnsiTheme="minorHAnsi" w:cstheme="minorHAnsi"/>
          <w:sz w:val="20"/>
        </w:rPr>
      </w:pPr>
    </w:p>
    <w:p w14:paraId="6E3F80EB" w14:textId="77777777" w:rsidR="00040EE5" w:rsidRPr="00780D76" w:rsidRDefault="00040EE5" w:rsidP="00A10DE8">
      <w:pPr>
        <w:pStyle w:val="Boxheading"/>
        <w:numPr>
          <w:ilvl w:val="0"/>
          <w:numId w:val="32"/>
        </w:numPr>
        <w:spacing w:line="240" w:lineRule="auto"/>
        <w:outlineLvl w:val="2"/>
        <w:rPr>
          <w:rFonts w:asciiTheme="minorHAnsi" w:hAnsiTheme="minorHAnsi" w:cstheme="minorHAnsi"/>
          <w:b/>
          <w:caps w:val="0"/>
          <w:color w:val="auto"/>
          <w:sz w:val="28"/>
        </w:rPr>
      </w:pPr>
      <w:r w:rsidRPr="00780D76">
        <w:rPr>
          <w:rFonts w:asciiTheme="minorHAnsi" w:hAnsiTheme="minorHAnsi" w:cstheme="minorHAnsi"/>
          <w:b/>
          <w:caps w:val="0"/>
          <w:color w:val="auto"/>
          <w:sz w:val="28"/>
        </w:rPr>
        <w:t xml:space="preserve"> </w:t>
      </w:r>
    </w:p>
    <w:p w14:paraId="1541A73E" w14:textId="77777777" w:rsidR="00040EE5" w:rsidRPr="00780D76" w:rsidRDefault="00040EE5" w:rsidP="009B6057">
      <w:pPr>
        <w:pStyle w:val="Boxheading"/>
        <w:spacing w:line="240" w:lineRule="auto"/>
        <w:jc w:val="both"/>
        <w:rPr>
          <w:rFonts w:asciiTheme="minorHAnsi" w:hAnsiTheme="minorHAnsi" w:cstheme="minorHAnsi"/>
          <w:caps w:val="0"/>
          <w:color w:val="auto"/>
        </w:rPr>
      </w:pPr>
      <w:r w:rsidRPr="00780D76">
        <w:rPr>
          <w:rFonts w:asciiTheme="minorHAnsi" w:hAnsiTheme="minorHAnsi" w:cstheme="minorHAnsi"/>
          <w:caps w:val="0"/>
          <w:color w:val="auto"/>
        </w:rPr>
        <w:t xml:space="preserve">What would you estimate to be the average annual financial cost to you, or your business, in processing paper-based transferable records? </w:t>
      </w:r>
    </w:p>
    <w:p w14:paraId="12B9B058" w14:textId="77777777" w:rsidR="00040EE5" w:rsidRPr="00780D76" w:rsidRDefault="00040EE5" w:rsidP="009B6057">
      <w:pPr>
        <w:pStyle w:val="Boxheading"/>
        <w:spacing w:line="240" w:lineRule="auto"/>
        <w:jc w:val="both"/>
        <w:rPr>
          <w:rFonts w:asciiTheme="minorHAnsi" w:hAnsiTheme="minorHAnsi" w:cstheme="minorHAnsi"/>
          <w:caps w:val="0"/>
          <w:color w:val="auto"/>
        </w:rPr>
      </w:pPr>
      <w:r w:rsidRPr="00780D76">
        <w:rPr>
          <w:rFonts w:asciiTheme="minorHAnsi" w:hAnsiTheme="minorHAnsi" w:cstheme="minorHAnsi"/>
          <w:caps w:val="0"/>
          <w:color w:val="auto"/>
        </w:rPr>
        <w:t xml:space="preserve">(Please refer to the records which you identified in </w:t>
      </w:r>
      <w:r w:rsidR="006F1DCC" w:rsidRPr="00780D76">
        <w:rPr>
          <w:rFonts w:asciiTheme="minorHAnsi" w:hAnsiTheme="minorHAnsi" w:cstheme="minorHAnsi"/>
          <w:caps w:val="0"/>
          <w:color w:val="0000FF"/>
        </w:rPr>
        <w:fldChar w:fldCharType="begin"/>
      </w:r>
      <w:r w:rsidR="006F1DCC" w:rsidRPr="00780D76">
        <w:rPr>
          <w:rFonts w:asciiTheme="minorHAnsi" w:hAnsiTheme="minorHAnsi" w:cstheme="minorHAnsi"/>
          <w:caps w:val="0"/>
          <w:color w:val="0000FF"/>
        </w:rPr>
        <w:instrText xml:space="preserve"> REF _Ref176445241 \r \h  \* MERGEFORMAT </w:instrText>
      </w:r>
      <w:r w:rsidR="006F1DCC" w:rsidRPr="00780D76">
        <w:rPr>
          <w:rFonts w:asciiTheme="minorHAnsi" w:hAnsiTheme="minorHAnsi" w:cstheme="minorHAnsi"/>
          <w:caps w:val="0"/>
          <w:color w:val="0000FF"/>
        </w:rPr>
      </w:r>
      <w:r w:rsidR="006F1DCC" w:rsidRPr="00780D76">
        <w:rPr>
          <w:rFonts w:asciiTheme="minorHAnsi" w:hAnsiTheme="minorHAnsi" w:cstheme="minorHAnsi"/>
          <w:caps w:val="0"/>
          <w:color w:val="0000FF"/>
        </w:rPr>
        <w:fldChar w:fldCharType="separate"/>
      </w:r>
      <w:r w:rsidR="006F1DCC" w:rsidRPr="00780D76">
        <w:rPr>
          <w:rFonts w:asciiTheme="minorHAnsi" w:hAnsiTheme="minorHAnsi" w:cstheme="minorHAnsi"/>
          <w:b/>
          <w:caps w:val="0"/>
          <w:color w:val="0000FF"/>
          <w:u w:val="single"/>
        </w:rPr>
        <w:t>Question 1</w:t>
      </w:r>
      <w:r w:rsidR="006F1DCC" w:rsidRPr="00780D76">
        <w:rPr>
          <w:rFonts w:asciiTheme="minorHAnsi" w:hAnsiTheme="minorHAnsi" w:cstheme="minorHAnsi"/>
          <w:caps w:val="0"/>
          <w:color w:val="0000FF"/>
        </w:rPr>
        <w:fldChar w:fldCharType="end"/>
      </w:r>
      <w:r w:rsidRPr="00780D76">
        <w:rPr>
          <w:rFonts w:asciiTheme="minorHAnsi" w:hAnsiTheme="minorHAnsi" w:cstheme="minorHAnsi"/>
          <w:caps w:val="0"/>
          <w:color w:val="0000FF"/>
        </w:rPr>
        <w:t xml:space="preserve"> </w:t>
      </w:r>
      <w:r w:rsidRPr="00780D76">
        <w:rPr>
          <w:rFonts w:asciiTheme="minorHAnsi" w:hAnsiTheme="minorHAnsi" w:cstheme="minorHAnsi"/>
          <w:caps w:val="0"/>
          <w:color w:val="auto"/>
        </w:rPr>
        <w:t xml:space="preserve">and </w:t>
      </w:r>
      <w:r w:rsidR="006F1DCC" w:rsidRPr="00780D76">
        <w:rPr>
          <w:rFonts w:asciiTheme="minorHAnsi" w:hAnsiTheme="minorHAnsi" w:cstheme="minorHAnsi"/>
          <w:b/>
          <w:caps w:val="0"/>
          <w:color w:val="0000FF"/>
          <w:u w:val="single"/>
        </w:rPr>
        <w:fldChar w:fldCharType="begin"/>
      </w:r>
      <w:r w:rsidR="006F1DCC" w:rsidRPr="00780D76">
        <w:rPr>
          <w:rFonts w:asciiTheme="minorHAnsi" w:hAnsiTheme="minorHAnsi" w:cstheme="minorHAnsi"/>
          <w:b/>
          <w:caps w:val="0"/>
          <w:color w:val="0000FF"/>
          <w:u w:val="single"/>
        </w:rPr>
        <w:instrText xml:space="preserve"> REF _Ref176445262 \r \h  \* MERGEFORMAT </w:instrText>
      </w:r>
      <w:r w:rsidR="006F1DCC" w:rsidRPr="00780D76">
        <w:rPr>
          <w:rFonts w:asciiTheme="minorHAnsi" w:hAnsiTheme="minorHAnsi" w:cstheme="minorHAnsi"/>
          <w:b/>
          <w:caps w:val="0"/>
          <w:color w:val="0000FF"/>
          <w:u w:val="single"/>
        </w:rPr>
      </w:r>
      <w:r w:rsidR="006F1DCC" w:rsidRPr="00780D76">
        <w:rPr>
          <w:rFonts w:asciiTheme="minorHAnsi" w:hAnsiTheme="minorHAnsi" w:cstheme="minorHAnsi"/>
          <w:b/>
          <w:caps w:val="0"/>
          <w:color w:val="0000FF"/>
          <w:u w:val="single"/>
        </w:rPr>
        <w:fldChar w:fldCharType="separate"/>
      </w:r>
      <w:r w:rsidR="006F1DCC" w:rsidRPr="00780D76">
        <w:rPr>
          <w:rFonts w:asciiTheme="minorHAnsi" w:hAnsiTheme="minorHAnsi" w:cstheme="minorHAnsi"/>
          <w:b/>
          <w:caps w:val="0"/>
          <w:color w:val="0000FF"/>
          <w:u w:val="single"/>
        </w:rPr>
        <w:t>Question 2</w:t>
      </w:r>
      <w:r w:rsidR="006F1DCC" w:rsidRPr="00780D76">
        <w:rPr>
          <w:rFonts w:asciiTheme="minorHAnsi" w:hAnsiTheme="minorHAnsi" w:cstheme="minorHAnsi"/>
          <w:b/>
          <w:caps w:val="0"/>
          <w:color w:val="0000FF"/>
          <w:u w:val="single"/>
        </w:rPr>
        <w:fldChar w:fldCharType="end"/>
      </w:r>
      <w:r w:rsidRPr="00780D76">
        <w:rPr>
          <w:rFonts w:asciiTheme="minorHAnsi" w:hAnsiTheme="minorHAnsi" w:cstheme="minorHAnsi"/>
          <w:caps w:val="0"/>
          <w:color w:val="auto"/>
        </w:rPr>
        <w:t xml:space="preserve">). </w:t>
      </w:r>
    </w:p>
    <w:p w14:paraId="78AEE9FF" w14:textId="77777777" w:rsidR="00040EE5" w:rsidRPr="00780D76" w:rsidRDefault="00040EE5" w:rsidP="009B6057">
      <w:pPr>
        <w:pStyle w:val="Boxheading"/>
        <w:spacing w:line="240" w:lineRule="auto"/>
        <w:jc w:val="both"/>
        <w:rPr>
          <w:rFonts w:asciiTheme="minorHAnsi" w:hAnsiTheme="minorHAnsi" w:cstheme="minorHAnsi"/>
          <w:i/>
          <w:color w:val="auto"/>
          <w:highlight w:val="yellow"/>
        </w:rPr>
      </w:pPr>
      <w:r w:rsidRPr="00780D76">
        <w:rPr>
          <w:rFonts w:asciiTheme="minorHAnsi" w:hAnsiTheme="minorHAnsi" w:cstheme="minorHAnsi"/>
          <w:i/>
          <w:caps w:val="0"/>
          <w:color w:val="auto"/>
        </w:rPr>
        <w:t>Please provide an estimated or approximate amount based on available data. Please account for employee or contractor hourly rates, legal fees, posting or printing, and other similar expenses.</w:t>
      </w:r>
    </w:p>
    <w:p w14:paraId="6953C728" w14:textId="77777777" w:rsidR="00040EE5" w:rsidRPr="00780D76" w:rsidRDefault="00040EE5" w:rsidP="00040EE5">
      <w:pPr>
        <w:pStyle w:val="Heading3"/>
        <w:rPr>
          <w:rFonts w:asciiTheme="minorHAnsi" w:hAnsiTheme="minorHAnsi" w:cstheme="minorHAnsi"/>
        </w:rPr>
      </w:pPr>
      <w:bookmarkStart w:id="46" w:name="_Toc176420783"/>
      <w:r w:rsidRPr="00780D76">
        <w:rPr>
          <w:rFonts w:asciiTheme="minorHAnsi" w:hAnsiTheme="minorHAnsi" w:cstheme="minorHAnsi"/>
        </w:rPr>
        <w:lastRenderedPageBreak/>
        <w:t>Estimated impacts of reform</w:t>
      </w:r>
      <w:bookmarkEnd w:id="46"/>
    </w:p>
    <w:p w14:paraId="4E0C3C8C" w14:textId="77777777" w:rsidR="00040EE5" w:rsidRPr="00780D76" w:rsidRDefault="00040EE5" w:rsidP="00040EE5">
      <w:pPr>
        <w:spacing w:line="276" w:lineRule="auto"/>
        <w:jc w:val="both"/>
        <w:rPr>
          <w:rFonts w:asciiTheme="minorHAnsi" w:hAnsiTheme="minorHAnsi" w:cstheme="minorHAnsi"/>
          <w:highlight w:val="yellow"/>
        </w:rPr>
      </w:pPr>
      <w:r w:rsidRPr="00780D76">
        <w:rPr>
          <w:rFonts w:asciiTheme="minorHAnsi" w:hAnsiTheme="minorHAnsi" w:cstheme="minorHAnsi"/>
        </w:rPr>
        <w:t>We are also interested in stakeholder estimates about the time or financial impact which using electronic transferable records (in place of paper) would have on business activities, assuming those stakeholders could access compliant technologies under a supportive legal framework.</w:t>
      </w:r>
    </w:p>
    <w:p w14:paraId="467B99BB" w14:textId="77777777" w:rsidR="00040EE5" w:rsidRPr="00780D76" w:rsidRDefault="00040EE5" w:rsidP="00A10DE8">
      <w:pPr>
        <w:pStyle w:val="Boxheading"/>
        <w:numPr>
          <w:ilvl w:val="0"/>
          <w:numId w:val="32"/>
        </w:numPr>
        <w:spacing w:line="240" w:lineRule="auto"/>
        <w:outlineLvl w:val="2"/>
        <w:rPr>
          <w:rFonts w:asciiTheme="minorHAnsi" w:hAnsiTheme="minorHAnsi" w:cstheme="minorHAnsi"/>
          <w:b/>
          <w:caps w:val="0"/>
          <w:color w:val="auto"/>
          <w:sz w:val="28"/>
        </w:rPr>
      </w:pPr>
    </w:p>
    <w:p w14:paraId="0EC570BB" w14:textId="77777777" w:rsidR="00040EE5" w:rsidRPr="00780D76" w:rsidRDefault="00040EE5" w:rsidP="009B6057">
      <w:pPr>
        <w:pStyle w:val="Boxheading"/>
        <w:spacing w:line="240" w:lineRule="auto"/>
        <w:jc w:val="both"/>
        <w:rPr>
          <w:rFonts w:asciiTheme="minorHAnsi" w:hAnsiTheme="minorHAnsi" w:cstheme="minorHAnsi"/>
          <w:caps w:val="0"/>
          <w:color w:val="auto"/>
        </w:rPr>
      </w:pPr>
      <w:r w:rsidRPr="00780D76">
        <w:rPr>
          <w:rFonts w:asciiTheme="minorHAnsi" w:hAnsiTheme="minorHAnsi" w:cstheme="minorHAnsi"/>
          <w:caps w:val="0"/>
          <w:color w:val="auto"/>
        </w:rPr>
        <w:t xml:space="preserve">If possible, please provide an estimate of how many hours you (or your business) might expect to save per year processing electronic transferable records, compared to paper versions. </w:t>
      </w:r>
    </w:p>
    <w:p w14:paraId="47826896" w14:textId="77777777" w:rsidR="00040EE5" w:rsidRPr="00780D76" w:rsidRDefault="00040EE5" w:rsidP="009B6057">
      <w:pPr>
        <w:pStyle w:val="Boxheading"/>
        <w:spacing w:line="240" w:lineRule="auto"/>
        <w:jc w:val="both"/>
        <w:rPr>
          <w:rFonts w:asciiTheme="minorHAnsi" w:hAnsiTheme="minorHAnsi" w:cstheme="minorHAnsi"/>
          <w:i/>
          <w:color w:val="auto"/>
          <w:highlight w:val="yellow"/>
        </w:rPr>
      </w:pPr>
      <w:r w:rsidRPr="00780D76">
        <w:rPr>
          <w:rFonts w:asciiTheme="minorHAnsi" w:hAnsiTheme="minorHAnsi" w:cstheme="minorHAnsi"/>
          <w:i/>
          <w:caps w:val="0"/>
          <w:color w:val="auto"/>
        </w:rPr>
        <w:t>If applicable, please also provide a brief description of the basis on which you made this estimate.</w:t>
      </w:r>
    </w:p>
    <w:p w14:paraId="70F3143C" w14:textId="77777777" w:rsidR="00040EE5" w:rsidRPr="00780D76" w:rsidRDefault="00040EE5" w:rsidP="00040EE5">
      <w:pPr>
        <w:rPr>
          <w:rFonts w:asciiTheme="minorHAnsi" w:hAnsiTheme="minorHAnsi" w:cstheme="minorHAnsi"/>
          <w:highlight w:val="yellow"/>
        </w:rPr>
      </w:pPr>
    </w:p>
    <w:p w14:paraId="385C4885" w14:textId="77777777" w:rsidR="00040EE5" w:rsidRPr="00780D76" w:rsidRDefault="00040EE5" w:rsidP="00A10DE8">
      <w:pPr>
        <w:pStyle w:val="Boxheading"/>
        <w:numPr>
          <w:ilvl w:val="0"/>
          <w:numId w:val="32"/>
        </w:numPr>
        <w:spacing w:line="240" w:lineRule="auto"/>
        <w:outlineLvl w:val="2"/>
        <w:rPr>
          <w:rFonts w:asciiTheme="minorHAnsi" w:hAnsiTheme="minorHAnsi" w:cstheme="minorHAnsi"/>
          <w:b/>
          <w:caps w:val="0"/>
          <w:color w:val="auto"/>
          <w:sz w:val="28"/>
        </w:rPr>
      </w:pPr>
    </w:p>
    <w:p w14:paraId="4756E092" w14:textId="77777777" w:rsidR="00040EE5" w:rsidRPr="00780D76" w:rsidRDefault="00040EE5" w:rsidP="009B6057">
      <w:pPr>
        <w:pStyle w:val="Boxheading"/>
        <w:spacing w:line="240" w:lineRule="auto"/>
        <w:jc w:val="both"/>
        <w:rPr>
          <w:rFonts w:asciiTheme="minorHAnsi" w:hAnsiTheme="minorHAnsi" w:cstheme="minorHAnsi"/>
          <w:caps w:val="0"/>
          <w:color w:val="auto"/>
        </w:rPr>
      </w:pPr>
      <w:r w:rsidRPr="00780D76">
        <w:rPr>
          <w:rFonts w:asciiTheme="minorHAnsi" w:hAnsiTheme="minorHAnsi" w:cstheme="minorHAnsi"/>
          <w:caps w:val="0"/>
          <w:color w:val="auto"/>
        </w:rPr>
        <w:t xml:space="preserve">If possible, please provide an estimate of the financial savings you (or your business) might expect per year processing electronic transferable records, compared to paper versions. </w:t>
      </w:r>
    </w:p>
    <w:p w14:paraId="6AF21B1A" w14:textId="77777777" w:rsidR="00040EE5" w:rsidRPr="00780D76" w:rsidRDefault="00040EE5" w:rsidP="009B6057">
      <w:pPr>
        <w:pStyle w:val="Boxheading"/>
        <w:spacing w:line="240" w:lineRule="auto"/>
        <w:jc w:val="both"/>
        <w:rPr>
          <w:rFonts w:asciiTheme="minorHAnsi" w:hAnsiTheme="minorHAnsi" w:cstheme="minorHAnsi"/>
          <w:i/>
          <w:color w:val="auto"/>
          <w:highlight w:val="yellow"/>
        </w:rPr>
      </w:pPr>
      <w:r w:rsidRPr="00780D76">
        <w:rPr>
          <w:rFonts w:asciiTheme="minorHAnsi" w:hAnsiTheme="minorHAnsi" w:cstheme="minorHAnsi"/>
          <w:i/>
          <w:caps w:val="0"/>
          <w:color w:val="auto"/>
        </w:rPr>
        <w:t>If applicable, please also provide a brief description of the basis on which you made this estimate.</w:t>
      </w:r>
    </w:p>
    <w:p w14:paraId="65069B05" w14:textId="77777777" w:rsidR="00040EE5" w:rsidRPr="00780D76" w:rsidRDefault="00040EE5" w:rsidP="00040EE5">
      <w:pPr>
        <w:pStyle w:val="Heading3"/>
        <w:rPr>
          <w:rFonts w:asciiTheme="minorHAnsi" w:hAnsiTheme="minorHAnsi" w:cstheme="minorHAnsi"/>
        </w:rPr>
      </w:pPr>
      <w:bookmarkStart w:id="47" w:name="_Toc176420784"/>
      <w:r w:rsidRPr="00780D76">
        <w:rPr>
          <w:rFonts w:asciiTheme="minorHAnsi" w:hAnsiTheme="minorHAnsi" w:cstheme="minorHAnsi"/>
        </w:rPr>
        <w:t>Consumer benefits of reform</w:t>
      </w:r>
      <w:bookmarkEnd w:id="47"/>
      <w:r w:rsidRPr="00780D76">
        <w:rPr>
          <w:rFonts w:asciiTheme="minorHAnsi" w:hAnsiTheme="minorHAnsi" w:cstheme="minorHAnsi"/>
        </w:rPr>
        <w:t xml:space="preserve"> </w:t>
      </w:r>
    </w:p>
    <w:p w14:paraId="49760248" w14:textId="77777777" w:rsidR="00040EE5"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 xml:space="preserve">Productivity and cost benefits for businesses using electronic transferable records (through fewer manual and paper-based entry processes) may equate to benefits for these business’ customers and consumers, and improved trade competitiveness may reduce the cost of imports, and put downward pressure on prices for imported items including household goods. </w:t>
      </w:r>
    </w:p>
    <w:p w14:paraId="4F425A79" w14:textId="6F6B21E9" w:rsidR="00040EE5" w:rsidRPr="00780D76" w:rsidRDefault="00040EE5" w:rsidP="00040EE5">
      <w:pPr>
        <w:spacing w:line="276" w:lineRule="auto"/>
        <w:jc w:val="both"/>
        <w:rPr>
          <w:rFonts w:asciiTheme="minorHAnsi" w:hAnsiTheme="minorHAnsi" w:cstheme="minorHAnsi"/>
          <w:highlight w:val="yellow"/>
        </w:rPr>
      </w:pPr>
      <w:r w:rsidRPr="00780D76">
        <w:rPr>
          <w:rFonts w:asciiTheme="minorHAnsi" w:hAnsiTheme="minorHAnsi" w:cstheme="minorHAnsi"/>
        </w:rPr>
        <w:t>We are interested in preliminary stakeholder assessments on the extent to which the use of electronic transferable records (in place of paper versions) would reduce consumer costs</w:t>
      </w:r>
      <w:r w:rsidR="00BF3C49">
        <w:rPr>
          <w:rFonts w:asciiTheme="minorHAnsi" w:hAnsiTheme="minorHAnsi" w:cstheme="minorHAnsi"/>
        </w:rPr>
        <w:t>.</w:t>
      </w:r>
    </w:p>
    <w:p w14:paraId="3F95B763" w14:textId="77777777" w:rsidR="00040EE5" w:rsidRPr="00780D76" w:rsidRDefault="00040EE5" w:rsidP="00A10DE8">
      <w:pPr>
        <w:pStyle w:val="Boxheading"/>
        <w:numPr>
          <w:ilvl w:val="0"/>
          <w:numId w:val="32"/>
        </w:numPr>
        <w:spacing w:line="240" w:lineRule="auto"/>
        <w:outlineLvl w:val="2"/>
        <w:rPr>
          <w:rFonts w:asciiTheme="minorHAnsi" w:hAnsiTheme="minorHAnsi" w:cstheme="minorHAnsi"/>
          <w:b/>
          <w:caps w:val="0"/>
          <w:color w:val="auto"/>
          <w:sz w:val="28"/>
        </w:rPr>
      </w:pPr>
    </w:p>
    <w:p w14:paraId="6DA92C3A" w14:textId="77777777" w:rsidR="00040EE5" w:rsidRPr="00780D76" w:rsidRDefault="00040EE5" w:rsidP="00040EE5">
      <w:pPr>
        <w:pStyle w:val="Boxheading"/>
        <w:spacing w:line="240" w:lineRule="auto"/>
        <w:rPr>
          <w:rFonts w:asciiTheme="minorHAnsi" w:hAnsiTheme="minorHAnsi" w:cstheme="minorHAnsi"/>
          <w:caps w:val="0"/>
          <w:color w:val="auto"/>
        </w:rPr>
      </w:pPr>
      <w:r w:rsidRPr="00780D76">
        <w:rPr>
          <w:rFonts w:asciiTheme="minorHAnsi" w:hAnsiTheme="minorHAnsi" w:cstheme="minorHAnsi"/>
          <w:caps w:val="0"/>
          <w:color w:val="auto"/>
        </w:rPr>
        <w:t>How would you assess the impact of using electronic transferable record processes upon your or your business’ customers and consumers?</w:t>
      </w:r>
    </w:p>
    <w:p w14:paraId="0E12900E" w14:textId="7B3997ED" w:rsidR="00842C9C" w:rsidRPr="00A10DE8" w:rsidRDefault="00760BAC" w:rsidP="008B382E">
      <w:pPr>
        <w:pStyle w:val="Boxheading"/>
        <w:numPr>
          <w:ilvl w:val="0"/>
          <w:numId w:val="29"/>
        </w:numPr>
        <w:spacing w:line="240" w:lineRule="auto"/>
        <w:rPr>
          <w:rFonts w:asciiTheme="minorHAnsi" w:hAnsiTheme="minorHAnsi" w:cstheme="minorHAnsi"/>
          <w:b/>
          <w:caps w:val="0"/>
          <w:color w:val="auto"/>
        </w:rPr>
      </w:pPr>
      <w:r>
        <w:rPr>
          <w:rFonts w:asciiTheme="minorHAnsi" w:hAnsiTheme="minorHAnsi" w:cstheme="minorHAnsi"/>
          <w:b/>
          <w:caps w:val="0"/>
          <w:color w:val="auto"/>
        </w:rPr>
        <w:t>I</w:t>
      </w:r>
      <w:r w:rsidR="00040EE5" w:rsidRPr="00A10DE8">
        <w:rPr>
          <w:rFonts w:asciiTheme="minorHAnsi" w:hAnsiTheme="minorHAnsi" w:cstheme="minorHAnsi"/>
          <w:b/>
          <w:caps w:val="0"/>
          <w:color w:val="auto"/>
        </w:rPr>
        <w:t xml:space="preserve">t would likely result in lowered costs for my customers and consumers </w:t>
      </w:r>
    </w:p>
    <w:p w14:paraId="792D1A9C" w14:textId="1C4CCDCF" w:rsidR="00842C9C" w:rsidRPr="00A10DE8" w:rsidRDefault="00760BAC" w:rsidP="008B382E">
      <w:pPr>
        <w:pStyle w:val="Boxheading"/>
        <w:numPr>
          <w:ilvl w:val="0"/>
          <w:numId w:val="29"/>
        </w:numPr>
        <w:spacing w:line="240" w:lineRule="auto"/>
        <w:rPr>
          <w:rFonts w:asciiTheme="minorHAnsi" w:hAnsiTheme="minorHAnsi" w:cstheme="minorHAnsi"/>
          <w:b/>
          <w:caps w:val="0"/>
          <w:color w:val="auto"/>
        </w:rPr>
      </w:pPr>
      <w:r>
        <w:rPr>
          <w:rFonts w:asciiTheme="minorHAnsi" w:hAnsiTheme="minorHAnsi" w:cstheme="minorHAnsi"/>
          <w:b/>
          <w:caps w:val="0"/>
          <w:color w:val="auto"/>
        </w:rPr>
        <w:t>I</w:t>
      </w:r>
      <w:r w:rsidR="00040EE5" w:rsidRPr="00A10DE8">
        <w:rPr>
          <w:rFonts w:asciiTheme="minorHAnsi" w:hAnsiTheme="minorHAnsi" w:cstheme="minorHAnsi"/>
          <w:b/>
          <w:caps w:val="0"/>
          <w:color w:val="auto"/>
        </w:rPr>
        <w:t xml:space="preserve">t would likely result in higher costs for my customers and consumers </w:t>
      </w:r>
    </w:p>
    <w:p w14:paraId="5262D559" w14:textId="51219A5C" w:rsidR="00040EE5" w:rsidRPr="00A10DE8" w:rsidRDefault="00760BAC" w:rsidP="008B382E">
      <w:pPr>
        <w:pStyle w:val="Boxheading"/>
        <w:numPr>
          <w:ilvl w:val="0"/>
          <w:numId w:val="29"/>
        </w:numPr>
        <w:spacing w:line="240" w:lineRule="auto"/>
        <w:rPr>
          <w:rFonts w:asciiTheme="minorHAnsi" w:hAnsiTheme="minorHAnsi" w:cstheme="minorHAnsi"/>
          <w:b/>
          <w:caps w:val="0"/>
          <w:color w:val="auto"/>
        </w:rPr>
      </w:pPr>
      <w:r>
        <w:rPr>
          <w:rFonts w:asciiTheme="minorHAnsi" w:hAnsiTheme="minorHAnsi" w:cstheme="minorHAnsi"/>
          <w:b/>
          <w:caps w:val="0"/>
          <w:color w:val="auto"/>
        </w:rPr>
        <w:t>I</w:t>
      </w:r>
      <w:r w:rsidR="00040EE5" w:rsidRPr="00A10DE8">
        <w:rPr>
          <w:rFonts w:asciiTheme="minorHAnsi" w:hAnsiTheme="minorHAnsi" w:cstheme="minorHAnsi"/>
          <w:b/>
          <w:caps w:val="0"/>
          <w:color w:val="auto"/>
        </w:rPr>
        <w:t xml:space="preserve">t would likely not have any effect on costs for my customers and consumers </w:t>
      </w:r>
    </w:p>
    <w:p w14:paraId="349F88C8" w14:textId="77777777" w:rsidR="00040EE5" w:rsidRPr="00780D76" w:rsidRDefault="00040EE5" w:rsidP="00842C9C">
      <w:pPr>
        <w:pStyle w:val="Boxheading"/>
        <w:spacing w:line="240" w:lineRule="auto"/>
        <w:rPr>
          <w:rFonts w:asciiTheme="minorHAnsi" w:hAnsiTheme="minorHAnsi" w:cstheme="minorHAnsi"/>
          <w:i/>
          <w:color w:val="auto"/>
          <w:highlight w:val="yellow"/>
        </w:rPr>
      </w:pPr>
      <w:r w:rsidRPr="00780D76">
        <w:rPr>
          <w:rFonts w:asciiTheme="minorHAnsi" w:hAnsiTheme="minorHAnsi" w:cstheme="minorHAnsi"/>
          <w:i/>
          <w:caps w:val="0"/>
          <w:color w:val="auto"/>
        </w:rPr>
        <w:t>Please expand on your answer – including, if applicable, a description of the basis on which you made this assessment.</w:t>
      </w:r>
    </w:p>
    <w:p w14:paraId="674F2523" w14:textId="77777777" w:rsidR="00040EE5" w:rsidRPr="00780D76" w:rsidRDefault="00040EE5" w:rsidP="008B382E">
      <w:pPr>
        <w:pStyle w:val="Heading1"/>
        <w:keepLines/>
        <w:numPr>
          <w:ilvl w:val="1"/>
          <w:numId w:val="31"/>
        </w:numPr>
        <w:spacing w:before="0" w:after="240" w:line="259" w:lineRule="auto"/>
        <w:ind w:left="709" w:hanging="709"/>
        <w:rPr>
          <w:rFonts w:asciiTheme="minorHAnsi" w:hAnsiTheme="minorHAnsi" w:cstheme="minorHAnsi"/>
          <w:sz w:val="36"/>
          <w:lang w:eastAsia="en-AU"/>
        </w:rPr>
      </w:pPr>
      <w:bookmarkStart w:id="48" w:name="_Toc176437881"/>
      <w:r w:rsidRPr="00780D76">
        <w:rPr>
          <w:rFonts w:asciiTheme="minorHAnsi" w:hAnsiTheme="minorHAnsi" w:cstheme="minorHAnsi"/>
          <w:sz w:val="36"/>
          <w:lang w:eastAsia="en-AU"/>
        </w:rPr>
        <w:lastRenderedPageBreak/>
        <w:t>Paper-based transferable record requirements and paperless trade</w:t>
      </w:r>
      <w:bookmarkEnd w:id="48"/>
      <w:r w:rsidRPr="00780D76">
        <w:rPr>
          <w:rFonts w:asciiTheme="minorHAnsi" w:hAnsiTheme="minorHAnsi" w:cstheme="minorHAnsi"/>
          <w:sz w:val="36"/>
          <w:lang w:eastAsia="en-AU"/>
        </w:rPr>
        <w:t xml:space="preserve"> </w:t>
      </w:r>
    </w:p>
    <w:p w14:paraId="6250B0AA" w14:textId="77777777" w:rsidR="00040EE5"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 xml:space="preserve">We would also like to explore the extent to which paper-based transferable record requirements may be affecting broader ‘paperless trade’ initiatives. </w:t>
      </w:r>
    </w:p>
    <w:p w14:paraId="4C965AC0" w14:textId="77777777" w:rsidR="00040EE5"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 xml:space="preserve">As will be described in further detail below, Australian law does not clearly allow trade and commerce participants to use electronic transferable records. However, in trade and commerce, stakeholders may need to use a great variety of documents, many of which will not be ‘transferable’. For example, different cross-border trade processes may involve non-transferable documents like invoices, order forms, certificates and contracts. </w:t>
      </w:r>
    </w:p>
    <w:p w14:paraId="3F244E4B" w14:textId="77777777" w:rsidR="00040EE5"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Australian law may already allow some of these non-transferable trade documents to be used and exchanged electronically.</w:t>
      </w:r>
      <w:r w:rsidRPr="00780D76">
        <w:rPr>
          <w:rStyle w:val="FootnoteReference"/>
          <w:rFonts w:asciiTheme="minorHAnsi" w:hAnsiTheme="minorHAnsi" w:cstheme="minorHAnsi"/>
        </w:rPr>
        <w:footnoteReference w:id="16"/>
      </w:r>
      <w:r w:rsidRPr="00780D76">
        <w:rPr>
          <w:rFonts w:asciiTheme="minorHAnsi" w:hAnsiTheme="minorHAnsi" w:cstheme="minorHAnsi"/>
        </w:rPr>
        <w:t xml:space="preserve"> Regardless, despite potential costs savings, we understand that trade participants may still often use (or require from others) paper-based versions of non-transferable trade documents. </w:t>
      </w:r>
    </w:p>
    <w:p w14:paraId="6EDC6537" w14:textId="77777777" w:rsidR="00040EE5"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 xml:space="preserve">Based on previous STS consultation responses, and other cross-government work on paperless trade including work being undertaken by the ABF, our understanding is that the continued reliance on paper trade documentation is due to several different factors, including: </w:t>
      </w:r>
    </w:p>
    <w:p w14:paraId="1823E43F" w14:textId="77777777" w:rsidR="00040EE5" w:rsidRPr="00780D76" w:rsidRDefault="00040EE5" w:rsidP="000E01D0">
      <w:pPr>
        <w:pStyle w:val="ListParagraph"/>
        <w:numPr>
          <w:ilvl w:val="0"/>
          <w:numId w:val="8"/>
        </w:numPr>
        <w:spacing w:line="276" w:lineRule="auto"/>
        <w:jc w:val="both"/>
        <w:rPr>
          <w:rFonts w:asciiTheme="minorHAnsi" w:hAnsiTheme="minorHAnsi" w:cstheme="minorHAnsi"/>
        </w:rPr>
      </w:pPr>
      <w:r w:rsidRPr="00780D76">
        <w:rPr>
          <w:rFonts w:asciiTheme="minorHAnsi" w:hAnsiTheme="minorHAnsi" w:cstheme="minorHAnsi"/>
        </w:rPr>
        <w:t>real or perceived differences in the legal validity or acceptability of electronic trade documentation across borders</w:t>
      </w:r>
    </w:p>
    <w:p w14:paraId="33F802B4" w14:textId="77777777" w:rsidR="00842C9C" w:rsidRPr="00780D76" w:rsidRDefault="00040EE5" w:rsidP="000E01D0">
      <w:pPr>
        <w:pStyle w:val="ListParagraph"/>
        <w:numPr>
          <w:ilvl w:val="0"/>
          <w:numId w:val="8"/>
        </w:numPr>
        <w:spacing w:line="276" w:lineRule="auto"/>
        <w:jc w:val="both"/>
        <w:rPr>
          <w:rFonts w:asciiTheme="minorHAnsi" w:hAnsiTheme="minorHAnsi" w:cstheme="minorHAnsi"/>
        </w:rPr>
      </w:pPr>
      <w:r w:rsidRPr="00780D76">
        <w:rPr>
          <w:rFonts w:asciiTheme="minorHAnsi" w:hAnsiTheme="minorHAnsi" w:cstheme="minorHAnsi"/>
        </w:rPr>
        <w:t xml:space="preserve">lack of trust, or concern about perceived or actual fraud, particularly for digital records </w:t>
      </w:r>
    </w:p>
    <w:p w14:paraId="4C8C879C" w14:textId="77777777" w:rsidR="00040EE5" w:rsidRPr="00780D76" w:rsidRDefault="00040EE5" w:rsidP="000E01D0">
      <w:pPr>
        <w:pStyle w:val="ListParagraph"/>
        <w:numPr>
          <w:ilvl w:val="0"/>
          <w:numId w:val="8"/>
        </w:numPr>
        <w:spacing w:line="276" w:lineRule="auto"/>
        <w:jc w:val="both"/>
        <w:rPr>
          <w:rFonts w:asciiTheme="minorHAnsi" w:hAnsiTheme="minorHAnsi" w:cstheme="minorHAnsi"/>
        </w:rPr>
      </w:pPr>
      <w:r w:rsidRPr="00780D76">
        <w:rPr>
          <w:rFonts w:asciiTheme="minorHAnsi" w:hAnsiTheme="minorHAnsi" w:cstheme="minorHAnsi"/>
        </w:rPr>
        <w:t>the necessity and costs of updating systems and infrastructure to accommodate electronic trade documentation</w:t>
      </w:r>
    </w:p>
    <w:p w14:paraId="463B4BCE" w14:textId="77777777" w:rsidR="00040EE5" w:rsidRPr="00780D76" w:rsidRDefault="00040EE5" w:rsidP="000E01D0">
      <w:pPr>
        <w:pStyle w:val="ListParagraph"/>
        <w:numPr>
          <w:ilvl w:val="0"/>
          <w:numId w:val="8"/>
        </w:numPr>
        <w:spacing w:line="276" w:lineRule="auto"/>
        <w:jc w:val="both"/>
        <w:rPr>
          <w:rFonts w:asciiTheme="minorHAnsi" w:hAnsiTheme="minorHAnsi" w:cstheme="minorHAnsi"/>
        </w:rPr>
      </w:pPr>
      <w:r w:rsidRPr="00780D76">
        <w:rPr>
          <w:rFonts w:asciiTheme="minorHAnsi" w:hAnsiTheme="minorHAnsi" w:cstheme="minorHAnsi"/>
        </w:rPr>
        <w:t>some examples where electronic non-transferable trade documentation may not be permitted under Australian law.</w:t>
      </w:r>
      <w:r w:rsidRPr="00780D76">
        <w:rPr>
          <w:rStyle w:val="FootnoteReference"/>
          <w:rFonts w:asciiTheme="minorHAnsi" w:hAnsiTheme="minorHAnsi" w:cstheme="minorHAnsi"/>
        </w:rPr>
        <w:footnoteReference w:id="17"/>
      </w:r>
    </w:p>
    <w:p w14:paraId="6BD7F965" w14:textId="77777777" w:rsidR="00040EE5" w:rsidRPr="00780D76" w:rsidRDefault="00040EE5" w:rsidP="00040EE5">
      <w:pPr>
        <w:spacing w:line="276" w:lineRule="auto"/>
        <w:jc w:val="both"/>
        <w:rPr>
          <w:rFonts w:asciiTheme="minorHAnsi" w:hAnsiTheme="minorHAnsi" w:cstheme="minorHAnsi"/>
          <w:highlight w:val="yellow"/>
        </w:rPr>
      </w:pPr>
      <w:r w:rsidRPr="00780D76">
        <w:rPr>
          <w:rFonts w:asciiTheme="minorHAnsi" w:hAnsiTheme="minorHAnsi" w:cstheme="minorHAnsi"/>
        </w:rPr>
        <w:t>However, we also understand that uncertainty around the validity of electronic transferable records specifically is one of the reasons for this continued reliance on paper trade documentation, and that this particular issue may be resolved through implementation of the MLETR.</w:t>
      </w:r>
    </w:p>
    <w:p w14:paraId="5787968B" w14:textId="77777777" w:rsidR="00040EE5" w:rsidRPr="00780D76" w:rsidRDefault="00040EE5" w:rsidP="00040EE5">
      <w:pPr>
        <w:spacing w:line="276" w:lineRule="auto"/>
        <w:jc w:val="both"/>
        <w:rPr>
          <w:rFonts w:asciiTheme="minorHAnsi" w:hAnsiTheme="minorHAnsi" w:cstheme="minorHAnsi"/>
          <w:i/>
        </w:rPr>
      </w:pPr>
      <w:r w:rsidRPr="00780D76">
        <w:rPr>
          <w:rFonts w:asciiTheme="minorHAnsi" w:hAnsiTheme="minorHAnsi" w:cstheme="minorHAnsi"/>
        </w:rPr>
        <w:t xml:space="preserve">As one anonymous trade software company explained, trade participants may be able to exchange </w:t>
      </w:r>
      <w:r w:rsidRPr="00780D76">
        <w:rPr>
          <w:rFonts w:asciiTheme="minorHAnsi" w:hAnsiTheme="minorHAnsi" w:cstheme="minorHAnsi"/>
          <w:i/>
        </w:rPr>
        <w:t>“8 out of 10”</w:t>
      </w:r>
      <w:r w:rsidRPr="00780D76">
        <w:rPr>
          <w:rFonts w:asciiTheme="minorHAnsi" w:hAnsiTheme="minorHAnsi" w:cstheme="minorHAnsi"/>
        </w:rPr>
        <w:t xml:space="preserve"> documents electronically – but participants will continue to rely on paper processes so long as </w:t>
      </w:r>
      <w:r w:rsidRPr="00780D76">
        <w:rPr>
          <w:rFonts w:asciiTheme="minorHAnsi" w:hAnsiTheme="minorHAnsi" w:cstheme="minorHAnsi"/>
          <w:i/>
        </w:rPr>
        <w:t>“2 out of 10”</w:t>
      </w:r>
      <w:r w:rsidRPr="00780D76">
        <w:rPr>
          <w:rFonts w:asciiTheme="minorHAnsi" w:hAnsiTheme="minorHAnsi" w:cstheme="minorHAnsi"/>
        </w:rPr>
        <w:t xml:space="preserve"> documents must be in paper form: or, in other words, </w:t>
      </w:r>
      <w:r w:rsidRPr="00780D76">
        <w:rPr>
          <w:rFonts w:asciiTheme="minorHAnsi" w:hAnsiTheme="minorHAnsi" w:cstheme="minorHAnsi"/>
          <w:i/>
        </w:rPr>
        <w:t>“you’re only as strong as your weakest link”.</w:t>
      </w:r>
      <w:r w:rsidRPr="00780D76">
        <w:rPr>
          <w:rStyle w:val="FootnoteReference"/>
          <w:rFonts w:asciiTheme="minorHAnsi" w:hAnsiTheme="minorHAnsi" w:cstheme="minorHAnsi"/>
          <w:i/>
        </w:rPr>
        <w:footnoteReference w:id="18"/>
      </w:r>
    </w:p>
    <w:p w14:paraId="07A74045" w14:textId="77777777" w:rsidR="00040EE5" w:rsidRPr="00780D76" w:rsidRDefault="00040EE5" w:rsidP="00040EE5">
      <w:pPr>
        <w:spacing w:line="276" w:lineRule="auto"/>
        <w:jc w:val="both"/>
        <w:rPr>
          <w:rFonts w:asciiTheme="minorHAnsi" w:hAnsiTheme="minorHAnsi" w:cstheme="minorHAnsi"/>
          <w:highlight w:val="yellow"/>
        </w:rPr>
      </w:pPr>
      <w:r w:rsidRPr="00780D76">
        <w:rPr>
          <w:rFonts w:asciiTheme="minorHAnsi" w:hAnsiTheme="minorHAnsi" w:cstheme="minorHAnsi"/>
        </w:rPr>
        <w:t>We would like to hear more views about the link between uncertainty regarding electronic transferable records, and uncertainty about paperless trade generally.</w:t>
      </w:r>
      <w:r w:rsidRPr="00780D76">
        <w:rPr>
          <w:rFonts w:asciiTheme="minorHAnsi" w:hAnsiTheme="minorHAnsi" w:cstheme="minorHAnsi"/>
          <w:highlight w:val="yellow"/>
        </w:rPr>
        <w:t xml:space="preserve"> </w:t>
      </w:r>
    </w:p>
    <w:p w14:paraId="36594E84" w14:textId="08B24B2F" w:rsidR="008E6697" w:rsidRDefault="008E6697">
      <w:pPr>
        <w:spacing w:before="0" w:after="0" w:line="240" w:lineRule="auto"/>
        <w:rPr>
          <w:rFonts w:asciiTheme="minorHAnsi" w:hAnsiTheme="minorHAnsi" w:cstheme="minorHAnsi"/>
          <w:bCs/>
          <w:color w:val="auto"/>
          <w:sz w:val="28"/>
          <w:szCs w:val="20"/>
        </w:rPr>
      </w:pPr>
      <w:r>
        <w:rPr>
          <w:rFonts w:asciiTheme="minorHAnsi" w:hAnsiTheme="minorHAnsi" w:cstheme="minorHAnsi"/>
          <w:caps/>
          <w:color w:val="auto"/>
          <w:sz w:val="28"/>
        </w:rPr>
        <w:br w:type="page"/>
      </w:r>
    </w:p>
    <w:p w14:paraId="3AFAFE60" w14:textId="77777777" w:rsidR="00040EE5" w:rsidRPr="00780D76" w:rsidRDefault="00040EE5" w:rsidP="008B382E">
      <w:pPr>
        <w:pStyle w:val="Boxheading"/>
        <w:numPr>
          <w:ilvl w:val="0"/>
          <w:numId w:val="32"/>
        </w:numPr>
        <w:spacing w:line="240" w:lineRule="auto"/>
        <w:rPr>
          <w:rFonts w:asciiTheme="minorHAnsi" w:hAnsiTheme="minorHAnsi" w:cstheme="minorHAnsi"/>
          <w:caps w:val="0"/>
          <w:color w:val="auto"/>
          <w:sz w:val="28"/>
          <w:lang w:val="en-AU"/>
        </w:rPr>
      </w:pPr>
    </w:p>
    <w:p w14:paraId="1B25E151" w14:textId="77777777" w:rsidR="00040EE5" w:rsidRPr="00780D76" w:rsidRDefault="00040EE5" w:rsidP="00040EE5">
      <w:pPr>
        <w:pStyle w:val="Boxheading"/>
        <w:spacing w:line="240" w:lineRule="auto"/>
        <w:jc w:val="both"/>
        <w:rPr>
          <w:rFonts w:asciiTheme="minorHAnsi" w:hAnsiTheme="minorHAnsi" w:cstheme="minorHAnsi"/>
          <w:caps w:val="0"/>
          <w:color w:val="auto"/>
          <w:lang w:val="en-AU"/>
        </w:rPr>
      </w:pPr>
      <w:r w:rsidRPr="00780D76">
        <w:rPr>
          <w:rFonts w:asciiTheme="minorHAnsi" w:hAnsiTheme="minorHAnsi" w:cstheme="minorHAnsi"/>
          <w:caps w:val="0"/>
          <w:color w:val="auto"/>
          <w:lang w:val="en-AU"/>
        </w:rPr>
        <w:t xml:space="preserve">To what extent are your (or your business’) trade documentation processes generally affected by the specific issue of uncertainty about the legal validity of electronic transferable records? </w:t>
      </w:r>
    </w:p>
    <w:p w14:paraId="17419F38" w14:textId="5A1708BD" w:rsidR="00842C9C" w:rsidRPr="00A10DE8" w:rsidRDefault="00CB3720" w:rsidP="008B382E">
      <w:pPr>
        <w:pStyle w:val="Boxheading"/>
        <w:numPr>
          <w:ilvl w:val="0"/>
          <w:numId w:val="28"/>
        </w:numPr>
        <w:spacing w:line="240" w:lineRule="auto"/>
        <w:jc w:val="both"/>
        <w:rPr>
          <w:rFonts w:asciiTheme="minorHAnsi" w:hAnsiTheme="minorHAnsi" w:cstheme="minorHAnsi"/>
          <w:b/>
          <w:caps w:val="0"/>
          <w:color w:val="auto"/>
          <w:lang w:val="en-AU"/>
        </w:rPr>
      </w:pPr>
      <w:r>
        <w:rPr>
          <w:rFonts w:asciiTheme="minorHAnsi" w:hAnsiTheme="minorHAnsi" w:cstheme="minorHAnsi"/>
          <w:b/>
          <w:caps w:val="0"/>
          <w:color w:val="auto"/>
          <w:lang w:val="en-AU"/>
        </w:rPr>
        <w:t>P</w:t>
      </w:r>
      <w:r w:rsidR="00040EE5" w:rsidRPr="00A10DE8">
        <w:rPr>
          <w:rFonts w:asciiTheme="minorHAnsi" w:hAnsiTheme="minorHAnsi" w:cstheme="minorHAnsi"/>
          <w:b/>
          <w:caps w:val="0"/>
          <w:color w:val="auto"/>
          <w:lang w:val="en-AU"/>
        </w:rPr>
        <w:t xml:space="preserve">aper transferable record requirements do not affect our processes </w:t>
      </w:r>
    </w:p>
    <w:p w14:paraId="4B85E310" w14:textId="274F7C71" w:rsidR="00842C9C" w:rsidRPr="00A10DE8" w:rsidRDefault="00CB3720" w:rsidP="008B382E">
      <w:pPr>
        <w:pStyle w:val="Boxheading"/>
        <w:numPr>
          <w:ilvl w:val="0"/>
          <w:numId w:val="28"/>
        </w:numPr>
        <w:spacing w:line="240" w:lineRule="auto"/>
        <w:jc w:val="both"/>
        <w:rPr>
          <w:rFonts w:asciiTheme="minorHAnsi" w:hAnsiTheme="minorHAnsi" w:cstheme="minorHAnsi"/>
          <w:b/>
          <w:caps w:val="0"/>
          <w:color w:val="auto"/>
          <w:lang w:val="en-AU"/>
        </w:rPr>
      </w:pPr>
      <w:r>
        <w:rPr>
          <w:rFonts w:asciiTheme="minorHAnsi" w:hAnsiTheme="minorHAnsi" w:cstheme="minorHAnsi"/>
          <w:b/>
          <w:caps w:val="0"/>
          <w:color w:val="auto"/>
          <w:lang w:val="en-AU"/>
        </w:rPr>
        <w:t>W</w:t>
      </w:r>
      <w:r w:rsidR="00040EE5" w:rsidRPr="00A10DE8">
        <w:rPr>
          <w:rFonts w:asciiTheme="minorHAnsi" w:hAnsiTheme="minorHAnsi" w:cstheme="minorHAnsi"/>
          <w:b/>
          <w:caps w:val="0"/>
          <w:color w:val="auto"/>
          <w:lang w:val="en-AU"/>
        </w:rPr>
        <w:t xml:space="preserve">e use paper trade documents for several reasons, including paper transferable record requirements </w:t>
      </w:r>
    </w:p>
    <w:p w14:paraId="6A64ADBC" w14:textId="37C0D0E5" w:rsidR="00040EE5" w:rsidRPr="00A10DE8" w:rsidRDefault="00CB3720" w:rsidP="008B382E">
      <w:pPr>
        <w:pStyle w:val="Boxheading"/>
        <w:numPr>
          <w:ilvl w:val="0"/>
          <w:numId w:val="28"/>
        </w:numPr>
        <w:spacing w:line="240" w:lineRule="auto"/>
        <w:jc w:val="both"/>
        <w:rPr>
          <w:rFonts w:asciiTheme="minorHAnsi" w:hAnsiTheme="minorHAnsi" w:cstheme="minorHAnsi"/>
          <w:b/>
          <w:caps w:val="0"/>
          <w:color w:val="auto"/>
          <w:lang w:val="en-AU"/>
        </w:rPr>
      </w:pPr>
      <w:r>
        <w:rPr>
          <w:rFonts w:asciiTheme="minorHAnsi" w:hAnsiTheme="minorHAnsi" w:cstheme="minorHAnsi"/>
          <w:b/>
          <w:caps w:val="0"/>
          <w:color w:val="auto"/>
          <w:lang w:val="en-AU"/>
        </w:rPr>
        <w:t>T</w:t>
      </w:r>
      <w:r w:rsidR="00040EE5" w:rsidRPr="00A10DE8">
        <w:rPr>
          <w:rFonts w:asciiTheme="minorHAnsi" w:hAnsiTheme="minorHAnsi" w:cstheme="minorHAnsi"/>
          <w:b/>
          <w:caps w:val="0"/>
          <w:color w:val="auto"/>
          <w:lang w:val="en-AU"/>
        </w:rPr>
        <w:t xml:space="preserve">he primary reason we use paper trade documents is paper transferable record requirements. </w:t>
      </w:r>
    </w:p>
    <w:p w14:paraId="3369E5BB" w14:textId="77777777" w:rsidR="00040EE5" w:rsidRPr="00780D76" w:rsidRDefault="00040EE5" w:rsidP="00040EE5">
      <w:pPr>
        <w:pStyle w:val="Boxheading"/>
        <w:spacing w:line="240" w:lineRule="auto"/>
        <w:jc w:val="both"/>
        <w:rPr>
          <w:rFonts w:asciiTheme="minorHAnsi" w:hAnsiTheme="minorHAnsi" w:cstheme="minorHAnsi"/>
          <w:highlight w:val="yellow"/>
        </w:rPr>
      </w:pPr>
      <w:r w:rsidRPr="00780D76">
        <w:rPr>
          <w:rFonts w:asciiTheme="minorHAnsi" w:hAnsiTheme="minorHAnsi" w:cstheme="minorHAnsi"/>
          <w:caps w:val="0"/>
          <w:color w:val="auto"/>
          <w:lang w:val="en-AU"/>
        </w:rPr>
        <w:t>Please expand on your answer. For example, if applicable, please expand on which barriers prevent you from using electronic trade documentation generally</w:t>
      </w:r>
      <w:r w:rsidRPr="00780D76">
        <w:rPr>
          <w:rFonts w:asciiTheme="minorHAnsi" w:hAnsiTheme="minorHAnsi" w:cstheme="minorHAnsi"/>
          <w:color w:val="auto"/>
          <w:lang w:val="en-AU"/>
        </w:rPr>
        <w:t>.</w:t>
      </w:r>
      <w:r w:rsidRPr="00780D76">
        <w:rPr>
          <w:rFonts w:asciiTheme="minorHAnsi" w:hAnsiTheme="minorHAnsi" w:cstheme="minorHAnsi"/>
          <w:highlight w:val="yellow"/>
        </w:rPr>
        <w:t xml:space="preserve"> </w:t>
      </w:r>
    </w:p>
    <w:p w14:paraId="096261AD" w14:textId="77777777" w:rsidR="005D5714" w:rsidRDefault="005D5714">
      <w:pPr>
        <w:spacing w:before="0" w:after="0" w:line="240" w:lineRule="auto"/>
        <w:rPr>
          <w:rFonts w:asciiTheme="minorHAnsi" w:hAnsiTheme="minorHAnsi" w:cstheme="minorHAnsi"/>
          <w:b/>
          <w:bCs/>
          <w:color w:val="50748A"/>
          <w:kern w:val="28"/>
          <w:sz w:val="44"/>
          <w:szCs w:val="36"/>
          <w:lang w:eastAsia="en-AU"/>
        </w:rPr>
      </w:pPr>
      <w:r>
        <w:rPr>
          <w:rFonts w:asciiTheme="minorHAnsi" w:hAnsiTheme="minorHAnsi" w:cstheme="minorHAnsi"/>
          <w:lang w:eastAsia="en-AU"/>
        </w:rPr>
        <w:br w:type="page"/>
      </w:r>
    </w:p>
    <w:p w14:paraId="009F0803" w14:textId="29CF1B98" w:rsidR="00040EE5" w:rsidRPr="00780D76" w:rsidRDefault="00040EE5" w:rsidP="008B382E">
      <w:pPr>
        <w:pStyle w:val="Heading1"/>
        <w:keepLines/>
        <w:numPr>
          <w:ilvl w:val="0"/>
          <w:numId w:val="31"/>
        </w:numPr>
        <w:spacing w:before="0" w:after="240" w:line="259" w:lineRule="auto"/>
        <w:ind w:left="426" w:hanging="426"/>
        <w:rPr>
          <w:rFonts w:asciiTheme="minorHAnsi" w:hAnsiTheme="minorHAnsi" w:cstheme="minorHAnsi"/>
          <w:lang w:eastAsia="en-AU"/>
        </w:rPr>
      </w:pPr>
      <w:r w:rsidRPr="00780D76">
        <w:rPr>
          <w:rFonts w:asciiTheme="minorHAnsi" w:hAnsiTheme="minorHAnsi" w:cstheme="minorHAnsi"/>
          <w:lang w:eastAsia="en-AU"/>
        </w:rPr>
        <w:lastRenderedPageBreak/>
        <w:t xml:space="preserve"> </w:t>
      </w:r>
      <w:bookmarkStart w:id="49" w:name="_Ref176437614"/>
      <w:bookmarkStart w:id="50" w:name="_Toc176437882"/>
      <w:r w:rsidRPr="00780D76">
        <w:rPr>
          <w:rFonts w:asciiTheme="minorHAnsi" w:hAnsiTheme="minorHAnsi" w:cstheme="minorHAnsi"/>
          <w:lang w:eastAsia="en-AU"/>
        </w:rPr>
        <w:t>Australian law applying to transferable records</w:t>
      </w:r>
      <w:bookmarkEnd w:id="49"/>
      <w:bookmarkEnd w:id="50"/>
    </w:p>
    <w:p w14:paraId="7002FCBB" w14:textId="77777777" w:rsidR="00040EE5" w:rsidRPr="00780D76" w:rsidRDefault="00040EE5" w:rsidP="00040EE5">
      <w:pPr>
        <w:jc w:val="both"/>
        <w:rPr>
          <w:rFonts w:asciiTheme="minorHAnsi" w:hAnsiTheme="minorHAnsi" w:cstheme="minorHAnsi"/>
        </w:rPr>
      </w:pPr>
      <w:r w:rsidRPr="00780D76">
        <w:rPr>
          <w:rFonts w:asciiTheme="minorHAnsi" w:hAnsiTheme="minorHAnsi" w:cstheme="minorHAnsi"/>
        </w:rPr>
        <w:t xml:space="preserve">The key provisions under the MLETR apply to requirements </w:t>
      </w:r>
      <w:r w:rsidRPr="0084133D">
        <w:rPr>
          <w:rFonts w:asciiTheme="minorHAnsi" w:hAnsiTheme="minorHAnsi" w:cstheme="minorHAnsi"/>
          <w:i/>
        </w:rPr>
        <w:t>under law</w:t>
      </w:r>
      <w:r w:rsidRPr="00780D76">
        <w:rPr>
          <w:rFonts w:asciiTheme="minorHAnsi" w:hAnsiTheme="minorHAnsi" w:cstheme="minorHAnsi"/>
        </w:rPr>
        <w:t xml:space="preserve"> to possess and transfer a paper transferable record.</w:t>
      </w:r>
      <w:r w:rsidRPr="00780D76">
        <w:rPr>
          <w:rStyle w:val="FootnoteReference"/>
          <w:rFonts w:asciiTheme="minorHAnsi" w:hAnsiTheme="minorHAnsi" w:cstheme="minorHAnsi"/>
        </w:rPr>
        <w:footnoteReference w:id="19"/>
      </w:r>
    </w:p>
    <w:p w14:paraId="3DA68121" w14:textId="77777777" w:rsidR="00040EE5" w:rsidRPr="00780D76" w:rsidRDefault="00040EE5" w:rsidP="00040EE5">
      <w:pPr>
        <w:jc w:val="both"/>
        <w:rPr>
          <w:rFonts w:asciiTheme="minorHAnsi" w:hAnsiTheme="minorHAnsi" w:cstheme="minorHAnsi"/>
        </w:rPr>
      </w:pPr>
      <w:r w:rsidRPr="00780D76">
        <w:rPr>
          <w:rFonts w:asciiTheme="minorHAnsi" w:hAnsiTheme="minorHAnsi" w:cstheme="minorHAnsi"/>
        </w:rPr>
        <w:t xml:space="preserve">In Australia, different types of transferable records are regulated by different laws and legal frameworks. Also, Australian laws dealing with transferable records do not necessarily require much day-to-day oversight from government. </w:t>
      </w:r>
    </w:p>
    <w:p w14:paraId="37B4A349" w14:textId="77777777" w:rsidR="00040EE5" w:rsidRPr="00780D76" w:rsidRDefault="00040EE5" w:rsidP="00040EE5">
      <w:pPr>
        <w:jc w:val="both"/>
        <w:rPr>
          <w:rFonts w:asciiTheme="minorHAnsi" w:hAnsiTheme="minorHAnsi" w:cstheme="minorHAnsi"/>
        </w:rPr>
      </w:pPr>
      <w:r w:rsidRPr="00780D76">
        <w:rPr>
          <w:rFonts w:asciiTheme="minorHAnsi" w:hAnsiTheme="minorHAnsi" w:cstheme="minorHAnsi"/>
        </w:rPr>
        <w:t xml:space="preserve">Accordingly, the following sections ask stakeholders for help to identify Australian laws, legal frameworks and requirements which concern the use of transferable records. </w:t>
      </w:r>
    </w:p>
    <w:p w14:paraId="27E8E842" w14:textId="77777777" w:rsidR="00040EE5" w:rsidRPr="00780D76" w:rsidRDefault="00040EE5" w:rsidP="00842C9C">
      <w:pPr>
        <w:jc w:val="both"/>
        <w:rPr>
          <w:rFonts w:asciiTheme="minorHAnsi" w:hAnsiTheme="minorHAnsi" w:cstheme="minorHAnsi"/>
          <w:highlight w:val="yellow"/>
        </w:rPr>
      </w:pPr>
      <w:r w:rsidRPr="00780D76">
        <w:rPr>
          <w:rFonts w:asciiTheme="minorHAnsi" w:hAnsiTheme="minorHAnsi" w:cstheme="minorHAnsi"/>
        </w:rPr>
        <w:t>This will help us build a preliminary understanding of how any Australian option for implementing MLETR should operate within and support these existing laws, as well as any potential overlap between the MLETR and other laws dealing with transferable records.</w:t>
      </w:r>
    </w:p>
    <w:p w14:paraId="2D23036B" w14:textId="77777777" w:rsidR="00040EE5" w:rsidRPr="00780D76" w:rsidRDefault="00040EE5" w:rsidP="008B382E">
      <w:pPr>
        <w:pStyle w:val="Heading1"/>
        <w:keepLines/>
        <w:numPr>
          <w:ilvl w:val="1"/>
          <w:numId w:val="31"/>
        </w:numPr>
        <w:spacing w:before="0" w:after="240" w:line="259" w:lineRule="auto"/>
        <w:ind w:left="709" w:hanging="709"/>
        <w:rPr>
          <w:rFonts w:asciiTheme="minorHAnsi" w:hAnsiTheme="minorHAnsi" w:cstheme="minorHAnsi"/>
          <w:sz w:val="36"/>
          <w:lang w:eastAsia="en-AU"/>
        </w:rPr>
      </w:pPr>
      <w:bookmarkStart w:id="51" w:name="_Toc176437883"/>
      <w:r w:rsidRPr="00780D76">
        <w:rPr>
          <w:rFonts w:asciiTheme="minorHAnsi" w:hAnsiTheme="minorHAnsi" w:cstheme="minorHAnsi"/>
          <w:sz w:val="36"/>
          <w:lang w:eastAsia="en-AU"/>
        </w:rPr>
        <w:t>Possession, transfer and use of transferable records under Australian law</w:t>
      </w:r>
      <w:bookmarkEnd w:id="51"/>
    </w:p>
    <w:p w14:paraId="46B8347C" w14:textId="77777777" w:rsidR="00CB3720" w:rsidRDefault="00040EE5" w:rsidP="00040EE5">
      <w:pPr>
        <w:spacing w:line="276" w:lineRule="auto"/>
        <w:jc w:val="both"/>
        <w:rPr>
          <w:rFonts w:asciiTheme="minorHAnsi" w:hAnsiTheme="minorHAnsi" w:cstheme="minorHAnsi"/>
        </w:rPr>
      </w:pPr>
      <w:r w:rsidRPr="00780D76">
        <w:rPr>
          <w:rFonts w:asciiTheme="minorHAnsi" w:hAnsiTheme="minorHAnsi" w:cstheme="minorHAnsi"/>
        </w:rPr>
        <w:t xml:space="preserve">As described above, the key provisions under the MLETR apply to requirements or references under law to possess and transfer a unique transferable record. </w:t>
      </w:r>
    </w:p>
    <w:p w14:paraId="3346F8BD" w14:textId="1D1B988E" w:rsidR="00040EE5"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If the MLETR were to be implemented in Australia, it would therefore apply to any requirement under Australian law to possess or transfer a transferable record and, specifically, confirm how these requirements could be met using electronic tools.</w:t>
      </w:r>
      <w:r w:rsidRPr="00780D76">
        <w:rPr>
          <w:rStyle w:val="FootnoteReference"/>
          <w:rFonts w:asciiTheme="minorHAnsi" w:hAnsiTheme="minorHAnsi" w:cstheme="minorHAnsi"/>
        </w:rPr>
        <w:footnoteReference w:id="20"/>
      </w:r>
    </w:p>
    <w:p w14:paraId="44C12E78" w14:textId="77777777" w:rsidR="00040EE5"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In Australia, the uses of different transferable records may be regulated under a combination of Commonwealth, state and territory, contract and common law. To the extent any given transferable record is specifically regulated by law, the nature of the regulation or requirement may differ.</w:t>
      </w:r>
    </w:p>
    <w:p w14:paraId="42209A32" w14:textId="77777777" w:rsidR="00040EE5" w:rsidRPr="00780D76" w:rsidRDefault="00040EE5" w:rsidP="00040EE5">
      <w:pPr>
        <w:rPr>
          <w:rFonts w:asciiTheme="minorHAnsi" w:hAnsiTheme="minorHAnsi" w:cstheme="minorHAnsi"/>
        </w:rPr>
      </w:pPr>
      <w:r w:rsidRPr="00780D76">
        <w:rPr>
          <w:rFonts w:asciiTheme="minorHAnsi" w:hAnsiTheme="minorHAnsi" w:cstheme="minorHAnsi"/>
        </w:rPr>
        <w:t xml:space="preserve">For example, under Australian legislation: </w:t>
      </w:r>
    </w:p>
    <w:p w14:paraId="77C83984" w14:textId="77777777" w:rsidR="00040EE5" w:rsidRPr="00780D76" w:rsidRDefault="00040EE5" w:rsidP="000E01D0">
      <w:pPr>
        <w:pStyle w:val="ListParagraph"/>
        <w:numPr>
          <w:ilvl w:val="0"/>
          <w:numId w:val="9"/>
        </w:numPr>
        <w:spacing w:line="256" w:lineRule="auto"/>
        <w:rPr>
          <w:rFonts w:asciiTheme="minorHAnsi" w:hAnsiTheme="minorHAnsi" w:cstheme="minorHAnsi"/>
        </w:rPr>
      </w:pPr>
      <w:r w:rsidRPr="00780D76">
        <w:rPr>
          <w:rFonts w:asciiTheme="minorHAnsi" w:hAnsiTheme="minorHAnsi" w:cstheme="minorHAnsi"/>
        </w:rPr>
        <w:t xml:space="preserve">the </w:t>
      </w:r>
      <w:r w:rsidRPr="00780D76">
        <w:rPr>
          <w:rFonts w:asciiTheme="minorHAnsi" w:hAnsiTheme="minorHAnsi" w:cstheme="minorHAnsi"/>
          <w:i/>
        </w:rPr>
        <w:t>Carriage of Goods by Sea Act 1991</w:t>
      </w:r>
      <w:r w:rsidRPr="00780D76">
        <w:rPr>
          <w:rFonts w:asciiTheme="minorHAnsi" w:hAnsiTheme="minorHAnsi" w:cstheme="minorHAnsi"/>
        </w:rPr>
        <w:t xml:space="preserve"> (Cth) contains requirements for a sea carriage document (which may include a bill of lading)</w:t>
      </w:r>
      <w:r w:rsidRPr="00780D76">
        <w:rPr>
          <w:rStyle w:val="FootnoteReference"/>
          <w:rFonts w:asciiTheme="minorHAnsi" w:hAnsiTheme="minorHAnsi" w:cstheme="minorHAnsi"/>
        </w:rPr>
        <w:footnoteReference w:id="21"/>
      </w:r>
    </w:p>
    <w:p w14:paraId="5753767C" w14:textId="77777777" w:rsidR="00040EE5" w:rsidRPr="00780D76" w:rsidRDefault="00040EE5" w:rsidP="00040EE5">
      <w:pPr>
        <w:pStyle w:val="ListParagraph"/>
        <w:ind w:left="783"/>
        <w:rPr>
          <w:rFonts w:asciiTheme="minorHAnsi" w:hAnsiTheme="minorHAnsi" w:cstheme="minorHAnsi"/>
        </w:rPr>
      </w:pPr>
    </w:p>
    <w:p w14:paraId="37F564DD" w14:textId="77777777" w:rsidR="00FF7815" w:rsidRPr="00780D76" w:rsidRDefault="00040EE5" w:rsidP="00FF7815">
      <w:pPr>
        <w:pStyle w:val="ListParagraph"/>
        <w:numPr>
          <w:ilvl w:val="0"/>
          <w:numId w:val="9"/>
        </w:numPr>
        <w:spacing w:line="276" w:lineRule="auto"/>
        <w:rPr>
          <w:rFonts w:asciiTheme="minorHAnsi" w:hAnsiTheme="minorHAnsi" w:cstheme="minorHAnsi"/>
        </w:rPr>
      </w:pPr>
      <w:r w:rsidRPr="00780D76">
        <w:rPr>
          <w:rFonts w:asciiTheme="minorHAnsi" w:hAnsiTheme="minorHAnsi" w:cstheme="minorHAnsi"/>
        </w:rPr>
        <w:t xml:space="preserve">the </w:t>
      </w:r>
      <w:r w:rsidRPr="00780D76">
        <w:rPr>
          <w:rFonts w:asciiTheme="minorHAnsi" w:hAnsiTheme="minorHAnsi" w:cstheme="minorHAnsi"/>
          <w:i/>
        </w:rPr>
        <w:t>Bills of Exchange Act 1909</w:t>
      </w:r>
      <w:r w:rsidRPr="00780D76">
        <w:rPr>
          <w:rFonts w:asciiTheme="minorHAnsi" w:hAnsiTheme="minorHAnsi" w:cstheme="minorHAnsi"/>
        </w:rPr>
        <w:t xml:space="preserve"> (Cth) contains references to the ‘possession’ and ‘transfer’ of bills of exchange and promissory notes</w:t>
      </w:r>
      <w:r w:rsidRPr="00780D76">
        <w:rPr>
          <w:rStyle w:val="FootnoteReference"/>
          <w:rFonts w:asciiTheme="minorHAnsi" w:hAnsiTheme="minorHAnsi" w:cstheme="minorHAnsi"/>
        </w:rPr>
        <w:footnoteReference w:id="22"/>
      </w:r>
      <w:r w:rsidR="00FF7815" w:rsidRPr="00780D76">
        <w:rPr>
          <w:rFonts w:asciiTheme="minorHAnsi" w:hAnsiTheme="minorHAnsi" w:cstheme="minorHAnsi"/>
        </w:rPr>
        <w:br/>
      </w:r>
    </w:p>
    <w:p w14:paraId="5C2B48C0" w14:textId="77777777" w:rsidR="00FF7815" w:rsidRPr="00780D76" w:rsidRDefault="00040EE5" w:rsidP="00FF7815">
      <w:pPr>
        <w:pStyle w:val="ListParagraph"/>
        <w:numPr>
          <w:ilvl w:val="0"/>
          <w:numId w:val="9"/>
        </w:numPr>
        <w:spacing w:line="276" w:lineRule="auto"/>
        <w:jc w:val="both"/>
        <w:rPr>
          <w:rFonts w:asciiTheme="minorHAnsi" w:hAnsiTheme="minorHAnsi" w:cstheme="minorHAnsi"/>
        </w:rPr>
      </w:pPr>
      <w:r w:rsidRPr="00780D76">
        <w:rPr>
          <w:rFonts w:asciiTheme="minorHAnsi" w:hAnsiTheme="minorHAnsi" w:cstheme="minorHAnsi"/>
        </w:rPr>
        <w:lastRenderedPageBreak/>
        <w:t>the uniform state and territory Sea Carriage Documents Acts contain references to the ‘possession’ and ‘transfer’ of a bill of lading</w:t>
      </w:r>
      <w:r w:rsidRPr="00780D76">
        <w:rPr>
          <w:rStyle w:val="FootnoteReference"/>
          <w:rFonts w:asciiTheme="minorHAnsi" w:hAnsiTheme="minorHAnsi" w:cstheme="minorHAnsi"/>
        </w:rPr>
        <w:footnoteReference w:id="23"/>
      </w:r>
    </w:p>
    <w:p w14:paraId="0392DF1F" w14:textId="77777777" w:rsidR="00FF7815" w:rsidRPr="00780D76" w:rsidRDefault="00FF7815" w:rsidP="00FF7815">
      <w:pPr>
        <w:pStyle w:val="ListParagraph"/>
        <w:spacing w:line="276" w:lineRule="auto"/>
        <w:ind w:left="783"/>
        <w:jc w:val="both"/>
        <w:rPr>
          <w:rFonts w:asciiTheme="minorHAnsi" w:hAnsiTheme="minorHAnsi" w:cstheme="minorHAnsi"/>
        </w:rPr>
      </w:pPr>
    </w:p>
    <w:p w14:paraId="348654EC" w14:textId="77777777" w:rsidR="00FF7815" w:rsidRPr="00780D76" w:rsidRDefault="00040EE5" w:rsidP="00FF7815">
      <w:pPr>
        <w:pStyle w:val="ListParagraph"/>
        <w:numPr>
          <w:ilvl w:val="0"/>
          <w:numId w:val="9"/>
        </w:numPr>
        <w:spacing w:line="276" w:lineRule="auto"/>
        <w:jc w:val="both"/>
        <w:rPr>
          <w:rFonts w:asciiTheme="minorHAnsi" w:hAnsiTheme="minorHAnsi" w:cstheme="minorHAnsi"/>
        </w:rPr>
      </w:pPr>
      <w:r w:rsidRPr="00780D76">
        <w:rPr>
          <w:rFonts w:asciiTheme="minorHAnsi" w:hAnsiTheme="minorHAnsi" w:cstheme="minorHAnsi"/>
        </w:rPr>
        <w:t>the PPSA describes how security interests in ‘negotiable instruments’ (including bills of exchange, promissory notes and cheques), ‘documents of title’ (which may include bills of lading and warehouse receipts) and ‘financial property’ (which includes both negotiable instruments and documents of title) may be created, dealt with and enforced</w:t>
      </w:r>
      <w:r w:rsidRPr="00780D76">
        <w:rPr>
          <w:rStyle w:val="FootnoteReference"/>
          <w:rFonts w:asciiTheme="minorHAnsi" w:hAnsiTheme="minorHAnsi" w:cstheme="minorHAnsi"/>
        </w:rPr>
        <w:footnoteReference w:id="24"/>
      </w:r>
    </w:p>
    <w:p w14:paraId="20749F1A" w14:textId="77777777" w:rsidR="00FF7815" w:rsidRPr="00780D76" w:rsidRDefault="00FF7815" w:rsidP="00FF7815">
      <w:pPr>
        <w:pStyle w:val="ListParagraph"/>
        <w:spacing w:line="276" w:lineRule="auto"/>
        <w:jc w:val="both"/>
        <w:rPr>
          <w:rFonts w:asciiTheme="minorHAnsi" w:hAnsiTheme="minorHAnsi" w:cstheme="minorHAnsi"/>
        </w:rPr>
      </w:pPr>
    </w:p>
    <w:p w14:paraId="35087938" w14:textId="77777777" w:rsidR="00040EE5" w:rsidRPr="00780D76" w:rsidRDefault="00040EE5" w:rsidP="00FF7815">
      <w:pPr>
        <w:pStyle w:val="ListParagraph"/>
        <w:numPr>
          <w:ilvl w:val="0"/>
          <w:numId w:val="9"/>
        </w:numPr>
        <w:spacing w:line="276" w:lineRule="auto"/>
        <w:jc w:val="both"/>
        <w:rPr>
          <w:rFonts w:asciiTheme="minorHAnsi" w:hAnsiTheme="minorHAnsi" w:cstheme="minorHAnsi"/>
        </w:rPr>
      </w:pPr>
      <w:r w:rsidRPr="00780D76">
        <w:rPr>
          <w:rFonts w:asciiTheme="minorHAnsi" w:hAnsiTheme="minorHAnsi" w:cstheme="minorHAnsi"/>
        </w:rPr>
        <w:t>state and territory goods acts, and comparable statutes,</w:t>
      </w:r>
      <w:r w:rsidRPr="00780D76">
        <w:rPr>
          <w:rStyle w:val="FootnoteReference"/>
          <w:rFonts w:asciiTheme="minorHAnsi" w:hAnsiTheme="minorHAnsi" w:cstheme="minorHAnsi"/>
        </w:rPr>
        <w:footnoteReference w:id="25"/>
      </w:r>
      <w:r w:rsidRPr="00780D76">
        <w:rPr>
          <w:rFonts w:asciiTheme="minorHAnsi" w:hAnsiTheme="minorHAnsi" w:cstheme="minorHAnsi"/>
        </w:rPr>
        <w:t xml:space="preserve"> contain references to the ‘possession’ and ‘transfer’ of ‘documents of title’, which are defined to include transferable records like bills of lading, dock warrants, warehouse-keeper’s certificates and wharfinger’s certificates.</w:t>
      </w:r>
      <w:r w:rsidRPr="00780D76">
        <w:rPr>
          <w:rStyle w:val="FootnoteReference"/>
          <w:rFonts w:asciiTheme="minorHAnsi" w:hAnsiTheme="minorHAnsi" w:cstheme="minorHAnsi"/>
        </w:rPr>
        <w:footnoteReference w:id="26"/>
      </w:r>
      <w:r w:rsidRPr="00780D76">
        <w:rPr>
          <w:rFonts w:asciiTheme="minorHAnsi" w:hAnsiTheme="minorHAnsi" w:cstheme="minorHAnsi"/>
        </w:rPr>
        <w:t xml:space="preserve"> </w:t>
      </w:r>
    </w:p>
    <w:p w14:paraId="211F2BD8" w14:textId="77777777" w:rsidR="00040EE5" w:rsidRPr="00780D76" w:rsidRDefault="00040EE5" w:rsidP="00040EE5">
      <w:pPr>
        <w:rPr>
          <w:rFonts w:asciiTheme="minorHAnsi" w:hAnsiTheme="minorHAnsi" w:cstheme="minorHAnsi"/>
          <w:highlight w:val="yellow"/>
        </w:rPr>
      </w:pPr>
      <w:r w:rsidRPr="00780D76">
        <w:rPr>
          <w:rFonts w:asciiTheme="minorHAnsi" w:hAnsiTheme="minorHAnsi" w:cstheme="minorHAnsi"/>
        </w:rPr>
        <w:t>We would be interested in further examples from stakeholders of legal requirements or permissions of to use, transfer or possess a transferable record.</w:t>
      </w:r>
    </w:p>
    <w:p w14:paraId="43E1B06C" w14:textId="77777777" w:rsidR="00040EE5" w:rsidRPr="00780D76" w:rsidRDefault="00040EE5" w:rsidP="00A10DE8">
      <w:pPr>
        <w:pStyle w:val="Boxheading"/>
        <w:numPr>
          <w:ilvl w:val="0"/>
          <w:numId w:val="32"/>
        </w:numPr>
        <w:spacing w:line="240" w:lineRule="auto"/>
        <w:outlineLvl w:val="2"/>
        <w:rPr>
          <w:rFonts w:asciiTheme="minorHAnsi" w:hAnsiTheme="minorHAnsi" w:cstheme="minorHAnsi"/>
          <w:b/>
          <w:caps w:val="0"/>
          <w:color w:val="auto"/>
          <w:sz w:val="28"/>
        </w:rPr>
      </w:pPr>
      <w:bookmarkStart w:id="52" w:name="_Ref176446461"/>
    </w:p>
    <w:bookmarkEnd w:id="52"/>
    <w:p w14:paraId="4439E67E" w14:textId="77777777" w:rsidR="00040EE5" w:rsidRPr="00780D76" w:rsidRDefault="00040EE5" w:rsidP="00040EE5">
      <w:pPr>
        <w:pStyle w:val="Boxheading"/>
        <w:spacing w:line="240" w:lineRule="auto"/>
        <w:jc w:val="both"/>
        <w:rPr>
          <w:rFonts w:asciiTheme="minorHAnsi" w:hAnsiTheme="minorHAnsi" w:cstheme="minorHAnsi"/>
          <w:caps w:val="0"/>
          <w:color w:val="auto"/>
        </w:rPr>
      </w:pPr>
      <w:r w:rsidRPr="00780D76">
        <w:rPr>
          <w:rFonts w:asciiTheme="minorHAnsi" w:hAnsiTheme="minorHAnsi" w:cstheme="minorHAnsi"/>
          <w:caps w:val="0"/>
          <w:color w:val="auto"/>
        </w:rPr>
        <w:t xml:space="preserve">Can you identify any Australian laws – whether in legislation, the terms of a contract, or common law – which concern or require the possession or transfer or use of a paper transferable record? </w:t>
      </w:r>
    </w:p>
    <w:p w14:paraId="7C4C3FA5" w14:textId="77777777" w:rsidR="00040EE5" w:rsidRPr="00780D76" w:rsidRDefault="00040EE5" w:rsidP="00040EE5">
      <w:pPr>
        <w:pStyle w:val="Boxheading"/>
        <w:spacing w:line="240" w:lineRule="auto"/>
        <w:jc w:val="both"/>
        <w:rPr>
          <w:rFonts w:asciiTheme="minorHAnsi" w:hAnsiTheme="minorHAnsi" w:cstheme="minorHAnsi"/>
          <w:i/>
          <w:color w:val="auto"/>
          <w:highlight w:val="yellow"/>
        </w:rPr>
      </w:pPr>
      <w:r w:rsidRPr="00780D76">
        <w:rPr>
          <w:rFonts w:asciiTheme="minorHAnsi" w:hAnsiTheme="minorHAnsi" w:cstheme="minorHAnsi"/>
          <w:i/>
          <w:caps w:val="0"/>
          <w:color w:val="auto"/>
        </w:rPr>
        <w:t>Please provide examples, references or extracts from contracts if possible</w:t>
      </w:r>
      <w:r w:rsidR="009E6170" w:rsidRPr="00780D76">
        <w:rPr>
          <w:rFonts w:asciiTheme="minorHAnsi" w:hAnsiTheme="minorHAnsi" w:cstheme="minorHAnsi"/>
          <w:i/>
          <w:caps w:val="0"/>
          <w:color w:val="auto"/>
        </w:rPr>
        <w:t>.</w:t>
      </w:r>
    </w:p>
    <w:p w14:paraId="14328EE9" w14:textId="77777777" w:rsidR="00040EE5" w:rsidRPr="00780D76" w:rsidRDefault="00040EE5" w:rsidP="00040EE5">
      <w:pPr>
        <w:spacing w:line="240" w:lineRule="auto"/>
        <w:jc w:val="both"/>
        <w:rPr>
          <w:rFonts w:asciiTheme="minorHAnsi" w:hAnsiTheme="minorHAnsi" w:cstheme="minorHAnsi"/>
          <w:color w:val="auto"/>
          <w:highlight w:val="yellow"/>
        </w:rPr>
      </w:pPr>
    </w:p>
    <w:p w14:paraId="72A13EC2" w14:textId="77777777" w:rsidR="00040EE5" w:rsidRPr="00780D76" w:rsidRDefault="00040EE5" w:rsidP="00A10DE8">
      <w:pPr>
        <w:pStyle w:val="Boxheading"/>
        <w:numPr>
          <w:ilvl w:val="0"/>
          <w:numId w:val="32"/>
        </w:numPr>
        <w:spacing w:line="240" w:lineRule="auto"/>
        <w:outlineLvl w:val="2"/>
        <w:rPr>
          <w:rFonts w:asciiTheme="minorHAnsi" w:hAnsiTheme="minorHAnsi" w:cstheme="minorHAnsi"/>
          <w:b/>
          <w:caps w:val="0"/>
          <w:color w:val="auto"/>
          <w:sz w:val="28"/>
        </w:rPr>
      </w:pPr>
    </w:p>
    <w:p w14:paraId="2EF18892" w14:textId="20A26570" w:rsidR="00040EE5" w:rsidRPr="00780D76" w:rsidRDefault="00040EE5" w:rsidP="00040EE5">
      <w:pPr>
        <w:pStyle w:val="Boxheading"/>
        <w:spacing w:line="240" w:lineRule="auto"/>
        <w:jc w:val="both"/>
        <w:rPr>
          <w:rFonts w:asciiTheme="minorHAnsi" w:hAnsiTheme="minorHAnsi" w:cstheme="minorHAnsi"/>
          <w:highlight w:val="yellow"/>
        </w:rPr>
      </w:pPr>
      <w:r w:rsidRPr="00780D76">
        <w:rPr>
          <w:rFonts w:asciiTheme="minorHAnsi" w:hAnsiTheme="minorHAnsi" w:cstheme="minorHAnsi"/>
          <w:caps w:val="0"/>
          <w:color w:val="auto"/>
        </w:rPr>
        <w:t>If the MLETR were implemented, what issues (if any) do you anticipate in its application to any of the laws referenced under this section (including any laws identified by yourself in</w:t>
      </w:r>
      <w:r w:rsidR="00A10DE8">
        <w:rPr>
          <w:rFonts w:asciiTheme="minorHAnsi" w:hAnsiTheme="minorHAnsi" w:cstheme="minorHAnsi"/>
          <w:caps w:val="0"/>
          <w:color w:val="auto"/>
        </w:rPr>
        <w:t xml:space="preserve"> Question 11</w:t>
      </w:r>
      <w:r w:rsidR="00CB3720">
        <w:rPr>
          <w:rFonts w:asciiTheme="minorHAnsi" w:hAnsiTheme="minorHAnsi" w:cstheme="minorHAnsi"/>
          <w:caps w:val="0"/>
          <w:color w:val="auto"/>
        </w:rPr>
        <w:t>)</w:t>
      </w:r>
      <w:r w:rsidRPr="00780D76">
        <w:rPr>
          <w:rFonts w:asciiTheme="minorHAnsi" w:hAnsiTheme="minorHAnsi" w:cstheme="minorHAnsi"/>
          <w:caps w:val="0"/>
          <w:color w:val="auto"/>
        </w:rPr>
        <w:t>?</w:t>
      </w:r>
      <w:r w:rsidRPr="00780D76">
        <w:rPr>
          <w:rFonts w:asciiTheme="minorHAnsi" w:hAnsiTheme="minorHAnsi" w:cstheme="minorHAnsi"/>
          <w:highlight w:val="yellow"/>
        </w:rPr>
        <w:t xml:space="preserve"> </w:t>
      </w:r>
    </w:p>
    <w:p w14:paraId="031118B1" w14:textId="77777777" w:rsidR="00040EE5" w:rsidRPr="00780D76" w:rsidRDefault="00040EE5" w:rsidP="008B382E">
      <w:pPr>
        <w:pStyle w:val="Heading1"/>
        <w:keepLines/>
        <w:numPr>
          <w:ilvl w:val="1"/>
          <w:numId w:val="31"/>
        </w:numPr>
        <w:spacing w:before="0" w:after="240" w:line="259" w:lineRule="auto"/>
        <w:ind w:left="709" w:hanging="709"/>
        <w:rPr>
          <w:rFonts w:asciiTheme="minorHAnsi" w:hAnsiTheme="minorHAnsi" w:cstheme="minorHAnsi"/>
          <w:sz w:val="36"/>
          <w:lang w:eastAsia="en-AU"/>
        </w:rPr>
      </w:pPr>
      <w:bookmarkStart w:id="53" w:name="_Ref176437550"/>
      <w:bookmarkStart w:id="54" w:name="_Toc176437884"/>
      <w:r w:rsidRPr="00780D76">
        <w:rPr>
          <w:rFonts w:asciiTheme="minorHAnsi" w:hAnsiTheme="minorHAnsi" w:cstheme="minorHAnsi"/>
          <w:sz w:val="36"/>
          <w:lang w:eastAsia="en-AU"/>
        </w:rPr>
        <w:lastRenderedPageBreak/>
        <w:t>Transferable records as property, including under the PPSA</w:t>
      </w:r>
      <w:bookmarkEnd w:id="53"/>
      <w:bookmarkEnd w:id="54"/>
      <w:r w:rsidRPr="00780D76">
        <w:rPr>
          <w:rFonts w:asciiTheme="minorHAnsi" w:hAnsiTheme="minorHAnsi" w:cstheme="minorHAnsi"/>
          <w:sz w:val="36"/>
          <w:lang w:eastAsia="en-AU"/>
        </w:rPr>
        <w:t xml:space="preserve"> </w:t>
      </w:r>
    </w:p>
    <w:p w14:paraId="41ECF500" w14:textId="77777777" w:rsidR="00040EE5" w:rsidRPr="00780D76" w:rsidRDefault="00040EE5" w:rsidP="00040EE5">
      <w:pPr>
        <w:tabs>
          <w:tab w:val="left" w:pos="964"/>
        </w:tabs>
        <w:jc w:val="both"/>
        <w:rPr>
          <w:rFonts w:asciiTheme="minorHAnsi" w:hAnsiTheme="minorHAnsi" w:cstheme="minorHAnsi"/>
        </w:rPr>
      </w:pPr>
      <w:r w:rsidRPr="00780D76">
        <w:rPr>
          <w:rFonts w:asciiTheme="minorHAnsi" w:hAnsiTheme="minorHAnsi" w:cstheme="minorHAnsi"/>
        </w:rPr>
        <w:t>We are also interested in exploring how the MLETR might apply to Australian laws which regulate the possession of transferable records as a form of ‘property’, such as under the PPSA.</w:t>
      </w:r>
      <w:r w:rsidRPr="00780D76">
        <w:rPr>
          <w:rStyle w:val="FootnoteReference"/>
          <w:rFonts w:asciiTheme="minorHAnsi" w:hAnsiTheme="minorHAnsi" w:cstheme="minorHAnsi"/>
        </w:rPr>
        <w:footnoteReference w:id="27"/>
      </w:r>
    </w:p>
    <w:p w14:paraId="3A7FCB68" w14:textId="77777777" w:rsidR="00040EE5" w:rsidRPr="00780D76" w:rsidRDefault="00040EE5" w:rsidP="00040EE5">
      <w:pPr>
        <w:tabs>
          <w:tab w:val="left" w:pos="964"/>
        </w:tabs>
        <w:jc w:val="both"/>
        <w:rPr>
          <w:rFonts w:asciiTheme="minorHAnsi" w:hAnsiTheme="minorHAnsi" w:cstheme="minorHAnsi"/>
        </w:rPr>
      </w:pPr>
      <w:r w:rsidRPr="00780D76">
        <w:rPr>
          <w:rFonts w:asciiTheme="minorHAnsi" w:hAnsiTheme="minorHAnsi" w:cstheme="minorHAnsi"/>
        </w:rPr>
        <w:t>For example, the ‘possession’ or ‘transfer’ of negotiable instruments and documents of title (which can include transferable records like bills of exchange) can be integral to the creation of a security interest under the PPSA. For example, a security interest in a negotiable instrument may be ‘perfected’ if, amongst other things, the secured party is in possession of that instrument.</w:t>
      </w:r>
      <w:r w:rsidRPr="00780D76">
        <w:rPr>
          <w:rStyle w:val="FootnoteReference"/>
          <w:rFonts w:asciiTheme="minorHAnsi" w:hAnsiTheme="minorHAnsi" w:cstheme="minorHAnsi"/>
        </w:rPr>
        <w:footnoteReference w:id="28"/>
      </w:r>
    </w:p>
    <w:p w14:paraId="53AB2D6C" w14:textId="77777777" w:rsidR="00040EE5" w:rsidRPr="00780D76" w:rsidRDefault="00040EE5" w:rsidP="00040EE5">
      <w:pPr>
        <w:tabs>
          <w:tab w:val="left" w:pos="964"/>
        </w:tabs>
        <w:jc w:val="both"/>
        <w:rPr>
          <w:rFonts w:asciiTheme="minorHAnsi" w:hAnsiTheme="minorHAnsi" w:cstheme="minorHAnsi"/>
        </w:rPr>
      </w:pPr>
      <w:r w:rsidRPr="00780D76">
        <w:rPr>
          <w:rFonts w:asciiTheme="minorHAnsi" w:hAnsiTheme="minorHAnsi" w:cstheme="minorHAnsi"/>
        </w:rPr>
        <w:t>Our preliminary position is that a MLETR framework should confirm that the PPSA provisions which apply to personal property are satisfied by an electronic transferable record. For example, a person who meets the criteria of possessing an electronic bill of exchange under the MLETR, should therefore also satisfy a requirement to possess a bill of exchange as a form of property for the purposes of the PPSA.</w:t>
      </w:r>
      <w:r w:rsidRPr="00780D76">
        <w:rPr>
          <w:rStyle w:val="FootnoteReference"/>
          <w:rFonts w:asciiTheme="minorHAnsi" w:hAnsiTheme="minorHAnsi" w:cstheme="minorHAnsi"/>
        </w:rPr>
        <w:footnoteReference w:id="29"/>
      </w:r>
    </w:p>
    <w:p w14:paraId="68FA5D80" w14:textId="77777777" w:rsidR="00040EE5" w:rsidRPr="00780D76" w:rsidRDefault="00040EE5" w:rsidP="00040EE5">
      <w:pPr>
        <w:tabs>
          <w:tab w:val="left" w:pos="964"/>
        </w:tabs>
        <w:jc w:val="both"/>
        <w:rPr>
          <w:rFonts w:asciiTheme="minorHAnsi" w:hAnsiTheme="minorHAnsi" w:cstheme="minorHAnsi"/>
        </w:rPr>
      </w:pPr>
      <w:r w:rsidRPr="00780D76">
        <w:rPr>
          <w:rFonts w:asciiTheme="minorHAnsi" w:hAnsiTheme="minorHAnsi" w:cstheme="minorHAnsi"/>
        </w:rPr>
        <w:t xml:space="preserve">However, the potential application of a MLETR-aligned framework to the PPSA and other property laws and frameworks may be more complex than to other laws, due to the relative complexity of ‘property’ as a legal concept under Australian law. </w:t>
      </w:r>
    </w:p>
    <w:p w14:paraId="67E1EC76" w14:textId="77777777" w:rsidR="00040EE5" w:rsidRPr="00780D76" w:rsidRDefault="00040EE5" w:rsidP="00040EE5">
      <w:pPr>
        <w:tabs>
          <w:tab w:val="left" w:pos="964"/>
        </w:tabs>
        <w:jc w:val="both"/>
        <w:rPr>
          <w:rFonts w:asciiTheme="minorHAnsi" w:hAnsiTheme="minorHAnsi" w:cstheme="minorHAnsi"/>
        </w:rPr>
      </w:pPr>
      <w:r w:rsidRPr="00780D76">
        <w:rPr>
          <w:rFonts w:asciiTheme="minorHAnsi" w:hAnsiTheme="minorHAnsi" w:cstheme="minorHAnsi"/>
        </w:rPr>
        <w:t xml:space="preserve">We will further examine the interaction between the MLETR and general property laws in due course. However, at this stage we are interested to hear preliminary views, suggestions or potential issues regarding how to ensure that Australian law confirms that electronic transferable records are an identifiable form of possessable property. </w:t>
      </w:r>
    </w:p>
    <w:p w14:paraId="61395976" w14:textId="77777777" w:rsidR="00040EE5" w:rsidRPr="00780D76" w:rsidRDefault="00040EE5" w:rsidP="00040EE5">
      <w:pPr>
        <w:tabs>
          <w:tab w:val="left" w:pos="964"/>
        </w:tabs>
        <w:jc w:val="both"/>
        <w:rPr>
          <w:rFonts w:asciiTheme="minorHAnsi" w:hAnsiTheme="minorHAnsi" w:cstheme="minorHAnsi"/>
          <w:highlight w:val="yellow"/>
        </w:rPr>
      </w:pPr>
      <w:r w:rsidRPr="00780D76">
        <w:rPr>
          <w:rFonts w:asciiTheme="minorHAnsi" w:hAnsiTheme="minorHAnsi" w:cstheme="minorHAnsi"/>
        </w:rPr>
        <w:t>We would especially be interested in views from stakeholders who have a practical experience with property law, and the PPS system.</w:t>
      </w:r>
    </w:p>
    <w:p w14:paraId="7029E19A" w14:textId="77777777" w:rsidR="00040EE5" w:rsidRPr="00780D76" w:rsidRDefault="00040EE5" w:rsidP="008B382E">
      <w:pPr>
        <w:pStyle w:val="Boxheading"/>
        <w:numPr>
          <w:ilvl w:val="0"/>
          <w:numId w:val="32"/>
        </w:numPr>
        <w:spacing w:line="240" w:lineRule="auto"/>
        <w:rPr>
          <w:rFonts w:asciiTheme="minorHAnsi" w:hAnsiTheme="minorHAnsi" w:cstheme="minorHAnsi"/>
          <w:b/>
          <w:color w:val="auto"/>
          <w:sz w:val="28"/>
        </w:rPr>
      </w:pPr>
    </w:p>
    <w:p w14:paraId="11C0B3B4" w14:textId="77777777" w:rsidR="00040EE5" w:rsidRPr="00780D76" w:rsidRDefault="00040EE5" w:rsidP="00040EE5">
      <w:pPr>
        <w:pStyle w:val="Boxheading"/>
        <w:spacing w:line="240" w:lineRule="auto"/>
        <w:jc w:val="both"/>
        <w:rPr>
          <w:rFonts w:asciiTheme="minorHAnsi" w:hAnsiTheme="minorHAnsi" w:cstheme="minorHAnsi"/>
          <w:caps w:val="0"/>
          <w:color w:val="auto"/>
        </w:rPr>
      </w:pPr>
      <w:r w:rsidRPr="00780D76">
        <w:rPr>
          <w:rFonts w:asciiTheme="minorHAnsi" w:hAnsiTheme="minorHAnsi" w:cstheme="minorHAnsi"/>
          <w:caps w:val="0"/>
          <w:color w:val="auto"/>
        </w:rPr>
        <w:t xml:space="preserve">Please describe any views, suggestions or issues which the department should consider, to ensure that electronic transferable records are an identifiable form of possessable property under Australian law, including under the PPSA. </w:t>
      </w:r>
    </w:p>
    <w:p w14:paraId="28BAC374" w14:textId="77777777" w:rsidR="00040EE5" w:rsidRPr="00780D76" w:rsidRDefault="00040EE5" w:rsidP="00040EE5">
      <w:pPr>
        <w:pStyle w:val="Boxheading"/>
        <w:spacing w:line="240" w:lineRule="auto"/>
        <w:jc w:val="both"/>
        <w:rPr>
          <w:rFonts w:asciiTheme="minorHAnsi" w:hAnsiTheme="minorHAnsi" w:cstheme="minorHAnsi"/>
          <w:i/>
          <w:highlight w:val="yellow"/>
        </w:rPr>
      </w:pPr>
      <w:r w:rsidRPr="00780D76">
        <w:rPr>
          <w:rFonts w:asciiTheme="minorHAnsi" w:hAnsiTheme="minorHAnsi" w:cstheme="minorHAnsi"/>
          <w:i/>
          <w:caps w:val="0"/>
          <w:color w:val="auto"/>
        </w:rPr>
        <w:t>If possible, please also elaborate on the extent to which you consider the MLETR would provide sufficient confirmation of the property status of electronic transferable records.</w:t>
      </w:r>
    </w:p>
    <w:p w14:paraId="1FE9026C" w14:textId="77777777" w:rsidR="00040EE5" w:rsidRPr="00780D76" w:rsidRDefault="00040EE5" w:rsidP="008B382E">
      <w:pPr>
        <w:pStyle w:val="Heading1"/>
        <w:keepLines/>
        <w:numPr>
          <w:ilvl w:val="1"/>
          <w:numId w:val="31"/>
        </w:numPr>
        <w:spacing w:before="0" w:after="240" w:line="259" w:lineRule="auto"/>
        <w:ind w:left="709" w:hanging="709"/>
        <w:rPr>
          <w:rFonts w:asciiTheme="minorHAnsi" w:hAnsiTheme="minorHAnsi" w:cstheme="minorHAnsi"/>
          <w:sz w:val="36"/>
          <w:lang w:eastAsia="en-AU"/>
        </w:rPr>
      </w:pPr>
      <w:bookmarkStart w:id="55" w:name="_Toc176437885"/>
      <w:r w:rsidRPr="00780D76">
        <w:rPr>
          <w:rFonts w:asciiTheme="minorHAnsi" w:hAnsiTheme="minorHAnsi" w:cstheme="minorHAnsi"/>
          <w:sz w:val="36"/>
          <w:lang w:eastAsia="en-AU"/>
        </w:rPr>
        <w:lastRenderedPageBreak/>
        <w:t>Evidence and regulatory requirements</w:t>
      </w:r>
      <w:bookmarkEnd w:id="55"/>
      <w:r w:rsidRPr="00780D76">
        <w:rPr>
          <w:rFonts w:asciiTheme="minorHAnsi" w:hAnsiTheme="minorHAnsi" w:cstheme="minorHAnsi"/>
          <w:sz w:val="36"/>
          <w:lang w:eastAsia="en-AU"/>
        </w:rPr>
        <w:t xml:space="preserve"> </w:t>
      </w:r>
    </w:p>
    <w:p w14:paraId="490EB570"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We are interested in distinguishing between legal requirements to possess or transfer a unique paper transferable record (which engage the MLETR key provisions), and requirements to provide a copy of a transferable record for evidence or regulatory purposes (which may not necessarily engage these provisions). </w:t>
      </w:r>
    </w:p>
    <w:p w14:paraId="5453591C"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Australian law may require a person to produce or store a transferable record (or information on a transferable record) for evidence or regulatory purposes. For example:</w:t>
      </w:r>
    </w:p>
    <w:p w14:paraId="1C8E75B2" w14:textId="77777777" w:rsidR="00040EE5" w:rsidRPr="00780D76" w:rsidRDefault="00040EE5" w:rsidP="000E01D0">
      <w:pPr>
        <w:pStyle w:val="ListParagraph"/>
        <w:numPr>
          <w:ilvl w:val="0"/>
          <w:numId w:val="10"/>
        </w:num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the </w:t>
      </w:r>
      <w:r w:rsidRPr="00780D76">
        <w:rPr>
          <w:rFonts w:asciiTheme="minorHAnsi" w:hAnsiTheme="minorHAnsi" w:cstheme="minorHAnsi"/>
          <w:i/>
        </w:rPr>
        <w:t>Air Navigation Regulation 2016</w:t>
      </w:r>
      <w:r w:rsidRPr="00780D76">
        <w:rPr>
          <w:rFonts w:asciiTheme="minorHAnsi" w:hAnsiTheme="minorHAnsi" w:cstheme="minorHAnsi"/>
        </w:rPr>
        <w:t xml:space="preserve"> (Cth) requires an aircraft to produce bills of lading for cargo on an aircraft at the Secretary’s request</w:t>
      </w:r>
      <w:r w:rsidRPr="00780D76">
        <w:rPr>
          <w:rStyle w:val="FootnoteReference"/>
          <w:rFonts w:asciiTheme="minorHAnsi" w:hAnsiTheme="minorHAnsi" w:cstheme="minorHAnsi"/>
        </w:rPr>
        <w:footnoteReference w:id="30"/>
      </w:r>
    </w:p>
    <w:p w14:paraId="2045DE12" w14:textId="77777777" w:rsidR="00040EE5" w:rsidRPr="00780D76" w:rsidRDefault="00040EE5" w:rsidP="000E01D0">
      <w:pPr>
        <w:pStyle w:val="ListParagraph"/>
        <w:numPr>
          <w:ilvl w:val="0"/>
          <w:numId w:val="10"/>
        </w:num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the </w:t>
      </w:r>
      <w:r w:rsidRPr="00780D76">
        <w:rPr>
          <w:rFonts w:asciiTheme="minorHAnsi" w:hAnsiTheme="minorHAnsi" w:cstheme="minorHAnsi"/>
          <w:i/>
        </w:rPr>
        <w:t>Customs Act 1901</w:t>
      </w:r>
      <w:r w:rsidRPr="00780D76">
        <w:rPr>
          <w:rFonts w:asciiTheme="minorHAnsi" w:hAnsiTheme="minorHAnsi" w:cstheme="minorHAnsi"/>
        </w:rPr>
        <w:t xml:space="preserve"> (Cth) requires certain commercial documentation to be retained, which may include transferable records</w:t>
      </w:r>
      <w:r w:rsidRPr="00780D76">
        <w:rPr>
          <w:rStyle w:val="FootnoteReference"/>
          <w:rFonts w:asciiTheme="minorHAnsi" w:hAnsiTheme="minorHAnsi" w:cstheme="minorHAnsi"/>
        </w:rPr>
        <w:footnoteReference w:id="31"/>
      </w:r>
    </w:p>
    <w:p w14:paraId="3365190E" w14:textId="77777777" w:rsidR="00040EE5" w:rsidRPr="00780D76" w:rsidRDefault="00040EE5" w:rsidP="000E01D0">
      <w:pPr>
        <w:pStyle w:val="ListParagraph"/>
        <w:numPr>
          <w:ilvl w:val="0"/>
          <w:numId w:val="10"/>
        </w:num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section 24 of the </w:t>
      </w:r>
      <w:r w:rsidRPr="00780D76">
        <w:rPr>
          <w:rFonts w:asciiTheme="minorHAnsi" w:hAnsiTheme="minorHAnsi" w:cstheme="minorHAnsi"/>
          <w:i/>
        </w:rPr>
        <w:t xml:space="preserve">Foreign Evidence Act 1994 </w:t>
      </w:r>
      <w:r w:rsidRPr="00780D76">
        <w:rPr>
          <w:rFonts w:asciiTheme="minorHAnsi" w:hAnsiTheme="minorHAnsi" w:cstheme="minorHAnsi"/>
        </w:rPr>
        <w:t xml:space="preserve">(Cth) confirms the extent to which business records, which might include transferable records, can be adduced as evidence in a proceeding. </w:t>
      </w:r>
    </w:p>
    <w:p w14:paraId="487EF09F"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We understand that these kinds of requirements do not necessarily require that a person hold, or part with, possession of the original or unique document. For example, a regulator (or an entity which requires evidence) may be satisfied with a copy of a transferable record, particularly if the original physical record is being possessed or transferred between private contracting parties. </w:t>
      </w:r>
    </w:p>
    <w:p w14:paraId="48E1E8FD"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We would like to undertake an inventory of these kinds of requirements under Australian law. This will help us identify whether there are any legal barriers to these kinds of requirements. </w:t>
      </w:r>
    </w:p>
    <w:p w14:paraId="1DB41AF6"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This will also help us consider the extent to which the ETA already applies to allow these requirements to be met electronically, or alternatively, whether these processes are exempted from the application of the ETA.</w:t>
      </w:r>
      <w:r w:rsidRPr="00780D76">
        <w:rPr>
          <w:rStyle w:val="FootnoteReference"/>
          <w:rFonts w:asciiTheme="minorHAnsi" w:hAnsiTheme="minorHAnsi" w:cstheme="minorHAnsi"/>
        </w:rPr>
        <w:footnoteReference w:id="32"/>
      </w:r>
    </w:p>
    <w:p w14:paraId="217B1C2C" w14:textId="77777777" w:rsidR="00040EE5" w:rsidRPr="00780D76" w:rsidRDefault="00040EE5" w:rsidP="00A10DE8">
      <w:pPr>
        <w:pStyle w:val="Boxheading"/>
        <w:numPr>
          <w:ilvl w:val="0"/>
          <w:numId w:val="32"/>
        </w:numPr>
        <w:spacing w:line="240" w:lineRule="auto"/>
        <w:outlineLvl w:val="2"/>
        <w:rPr>
          <w:rFonts w:asciiTheme="minorHAnsi" w:hAnsiTheme="minorHAnsi" w:cstheme="minorHAnsi"/>
          <w:b/>
          <w:caps w:val="0"/>
          <w:color w:val="auto"/>
          <w:sz w:val="28"/>
        </w:rPr>
      </w:pPr>
    </w:p>
    <w:p w14:paraId="0AF47E6F" w14:textId="77777777" w:rsidR="00040EE5" w:rsidRPr="00780D76" w:rsidRDefault="00040EE5" w:rsidP="00040EE5">
      <w:pPr>
        <w:pStyle w:val="Boxheading"/>
        <w:spacing w:line="240" w:lineRule="auto"/>
        <w:jc w:val="both"/>
        <w:rPr>
          <w:rFonts w:asciiTheme="minorHAnsi" w:hAnsiTheme="minorHAnsi" w:cstheme="minorHAnsi"/>
          <w:highlight w:val="yellow"/>
        </w:rPr>
      </w:pPr>
      <w:r w:rsidRPr="00780D76">
        <w:rPr>
          <w:rFonts w:asciiTheme="minorHAnsi" w:hAnsiTheme="minorHAnsi" w:cstheme="minorHAnsi"/>
          <w:caps w:val="0"/>
          <w:color w:val="auto"/>
        </w:rPr>
        <w:t>What other evidence or regulatory requirements relating to transferable records are you aware of, under Australian law?</w:t>
      </w:r>
      <w:r w:rsidRPr="00780D76">
        <w:rPr>
          <w:rFonts w:asciiTheme="minorHAnsi" w:hAnsiTheme="minorHAnsi" w:cstheme="minorHAnsi"/>
          <w:highlight w:val="yellow"/>
        </w:rPr>
        <w:t xml:space="preserve"> </w:t>
      </w:r>
    </w:p>
    <w:p w14:paraId="60A30F83" w14:textId="77777777" w:rsidR="00040EE5" w:rsidRPr="00780D76" w:rsidRDefault="00040EE5" w:rsidP="008B382E">
      <w:pPr>
        <w:pStyle w:val="Heading1"/>
        <w:keepLines/>
        <w:numPr>
          <w:ilvl w:val="1"/>
          <w:numId w:val="31"/>
        </w:numPr>
        <w:spacing w:before="0" w:after="240" w:line="259" w:lineRule="auto"/>
        <w:ind w:left="709" w:hanging="709"/>
        <w:rPr>
          <w:rFonts w:asciiTheme="minorHAnsi" w:hAnsiTheme="minorHAnsi" w:cstheme="minorHAnsi"/>
          <w:sz w:val="36"/>
          <w:lang w:eastAsia="en-AU"/>
        </w:rPr>
      </w:pPr>
      <w:bookmarkStart w:id="56" w:name="_Toc176437886"/>
      <w:r w:rsidRPr="00780D76">
        <w:rPr>
          <w:rFonts w:asciiTheme="minorHAnsi" w:hAnsiTheme="minorHAnsi" w:cstheme="minorHAnsi"/>
          <w:sz w:val="36"/>
          <w:lang w:eastAsia="en-AU"/>
        </w:rPr>
        <w:t>Substantive and content requirements</w:t>
      </w:r>
      <w:bookmarkEnd w:id="56"/>
      <w:r w:rsidRPr="00780D76">
        <w:rPr>
          <w:rFonts w:asciiTheme="minorHAnsi" w:hAnsiTheme="minorHAnsi" w:cstheme="minorHAnsi"/>
          <w:sz w:val="36"/>
          <w:lang w:eastAsia="en-AU"/>
        </w:rPr>
        <w:t xml:space="preserve"> </w:t>
      </w:r>
    </w:p>
    <w:p w14:paraId="6A96EE5A"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We also want to distinguish between legal requirements to possess or transfer transferable records, and ‘substantive’ legal requirements for transferable records, or requirements which relate to the contents of a transferable record. </w:t>
      </w:r>
    </w:p>
    <w:p w14:paraId="3B42E3C3" w14:textId="77777777" w:rsidR="00040EE5" w:rsidRPr="00780D76" w:rsidRDefault="00040EE5" w:rsidP="009B6057">
      <w:pPr>
        <w:pStyle w:val="Heading3"/>
        <w:rPr>
          <w:rFonts w:asciiTheme="minorHAnsi" w:hAnsiTheme="minorHAnsi" w:cstheme="minorHAnsi"/>
        </w:rPr>
      </w:pPr>
      <w:bookmarkStart w:id="57" w:name="_Toc176420791"/>
      <w:r w:rsidRPr="00780D76">
        <w:rPr>
          <w:rFonts w:asciiTheme="minorHAnsi" w:hAnsiTheme="minorHAnsi" w:cstheme="minorHAnsi"/>
        </w:rPr>
        <w:lastRenderedPageBreak/>
        <w:t>Substantive requirements to issue a transferable record, or consequences when one is held</w:t>
      </w:r>
      <w:bookmarkEnd w:id="57"/>
    </w:p>
    <w:p w14:paraId="10288D5B"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‘Substantive requirements’ include requirements to use transferable records in certain situations. </w:t>
      </w:r>
    </w:p>
    <w:p w14:paraId="7EC3838B"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For example, the </w:t>
      </w:r>
      <w:r w:rsidRPr="00780D76">
        <w:rPr>
          <w:rFonts w:asciiTheme="minorHAnsi" w:hAnsiTheme="minorHAnsi" w:cstheme="minorHAnsi"/>
          <w:i/>
        </w:rPr>
        <w:t>Carriage of Goods by Sea Act</w:t>
      </w:r>
      <w:r w:rsidRPr="00780D76">
        <w:rPr>
          <w:rFonts w:asciiTheme="minorHAnsi" w:hAnsiTheme="minorHAnsi" w:cstheme="minorHAnsi"/>
        </w:rPr>
        <w:t xml:space="preserve"> 1991 (Cth) may require a person to issue a bill of lading in certain instances.</w:t>
      </w:r>
      <w:r w:rsidRPr="00780D76">
        <w:rPr>
          <w:rStyle w:val="FootnoteReference"/>
          <w:rFonts w:asciiTheme="minorHAnsi" w:hAnsiTheme="minorHAnsi" w:cstheme="minorHAnsi"/>
        </w:rPr>
        <w:footnoteReference w:id="33"/>
      </w:r>
    </w:p>
    <w:p w14:paraId="2D9A6123"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If the MLETR were enacted in Australia, it would not be expected to change any existing substantive obligations to use a transferable record: it would merely confirm that a person could use an electronic transferable record to fulfil that obligation, if they so choose. </w:t>
      </w:r>
    </w:p>
    <w:p w14:paraId="168D3616" w14:textId="365E7E8A"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Also, whilst the MLETR may be relevant in determining whether a person is in ‘possession’ of a transferable record, it will not affect the rights associated with possession under other substantive laws.</w:t>
      </w:r>
      <w:r w:rsidRPr="00780D76">
        <w:rPr>
          <w:rStyle w:val="FootnoteReference"/>
          <w:rFonts w:asciiTheme="minorHAnsi" w:hAnsiTheme="minorHAnsi" w:cstheme="minorHAnsi"/>
        </w:rPr>
        <w:footnoteReference w:id="34"/>
      </w:r>
      <w:r w:rsidRPr="00780D76">
        <w:rPr>
          <w:rFonts w:asciiTheme="minorHAnsi" w:hAnsiTheme="minorHAnsi" w:cstheme="minorHAnsi"/>
        </w:rPr>
        <w:t xml:space="preserve"> Therefore, any rights, benefits or obligations arising from the possession of a transferable record would continue to be set by other substantive law and would not be affected by the MLETR. </w:t>
      </w:r>
    </w:p>
    <w:p w14:paraId="4260B093" w14:textId="77777777" w:rsidR="00040EE5" w:rsidRPr="00780D76" w:rsidRDefault="00040EE5" w:rsidP="009B6057">
      <w:pPr>
        <w:pStyle w:val="Heading3"/>
        <w:rPr>
          <w:rFonts w:asciiTheme="minorHAnsi" w:hAnsiTheme="minorHAnsi" w:cstheme="minorHAnsi"/>
        </w:rPr>
      </w:pPr>
      <w:bookmarkStart w:id="58" w:name="_Toc176420792"/>
      <w:r w:rsidRPr="00780D76">
        <w:rPr>
          <w:rFonts w:asciiTheme="minorHAnsi" w:hAnsiTheme="minorHAnsi" w:cstheme="minorHAnsi"/>
        </w:rPr>
        <w:t>Content requirements</w:t>
      </w:r>
      <w:bookmarkEnd w:id="58"/>
      <w:r w:rsidRPr="00780D76">
        <w:rPr>
          <w:rFonts w:asciiTheme="minorHAnsi" w:hAnsiTheme="minorHAnsi" w:cstheme="minorHAnsi"/>
        </w:rPr>
        <w:t xml:space="preserve"> </w:t>
      </w:r>
    </w:p>
    <w:p w14:paraId="1262D54A"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‘Content requirements’ include requirements to include certain information on a transferable record. </w:t>
      </w:r>
    </w:p>
    <w:p w14:paraId="749D4235"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For example, the </w:t>
      </w:r>
      <w:r w:rsidRPr="00780D76">
        <w:rPr>
          <w:rFonts w:asciiTheme="minorHAnsi" w:hAnsiTheme="minorHAnsi" w:cstheme="minorHAnsi"/>
          <w:i/>
        </w:rPr>
        <w:t>Bills of Exchange Act 1909</w:t>
      </w:r>
      <w:r w:rsidRPr="00780D76">
        <w:rPr>
          <w:rFonts w:asciiTheme="minorHAnsi" w:hAnsiTheme="minorHAnsi" w:cstheme="minorHAnsi"/>
        </w:rPr>
        <w:t xml:space="preserve"> (Cth) requires that a bill of exchange include an unconditional order in writing to pay a sum of money.</w:t>
      </w:r>
      <w:r w:rsidRPr="00780D76">
        <w:rPr>
          <w:rStyle w:val="FootnoteReference"/>
          <w:rFonts w:asciiTheme="minorHAnsi" w:hAnsiTheme="minorHAnsi" w:cstheme="minorHAnsi"/>
        </w:rPr>
        <w:footnoteReference w:id="35"/>
      </w:r>
    </w:p>
    <w:p w14:paraId="5001F2A6" w14:textId="77777777" w:rsidR="00040EE5" w:rsidRPr="00780D76" w:rsidRDefault="00040EE5" w:rsidP="00040EE5">
      <w:pPr>
        <w:tabs>
          <w:tab w:val="left" w:pos="964"/>
        </w:tabs>
        <w:spacing w:line="276" w:lineRule="auto"/>
        <w:jc w:val="both"/>
        <w:rPr>
          <w:rFonts w:asciiTheme="minorHAnsi" w:hAnsiTheme="minorHAnsi" w:cstheme="minorHAnsi"/>
          <w:highlight w:val="yellow"/>
        </w:rPr>
      </w:pPr>
      <w:r w:rsidRPr="00780D76">
        <w:rPr>
          <w:rFonts w:asciiTheme="minorHAnsi" w:hAnsiTheme="minorHAnsi" w:cstheme="minorHAnsi"/>
        </w:rPr>
        <w:t>The MLETR also does not affect content or information requirements for transferable records.</w:t>
      </w:r>
      <w:r w:rsidRPr="00780D76">
        <w:rPr>
          <w:rStyle w:val="FootnoteReference"/>
          <w:rFonts w:asciiTheme="minorHAnsi" w:hAnsiTheme="minorHAnsi" w:cstheme="minorHAnsi"/>
        </w:rPr>
        <w:footnoteReference w:id="36"/>
      </w:r>
      <w:r w:rsidRPr="00780D76">
        <w:rPr>
          <w:rFonts w:asciiTheme="minorHAnsi" w:hAnsiTheme="minorHAnsi" w:cstheme="minorHAnsi"/>
        </w:rPr>
        <w:t xml:space="preserve"> If the MLETR were enacted in Australia, it would not be expected to change the information which is generally required on a specific record: it would merely confirm that this information could be provided or inputted electronically, if a person chose to use an electronic transferable record.</w:t>
      </w:r>
      <w:r w:rsidRPr="00780D76">
        <w:rPr>
          <w:rStyle w:val="FootnoteReference"/>
          <w:rFonts w:asciiTheme="minorHAnsi" w:hAnsiTheme="minorHAnsi" w:cstheme="minorHAnsi"/>
        </w:rPr>
        <w:footnoteReference w:id="37"/>
      </w:r>
    </w:p>
    <w:p w14:paraId="75C6ACD5" w14:textId="77777777" w:rsidR="00040EE5" w:rsidRPr="00780D76" w:rsidRDefault="00040EE5" w:rsidP="008B382E">
      <w:pPr>
        <w:pStyle w:val="Heading1"/>
        <w:keepLines/>
        <w:numPr>
          <w:ilvl w:val="1"/>
          <w:numId w:val="31"/>
        </w:numPr>
        <w:spacing w:before="0" w:after="240" w:line="259" w:lineRule="auto"/>
        <w:ind w:left="709" w:hanging="709"/>
        <w:rPr>
          <w:rFonts w:asciiTheme="minorHAnsi" w:hAnsiTheme="minorHAnsi" w:cstheme="minorHAnsi"/>
          <w:sz w:val="36"/>
          <w:lang w:eastAsia="en-AU"/>
        </w:rPr>
      </w:pPr>
      <w:bookmarkStart w:id="59" w:name="_Ref176437630"/>
      <w:bookmarkStart w:id="60" w:name="_Ref176437818"/>
      <w:bookmarkStart w:id="61" w:name="_Toc176437887"/>
      <w:r w:rsidRPr="00780D76">
        <w:rPr>
          <w:rFonts w:asciiTheme="minorHAnsi" w:hAnsiTheme="minorHAnsi" w:cstheme="minorHAnsi"/>
          <w:sz w:val="36"/>
          <w:lang w:eastAsia="en-AU"/>
        </w:rPr>
        <w:t>Application of the Uniform Australian ETAs</w:t>
      </w:r>
      <w:bookmarkEnd w:id="59"/>
      <w:bookmarkEnd w:id="60"/>
      <w:bookmarkEnd w:id="61"/>
      <w:r w:rsidRPr="00780D76">
        <w:rPr>
          <w:rFonts w:asciiTheme="minorHAnsi" w:hAnsiTheme="minorHAnsi" w:cstheme="minorHAnsi"/>
          <w:sz w:val="36"/>
          <w:lang w:eastAsia="en-AU"/>
        </w:rPr>
        <w:t xml:space="preserve"> </w:t>
      </w:r>
    </w:p>
    <w:p w14:paraId="61E1621C"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Australia already has a legal framework that confirms the legal equality of various paper and electronic communications under Australian law: the ETA and its state and territory counterparts. </w:t>
      </w:r>
    </w:p>
    <w:p w14:paraId="1E7DBA65"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Our view is that, whilst the ETA does not currently enable electronic transferable records, Australia’s implementation of the MLETR should be undertaken with careful consideration of the ETA, to avoid inconsistency between these different but related frameworks.</w:t>
      </w:r>
      <w:r w:rsidRPr="00780D76">
        <w:rPr>
          <w:rStyle w:val="FootnoteReference"/>
          <w:rFonts w:asciiTheme="minorHAnsi" w:hAnsiTheme="minorHAnsi" w:cstheme="minorHAnsi"/>
        </w:rPr>
        <w:footnoteReference w:id="38"/>
      </w:r>
      <w:r w:rsidRPr="00780D76">
        <w:rPr>
          <w:rFonts w:asciiTheme="minorHAnsi" w:hAnsiTheme="minorHAnsi" w:cstheme="minorHAnsi"/>
        </w:rPr>
        <w:t xml:space="preserve"> Also, as noted at </w:t>
      </w:r>
      <w:r w:rsidRPr="0084133D">
        <w:rPr>
          <w:rFonts w:asciiTheme="minorHAnsi" w:hAnsiTheme="minorHAnsi" w:cstheme="minorHAnsi"/>
          <w:b/>
          <w:color w:val="0000FF"/>
          <w:u w:val="single"/>
        </w:rPr>
        <w:t xml:space="preserve">part </w:t>
      </w:r>
      <w:r w:rsidR="009B6057" w:rsidRPr="0084133D">
        <w:rPr>
          <w:rFonts w:asciiTheme="minorHAnsi" w:hAnsiTheme="minorHAnsi" w:cstheme="minorHAnsi"/>
          <w:b/>
          <w:color w:val="0000FF"/>
          <w:u w:val="single"/>
        </w:rPr>
        <w:fldChar w:fldCharType="begin"/>
      </w:r>
      <w:r w:rsidR="009B6057" w:rsidRPr="0084133D">
        <w:rPr>
          <w:rFonts w:asciiTheme="minorHAnsi" w:hAnsiTheme="minorHAnsi" w:cstheme="minorHAnsi"/>
          <w:b/>
          <w:color w:val="0000FF"/>
          <w:u w:val="single"/>
        </w:rPr>
        <w:instrText xml:space="preserve"> REF _Ref176437572 \r \h </w:instrText>
      </w:r>
      <w:r w:rsidR="00780D76" w:rsidRPr="0084133D">
        <w:rPr>
          <w:rFonts w:asciiTheme="minorHAnsi" w:hAnsiTheme="minorHAnsi" w:cstheme="minorHAnsi"/>
          <w:b/>
          <w:color w:val="0000FF"/>
          <w:u w:val="single"/>
        </w:rPr>
        <w:instrText xml:space="preserve"> \* MERGEFORMAT </w:instrText>
      </w:r>
      <w:r w:rsidR="009B6057" w:rsidRPr="0084133D">
        <w:rPr>
          <w:rFonts w:asciiTheme="minorHAnsi" w:hAnsiTheme="minorHAnsi" w:cstheme="minorHAnsi"/>
          <w:b/>
          <w:color w:val="0000FF"/>
          <w:u w:val="single"/>
        </w:rPr>
      </w:r>
      <w:r w:rsidR="009B6057" w:rsidRPr="0084133D">
        <w:rPr>
          <w:rFonts w:asciiTheme="minorHAnsi" w:hAnsiTheme="minorHAnsi" w:cstheme="minorHAnsi"/>
          <w:b/>
          <w:color w:val="0000FF"/>
          <w:u w:val="single"/>
        </w:rPr>
        <w:fldChar w:fldCharType="separate"/>
      </w:r>
      <w:r w:rsidR="009B6057" w:rsidRPr="0084133D">
        <w:rPr>
          <w:rFonts w:asciiTheme="minorHAnsi" w:hAnsiTheme="minorHAnsi" w:cstheme="minorHAnsi"/>
          <w:b/>
          <w:color w:val="0000FF"/>
          <w:u w:val="single"/>
        </w:rPr>
        <w:t>1.4</w:t>
      </w:r>
      <w:r w:rsidR="009B6057" w:rsidRPr="0084133D">
        <w:rPr>
          <w:rFonts w:asciiTheme="minorHAnsi" w:hAnsiTheme="minorHAnsi" w:cstheme="minorHAnsi"/>
          <w:b/>
          <w:color w:val="0000FF"/>
          <w:u w:val="single"/>
        </w:rPr>
        <w:fldChar w:fldCharType="end"/>
      </w:r>
      <w:r w:rsidR="009B6057" w:rsidRPr="0084133D">
        <w:rPr>
          <w:rFonts w:asciiTheme="minorHAnsi" w:hAnsiTheme="minorHAnsi" w:cstheme="minorHAnsi"/>
          <w:color w:val="0000FF"/>
        </w:rPr>
        <w:t xml:space="preserve"> </w:t>
      </w:r>
      <w:r w:rsidRPr="00780D76">
        <w:rPr>
          <w:rFonts w:asciiTheme="minorHAnsi" w:hAnsiTheme="minorHAnsi" w:cstheme="minorHAnsi"/>
        </w:rPr>
        <w:t xml:space="preserve">of this paper, implementation of the MLETR could potentially be achieved through amendments to the ETA. </w:t>
      </w:r>
    </w:p>
    <w:p w14:paraId="58646F95"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Accordingly, this section introduces the ETA and its state and territory counterparts, which will be discussed further in the following part of this consultation paper. </w:t>
      </w:r>
    </w:p>
    <w:p w14:paraId="20199E7E" w14:textId="77777777" w:rsidR="00040EE5" w:rsidRPr="00780D76" w:rsidRDefault="00040EE5" w:rsidP="00040EE5">
      <w:pPr>
        <w:pStyle w:val="Heading3"/>
        <w:rPr>
          <w:rFonts w:asciiTheme="minorHAnsi" w:hAnsiTheme="minorHAnsi" w:cstheme="minorHAnsi"/>
        </w:rPr>
      </w:pPr>
      <w:bookmarkStart w:id="62" w:name="_Toc176420794"/>
      <w:r w:rsidRPr="00780D76">
        <w:rPr>
          <w:rFonts w:asciiTheme="minorHAnsi" w:hAnsiTheme="minorHAnsi" w:cstheme="minorHAnsi"/>
        </w:rPr>
        <w:lastRenderedPageBreak/>
        <w:t>What are the Uniform Australian ETAs?</w:t>
      </w:r>
      <w:bookmarkEnd w:id="62"/>
    </w:p>
    <w:p w14:paraId="11E208D0"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The ETA is a Commonwealth Act, which confirms that a variety of paper document processes referenced under non-exempted Commonwealth laws (like making signatures or giving written information) can be achieved using electronic tools. </w:t>
      </w:r>
    </w:p>
    <w:p w14:paraId="2778E084"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Stakeholders may view the department’s webpage on the ETA here</w:t>
      </w:r>
      <w:r w:rsidR="00FF7815" w:rsidRPr="00780D76">
        <w:rPr>
          <w:rFonts w:asciiTheme="minorHAnsi" w:hAnsiTheme="minorHAnsi" w:cstheme="minorHAnsi"/>
        </w:rPr>
        <w:t xml:space="preserve">: </w:t>
      </w:r>
      <w:hyperlink r:id="rId16" w:history="1">
        <w:r w:rsidR="00FF7815" w:rsidRPr="00780D76">
          <w:rPr>
            <w:rStyle w:val="Hyperlink"/>
            <w:rFonts w:asciiTheme="minorHAnsi" w:hAnsiTheme="minorHAnsi" w:cstheme="minorHAnsi"/>
            <w:b/>
            <w:color w:val="0000FF"/>
          </w:rPr>
          <w:t>Electronic signatures, documents and transactions | Attorney-General's Department (ag.gov.au)</w:t>
        </w:r>
      </w:hyperlink>
      <w:r w:rsidR="00FF7815" w:rsidRPr="00780D76">
        <w:rPr>
          <w:rStyle w:val="Hyperlink"/>
          <w:rFonts w:asciiTheme="minorHAnsi" w:hAnsiTheme="minorHAnsi" w:cstheme="minorHAnsi"/>
          <w:b/>
          <w:color w:val="0000FF"/>
        </w:rPr>
        <w:t>.</w:t>
      </w:r>
    </w:p>
    <w:p w14:paraId="6349F055"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All Australian states and territories have enacted individual Electronic Transactions Acts,</w:t>
      </w:r>
      <w:r w:rsidRPr="00780D76">
        <w:rPr>
          <w:rStyle w:val="FootnoteReference"/>
          <w:rFonts w:asciiTheme="minorHAnsi" w:hAnsiTheme="minorHAnsi" w:cstheme="minorHAnsi"/>
        </w:rPr>
        <w:footnoteReference w:id="39"/>
      </w:r>
      <w:r w:rsidRPr="00780D76">
        <w:rPr>
          <w:rFonts w:asciiTheme="minorHAnsi" w:hAnsiTheme="minorHAnsi" w:cstheme="minorHAnsi"/>
        </w:rPr>
        <w:t xml:space="preserve"> which are largely uniform in scope and approach, though which apply to laws under each respective state and territory, and may be subject to different exemptions and other differences. These Acts, including the ETA, are referred to in this paper collectively as the </w:t>
      </w:r>
      <w:r w:rsidRPr="00780D76">
        <w:rPr>
          <w:rFonts w:asciiTheme="minorHAnsi" w:hAnsiTheme="minorHAnsi" w:cstheme="minorHAnsi"/>
          <w:b/>
        </w:rPr>
        <w:t>Uniform Australian ETAs.</w:t>
      </w:r>
      <w:r w:rsidRPr="00780D76">
        <w:rPr>
          <w:rFonts w:asciiTheme="minorHAnsi" w:hAnsiTheme="minorHAnsi" w:cstheme="minorHAnsi"/>
        </w:rPr>
        <w:t xml:space="preserve"> </w:t>
      </w:r>
    </w:p>
    <w:p w14:paraId="2695D88E" w14:textId="77777777" w:rsidR="00040EE5" w:rsidRPr="00780D76" w:rsidRDefault="00040EE5" w:rsidP="00040EE5">
      <w:pPr>
        <w:pStyle w:val="Heading3"/>
        <w:rPr>
          <w:rFonts w:asciiTheme="minorHAnsi" w:hAnsiTheme="minorHAnsi" w:cstheme="minorHAnsi"/>
        </w:rPr>
      </w:pPr>
      <w:bookmarkStart w:id="63" w:name="_Toc176420795"/>
      <w:r w:rsidRPr="00780D76">
        <w:rPr>
          <w:rFonts w:asciiTheme="minorHAnsi" w:hAnsiTheme="minorHAnsi" w:cstheme="minorHAnsi"/>
        </w:rPr>
        <w:t>Background to the Uniform Australian ETAs – the Model Law on Electronic Commerce</w:t>
      </w:r>
      <w:bookmarkEnd w:id="63"/>
      <w:r w:rsidRPr="00780D76">
        <w:rPr>
          <w:rFonts w:asciiTheme="minorHAnsi" w:hAnsiTheme="minorHAnsi" w:cstheme="minorHAnsi"/>
        </w:rPr>
        <w:t xml:space="preserve"> </w:t>
      </w:r>
    </w:p>
    <w:p w14:paraId="5DA173BC"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The Uniform Australian ETAs were enacted by the Commonwealth and each state and territory between 1999 and 2003,</w:t>
      </w:r>
      <w:r w:rsidRPr="00780D76">
        <w:rPr>
          <w:rStyle w:val="FootnoteReference"/>
          <w:rFonts w:asciiTheme="minorHAnsi" w:hAnsiTheme="minorHAnsi" w:cstheme="minorHAnsi"/>
        </w:rPr>
        <w:footnoteReference w:id="40"/>
      </w:r>
      <w:r w:rsidRPr="00780D76">
        <w:rPr>
          <w:rFonts w:asciiTheme="minorHAnsi" w:hAnsiTheme="minorHAnsi" w:cstheme="minorHAnsi"/>
        </w:rPr>
        <w:t xml:space="preserve"> to create a generally-applicable legislative framework for electronic transactions in Australia. </w:t>
      </w:r>
    </w:p>
    <w:p w14:paraId="15E1DD53"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The Uniform Australian ETAs were based on the Model Law on Electronic Commerce </w:t>
      </w:r>
      <w:r w:rsidRPr="00780D76">
        <w:rPr>
          <w:rFonts w:asciiTheme="minorHAnsi" w:hAnsiTheme="minorHAnsi" w:cstheme="minorHAnsi"/>
          <w:b/>
        </w:rPr>
        <w:t>(MLEC)</w:t>
      </w:r>
      <w:r w:rsidRPr="00780D76">
        <w:rPr>
          <w:rFonts w:asciiTheme="minorHAnsi" w:hAnsiTheme="minorHAnsi" w:cstheme="minorHAnsi"/>
        </w:rPr>
        <w:t>,</w:t>
      </w:r>
      <w:r w:rsidRPr="00780D76">
        <w:rPr>
          <w:rStyle w:val="FootnoteReference"/>
          <w:rFonts w:asciiTheme="minorHAnsi" w:hAnsiTheme="minorHAnsi" w:cstheme="minorHAnsi"/>
        </w:rPr>
        <w:footnoteReference w:id="41"/>
      </w:r>
      <w:r w:rsidRPr="00780D76">
        <w:rPr>
          <w:rFonts w:asciiTheme="minorHAnsi" w:hAnsiTheme="minorHAnsi" w:cstheme="minorHAnsi"/>
        </w:rPr>
        <w:t xml:space="preserve"> which was developed by Working Group IV of UNICTRAL in 1996, and has been enacted in 169 international jurisdictions.</w:t>
      </w:r>
      <w:r w:rsidRPr="00780D76">
        <w:rPr>
          <w:rStyle w:val="FootnoteReference"/>
          <w:rFonts w:asciiTheme="minorHAnsi" w:hAnsiTheme="minorHAnsi" w:cstheme="minorHAnsi"/>
        </w:rPr>
        <w:footnoteReference w:id="42"/>
      </w:r>
      <w:r w:rsidRPr="00780D76">
        <w:rPr>
          <w:rFonts w:asciiTheme="minorHAnsi" w:hAnsiTheme="minorHAnsi" w:cstheme="minorHAnsi"/>
        </w:rPr>
        <w:t xml:space="preserve"> The MLEC is the most widely enacted of UNCITRAL’s model texts.</w:t>
      </w:r>
      <w:r w:rsidRPr="00780D76">
        <w:rPr>
          <w:rStyle w:val="FootnoteReference"/>
          <w:rFonts w:asciiTheme="minorHAnsi" w:hAnsiTheme="minorHAnsi" w:cstheme="minorHAnsi"/>
        </w:rPr>
        <w:footnoteReference w:id="43"/>
      </w:r>
      <w:r w:rsidRPr="00780D76">
        <w:rPr>
          <w:rFonts w:asciiTheme="minorHAnsi" w:hAnsiTheme="minorHAnsi" w:cstheme="minorHAnsi"/>
        </w:rPr>
        <w:t xml:space="preserve"> </w:t>
      </w:r>
    </w:p>
    <w:p w14:paraId="14F46D75"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Commencing in 2011, all of the Uniform Australian ETAs were amended to incorporate new articles contained in the UN Convention on the Use of Electronic Communications in International Contracts </w:t>
      </w:r>
      <w:r w:rsidRPr="00780D76">
        <w:rPr>
          <w:rFonts w:asciiTheme="minorHAnsi" w:hAnsiTheme="minorHAnsi" w:cstheme="minorHAnsi"/>
          <w:b/>
        </w:rPr>
        <w:t>(Electronic Communications Convention)</w:t>
      </w:r>
      <w:r w:rsidRPr="00780D76">
        <w:rPr>
          <w:rFonts w:asciiTheme="minorHAnsi" w:hAnsiTheme="minorHAnsi" w:cstheme="minorHAnsi"/>
        </w:rPr>
        <w:t>,</w:t>
      </w:r>
      <w:r w:rsidRPr="00780D76">
        <w:rPr>
          <w:rStyle w:val="FootnoteReference"/>
          <w:rFonts w:asciiTheme="minorHAnsi" w:hAnsiTheme="minorHAnsi" w:cstheme="minorHAnsi"/>
        </w:rPr>
        <w:footnoteReference w:id="44"/>
      </w:r>
      <w:r w:rsidRPr="00780D76">
        <w:rPr>
          <w:rFonts w:asciiTheme="minorHAnsi" w:hAnsiTheme="minorHAnsi" w:cstheme="minorHAnsi"/>
        </w:rPr>
        <w:t xml:space="preserve"> which amongst other things clarified the application of the Uniform Australian ETAs to contracts governed under applicable Australian law.</w:t>
      </w:r>
      <w:r w:rsidRPr="00780D76">
        <w:rPr>
          <w:rStyle w:val="FootnoteReference"/>
          <w:rFonts w:asciiTheme="minorHAnsi" w:hAnsiTheme="minorHAnsi" w:cstheme="minorHAnsi"/>
        </w:rPr>
        <w:footnoteReference w:id="45"/>
      </w:r>
    </w:p>
    <w:p w14:paraId="0017CCBE" w14:textId="77777777" w:rsidR="00040EE5" w:rsidRPr="00780D76" w:rsidRDefault="00040EE5" w:rsidP="00040EE5">
      <w:pPr>
        <w:tabs>
          <w:tab w:val="left" w:pos="964"/>
        </w:tabs>
        <w:spacing w:line="276" w:lineRule="auto"/>
        <w:jc w:val="both"/>
        <w:rPr>
          <w:rFonts w:asciiTheme="minorHAnsi" w:hAnsiTheme="minorHAnsi" w:cstheme="minorHAnsi"/>
          <w:highlight w:val="yellow"/>
        </w:rPr>
      </w:pPr>
      <w:r w:rsidRPr="00780D76">
        <w:rPr>
          <w:rFonts w:asciiTheme="minorHAnsi" w:hAnsiTheme="minorHAnsi" w:cstheme="minorHAnsi"/>
        </w:rPr>
        <w:t>Working Group IV of UNCITRAL have prepared a number of other model texts and other instruments, which all relate broadly to the use of electronic tools to undertake commercial activities, and which were each broadly developed to be consistent and complementary with the MLEC. The MLETR is one of these texts, which accounts for the broad consistency between some MLETR provisions and some provisions under the Uniform Australian ETAs.</w:t>
      </w:r>
      <w:r w:rsidRPr="00780D76">
        <w:rPr>
          <w:rStyle w:val="FootnoteReference"/>
          <w:rFonts w:asciiTheme="minorHAnsi" w:hAnsiTheme="minorHAnsi" w:cstheme="minorHAnsi"/>
        </w:rPr>
        <w:footnoteReference w:id="46"/>
      </w:r>
    </w:p>
    <w:p w14:paraId="2C164115" w14:textId="77777777" w:rsidR="00040EE5" w:rsidRPr="00780D76" w:rsidRDefault="00040EE5" w:rsidP="00040EE5">
      <w:pPr>
        <w:pStyle w:val="Heading3"/>
        <w:rPr>
          <w:rFonts w:asciiTheme="minorHAnsi" w:hAnsiTheme="minorHAnsi" w:cstheme="minorHAnsi"/>
        </w:rPr>
      </w:pPr>
      <w:bookmarkStart w:id="64" w:name="_Toc176420796"/>
      <w:r w:rsidRPr="00780D76">
        <w:rPr>
          <w:rFonts w:asciiTheme="minorHAnsi" w:hAnsiTheme="minorHAnsi" w:cstheme="minorHAnsi"/>
        </w:rPr>
        <w:lastRenderedPageBreak/>
        <w:t>Do the Uniform Australian ETAs enable electronic transferable records?</w:t>
      </w:r>
      <w:bookmarkEnd w:id="64"/>
      <w:r w:rsidRPr="00780D76">
        <w:rPr>
          <w:rFonts w:asciiTheme="minorHAnsi" w:hAnsiTheme="minorHAnsi" w:cstheme="minorHAnsi"/>
        </w:rPr>
        <w:t xml:space="preserve"> </w:t>
      </w:r>
    </w:p>
    <w:p w14:paraId="6CCB94F9"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The Uniform Australian ETAs apply to requirements under Australian law to send written information, provide physical signatures, produce paper documents and record information.</w:t>
      </w:r>
      <w:r w:rsidRPr="00780D76">
        <w:rPr>
          <w:rStyle w:val="FootnoteReference"/>
          <w:rFonts w:asciiTheme="minorHAnsi" w:hAnsiTheme="minorHAnsi" w:cstheme="minorHAnsi"/>
        </w:rPr>
        <w:footnoteReference w:id="47"/>
      </w:r>
      <w:r w:rsidRPr="00780D76">
        <w:rPr>
          <w:rFonts w:asciiTheme="minorHAnsi" w:hAnsiTheme="minorHAnsi" w:cstheme="minorHAnsi"/>
        </w:rPr>
        <w:t xml:space="preserve"> Like the MLETR, the Uniform Australian ETAs contain technology-neutral criteria which must be met for these activities to be done electronically.</w:t>
      </w:r>
      <w:r w:rsidRPr="00780D76">
        <w:rPr>
          <w:rStyle w:val="FootnoteReference"/>
          <w:rFonts w:asciiTheme="minorHAnsi" w:hAnsiTheme="minorHAnsi" w:cstheme="minorHAnsi"/>
        </w:rPr>
        <w:footnoteReference w:id="48"/>
      </w:r>
    </w:p>
    <w:p w14:paraId="591F13D5"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However, our preliminary view is that the Uniform Australian ETAs are currently insufficient to legally enable electronic transferable records generally, for several reasons:</w:t>
      </w:r>
    </w:p>
    <w:p w14:paraId="1848CA7E" w14:textId="77777777" w:rsidR="00040EE5" w:rsidRPr="00780D76" w:rsidRDefault="00040EE5" w:rsidP="000E01D0">
      <w:pPr>
        <w:pStyle w:val="ListParagraph"/>
        <w:numPr>
          <w:ilvl w:val="0"/>
          <w:numId w:val="11"/>
        </w:numPr>
        <w:tabs>
          <w:tab w:val="left" w:pos="964"/>
        </w:tabs>
        <w:spacing w:line="276" w:lineRule="auto"/>
        <w:jc w:val="both"/>
        <w:rPr>
          <w:rFonts w:asciiTheme="minorHAnsi" w:hAnsiTheme="minorHAnsi" w:cstheme="minorHAnsi"/>
        </w:rPr>
      </w:pPr>
      <w:r w:rsidRPr="00780D76">
        <w:rPr>
          <w:rFonts w:asciiTheme="minorHAnsi" w:hAnsiTheme="minorHAnsi" w:cstheme="minorHAnsi"/>
        </w:rPr>
        <w:t>first, the Uniform Australian ETAs do not confirm how core processes like ‘possessing’ or ‘transferring’ a unique paper document can be achieved through electronic means. Though the Acts confirm the legal equality of electronic and paper documents, notices and signatures, these provisions may not be sufficient to provide industry confidence that an electronic transferable record is equivalent to a unique paper version</w:t>
      </w:r>
      <w:r w:rsidRPr="00780D76">
        <w:rPr>
          <w:rStyle w:val="FootnoteReference"/>
          <w:rFonts w:asciiTheme="minorHAnsi" w:hAnsiTheme="minorHAnsi" w:cstheme="minorHAnsi"/>
        </w:rPr>
        <w:footnoteReference w:id="49"/>
      </w:r>
      <w:r w:rsidRPr="00780D76">
        <w:rPr>
          <w:rFonts w:asciiTheme="minorHAnsi" w:hAnsiTheme="minorHAnsi" w:cstheme="minorHAnsi"/>
        </w:rPr>
        <w:t xml:space="preserve"> </w:t>
      </w:r>
    </w:p>
    <w:p w14:paraId="3B8CFDC5" w14:textId="77777777" w:rsidR="00040EE5" w:rsidRPr="00780D76" w:rsidRDefault="00040EE5" w:rsidP="00040EE5">
      <w:pPr>
        <w:pStyle w:val="ListParagraph"/>
        <w:tabs>
          <w:tab w:val="left" w:pos="964"/>
        </w:tabs>
        <w:spacing w:line="276" w:lineRule="auto"/>
        <w:ind w:left="777"/>
        <w:jc w:val="both"/>
        <w:rPr>
          <w:rFonts w:asciiTheme="minorHAnsi" w:hAnsiTheme="minorHAnsi" w:cstheme="minorHAnsi"/>
        </w:rPr>
      </w:pPr>
    </w:p>
    <w:p w14:paraId="2AF038AC" w14:textId="2636AE00" w:rsidR="00040EE5" w:rsidRPr="00780D76" w:rsidRDefault="00040EE5" w:rsidP="000E01D0">
      <w:pPr>
        <w:pStyle w:val="ListParagraph"/>
        <w:numPr>
          <w:ilvl w:val="0"/>
          <w:numId w:val="11"/>
        </w:num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second, in some cases, laws relating to transferable records may be exempted from the application of the Uniform Australian ETAs. For example, the </w:t>
      </w:r>
      <w:r w:rsidRPr="00780D76">
        <w:rPr>
          <w:rFonts w:asciiTheme="minorHAnsi" w:hAnsiTheme="minorHAnsi" w:cstheme="minorHAnsi"/>
          <w:i/>
        </w:rPr>
        <w:t>Bills of Exchange Act 1909</w:t>
      </w:r>
      <w:r w:rsidRPr="00780D76">
        <w:rPr>
          <w:rFonts w:asciiTheme="minorHAnsi" w:hAnsiTheme="minorHAnsi" w:cstheme="minorHAnsi"/>
        </w:rPr>
        <w:t xml:space="preserve"> (Cth) is exempted from the Commonwealth ETA,</w:t>
      </w:r>
      <w:r w:rsidRPr="00780D76">
        <w:rPr>
          <w:rStyle w:val="FootnoteReference"/>
          <w:rFonts w:asciiTheme="minorHAnsi" w:hAnsiTheme="minorHAnsi" w:cstheme="minorHAnsi"/>
        </w:rPr>
        <w:footnoteReference w:id="50"/>
      </w:r>
      <w:r w:rsidRPr="00780D76">
        <w:rPr>
          <w:rFonts w:asciiTheme="minorHAnsi" w:hAnsiTheme="minorHAnsi" w:cstheme="minorHAnsi"/>
        </w:rPr>
        <w:t xml:space="preserve"> and the </w:t>
      </w:r>
      <w:r w:rsidRPr="00780D76">
        <w:rPr>
          <w:rFonts w:asciiTheme="minorHAnsi" w:hAnsiTheme="minorHAnsi" w:cstheme="minorHAnsi"/>
          <w:i/>
        </w:rPr>
        <w:t>Electronic Transactions (Queensland) Act 2001</w:t>
      </w:r>
      <w:r w:rsidRPr="00780D76">
        <w:rPr>
          <w:rFonts w:asciiTheme="minorHAnsi" w:hAnsiTheme="minorHAnsi" w:cstheme="minorHAnsi"/>
        </w:rPr>
        <w:t xml:space="preserve"> specifically exempts certain transferable records from its application.</w:t>
      </w:r>
      <w:r w:rsidRPr="00780D76">
        <w:rPr>
          <w:rStyle w:val="FootnoteReference"/>
          <w:rFonts w:asciiTheme="minorHAnsi" w:hAnsiTheme="minorHAnsi" w:cstheme="minorHAnsi"/>
        </w:rPr>
        <w:footnoteReference w:id="51"/>
      </w:r>
    </w:p>
    <w:p w14:paraId="5CBAEA9C"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We discuss cross-overs between the ETA and the MLETR in further detail in the following part of this consultation paper.</w:t>
      </w:r>
    </w:p>
    <w:p w14:paraId="09C7517F" w14:textId="77777777" w:rsidR="00040EE5" w:rsidRPr="00780D76" w:rsidRDefault="00040EE5" w:rsidP="008B382E">
      <w:pPr>
        <w:pStyle w:val="Boxheading"/>
        <w:numPr>
          <w:ilvl w:val="0"/>
          <w:numId w:val="32"/>
        </w:numPr>
        <w:spacing w:line="240" w:lineRule="auto"/>
        <w:rPr>
          <w:rFonts w:asciiTheme="minorHAnsi" w:hAnsiTheme="minorHAnsi" w:cstheme="minorHAnsi"/>
          <w:b/>
          <w:color w:val="auto"/>
          <w:sz w:val="28"/>
        </w:rPr>
      </w:pPr>
    </w:p>
    <w:p w14:paraId="3E8E1B0D" w14:textId="24D0B363" w:rsidR="00040EE5" w:rsidRPr="00780D76" w:rsidRDefault="00040EE5" w:rsidP="00040EE5">
      <w:pPr>
        <w:pStyle w:val="Boxheading"/>
        <w:spacing w:line="240" w:lineRule="auto"/>
        <w:rPr>
          <w:rFonts w:asciiTheme="minorHAnsi" w:hAnsiTheme="minorHAnsi" w:cstheme="minorHAnsi"/>
          <w:caps w:val="0"/>
          <w:color w:val="auto"/>
        </w:rPr>
      </w:pPr>
      <w:r w:rsidRPr="00780D76">
        <w:rPr>
          <w:rFonts w:asciiTheme="minorHAnsi" w:hAnsiTheme="minorHAnsi" w:cstheme="minorHAnsi"/>
          <w:caps w:val="0"/>
          <w:color w:val="auto"/>
        </w:rPr>
        <w:t xml:space="preserve">We would welcome any preliminary comments from stakeholders regarding the applicability of the uniform Australian </w:t>
      </w:r>
      <w:r w:rsidR="0080104E">
        <w:rPr>
          <w:rFonts w:asciiTheme="minorHAnsi" w:hAnsiTheme="minorHAnsi" w:cstheme="minorHAnsi"/>
          <w:caps w:val="0"/>
          <w:color w:val="auto"/>
        </w:rPr>
        <w:t>ETAs</w:t>
      </w:r>
      <w:r w:rsidR="0080104E" w:rsidRPr="00780D76">
        <w:rPr>
          <w:rFonts w:asciiTheme="minorHAnsi" w:hAnsiTheme="minorHAnsi" w:cstheme="minorHAnsi"/>
          <w:caps w:val="0"/>
          <w:color w:val="auto"/>
        </w:rPr>
        <w:t xml:space="preserve"> </w:t>
      </w:r>
      <w:r w:rsidRPr="00780D76">
        <w:rPr>
          <w:rFonts w:asciiTheme="minorHAnsi" w:hAnsiTheme="minorHAnsi" w:cstheme="minorHAnsi"/>
          <w:caps w:val="0"/>
          <w:color w:val="auto"/>
        </w:rPr>
        <w:t>towards electronic transferable records.</w:t>
      </w:r>
    </w:p>
    <w:p w14:paraId="6CB0981D" w14:textId="77777777" w:rsidR="00040EE5" w:rsidRPr="00780D76" w:rsidRDefault="00040EE5" w:rsidP="00040EE5">
      <w:pPr>
        <w:pStyle w:val="Boxheading"/>
        <w:spacing w:line="240" w:lineRule="auto"/>
        <w:rPr>
          <w:rFonts w:asciiTheme="minorHAnsi" w:hAnsiTheme="minorHAnsi" w:cstheme="minorHAnsi"/>
          <w:i/>
          <w:color w:val="auto"/>
          <w:highlight w:val="yellow"/>
        </w:rPr>
      </w:pPr>
      <w:r w:rsidRPr="00780D76">
        <w:rPr>
          <w:rFonts w:asciiTheme="minorHAnsi" w:hAnsiTheme="minorHAnsi" w:cstheme="minorHAnsi"/>
          <w:i/>
          <w:caps w:val="0"/>
          <w:color w:val="auto"/>
        </w:rPr>
        <w:t>For example, we would be interested in views about the consequences of any potential overlap or inconsistency between the MLETR and the ETA.</w:t>
      </w:r>
    </w:p>
    <w:p w14:paraId="4DC87AEF" w14:textId="77777777" w:rsidR="00040EE5" w:rsidRPr="00780D76" w:rsidRDefault="00040EE5" w:rsidP="008B382E">
      <w:pPr>
        <w:pStyle w:val="Heading1"/>
        <w:keepLines/>
        <w:numPr>
          <w:ilvl w:val="1"/>
          <w:numId w:val="31"/>
        </w:numPr>
        <w:spacing w:before="0" w:after="240" w:line="259" w:lineRule="auto"/>
        <w:ind w:left="709" w:hanging="709"/>
        <w:rPr>
          <w:rFonts w:asciiTheme="minorHAnsi" w:hAnsiTheme="minorHAnsi" w:cstheme="minorHAnsi"/>
          <w:sz w:val="36"/>
          <w:lang w:eastAsia="en-AU"/>
        </w:rPr>
      </w:pPr>
      <w:bookmarkStart w:id="65" w:name="_Ref176437621"/>
      <w:bookmarkStart w:id="66" w:name="_Ref176437650"/>
      <w:bookmarkStart w:id="67" w:name="_Ref176437720"/>
      <w:bookmarkStart w:id="68" w:name="_Toc176437888"/>
      <w:r w:rsidRPr="00780D76">
        <w:rPr>
          <w:rFonts w:asciiTheme="minorHAnsi" w:hAnsiTheme="minorHAnsi" w:cstheme="minorHAnsi"/>
          <w:sz w:val="36"/>
          <w:lang w:eastAsia="en-AU"/>
        </w:rPr>
        <w:lastRenderedPageBreak/>
        <w:t>Electronic bills of lading under current Australian law</w:t>
      </w:r>
      <w:bookmarkEnd w:id="65"/>
      <w:bookmarkEnd w:id="66"/>
      <w:bookmarkEnd w:id="67"/>
      <w:bookmarkEnd w:id="68"/>
    </w:p>
    <w:p w14:paraId="1F20F9F8"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Though the Uniform Australian ETAs may not confirm the legal validity of all electronic transferable records, other Australian laws give legal recognition to electronic bills of lading </w:t>
      </w:r>
      <w:r w:rsidRPr="00780D76">
        <w:rPr>
          <w:rFonts w:asciiTheme="minorHAnsi" w:hAnsiTheme="minorHAnsi" w:cstheme="minorHAnsi"/>
          <w:b/>
        </w:rPr>
        <w:t xml:space="preserve">(eBOLs) </w:t>
      </w:r>
      <w:r w:rsidRPr="00780D76">
        <w:rPr>
          <w:rFonts w:asciiTheme="minorHAnsi" w:hAnsiTheme="minorHAnsi" w:cstheme="minorHAnsi"/>
        </w:rPr>
        <w:t xml:space="preserve">specifically, though according to different criteria than the MLETR. </w:t>
      </w:r>
    </w:p>
    <w:p w14:paraId="4F225C16"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This section briefly discusses the extent to which the Sea-Carriage Documents Acts and the </w:t>
      </w:r>
      <w:r w:rsidRPr="00780D76">
        <w:rPr>
          <w:rFonts w:asciiTheme="minorHAnsi" w:hAnsiTheme="minorHAnsi" w:cstheme="minorHAnsi"/>
          <w:i/>
        </w:rPr>
        <w:t>Carriage of Goods by Sea Act 1991</w:t>
      </w:r>
      <w:r w:rsidRPr="00780D76">
        <w:rPr>
          <w:rFonts w:asciiTheme="minorHAnsi" w:hAnsiTheme="minorHAnsi" w:cstheme="minorHAnsi"/>
        </w:rPr>
        <w:t xml:space="preserve"> (Cth) already recognise eBOLs, and asks stakeholders to describe their experiences using this existing framework. </w:t>
      </w:r>
    </w:p>
    <w:p w14:paraId="74338C49"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This will help us identify how these existing approaches will impact, or may overlap, with potential Australian options for implementing MLETR.</w:t>
      </w:r>
    </w:p>
    <w:p w14:paraId="7899B39E" w14:textId="77777777" w:rsidR="00040EE5" w:rsidRPr="00780D76" w:rsidRDefault="00040EE5" w:rsidP="00531589">
      <w:pPr>
        <w:pStyle w:val="Heading3"/>
        <w:rPr>
          <w:rFonts w:asciiTheme="minorHAnsi" w:hAnsiTheme="minorHAnsi" w:cstheme="minorHAnsi"/>
        </w:rPr>
      </w:pPr>
      <w:bookmarkStart w:id="69" w:name="_Toc176420798"/>
      <w:r w:rsidRPr="00780D76">
        <w:rPr>
          <w:rFonts w:asciiTheme="minorHAnsi" w:hAnsiTheme="minorHAnsi" w:cstheme="minorHAnsi"/>
        </w:rPr>
        <w:t>The Sea-Carriage Documents Acts</w:t>
      </w:r>
      <w:bookmarkEnd w:id="69"/>
      <w:r w:rsidRPr="00780D76">
        <w:rPr>
          <w:rFonts w:asciiTheme="minorHAnsi" w:hAnsiTheme="minorHAnsi" w:cstheme="minorHAnsi"/>
        </w:rPr>
        <w:t xml:space="preserve"> </w:t>
      </w:r>
    </w:p>
    <w:p w14:paraId="3B8CB234"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The Sea-Carriage Documents Acts </w:t>
      </w:r>
      <w:r w:rsidRPr="00780D76">
        <w:rPr>
          <w:rFonts w:asciiTheme="minorHAnsi" w:hAnsiTheme="minorHAnsi" w:cstheme="minorHAnsi"/>
          <w:b/>
        </w:rPr>
        <w:t>(SCDAs)</w:t>
      </w:r>
      <w:r w:rsidRPr="00780D76">
        <w:rPr>
          <w:rFonts w:asciiTheme="minorHAnsi" w:hAnsiTheme="minorHAnsi" w:cstheme="minorHAnsi"/>
        </w:rPr>
        <w:t xml:space="preserve"> are broadly-uniform legislation which were enacted in all Australian states and territories between 1996 and 1998,</w:t>
      </w:r>
      <w:r w:rsidRPr="00780D76">
        <w:rPr>
          <w:rStyle w:val="FootnoteReference"/>
          <w:rFonts w:asciiTheme="minorHAnsi" w:hAnsiTheme="minorHAnsi" w:cstheme="minorHAnsi"/>
        </w:rPr>
        <w:footnoteReference w:id="52"/>
      </w:r>
      <w:r w:rsidRPr="00780D76">
        <w:rPr>
          <w:rFonts w:asciiTheme="minorHAnsi" w:hAnsiTheme="minorHAnsi" w:cstheme="minorHAnsi"/>
        </w:rPr>
        <w:t xml:space="preserve"> and which reformed the pre-existing law relating to bills of lading, sea waybills and ships’ delivery orders. </w:t>
      </w:r>
    </w:p>
    <w:p w14:paraId="1F9D4DD5"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The SCDAs were based on the </w:t>
      </w:r>
      <w:r w:rsidRPr="00780D76">
        <w:rPr>
          <w:rFonts w:asciiTheme="minorHAnsi" w:hAnsiTheme="minorHAnsi" w:cstheme="minorHAnsi"/>
          <w:i/>
        </w:rPr>
        <w:t xml:space="preserve">Carriage of Goods by Sea Act 1992 </w:t>
      </w:r>
      <w:r w:rsidRPr="00780D76">
        <w:rPr>
          <w:rFonts w:asciiTheme="minorHAnsi" w:hAnsiTheme="minorHAnsi" w:cstheme="minorHAnsi"/>
        </w:rPr>
        <w:t>(UK)</w:t>
      </w:r>
      <w:r w:rsidRPr="00780D76">
        <w:rPr>
          <w:rStyle w:val="FootnoteReference"/>
          <w:rFonts w:asciiTheme="minorHAnsi" w:hAnsiTheme="minorHAnsi" w:cstheme="minorHAnsi"/>
        </w:rPr>
        <w:footnoteReference w:id="53"/>
      </w:r>
      <w:r w:rsidRPr="00780D76">
        <w:rPr>
          <w:rFonts w:asciiTheme="minorHAnsi" w:hAnsiTheme="minorHAnsi" w:cstheme="minorHAnsi"/>
        </w:rPr>
        <w:t xml:space="preserve"> and, amongst other things, confirm the extent to which rights and liabilities under a contract of carriage can be transferred to a new party through the transfer of a bill of lading to that party.</w:t>
      </w:r>
      <w:r w:rsidRPr="00780D76">
        <w:rPr>
          <w:rStyle w:val="FootnoteReference"/>
          <w:rFonts w:asciiTheme="minorHAnsi" w:hAnsiTheme="minorHAnsi" w:cstheme="minorHAnsi"/>
        </w:rPr>
        <w:footnoteReference w:id="54"/>
      </w:r>
      <w:r w:rsidRPr="00780D76">
        <w:rPr>
          <w:rFonts w:asciiTheme="minorHAnsi" w:hAnsiTheme="minorHAnsi" w:cstheme="minorHAnsi"/>
        </w:rPr>
        <w:t xml:space="preserve"> </w:t>
      </w:r>
    </w:p>
    <w:p w14:paraId="70BFAF28" w14:textId="77777777" w:rsidR="00040EE5" w:rsidRPr="00780D76" w:rsidRDefault="00040EE5" w:rsidP="00040EE5">
      <w:pPr>
        <w:pStyle w:val="Heading3"/>
        <w:rPr>
          <w:rFonts w:asciiTheme="minorHAnsi" w:hAnsiTheme="minorHAnsi" w:cstheme="minorHAnsi"/>
        </w:rPr>
      </w:pPr>
      <w:bookmarkStart w:id="70" w:name="_Toc176420799"/>
      <w:r w:rsidRPr="00780D76">
        <w:rPr>
          <w:rFonts w:asciiTheme="minorHAnsi" w:hAnsiTheme="minorHAnsi" w:cstheme="minorHAnsi"/>
        </w:rPr>
        <w:t>The Carriage of Goods by Sea Act</w:t>
      </w:r>
      <w:bookmarkEnd w:id="70"/>
      <w:r w:rsidRPr="00780D76">
        <w:rPr>
          <w:rFonts w:asciiTheme="minorHAnsi" w:hAnsiTheme="minorHAnsi" w:cstheme="minorHAnsi"/>
        </w:rPr>
        <w:t xml:space="preserve"> </w:t>
      </w:r>
    </w:p>
    <w:p w14:paraId="04AF7604"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The </w:t>
      </w:r>
      <w:r w:rsidRPr="00780D76">
        <w:rPr>
          <w:rFonts w:asciiTheme="minorHAnsi" w:hAnsiTheme="minorHAnsi" w:cstheme="minorHAnsi"/>
          <w:i/>
        </w:rPr>
        <w:t>Carriage of Goods by Sea Act 1991</w:t>
      </w:r>
      <w:r w:rsidRPr="00780D76">
        <w:rPr>
          <w:rFonts w:asciiTheme="minorHAnsi" w:hAnsiTheme="minorHAnsi" w:cstheme="minorHAnsi"/>
        </w:rPr>
        <w:t xml:space="preserve"> (Cth)</w:t>
      </w:r>
      <w:r w:rsidRPr="00780D76">
        <w:rPr>
          <w:rFonts w:asciiTheme="minorHAnsi" w:hAnsiTheme="minorHAnsi" w:cstheme="minorHAnsi"/>
          <w:b/>
        </w:rPr>
        <w:t xml:space="preserve"> (COGSA) </w:t>
      </w:r>
      <w:r w:rsidRPr="00780D76">
        <w:rPr>
          <w:rFonts w:asciiTheme="minorHAnsi" w:hAnsiTheme="minorHAnsi" w:cstheme="minorHAnsi"/>
        </w:rPr>
        <w:t xml:space="preserve">is a Commonwealth Act which applies an amended version of the Hague Visby Rules in Australian domestic law. </w:t>
      </w:r>
    </w:p>
    <w:p w14:paraId="5A4F1AE5"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Amongst other things, COGSA sets binding rules and limitations regarding the liability of carriers (like shipping lines) in relation to their carriage of goods under a contract of carriage. For example, COGSA requires a carrier to provide a bill of lading to a shipper in specific instances,</w:t>
      </w:r>
      <w:r w:rsidRPr="00780D76">
        <w:rPr>
          <w:rStyle w:val="FootnoteReference"/>
          <w:rFonts w:asciiTheme="minorHAnsi" w:hAnsiTheme="minorHAnsi" w:cstheme="minorHAnsi"/>
        </w:rPr>
        <w:footnoteReference w:id="55"/>
      </w:r>
      <w:r w:rsidRPr="00780D76">
        <w:rPr>
          <w:rFonts w:asciiTheme="minorHAnsi" w:hAnsiTheme="minorHAnsi" w:cstheme="minorHAnsi"/>
        </w:rPr>
        <w:t xml:space="preserve"> and may limit a carrier’s liability for damaged goods by reference to information on a bill of lading.</w:t>
      </w:r>
      <w:r w:rsidRPr="00780D76">
        <w:rPr>
          <w:rStyle w:val="FootnoteReference"/>
          <w:rFonts w:asciiTheme="minorHAnsi" w:hAnsiTheme="minorHAnsi" w:cstheme="minorHAnsi"/>
        </w:rPr>
        <w:footnoteReference w:id="56"/>
      </w:r>
      <w:r w:rsidRPr="00780D76">
        <w:rPr>
          <w:rFonts w:asciiTheme="minorHAnsi" w:hAnsiTheme="minorHAnsi" w:cstheme="minorHAnsi"/>
        </w:rPr>
        <w:t xml:space="preserve"> </w:t>
      </w:r>
    </w:p>
    <w:p w14:paraId="27C799CF" w14:textId="77777777" w:rsidR="00040EE5" w:rsidRPr="00780D76" w:rsidRDefault="00040EE5" w:rsidP="00040EE5">
      <w:pPr>
        <w:pStyle w:val="Heading3"/>
        <w:rPr>
          <w:rFonts w:asciiTheme="minorHAnsi" w:hAnsiTheme="minorHAnsi" w:cstheme="minorHAnsi"/>
        </w:rPr>
      </w:pPr>
      <w:bookmarkStart w:id="71" w:name="_Toc176420800"/>
      <w:r w:rsidRPr="00780D76">
        <w:rPr>
          <w:rFonts w:asciiTheme="minorHAnsi" w:hAnsiTheme="minorHAnsi" w:cstheme="minorHAnsi"/>
        </w:rPr>
        <w:t>What are eBOLs which are enabled by contract?</w:t>
      </w:r>
      <w:bookmarkEnd w:id="71"/>
    </w:p>
    <w:p w14:paraId="2F647324" w14:textId="4A94E804"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The SCDAs and the COGSA confirm that eBOLs which are given legal effect by contract, are legally valid for the purposes of both of these Acts.</w:t>
      </w:r>
      <w:r w:rsidRPr="00780D76">
        <w:rPr>
          <w:rStyle w:val="FootnoteReference"/>
          <w:rFonts w:asciiTheme="minorHAnsi" w:hAnsiTheme="minorHAnsi" w:cstheme="minorHAnsi"/>
        </w:rPr>
        <w:footnoteReference w:id="57"/>
      </w:r>
      <w:r w:rsidRPr="00780D76">
        <w:rPr>
          <w:rFonts w:asciiTheme="minorHAnsi" w:hAnsiTheme="minorHAnsi" w:cstheme="minorHAnsi"/>
        </w:rPr>
        <w:t xml:space="preserve"> </w:t>
      </w:r>
    </w:p>
    <w:p w14:paraId="3BA1F6DB"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For example, a carrier of goods may enter an agreement with all anticipated users of the eBOL, including the shipper of goods, the consignee and the financing bank. The agreement may confirm that all parties can </w:t>
      </w:r>
      <w:r w:rsidRPr="00780D76">
        <w:rPr>
          <w:rFonts w:asciiTheme="minorHAnsi" w:hAnsiTheme="minorHAnsi" w:cstheme="minorHAnsi"/>
        </w:rPr>
        <w:lastRenderedPageBreak/>
        <w:t>use a particular system to issue, possess and transfer the eBOL and that the system’s rules, processes and codes apply to the use of that eBOL.</w:t>
      </w:r>
    </w:p>
    <w:p w14:paraId="4F881409"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In some cases, there may be a third party or system administrator attached to the electronic system. This administrator may track the transfer of the bill between all the various parties in the trade journey, potentially using a private electronic database to do so. </w:t>
      </w:r>
    </w:p>
    <w:p w14:paraId="32758D5D" w14:textId="77777777" w:rsidR="00040EE5" w:rsidRPr="00780D76" w:rsidRDefault="00040EE5" w:rsidP="00040EE5">
      <w:pPr>
        <w:tabs>
          <w:tab w:val="left" w:pos="964"/>
        </w:tabs>
        <w:spacing w:line="276" w:lineRule="auto"/>
        <w:jc w:val="both"/>
        <w:rPr>
          <w:rFonts w:asciiTheme="minorHAnsi" w:hAnsiTheme="minorHAnsi" w:cstheme="minorHAnsi"/>
          <w:highlight w:val="yellow"/>
        </w:rPr>
      </w:pPr>
      <w:r w:rsidRPr="00780D76">
        <w:rPr>
          <w:rFonts w:asciiTheme="minorHAnsi" w:hAnsiTheme="minorHAnsi" w:cstheme="minorHAnsi"/>
        </w:rPr>
        <w:t>Accordingly, a person who ‘possesses’ an eBOL according to the agreed rules of a particular electronic system, may also possess that bill of lading for the purpose of any requirement under the above laws.</w:t>
      </w:r>
    </w:p>
    <w:p w14:paraId="62BCF86F" w14:textId="28C547FD" w:rsidR="00722196" w:rsidRDefault="00722196">
      <w:pPr>
        <w:spacing w:before="0" w:after="0" w:line="240" w:lineRule="auto"/>
        <w:rPr>
          <w:rFonts w:asciiTheme="minorHAnsi" w:hAnsiTheme="minorHAnsi" w:cstheme="minorHAnsi"/>
          <w:b/>
          <w:bCs/>
          <w:color w:val="auto"/>
          <w:sz w:val="24"/>
          <w:szCs w:val="20"/>
          <w:lang w:val="en"/>
        </w:rPr>
      </w:pPr>
      <w:r>
        <w:rPr>
          <w:rFonts w:asciiTheme="minorHAnsi" w:hAnsiTheme="minorHAnsi" w:cstheme="minorHAnsi"/>
          <w:b/>
          <w:caps/>
          <w:color w:val="auto"/>
          <w:sz w:val="24"/>
        </w:rPr>
        <w:br w:type="page"/>
      </w:r>
    </w:p>
    <w:p w14:paraId="336776D9" w14:textId="77777777" w:rsidR="00040EE5" w:rsidRPr="00780D76" w:rsidRDefault="00040EE5" w:rsidP="008B382E">
      <w:pPr>
        <w:pStyle w:val="Boxheading"/>
        <w:numPr>
          <w:ilvl w:val="0"/>
          <w:numId w:val="32"/>
        </w:numPr>
        <w:spacing w:line="240" w:lineRule="auto"/>
        <w:rPr>
          <w:rFonts w:asciiTheme="minorHAnsi" w:hAnsiTheme="minorHAnsi" w:cstheme="minorHAnsi"/>
          <w:b/>
          <w:caps w:val="0"/>
          <w:color w:val="auto"/>
          <w:sz w:val="24"/>
        </w:rPr>
      </w:pPr>
    </w:p>
    <w:p w14:paraId="06939764" w14:textId="77777777" w:rsidR="00040EE5" w:rsidRPr="00780D76" w:rsidRDefault="00040EE5" w:rsidP="00040EE5">
      <w:pPr>
        <w:pStyle w:val="Boxheading"/>
        <w:spacing w:line="240" w:lineRule="auto"/>
        <w:rPr>
          <w:rFonts w:asciiTheme="minorHAnsi" w:hAnsiTheme="minorHAnsi" w:cstheme="minorHAnsi"/>
          <w:caps w:val="0"/>
          <w:color w:val="auto"/>
        </w:rPr>
      </w:pPr>
      <w:r w:rsidRPr="00780D76">
        <w:rPr>
          <w:rFonts w:asciiTheme="minorHAnsi" w:hAnsiTheme="minorHAnsi" w:cstheme="minorHAnsi"/>
          <w:caps w:val="0"/>
          <w:color w:val="auto"/>
        </w:rPr>
        <w:t xml:space="preserve">Have you (or your business) used, or do you currently use, electronic bills of lading through existing private contractual frameworks? </w:t>
      </w:r>
    </w:p>
    <w:p w14:paraId="67237B5E" w14:textId="77777777" w:rsidR="00040EE5" w:rsidRPr="00780D76" w:rsidRDefault="00282AA9" w:rsidP="000E01D0">
      <w:pPr>
        <w:pStyle w:val="Boxheading"/>
        <w:numPr>
          <w:ilvl w:val="0"/>
          <w:numId w:val="12"/>
        </w:numPr>
        <w:spacing w:line="240" w:lineRule="auto"/>
        <w:rPr>
          <w:rFonts w:asciiTheme="minorHAnsi" w:hAnsiTheme="minorHAnsi" w:cstheme="minorHAnsi"/>
          <w:b/>
          <w:caps w:val="0"/>
          <w:color w:val="auto"/>
        </w:rPr>
      </w:pPr>
      <w:r w:rsidRPr="00780D76">
        <w:rPr>
          <w:rFonts w:asciiTheme="minorHAnsi" w:hAnsiTheme="minorHAnsi" w:cstheme="minorHAnsi"/>
          <w:b/>
          <w:caps w:val="0"/>
          <w:color w:val="auto"/>
        </w:rPr>
        <w:t>Ye</w:t>
      </w:r>
      <w:r w:rsidR="00040EE5" w:rsidRPr="00780D76">
        <w:rPr>
          <w:rFonts w:asciiTheme="minorHAnsi" w:hAnsiTheme="minorHAnsi" w:cstheme="minorHAnsi"/>
          <w:b/>
          <w:caps w:val="0"/>
          <w:color w:val="auto"/>
        </w:rPr>
        <w:t>s</w:t>
      </w:r>
    </w:p>
    <w:p w14:paraId="5740AD26" w14:textId="77777777" w:rsidR="00040EE5" w:rsidRPr="00780D76" w:rsidRDefault="00282AA9" w:rsidP="000E01D0">
      <w:pPr>
        <w:pStyle w:val="Boxheading"/>
        <w:numPr>
          <w:ilvl w:val="0"/>
          <w:numId w:val="12"/>
        </w:numPr>
        <w:spacing w:line="240" w:lineRule="auto"/>
        <w:rPr>
          <w:rFonts w:asciiTheme="minorHAnsi" w:hAnsiTheme="minorHAnsi" w:cstheme="minorHAnsi"/>
          <w:b/>
          <w:caps w:val="0"/>
          <w:color w:val="auto"/>
        </w:rPr>
      </w:pPr>
      <w:r w:rsidRPr="00780D76">
        <w:rPr>
          <w:rFonts w:asciiTheme="minorHAnsi" w:hAnsiTheme="minorHAnsi" w:cstheme="minorHAnsi"/>
          <w:b/>
          <w:caps w:val="0"/>
          <w:color w:val="auto"/>
        </w:rPr>
        <w:t>N</w:t>
      </w:r>
      <w:r w:rsidR="00040EE5" w:rsidRPr="00780D76">
        <w:rPr>
          <w:rFonts w:asciiTheme="minorHAnsi" w:hAnsiTheme="minorHAnsi" w:cstheme="minorHAnsi"/>
          <w:b/>
          <w:caps w:val="0"/>
          <w:color w:val="auto"/>
        </w:rPr>
        <w:t>o</w:t>
      </w:r>
    </w:p>
    <w:p w14:paraId="673F6923" w14:textId="77777777" w:rsidR="00040EE5" w:rsidRPr="00780D76" w:rsidRDefault="00040EE5" w:rsidP="00040EE5">
      <w:pPr>
        <w:pStyle w:val="Boxheading"/>
        <w:spacing w:line="240" w:lineRule="auto"/>
        <w:rPr>
          <w:rFonts w:asciiTheme="minorHAnsi" w:hAnsiTheme="minorHAnsi" w:cstheme="minorHAnsi"/>
          <w:color w:val="auto"/>
          <w:highlight w:val="yellow"/>
        </w:rPr>
      </w:pPr>
      <w:r w:rsidRPr="00780D76">
        <w:rPr>
          <w:rFonts w:asciiTheme="minorHAnsi" w:hAnsiTheme="minorHAnsi" w:cstheme="minorHAnsi"/>
          <w:caps w:val="0"/>
          <w:color w:val="auto"/>
        </w:rPr>
        <w:t>If you have, please describe what system you used, for what specific purposes, and what parties are typically parties to the underlying contract.</w:t>
      </w:r>
    </w:p>
    <w:p w14:paraId="06B157DC" w14:textId="77777777" w:rsidR="00040EE5" w:rsidRPr="00780D76" w:rsidRDefault="00040EE5" w:rsidP="00040EE5">
      <w:pPr>
        <w:pStyle w:val="Heading3"/>
        <w:rPr>
          <w:rFonts w:asciiTheme="minorHAnsi" w:hAnsiTheme="minorHAnsi" w:cstheme="minorHAnsi"/>
        </w:rPr>
      </w:pPr>
      <w:bookmarkStart w:id="72" w:name="_Toc176420801"/>
      <w:r w:rsidRPr="00780D76">
        <w:rPr>
          <w:rFonts w:asciiTheme="minorHAnsi" w:hAnsiTheme="minorHAnsi" w:cstheme="minorHAnsi"/>
        </w:rPr>
        <w:t>How does the COGSA and SCDAs approach to eBOLs differ from MLETR?</w:t>
      </w:r>
      <w:bookmarkEnd w:id="72"/>
    </w:p>
    <w:p w14:paraId="5C8434DD"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The COGSA and SCDAs each take a similar approach to enabling eBOLs. To summarise, both Acts: </w:t>
      </w:r>
    </w:p>
    <w:p w14:paraId="56ECE6FD" w14:textId="77777777" w:rsidR="00040EE5" w:rsidRPr="00780D76" w:rsidRDefault="00040EE5" w:rsidP="000E01D0">
      <w:pPr>
        <w:pStyle w:val="ListParagraph"/>
        <w:numPr>
          <w:ilvl w:val="0"/>
          <w:numId w:val="13"/>
        </w:numPr>
        <w:tabs>
          <w:tab w:val="left" w:pos="964"/>
        </w:tabs>
        <w:spacing w:line="276" w:lineRule="auto"/>
        <w:jc w:val="both"/>
        <w:rPr>
          <w:rFonts w:asciiTheme="minorHAnsi" w:hAnsiTheme="minorHAnsi" w:cstheme="minorHAnsi"/>
        </w:rPr>
      </w:pPr>
      <w:r w:rsidRPr="00780D76">
        <w:rPr>
          <w:rFonts w:asciiTheme="minorHAnsi" w:hAnsiTheme="minorHAnsi" w:cstheme="minorHAnsi"/>
        </w:rPr>
        <w:t>broadly, confirm that ‘data messages’ can be used to produce sea carriage documents including bills of lading</w:t>
      </w:r>
      <w:r w:rsidRPr="00780D76">
        <w:rPr>
          <w:rStyle w:val="FootnoteReference"/>
          <w:rFonts w:asciiTheme="minorHAnsi" w:hAnsiTheme="minorHAnsi" w:cstheme="minorHAnsi"/>
        </w:rPr>
        <w:footnoteReference w:id="58"/>
      </w:r>
    </w:p>
    <w:p w14:paraId="5966568B" w14:textId="77777777" w:rsidR="00040EE5" w:rsidRPr="00780D76" w:rsidRDefault="00040EE5" w:rsidP="000E01D0">
      <w:pPr>
        <w:pStyle w:val="ListParagraph"/>
        <w:numPr>
          <w:ilvl w:val="0"/>
          <w:numId w:val="13"/>
        </w:numPr>
        <w:tabs>
          <w:tab w:val="left" w:pos="964"/>
        </w:tabs>
        <w:spacing w:line="276" w:lineRule="auto"/>
        <w:jc w:val="both"/>
        <w:rPr>
          <w:rFonts w:asciiTheme="minorHAnsi" w:hAnsiTheme="minorHAnsi" w:cstheme="minorHAnsi"/>
        </w:rPr>
      </w:pPr>
      <w:r w:rsidRPr="00780D76">
        <w:rPr>
          <w:rFonts w:asciiTheme="minorHAnsi" w:hAnsiTheme="minorHAnsi" w:cstheme="minorHAnsi"/>
        </w:rPr>
        <w:t>specifically, relegate the definition of key actions like ‘possession’ and ‘transfer’ of the document to the terms of an underlying contract.</w:t>
      </w:r>
      <w:r w:rsidRPr="00780D76">
        <w:rPr>
          <w:rStyle w:val="FootnoteReference"/>
          <w:rFonts w:asciiTheme="minorHAnsi" w:hAnsiTheme="minorHAnsi" w:cstheme="minorHAnsi"/>
        </w:rPr>
        <w:footnoteReference w:id="59"/>
      </w:r>
    </w:p>
    <w:p w14:paraId="4612FC25"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Neither Act sets any further criteria or limitations about how the underlying contract must enable eBOLs. For example, neither Act itself requires that a specific system be used to maintain a unique electronic record of the bill of lading. </w:t>
      </w:r>
    </w:p>
    <w:p w14:paraId="615FF5A0"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This approach differs from the MLETR, which does contain specific criteria which must be satisfied for an electronic transferable record (including an eBOL) to be legally equal to a paper record. </w:t>
      </w:r>
    </w:p>
    <w:p w14:paraId="395EE154"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These criteria are described in </w:t>
      </w:r>
      <w:r w:rsidRPr="00656238">
        <w:rPr>
          <w:rFonts w:asciiTheme="minorHAnsi" w:hAnsiTheme="minorHAnsi" w:cstheme="minorHAnsi"/>
        </w:rPr>
        <w:t xml:space="preserve">further detail in </w:t>
      </w:r>
      <w:r w:rsidRPr="00656238">
        <w:rPr>
          <w:rFonts w:asciiTheme="minorHAnsi" w:hAnsiTheme="minorHAnsi" w:cstheme="minorHAnsi"/>
          <w:b/>
          <w:color w:val="0000FF"/>
          <w:u w:val="single"/>
        </w:rPr>
        <w:t xml:space="preserve">part </w:t>
      </w:r>
      <w:r w:rsidR="009B6057" w:rsidRPr="00656238">
        <w:rPr>
          <w:rFonts w:asciiTheme="minorHAnsi" w:hAnsiTheme="minorHAnsi" w:cstheme="minorHAnsi"/>
          <w:b/>
          <w:color w:val="0000FF"/>
          <w:u w:val="single"/>
        </w:rPr>
        <w:fldChar w:fldCharType="begin"/>
      </w:r>
      <w:r w:rsidR="009B6057" w:rsidRPr="00656238">
        <w:rPr>
          <w:rFonts w:asciiTheme="minorHAnsi" w:hAnsiTheme="minorHAnsi" w:cstheme="minorHAnsi"/>
          <w:b/>
          <w:color w:val="0000FF"/>
          <w:u w:val="single"/>
        </w:rPr>
        <w:instrText xml:space="preserve"> REF _Ref176437596 \r \h </w:instrText>
      </w:r>
      <w:r w:rsidR="00780D76" w:rsidRPr="00656238">
        <w:rPr>
          <w:rFonts w:asciiTheme="minorHAnsi" w:hAnsiTheme="minorHAnsi" w:cstheme="minorHAnsi"/>
          <w:b/>
          <w:color w:val="0000FF"/>
          <w:u w:val="single"/>
        </w:rPr>
        <w:instrText xml:space="preserve"> \* MERGEFORMAT </w:instrText>
      </w:r>
      <w:r w:rsidR="009B6057" w:rsidRPr="00656238">
        <w:rPr>
          <w:rFonts w:asciiTheme="minorHAnsi" w:hAnsiTheme="minorHAnsi" w:cstheme="minorHAnsi"/>
          <w:b/>
          <w:color w:val="0000FF"/>
          <w:u w:val="single"/>
        </w:rPr>
      </w:r>
      <w:r w:rsidR="009B6057" w:rsidRPr="00656238">
        <w:rPr>
          <w:rFonts w:asciiTheme="minorHAnsi" w:hAnsiTheme="minorHAnsi" w:cstheme="minorHAnsi"/>
          <w:b/>
          <w:color w:val="0000FF"/>
          <w:u w:val="single"/>
        </w:rPr>
        <w:fldChar w:fldCharType="separate"/>
      </w:r>
      <w:r w:rsidR="009B6057" w:rsidRPr="00656238">
        <w:rPr>
          <w:rFonts w:asciiTheme="minorHAnsi" w:hAnsiTheme="minorHAnsi" w:cstheme="minorHAnsi"/>
          <w:b/>
          <w:color w:val="0000FF"/>
          <w:u w:val="single"/>
        </w:rPr>
        <w:t>4</w:t>
      </w:r>
      <w:r w:rsidR="009B6057" w:rsidRPr="00656238">
        <w:rPr>
          <w:rFonts w:asciiTheme="minorHAnsi" w:hAnsiTheme="minorHAnsi" w:cstheme="minorHAnsi"/>
          <w:b/>
          <w:color w:val="0000FF"/>
          <w:u w:val="single"/>
        </w:rPr>
        <w:fldChar w:fldCharType="end"/>
      </w:r>
      <w:r w:rsidRPr="00656238">
        <w:rPr>
          <w:rFonts w:asciiTheme="minorHAnsi" w:hAnsiTheme="minorHAnsi" w:cstheme="minorHAnsi"/>
        </w:rPr>
        <w:t xml:space="preserve"> of this</w:t>
      </w:r>
      <w:r w:rsidRPr="00780D76">
        <w:rPr>
          <w:rFonts w:asciiTheme="minorHAnsi" w:hAnsiTheme="minorHAnsi" w:cstheme="minorHAnsi"/>
        </w:rPr>
        <w:t xml:space="preserve"> paper, but include requirements that: </w:t>
      </w:r>
    </w:p>
    <w:p w14:paraId="07F72411" w14:textId="77777777" w:rsidR="00040EE5" w:rsidRPr="00780D76" w:rsidRDefault="00040EE5" w:rsidP="000E01D0">
      <w:pPr>
        <w:pStyle w:val="ListParagraph"/>
        <w:numPr>
          <w:ilvl w:val="0"/>
          <w:numId w:val="14"/>
        </w:num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the technology must incorporate a method to confirm that one person is in exclusive control of the record </w:t>
      </w:r>
    </w:p>
    <w:p w14:paraId="2F2F5DC5" w14:textId="77777777" w:rsidR="00040EE5" w:rsidRPr="00780D76" w:rsidRDefault="00040EE5" w:rsidP="000E01D0">
      <w:pPr>
        <w:pStyle w:val="ListParagraph"/>
        <w:numPr>
          <w:ilvl w:val="0"/>
          <w:numId w:val="14"/>
        </w:numPr>
        <w:tabs>
          <w:tab w:val="left" w:pos="964"/>
        </w:tabs>
        <w:spacing w:line="276" w:lineRule="auto"/>
        <w:jc w:val="both"/>
        <w:rPr>
          <w:rFonts w:asciiTheme="minorHAnsi" w:hAnsiTheme="minorHAnsi" w:cstheme="minorHAnsi"/>
        </w:rPr>
      </w:pPr>
      <w:r w:rsidRPr="00780D76">
        <w:rPr>
          <w:rFonts w:asciiTheme="minorHAnsi" w:hAnsiTheme="minorHAnsi" w:cstheme="minorHAnsi"/>
        </w:rPr>
        <w:t>the technology must be appropriately reliable for the purpose, having regard to factors like security, verifiability, and industry standards.</w:t>
      </w:r>
    </w:p>
    <w:p w14:paraId="472D0DE1"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Another key difference is that the MLETR applies to all types of transferable record, where referenced under all new (and future) laws – whereas the above Acts apply only to specified documents including bills of lading.</w:t>
      </w:r>
    </w:p>
    <w:p w14:paraId="267A5D3D" w14:textId="32CB6DD0" w:rsidR="007A6A6A" w:rsidRDefault="007A6A6A">
      <w:pPr>
        <w:spacing w:before="0" w:after="0" w:line="240" w:lineRule="auto"/>
        <w:rPr>
          <w:rFonts w:asciiTheme="minorHAnsi" w:hAnsiTheme="minorHAnsi" w:cstheme="minorHAnsi"/>
          <w:b/>
          <w:bCs/>
          <w:color w:val="auto"/>
          <w:sz w:val="28"/>
          <w:szCs w:val="20"/>
          <w:lang w:val="en"/>
        </w:rPr>
      </w:pPr>
      <w:r>
        <w:rPr>
          <w:rFonts w:asciiTheme="minorHAnsi" w:hAnsiTheme="minorHAnsi" w:cstheme="minorHAnsi"/>
          <w:b/>
          <w:caps/>
          <w:color w:val="auto"/>
          <w:sz w:val="28"/>
        </w:rPr>
        <w:br w:type="page"/>
      </w:r>
    </w:p>
    <w:p w14:paraId="414097CF" w14:textId="77777777" w:rsidR="00A473DB" w:rsidRPr="00780D76" w:rsidRDefault="00A473DB" w:rsidP="00A10DE8">
      <w:pPr>
        <w:pStyle w:val="Boxheading"/>
        <w:numPr>
          <w:ilvl w:val="0"/>
          <w:numId w:val="32"/>
        </w:numPr>
        <w:spacing w:line="240" w:lineRule="auto"/>
        <w:outlineLvl w:val="2"/>
        <w:rPr>
          <w:rFonts w:asciiTheme="minorHAnsi" w:hAnsiTheme="minorHAnsi" w:cstheme="minorHAnsi"/>
          <w:b/>
          <w:caps w:val="0"/>
          <w:color w:val="auto"/>
          <w:sz w:val="28"/>
        </w:rPr>
      </w:pPr>
    </w:p>
    <w:p w14:paraId="3F57A13C" w14:textId="77777777" w:rsidR="00A473DB" w:rsidRPr="00780D76" w:rsidRDefault="00A473DB" w:rsidP="00A473DB">
      <w:pPr>
        <w:pStyle w:val="Boxheading"/>
        <w:spacing w:line="240" w:lineRule="auto"/>
        <w:rPr>
          <w:rFonts w:asciiTheme="minorHAnsi" w:hAnsiTheme="minorHAnsi" w:cstheme="minorHAnsi"/>
          <w:caps w:val="0"/>
          <w:color w:val="auto"/>
        </w:rPr>
      </w:pPr>
      <w:r w:rsidRPr="00780D76">
        <w:rPr>
          <w:rFonts w:asciiTheme="minorHAnsi" w:hAnsiTheme="minorHAnsi" w:cstheme="minorHAnsi"/>
          <w:caps w:val="0"/>
          <w:color w:val="auto"/>
        </w:rPr>
        <w:t xml:space="preserve">What comparative advantages or disadvantages can you identify </w:t>
      </w:r>
      <w:r w:rsidR="00F2485B" w:rsidRPr="00780D76">
        <w:rPr>
          <w:rFonts w:asciiTheme="minorHAnsi" w:hAnsiTheme="minorHAnsi" w:cstheme="minorHAnsi"/>
          <w:caps w:val="0"/>
          <w:color w:val="auto"/>
        </w:rPr>
        <w:t xml:space="preserve">in </w:t>
      </w:r>
      <w:r w:rsidRPr="00780D76">
        <w:rPr>
          <w:rFonts w:asciiTheme="minorHAnsi" w:hAnsiTheme="minorHAnsi" w:cstheme="minorHAnsi"/>
          <w:caps w:val="0"/>
          <w:color w:val="auto"/>
        </w:rPr>
        <w:t>the approach to legal validity between the MLETR, and the approach enabled under the SCDAs and the COGSA?</w:t>
      </w:r>
    </w:p>
    <w:p w14:paraId="1FD15DDB" w14:textId="73CAF812" w:rsidR="00A473DB" w:rsidRPr="00A10DE8" w:rsidRDefault="00A473DB" w:rsidP="00A473DB">
      <w:pPr>
        <w:pStyle w:val="Boxheading"/>
        <w:spacing w:line="240" w:lineRule="auto"/>
        <w:rPr>
          <w:rFonts w:asciiTheme="minorHAnsi" w:hAnsiTheme="minorHAnsi" w:cstheme="minorHAnsi"/>
          <w:i/>
          <w:caps w:val="0"/>
          <w:color w:val="auto"/>
        </w:rPr>
      </w:pPr>
      <w:r w:rsidRPr="00A10DE8">
        <w:rPr>
          <w:rFonts w:asciiTheme="minorHAnsi" w:hAnsiTheme="minorHAnsi" w:cstheme="minorHAnsi"/>
          <w:i/>
          <w:caps w:val="0"/>
          <w:color w:val="auto"/>
        </w:rPr>
        <w:t xml:space="preserve">Please refer </w:t>
      </w:r>
      <w:r w:rsidRPr="001A4ED3">
        <w:rPr>
          <w:rFonts w:asciiTheme="minorHAnsi" w:hAnsiTheme="minorHAnsi" w:cstheme="minorHAnsi"/>
          <w:i/>
          <w:caps w:val="0"/>
          <w:color w:val="auto"/>
        </w:rPr>
        <w:t xml:space="preserve">to </w:t>
      </w:r>
      <w:r w:rsidRPr="001A4ED3">
        <w:rPr>
          <w:rFonts w:asciiTheme="minorHAnsi" w:hAnsiTheme="minorHAnsi" w:cstheme="minorHAnsi"/>
          <w:b/>
          <w:caps w:val="0"/>
          <w:color w:val="0000FF"/>
          <w:u w:val="single"/>
        </w:rPr>
        <w:t xml:space="preserve">part </w:t>
      </w:r>
      <w:r w:rsidR="001A4ED3" w:rsidRPr="001A4ED3">
        <w:rPr>
          <w:rFonts w:asciiTheme="minorHAnsi" w:hAnsiTheme="minorHAnsi" w:cstheme="minorHAnsi"/>
          <w:b/>
          <w:caps w:val="0"/>
          <w:color w:val="0000FF"/>
          <w:u w:val="single"/>
        </w:rPr>
        <w:fldChar w:fldCharType="begin"/>
      </w:r>
      <w:r w:rsidR="001A4ED3" w:rsidRPr="001A4ED3">
        <w:rPr>
          <w:rFonts w:asciiTheme="minorHAnsi" w:hAnsiTheme="minorHAnsi" w:cstheme="minorHAnsi"/>
          <w:b/>
          <w:caps w:val="0"/>
          <w:color w:val="0000FF"/>
          <w:u w:val="single"/>
        </w:rPr>
        <w:instrText xml:space="preserve"> REF _Ref176533569 \r \h  \* MERGEFORMAT </w:instrText>
      </w:r>
      <w:r w:rsidR="001A4ED3" w:rsidRPr="001A4ED3">
        <w:rPr>
          <w:rFonts w:asciiTheme="minorHAnsi" w:hAnsiTheme="minorHAnsi" w:cstheme="minorHAnsi"/>
          <w:b/>
          <w:caps w:val="0"/>
          <w:color w:val="0000FF"/>
          <w:u w:val="single"/>
        </w:rPr>
      </w:r>
      <w:r w:rsidR="001A4ED3" w:rsidRPr="001A4ED3">
        <w:rPr>
          <w:rFonts w:asciiTheme="minorHAnsi" w:hAnsiTheme="minorHAnsi" w:cstheme="minorHAnsi"/>
          <w:b/>
          <w:caps w:val="0"/>
          <w:color w:val="0000FF"/>
          <w:u w:val="single"/>
        </w:rPr>
        <w:fldChar w:fldCharType="separate"/>
      </w:r>
      <w:r w:rsidR="001A4ED3" w:rsidRPr="001A4ED3">
        <w:rPr>
          <w:rFonts w:asciiTheme="minorHAnsi" w:hAnsiTheme="minorHAnsi" w:cstheme="minorHAnsi"/>
          <w:b/>
          <w:caps w:val="0"/>
          <w:color w:val="0000FF"/>
          <w:u w:val="single"/>
        </w:rPr>
        <w:t>4</w:t>
      </w:r>
      <w:r w:rsidR="001A4ED3" w:rsidRPr="001A4ED3">
        <w:rPr>
          <w:rFonts w:asciiTheme="minorHAnsi" w:hAnsiTheme="minorHAnsi" w:cstheme="minorHAnsi"/>
          <w:b/>
          <w:caps w:val="0"/>
          <w:color w:val="0000FF"/>
          <w:u w:val="single"/>
        </w:rPr>
        <w:fldChar w:fldCharType="end"/>
      </w:r>
      <w:r w:rsidRPr="001A4ED3">
        <w:rPr>
          <w:rFonts w:asciiTheme="minorHAnsi" w:hAnsiTheme="minorHAnsi" w:cstheme="minorHAnsi"/>
          <w:i/>
          <w:caps w:val="0"/>
          <w:color w:val="auto"/>
        </w:rPr>
        <w:t xml:space="preserve"> of this</w:t>
      </w:r>
      <w:r w:rsidRPr="00A10DE8">
        <w:rPr>
          <w:rFonts w:asciiTheme="minorHAnsi" w:hAnsiTheme="minorHAnsi" w:cstheme="minorHAnsi"/>
          <w:i/>
          <w:caps w:val="0"/>
          <w:color w:val="auto"/>
        </w:rPr>
        <w:t xml:space="preserve"> paper for a discussion of the approach to functional equivalence under the MLETR.</w:t>
      </w:r>
    </w:p>
    <w:p w14:paraId="3E0A52FB" w14:textId="77777777" w:rsidR="00A473DB" w:rsidRPr="00780D76" w:rsidRDefault="00A473DB" w:rsidP="00A473DB">
      <w:pPr>
        <w:tabs>
          <w:tab w:val="left" w:pos="964"/>
        </w:tabs>
        <w:spacing w:line="276" w:lineRule="auto"/>
        <w:jc w:val="both"/>
        <w:rPr>
          <w:rFonts w:asciiTheme="minorHAnsi" w:hAnsiTheme="minorHAnsi" w:cstheme="minorHAnsi"/>
        </w:rPr>
      </w:pPr>
      <w:bookmarkStart w:id="73" w:name="_Toc176420802"/>
    </w:p>
    <w:p w14:paraId="2D1E3868" w14:textId="77777777" w:rsidR="00A473DB" w:rsidRPr="00780D76" w:rsidRDefault="00A473DB" w:rsidP="008B382E">
      <w:pPr>
        <w:pStyle w:val="Boxheading"/>
        <w:numPr>
          <w:ilvl w:val="0"/>
          <w:numId w:val="32"/>
        </w:numPr>
        <w:spacing w:line="240" w:lineRule="auto"/>
        <w:rPr>
          <w:rFonts w:asciiTheme="minorHAnsi" w:hAnsiTheme="minorHAnsi" w:cstheme="minorHAnsi"/>
          <w:caps w:val="0"/>
          <w:color w:val="auto"/>
        </w:rPr>
      </w:pPr>
    </w:p>
    <w:p w14:paraId="7B66C3B8" w14:textId="7549E0AD" w:rsidR="00A473DB" w:rsidRPr="00780D76" w:rsidRDefault="00A473DB" w:rsidP="00A473DB">
      <w:pPr>
        <w:pStyle w:val="Boxheading"/>
        <w:spacing w:line="240" w:lineRule="auto"/>
        <w:rPr>
          <w:rFonts w:asciiTheme="minorHAnsi" w:hAnsiTheme="minorHAnsi" w:cstheme="minorHAnsi"/>
          <w:caps w:val="0"/>
          <w:color w:val="auto"/>
        </w:rPr>
      </w:pPr>
      <w:r w:rsidRPr="00780D76">
        <w:rPr>
          <w:rFonts w:asciiTheme="minorHAnsi" w:hAnsiTheme="minorHAnsi" w:cstheme="minorHAnsi"/>
          <w:caps w:val="0"/>
          <w:color w:val="auto"/>
        </w:rPr>
        <w:t>How should an Australian option for implementing MLETR-aligned legislation interact with existing, contractually-enabled eB</w:t>
      </w:r>
      <w:r w:rsidR="00B51E77">
        <w:rPr>
          <w:rFonts w:asciiTheme="minorHAnsi" w:hAnsiTheme="minorHAnsi" w:cstheme="minorHAnsi"/>
          <w:caps w:val="0"/>
          <w:color w:val="auto"/>
        </w:rPr>
        <w:t>OL</w:t>
      </w:r>
      <w:r w:rsidRPr="00780D76">
        <w:rPr>
          <w:rFonts w:asciiTheme="minorHAnsi" w:hAnsiTheme="minorHAnsi" w:cstheme="minorHAnsi"/>
          <w:caps w:val="0"/>
          <w:color w:val="auto"/>
        </w:rPr>
        <w:t>s?</w:t>
      </w:r>
    </w:p>
    <w:p w14:paraId="306F7729" w14:textId="77777777" w:rsidR="00040EE5" w:rsidRPr="00780D76" w:rsidRDefault="00040EE5" w:rsidP="009B6057">
      <w:pPr>
        <w:pStyle w:val="Heading3"/>
        <w:rPr>
          <w:rFonts w:asciiTheme="minorHAnsi" w:hAnsiTheme="minorHAnsi" w:cstheme="minorHAnsi"/>
        </w:rPr>
      </w:pPr>
      <w:r w:rsidRPr="00780D76">
        <w:rPr>
          <w:rFonts w:asciiTheme="minorHAnsi" w:hAnsiTheme="minorHAnsi" w:cstheme="minorHAnsi"/>
        </w:rPr>
        <w:t>Stakeholder experiences using eBOLs which are enabled by contract</w:t>
      </w:r>
      <w:bookmarkEnd w:id="73"/>
      <w:r w:rsidRPr="00780D76">
        <w:rPr>
          <w:rFonts w:asciiTheme="minorHAnsi" w:hAnsiTheme="minorHAnsi" w:cstheme="minorHAnsi"/>
        </w:rPr>
        <w:t xml:space="preserve"> </w:t>
      </w:r>
    </w:p>
    <w:p w14:paraId="3F3B298D"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We understand that many international trade participants currently use a variety of contractual systems to issue and transfer eBOLs,</w:t>
      </w:r>
      <w:r w:rsidRPr="00780D76">
        <w:rPr>
          <w:rStyle w:val="FootnoteReference"/>
          <w:rFonts w:asciiTheme="minorHAnsi" w:hAnsiTheme="minorHAnsi" w:cstheme="minorHAnsi"/>
        </w:rPr>
        <w:footnoteReference w:id="60"/>
      </w:r>
      <w:r w:rsidRPr="00780D76">
        <w:rPr>
          <w:rFonts w:asciiTheme="minorHAnsi" w:hAnsiTheme="minorHAnsi" w:cstheme="minorHAnsi"/>
        </w:rPr>
        <w:t xml:space="preserve"> and that users of eBOLs may benefit from increased speed of transfer, and potential reductions in cost, errors and fraud-related risks.</w:t>
      </w:r>
      <w:r w:rsidRPr="00780D76">
        <w:rPr>
          <w:rStyle w:val="FootnoteReference"/>
          <w:rFonts w:asciiTheme="minorHAnsi" w:hAnsiTheme="minorHAnsi" w:cstheme="minorHAnsi"/>
        </w:rPr>
        <w:footnoteReference w:id="61"/>
      </w:r>
    </w:p>
    <w:p w14:paraId="5BB5CEE7" w14:textId="77777777" w:rsidR="00040EE5" w:rsidRPr="00780D76" w:rsidRDefault="00040EE5" w:rsidP="00040EE5">
      <w:pPr>
        <w:tabs>
          <w:tab w:val="left" w:pos="964"/>
        </w:tabs>
        <w:spacing w:line="276" w:lineRule="auto"/>
        <w:jc w:val="both"/>
        <w:rPr>
          <w:rFonts w:asciiTheme="minorHAnsi" w:hAnsiTheme="minorHAnsi" w:cstheme="minorHAnsi"/>
          <w:highlight w:val="yellow"/>
        </w:rPr>
      </w:pPr>
      <w:r w:rsidRPr="00780D76">
        <w:rPr>
          <w:rFonts w:asciiTheme="minorHAnsi" w:hAnsiTheme="minorHAnsi" w:cstheme="minorHAnsi"/>
        </w:rPr>
        <w:t xml:space="preserve">However, we have also heard that there may be potential barriers to adoption of eBOLs using contractual systems as provided under these Acts, such as cost and experience barriers for small and medium-sized enterprises </w:t>
      </w:r>
      <w:r w:rsidRPr="00780D76">
        <w:rPr>
          <w:rFonts w:asciiTheme="minorHAnsi" w:hAnsiTheme="minorHAnsi" w:cstheme="minorHAnsi"/>
          <w:b/>
        </w:rPr>
        <w:t>(SMEs)</w:t>
      </w:r>
      <w:r w:rsidRPr="0084133D">
        <w:rPr>
          <w:rFonts w:asciiTheme="minorHAnsi" w:hAnsiTheme="minorHAnsi" w:cstheme="minorHAnsi"/>
        </w:rPr>
        <w:t>.</w:t>
      </w:r>
      <w:r w:rsidRPr="00780D76">
        <w:rPr>
          <w:rFonts w:asciiTheme="minorHAnsi" w:hAnsiTheme="minorHAnsi" w:cstheme="minorHAnsi"/>
        </w:rPr>
        <w:t xml:space="preserve"> For example, one large Australian bank provided the following comments to a previous STS consultation:</w:t>
      </w:r>
    </w:p>
    <w:p w14:paraId="68CF5519" w14:textId="77777777" w:rsidR="00040EE5" w:rsidRPr="00780D76" w:rsidRDefault="00040EE5" w:rsidP="00040EE5">
      <w:pPr>
        <w:pStyle w:val="PolicyStatement"/>
        <w:rPr>
          <w:rFonts w:asciiTheme="minorHAnsi" w:hAnsiTheme="minorHAnsi" w:cstheme="minorHAnsi"/>
          <w:highlight w:val="yellow"/>
        </w:rPr>
      </w:pPr>
      <w:r w:rsidRPr="00780D76">
        <w:rPr>
          <w:rFonts w:asciiTheme="minorHAnsi" w:hAnsiTheme="minorHAnsi" w:cstheme="minorHAnsi"/>
          <w:i/>
        </w:rPr>
        <w:t>‘…a uniform code applicable to all the relevant trade documents for their sector may not exist</w:t>
      </w:r>
      <w:r w:rsidRPr="00780D76">
        <w:rPr>
          <w:rFonts w:asciiTheme="minorHAnsi" w:hAnsiTheme="minorHAnsi" w:cstheme="minorHAnsi"/>
        </w:rPr>
        <w:t xml:space="preserve"> [for SMEs]. </w:t>
      </w:r>
      <w:r w:rsidRPr="00780D76">
        <w:rPr>
          <w:rFonts w:asciiTheme="minorHAnsi" w:hAnsiTheme="minorHAnsi" w:cstheme="minorHAnsi"/>
          <w:i/>
        </w:rPr>
        <w:t>Moreover, resource constraints mean it is also more challenging for SMEs generally to transition to new practices… These inefficiencies and constraints contribute to the growing gap in trade finance, which has been persistently large for at least a decade…’</w:t>
      </w:r>
      <w:r w:rsidRPr="00780D76">
        <w:rPr>
          <w:rFonts w:asciiTheme="minorHAnsi" w:hAnsiTheme="minorHAnsi" w:cstheme="minorHAnsi"/>
        </w:rPr>
        <w:t xml:space="preserve"> </w:t>
      </w:r>
      <w:r w:rsidRPr="00780D76">
        <w:rPr>
          <w:rStyle w:val="FootnoteReference"/>
          <w:rFonts w:asciiTheme="minorHAnsi" w:hAnsiTheme="minorHAnsi" w:cstheme="minorHAnsi"/>
        </w:rPr>
        <w:footnoteReference w:id="62"/>
      </w:r>
    </w:p>
    <w:p w14:paraId="75009079"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We have also heard anecdotally that some eBOL systems, whilst providing efficiency benefits, may: </w:t>
      </w:r>
    </w:p>
    <w:p w14:paraId="31B35D7B" w14:textId="77777777" w:rsidR="00040EE5" w:rsidRPr="00780D76" w:rsidRDefault="00040EE5" w:rsidP="000E01D0">
      <w:pPr>
        <w:pStyle w:val="ListParagraph"/>
        <w:numPr>
          <w:ilvl w:val="0"/>
          <w:numId w:val="15"/>
        </w:numPr>
        <w:tabs>
          <w:tab w:val="left" w:pos="964"/>
        </w:tabs>
        <w:spacing w:line="276" w:lineRule="auto"/>
        <w:jc w:val="both"/>
        <w:rPr>
          <w:rFonts w:asciiTheme="minorHAnsi" w:hAnsiTheme="minorHAnsi" w:cstheme="minorHAnsi"/>
        </w:rPr>
      </w:pPr>
      <w:r w:rsidRPr="00780D76">
        <w:rPr>
          <w:rFonts w:asciiTheme="minorHAnsi" w:hAnsiTheme="minorHAnsi" w:cstheme="minorHAnsi"/>
        </w:rPr>
        <w:t>be ‘closed’ to parties who had not signed the original contract, which can affect the validity of an electronic transfer of an eBOL to outside parties</w:t>
      </w:r>
    </w:p>
    <w:p w14:paraId="49160456" w14:textId="77777777" w:rsidR="00040EE5" w:rsidRPr="00780D76" w:rsidRDefault="00040EE5" w:rsidP="00040EE5">
      <w:pPr>
        <w:pStyle w:val="ListParagraph"/>
        <w:tabs>
          <w:tab w:val="left" w:pos="964"/>
        </w:tabs>
        <w:spacing w:line="276" w:lineRule="auto"/>
        <w:jc w:val="both"/>
        <w:rPr>
          <w:rFonts w:asciiTheme="minorHAnsi" w:hAnsiTheme="minorHAnsi" w:cstheme="minorHAnsi"/>
        </w:rPr>
      </w:pPr>
    </w:p>
    <w:p w14:paraId="6CB12A1C" w14:textId="77777777" w:rsidR="00040EE5" w:rsidRPr="00780D76" w:rsidRDefault="00040EE5" w:rsidP="000E01D0">
      <w:pPr>
        <w:pStyle w:val="ListParagraph"/>
        <w:numPr>
          <w:ilvl w:val="0"/>
          <w:numId w:val="15"/>
        </w:numPr>
        <w:tabs>
          <w:tab w:val="left" w:pos="964"/>
        </w:tabs>
        <w:spacing w:line="276" w:lineRule="auto"/>
        <w:jc w:val="both"/>
        <w:rPr>
          <w:rFonts w:asciiTheme="minorHAnsi" w:hAnsiTheme="minorHAnsi" w:cstheme="minorHAnsi"/>
        </w:rPr>
      </w:pPr>
      <w:r w:rsidRPr="00780D76">
        <w:rPr>
          <w:rFonts w:asciiTheme="minorHAnsi" w:hAnsiTheme="minorHAnsi" w:cstheme="minorHAnsi"/>
        </w:rPr>
        <w:t>not necessarily allow transfers of eBOL between different private systems (that is, because different systems do not utilise common data definitions or compatible technologies).</w:t>
      </w:r>
      <w:r w:rsidRPr="00780D76">
        <w:rPr>
          <w:rStyle w:val="FootnoteReference"/>
          <w:rFonts w:asciiTheme="minorHAnsi" w:hAnsiTheme="minorHAnsi" w:cstheme="minorHAnsi"/>
        </w:rPr>
        <w:footnoteReference w:id="63"/>
      </w:r>
    </w:p>
    <w:p w14:paraId="63A97054" w14:textId="77777777" w:rsidR="00040EE5" w:rsidRPr="00780D76" w:rsidRDefault="00040EE5" w:rsidP="00040EE5">
      <w:pPr>
        <w:tabs>
          <w:tab w:val="left" w:pos="964"/>
        </w:tabs>
        <w:spacing w:line="276" w:lineRule="auto"/>
        <w:jc w:val="both"/>
        <w:rPr>
          <w:rFonts w:asciiTheme="minorHAnsi" w:hAnsiTheme="minorHAnsi" w:cstheme="minorHAnsi"/>
          <w:highlight w:val="yellow"/>
        </w:rPr>
      </w:pPr>
      <w:r w:rsidRPr="00780D76">
        <w:rPr>
          <w:rFonts w:asciiTheme="minorHAnsi" w:hAnsiTheme="minorHAnsi" w:cstheme="minorHAnsi"/>
        </w:rPr>
        <w:lastRenderedPageBreak/>
        <w:t>We are interested in further understanding the benefits enjoyed by stakeholders who use eBOLs under the SCDAs and COGSA, as well as any perceived barriers to the use of eBOLs under contract. This will help us consider how any MLETR implementation options might address these gaps.</w:t>
      </w:r>
    </w:p>
    <w:p w14:paraId="76471F9A" w14:textId="77777777" w:rsidR="00040EE5" w:rsidRPr="00780D76" w:rsidRDefault="00040EE5" w:rsidP="00A10DE8">
      <w:pPr>
        <w:pStyle w:val="Boxheading"/>
        <w:numPr>
          <w:ilvl w:val="0"/>
          <w:numId w:val="32"/>
        </w:numPr>
        <w:spacing w:line="240" w:lineRule="auto"/>
        <w:outlineLvl w:val="2"/>
        <w:rPr>
          <w:rFonts w:asciiTheme="minorHAnsi" w:hAnsiTheme="minorHAnsi" w:cstheme="minorHAnsi"/>
          <w:b/>
          <w:caps w:val="0"/>
          <w:color w:val="auto"/>
          <w:sz w:val="28"/>
        </w:rPr>
      </w:pPr>
      <w:r w:rsidRPr="00780D76">
        <w:rPr>
          <w:rFonts w:asciiTheme="minorHAnsi" w:hAnsiTheme="minorHAnsi" w:cstheme="minorHAnsi"/>
          <w:b/>
          <w:caps w:val="0"/>
          <w:color w:val="auto"/>
          <w:sz w:val="28"/>
        </w:rPr>
        <w:t xml:space="preserve"> </w:t>
      </w:r>
    </w:p>
    <w:p w14:paraId="21945607" w14:textId="77777777" w:rsidR="00040EE5" w:rsidRPr="00780D76" w:rsidRDefault="00040EE5" w:rsidP="00040EE5">
      <w:pPr>
        <w:pStyle w:val="Boxheading"/>
        <w:spacing w:line="240" w:lineRule="auto"/>
        <w:jc w:val="both"/>
        <w:rPr>
          <w:rFonts w:asciiTheme="minorHAnsi" w:hAnsiTheme="minorHAnsi" w:cstheme="minorHAnsi"/>
          <w:caps w:val="0"/>
          <w:color w:val="auto"/>
        </w:rPr>
      </w:pPr>
      <w:r w:rsidRPr="00780D76">
        <w:rPr>
          <w:rFonts w:asciiTheme="minorHAnsi" w:hAnsiTheme="minorHAnsi" w:cstheme="minorHAnsi"/>
          <w:caps w:val="0"/>
          <w:color w:val="auto"/>
        </w:rPr>
        <w:t xml:space="preserve">How do you assess the effectiveness of contractual frameworks to confirm the legal validity of electronic transferable records? </w:t>
      </w:r>
    </w:p>
    <w:p w14:paraId="52B5006A" w14:textId="77777777" w:rsidR="00040EE5" w:rsidRPr="00780D76" w:rsidRDefault="00282AA9" w:rsidP="000E01D0">
      <w:pPr>
        <w:pStyle w:val="Boxheading"/>
        <w:numPr>
          <w:ilvl w:val="0"/>
          <w:numId w:val="5"/>
        </w:numPr>
        <w:spacing w:line="240" w:lineRule="auto"/>
        <w:ind w:left="587"/>
        <w:jc w:val="both"/>
        <w:rPr>
          <w:rFonts w:asciiTheme="minorHAnsi" w:hAnsiTheme="minorHAnsi" w:cstheme="minorHAnsi"/>
          <w:b/>
          <w:color w:val="auto"/>
        </w:rPr>
      </w:pPr>
      <w:r w:rsidRPr="00780D76">
        <w:rPr>
          <w:rFonts w:asciiTheme="minorHAnsi" w:hAnsiTheme="minorHAnsi" w:cstheme="minorHAnsi"/>
          <w:b/>
          <w:caps w:val="0"/>
          <w:color w:val="auto"/>
        </w:rPr>
        <w:t>Ge</w:t>
      </w:r>
      <w:r w:rsidR="00040EE5" w:rsidRPr="00780D76">
        <w:rPr>
          <w:rFonts w:asciiTheme="minorHAnsi" w:hAnsiTheme="minorHAnsi" w:cstheme="minorHAnsi"/>
          <w:b/>
          <w:caps w:val="0"/>
          <w:color w:val="auto"/>
        </w:rPr>
        <w:t xml:space="preserve">nerally effective </w:t>
      </w:r>
    </w:p>
    <w:p w14:paraId="04DDD35B" w14:textId="77777777" w:rsidR="00040EE5" w:rsidRPr="00780D76" w:rsidRDefault="00282AA9" w:rsidP="000E01D0">
      <w:pPr>
        <w:pStyle w:val="Boxheading"/>
        <w:numPr>
          <w:ilvl w:val="0"/>
          <w:numId w:val="5"/>
        </w:numPr>
        <w:spacing w:line="240" w:lineRule="auto"/>
        <w:ind w:left="587"/>
        <w:jc w:val="both"/>
        <w:rPr>
          <w:rFonts w:asciiTheme="minorHAnsi" w:hAnsiTheme="minorHAnsi" w:cstheme="minorHAnsi"/>
          <w:b/>
          <w:color w:val="auto"/>
        </w:rPr>
      </w:pPr>
      <w:r w:rsidRPr="00780D76">
        <w:rPr>
          <w:rFonts w:asciiTheme="minorHAnsi" w:hAnsiTheme="minorHAnsi" w:cstheme="minorHAnsi"/>
          <w:b/>
          <w:caps w:val="0"/>
          <w:color w:val="auto"/>
        </w:rPr>
        <w:t>G</w:t>
      </w:r>
      <w:r w:rsidR="00040EE5" w:rsidRPr="00780D76">
        <w:rPr>
          <w:rFonts w:asciiTheme="minorHAnsi" w:hAnsiTheme="minorHAnsi" w:cstheme="minorHAnsi"/>
          <w:b/>
          <w:caps w:val="0"/>
          <w:color w:val="auto"/>
        </w:rPr>
        <w:t xml:space="preserve">enerally not effective </w:t>
      </w:r>
    </w:p>
    <w:p w14:paraId="4D01EC4D" w14:textId="77777777" w:rsidR="00040EE5" w:rsidRPr="00780D76" w:rsidRDefault="00282AA9" w:rsidP="000E01D0">
      <w:pPr>
        <w:pStyle w:val="Boxheading"/>
        <w:numPr>
          <w:ilvl w:val="0"/>
          <w:numId w:val="5"/>
        </w:numPr>
        <w:spacing w:line="240" w:lineRule="auto"/>
        <w:ind w:left="587"/>
        <w:jc w:val="both"/>
        <w:rPr>
          <w:rFonts w:asciiTheme="minorHAnsi" w:hAnsiTheme="minorHAnsi" w:cstheme="minorHAnsi"/>
          <w:b/>
          <w:color w:val="auto"/>
        </w:rPr>
      </w:pPr>
      <w:r w:rsidRPr="00780D76">
        <w:rPr>
          <w:rFonts w:asciiTheme="minorHAnsi" w:hAnsiTheme="minorHAnsi" w:cstheme="minorHAnsi"/>
          <w:b/>
          <w:caps w:val="0"/>
          <w:color w:val="auto"/>
        </w:rPr>
        <w:t>T</w:t>
      </w:r>
      <w:r w:rsidR="00040EE5" w:rsidRPr="00780D76">
        <w:rPr>
          <w:rFonts w:asciiTheme="minorHAnsi" w:hAnsiTheme="minorHAnsi" w:cstheme="minorHAnsi"/>
          <w:b/>
          <w:caps w:val="0"/>
          <w:color w:val="auto"/>
        </w:rPr>
        <w:t>heir effectiveness depends on how they are used</w:t>
      </w:r>
    </w:p>
    <w:p w14:paraId="5DD3202F" w14:textId="77777777" w:rsidR="00040EE5" w:rsidRPr="00780D76" w:rsidRDefault="00282AA9" w:rsidP="000E01D0">
      <w:pPr>
        <w:pStyle w:val="Boxheading"/>
        <w:numPr>
          <w:ilvl w:val="0"/>
          <w:numId w:val="5"/>
        </w:numPr>
        <w:spacing w:line="240" w:lineRule="auto"/>
        <w:ind w:left="587"/>
        <w:jc w:val="both"/>
        <w:rPr>
          <w:rFonts w:asciiTheme="minorHAnsi" w:hAnsiTheme="minorHAnsi" w:cstheme="minorHAnsi"/>
          <w:b/>
          <w:color w:val="auto"/>
        </w:rPr>
      </w:pPr>
      <w:r w:rsidRPr="00780D76">
        <w:rPr>
          <w:rFonts w:asciiTheme="minorHAnsi" w:hAnsiTheme="minorHAnsi" w:cstheme="minorHAnsi"/>
          <w:b/>
          <w:caps w:val="0"/>
          <w:color w:val="auto"/>
        </w:rPr>
        <w:t>U</w:t>
      </w:r>
      <w:r w:rsidR="00040EE5" w:rsidRPr="00780D76">
        <w:rPr>
          <w:rFonts w:asciiTheme="minorHAnsi" w:hAnsiTheme="minorHAnsi" w:cstheme="minorHAnsi"/>
          <w:b/>
          <w:caps w:val="0"/>
          <w:color w:val="auto"/>
        </w:rPr>
        <w:t xml:space="preserve">nsure </w:t>
      </w:r>
    </w:p>
    <w:p w14:paraId="07869F97" w14:textId="77777777" w:rsidR="00040EE5" w:rsidRPr="00780D76" w:rsidRDefault="00040EE5" w:rsidP="00040EE5">
      <w:pPr>
        <w:pStyle w:val="Boxheading"/>
        <w:spacing w:line="240" w:lineRule="auto"/>
        <w:jc w:val="both"/>
        <w:rPr>
          <w:rFonts w:asciiTheme="minorHAnsi" w:hAnsiTheme="minorHAnsi" w:cstheme="minorHAnsi"/>
          <w:i/>
          <w:color w:val="auto"/>
          <w:highlight w:val="yellow"/>
        </w:rPr>
      </w:pPr>
      <w:r w:rsidRPr="00780D76">
        <w:rPr>
          <w:rFonts w:asciiTheme="minorHAnsi" w:hAnsiTheme="minorHAnsi" w:cstheme="minorHAnsi"/>
          <w:i/>
          <w:caps w:val="0"/>
          <w:color w:val="auto"/>
        </w:rPr>
        <w:t>Please expand on your answer. For example, what benefits, barriers or risks do you identify, or have you experienced, with these frameworks?</w:t>
      </w:r>
    </w:p>
    <w:p w14:paraId="5ACCC18B" w14:textId="33DAA861" w:rsidR="00CE0610" w:rsidRDefault="00CE0610" w:rsidP="00A10DE8">
      <w:pPr>
        <w:pStyle w:val="Heading1"/>
        <w:keepLines/>
        <w:spacing w:before="0" w:after="240" w:line="259" w:lineRule="auto"/>
        <w:ind w:left="426"/>
        <w:rPr>
          <w:rFonts w:asciiTheme="minorHAnsi" w:hAnsiTheme="minorHAnsi" w:cstheme="minorHAnsi"/>
          <w:lang w:eastAsia="en-AU"/>
        </w:rPr>
      </w:pPr>
      <w:bookmarkStart w:id="74" w:name="_Ref176437596"/>
      <w:bookmarkStart w:id="75" w:name="_Ref176437773"/>
      <w:bookmarkStart w:id="76" w:name="_Ref176437784"/>
      <w:bookmarkStart w:id="77" w:name="_Ref176437840"/>
      <w:bookmarkStart w:id="78" w:name="_Toc176437889"/>
    </w:p>
    <w:p w14:paraId="6DB1CE26" w14:textId="77777777" w:rsidR="00CE0610" w:rsidRDefault="00CE0610">
      <w:pPr>
        <w:spacing w:before="0" w:after="0" w:line="240" w:lineRule="auto"/>
        <w:rPr>
          <w:rFonts w:asciiTheme="minorHAnsi" w:hAnsiTheme="minorHAnsi" w:cstheme="minorHAnsi"/>
          <w:b/>
          <w:bCs/>
          <w:color w:val="50748A"/>
          <w:kern w:val="28"/>
          <w:sz w:val="44"/>
          <w:szCs w:val="36"/>
          <w:lang w:eastAsia="en-AU"/>
        </w:rPr>
      </w:pPr>
      <w:r>
        <w:rPr>
          <w:rFonts w:asciiTheme="minorHAnsi" w:hAnsiTheme="minorHAnsi" w:cstheme="minorHAnsi"/>
          <w:lang w:eastAsia="en-AU"/>
        </w:rPr>
        <w:br w:type="page"/>
      </w:r>
    </w:p>
    <w:p w14:paraId="52A528A4" w14:textId="7C29E136" w:rsidR="00040EE5" w:rsidRPr="00780D76" w:rsidRDefault="00040EE5" w:rsidP="008B382E">
      <w:pPr>
        <w:pStyle w:val="Heading1"/>
        <w:keepLines/>
        <w:numPr>
          <w:ilvl w:val="0"/>
          <w:numId w:val="31"/>
        </w:numPr>
        <w:spacing w:before="0" w:after="240" w:line="259" w:lineRule="auto"/>
        <w:ind w:left="426" w:hanging="426"/>
        <w:rPr>
          <w:rFonts w:asciiTheme="minorHAnsi" w:hAnsiTheme="minorHAnsi" w:cstheme="minorHAnsi"/>
          <w:lang w:eastAsia="en-AU"/>
        </w:rPr>
      </w:pPr>
      <w:bookmarkStart w:id="79" w:name="_Ref176533569"/>
      <w:r w:rsidRPr="00780D76">
        <w:rPr>
          <w:rFonts w:asciiTheme="minorHAnsi" w:hAnsiTheme="minorHAnsi" w:cstheme="minorHAnsi"/>
          <w:lang w:eastAsia="en-AU"/>
        </w:rPr>
        <w:lastRenderedPageBreak/>
        <w:t>The MLETR in an Australian context</w:t>
      </w:r>
      <w:bookmarkEnd w:id="74"/>
      <w:bookmarkEnd w:id="75"/>
      <w:bookmarkEnd w:id="76"/>
      <w:bookmarkEnd w:id="77"/>
      <w:bookmarkEnd w:id="78"/>
      <w:bookmarkEnd w:id="79"/>
    </w:p>
    <w:p w14:paraId="2514EBAE" w14:textId="77777777" w:rsidR="00040EE5" w:rsidRPr="00780D76" w:rsidRDefault="00040EE5" w:rsidP="00040EE5">
      <w:pPr>
        <w:tabs>
          <w:tab w:val="left" w:pos="964"/>
        </w:tabs>
        <w:jc w:val="both"/>
        <w:rPr>
          <w:rFonts w:asciiTheme="minorHAnsi" w:hAnsiTheme="minorHAnsi" w:cstheme="minorHAnsi"/>
        </w:rPr>
      </w:pPr>
      <w:r w:rsidRPr="00780D76">
        <w:rPr>
          <w:rFonts w:asciiTheme="minorHAnsi" w:hAnsiTheme="minorHAnsi" w:cstheme="minorHAnsi"/>
        </w:rPr>
        <w:t xml:space="preserve">This part of the consultation paper introduces stakeholders to the key provisions of the MLETR, and in particular, how these provisions confirm that electronic and paper-based transferable records are equal under law. </w:t>
      </w:r>
    </w:p>
    <w:p w14:paraId="2EA22C5B" w14:textId="77777777" w:rsidR="00040EE5" w:rsidRPr="00780D76" w:rsidRDefault="00040EE5" w:rsidP="00040EE5">
      <w:pPr>
        <w:tabs>
          <w:tab w:val="left" w:pos="964"/>
        </w:tabs>
        <w:jc w:val="both"/>
        <w:rPr>
          <w:rFonts w:asciiTheme="minorHAnsi" w:hAnsiTheme="minorHAnsi" w:cstheme="minorHAnsi"/>
        </w:rPr>
      </w:pPr>
      <w:r w:rsidRPr="00780D76">
        <w:rPr>
          <w:rFonts w:asciiTheme="minorHAnsi" w:hAnsiTheme="minorHAnsi" w:cstheme="minorHAnsi"/>
        </w:rPr>
        <w:t xml:space="preserve">We also briefly discuss the extent to which the approach under these provisions is comparable with existing Australian law, as well as briefly commenting on deviations taken by some international jurisdictions to date in their adoption of MLETR-based legislation. </w:t>
      </w:r>
    </w:p>
    <w:p w14:paraId="1E8C771A" w14:textId="77777777" w:rsidR="00040EE5" w:rsidRPr="00780D76" w:rsidRDefault="00040EE5" w:rsidP="00040EE5">
      <w:pPr>
        <w:tabs>
          <w:tab w:val="left" w:pos="964"/>
        </w:tabs>
        <w:jc w:val="both"/>
        <w:rPr>
          <w:rFonts w:asciiTheme="minorHAnsi" w:hAnsiTheme="minorHAnsi" w:cstheme="minorHAnsi"/>
          <w:highlight w:val="yellow"/>
        </w:rPr>
      </w:pPr>
      <w:r w:rsidRPr="00780D76">
        <w:rPr>
          <w:rFonts w:asciiTheme="minorHAnsi" w:hAnsiTheme="minorHAnsi" w:cstheme="minorHAnsi"/>
        </w:rPr>
        <w:t>This is intended to draw out preliminary views on how the MLETR could be implemented in Australia in a manner which is consistent with Australian law, interoperable with comparable international framework, and appropriate to provide confidence to industry.</w:t>
      </w:r>
    </w:p>
    <w:p w14:paraId="0DC1E455" w14:textId="77777777" w:rsidR="00040EE5" w:rsidRPr="00780D76" w:rsidRDefault="00040EE5" w:rsidP="008B382E">
      <w:pPr>
        <w:pStyle w:val="Heading1"/>
        <w:keepLines/>
        <w:numPr>
          <w:ilvl w:val="1"/>
          <w:numId w:val="31"/>
        </w:numPr>
        <w:spacing w:before="0" w:after="240" w:line="259" w:lineRule="auto"/>
        <w:ind w:left="709" w:hanging="709"/>
        <w:rPr>
          <w:rFonts w:asciiTheme="minorHAnsi" w:hAnsiTheme="minorHAnsi" w:cstheme="minorHAnsi"/>
          <w:sz w:val="36"/>
          <w:lang w:eastAsia="en-AU"/>
        </w:rPr>
      </w:pPr>
      <w:bookmarkStart w:id="80" w:name="_Ref176437741"/>
      <w:bookmarkStart w:id="81" w:name="_Ref176437761"/>
      <w:bookmarkStart w:id="82" w:name="_Toc176437890"/>
      <w:r w:rsidRPr="00780D76">
        <w:rPr>
          <w:rFonts w:asciiTheme="minorHAnsi" w:hAnsiTheme="minorHAnsi" w:cstheme="minorHAnsi"/>
          <w:sz w:val="36"/>
          <w:lang w:eastAsia="en-AU"/>
        </w:rPr>
        <w:t>The MLETR – transferable records covered</w:t>
      </w:r>
      <w:bookmarkEnd w:id="80"/>
      <w:bookmarkEnd w:id="81"/>
      <w:bookmarkEnd w:id="82"/>
      <w:r w:rsidRPr="00780D76">
        <w:rPr>
          <w:rFonts w:asciiTheme="minorHAnsi" w:hAnsiTheme="minorHAnsi" w:cstheme="minorHAnsi"/>
          <w:sz w:val="36"/>
          <w:lang w:eastAsia="en-AU"/>
        </w:rPr>
        <w:t xml:space="preserve"> </w:t>
      </w:r>
    </w:p>
    <w:p w14:paraId="62615A15" w14:textId="77777777" w:rsidR="00040EE5" w:rsidRPr="00780D76" w:rsidRDefault="00040EE5" w:rsidP="00040EE5">
      <w:pPr>
        <w:tabs>
          <w:tab w:val="left" w:pos="964"/>
        </w:tabs>
        <w:jc w:val="both"/>
        <w:rPr>
          <w:rFonts w:asciiTheme="minorHAnsi" w:hAnsiTheme="minorHAnsi" w:cstheme="minorHAnsi"/>
        </w:rPr>
      </w:pPr>
      <w:r w:rsidRPr="00780D76">
        <w:rPr>
          <w:rFonts w:asciiTheme="minorHAnsi" w:hAnsiTheme="minorHAnsi" w:cstheme="minorHAnsi"/>
        </w:rPr>
        <w:t xml:space="preserve">We are interested in preliminary views about what kinds of records an Australian option for MLETR should apply to, and whether any transferable records should be considered out-of-scope. </w:t>
      </w:r>
    </w:p>
    <w:p w14:paraId="4BC9C33A" w14:textId="77777777" w:rsidR="00040EE5" w:rsidRPr="00780D76" w:rsidRDefault="00040EE5" w:rsidP="00040EE5">
      <w:pPr>
        <w:pStyle w:val="Heading3"/>
        <w:rPr>
          <w:rFonts w:asciiTheme="minorHAnsi" w:hAnsiTheme="minorHAnsi" w:cstheme="minorHAnsi"/>
        </w:rPr>
      </w:pPr>
      <w:bookmarkStart w:id="83" w:name="_Toc176275140"/>
      <w:bookmarkStart w:id="84" w:name="_Toc176420805"/>
      <w:r w:rsidRPr="00780D76">
        <w:rPr>
          <w:rFonts w:asciiTheme="minorHAnsi" w:hAnsiTheme="minorHAnsi" w:cstheme="minorHAnsi"/>
        </w:rPr>
        <w:t>What types of records are covered by the MLETR?</w:t>
      </w:r>
      <w:bookmarkEnd w:id="83"/>
      <w:bookmarkEnd w:id="84"/>
      <w:r w:rsidRPr="00780D76">
        <w:rPr>
          <w:rFonts w:asciiTheme="minorHAnsi" w:hAnsiTheme="minorHAnsi" w:cstheme="minorHAnsi"/>
        </w:rPr>
        <w:t xml:space="preserve"> </w:t>
      </w:r>
    </w:p>
    <w:p w14:paraId="16535B9E" w14:textId="77777777" w:rsidR="00040EE5" w:rsidRPr="00780D76" w:rsidRDefault="00040EE5" w:rsidP="00040EE5">
      <w:pPr>
        <w:tabs>
          <w:tab w:val="left" w:pos="964"/>
        </w:tabs>
        <w:jc w:val="both"/>
        <w:rPr>
          <w:rFonts w:asciiTheme="minorHAnsi" w:hAnsiTheme="minorHAnsi" w:cstheme="minorHAnsi"/>
        </w:rPr>
      </w:pPr>
      <w:r w:rsidRPr="00780D76">
        <w:rPr>
          <w:rFonts w:asciiTheme="minorHAnsi" w:hAnsiTheme="minorHAnsi" w:cstheme="minorHAnsi"/>
        </w:rPr>
        <w:t>As discussed above, the MLETR applies to laws relating to ‘transferable records’. The MLETR defines this term broadly by reference to the key characterises of these records,</w:t>
      </w:r>
      <w:r w:rsidRPr="00780D76">
        <w:rPr>
          <w:rStyle w:val="FootnoteReference"/>
          <w:rFonts w:asciiTheme="minorHAnsi" w:hAnsiTheme="minorHAnsi" w:cstheme="minorHAnsi"/>
        </w:rPr>
        <w:footnoteReference w:id="64"/>
      </w:r>
      <w:r w:rsidRPr="00780D76">
        <w:rPr>
          <w:rFonts w:asciiTheme="minorHAnsi" w:hAnsiTheme="minorHAnsi" w:cstheme="minorHAnsi"/>
        </w:rPr>
        <w:t xml:space="preserve"> and does not specify the names or types of records that will necessarily hold these characteristics. </w:t>
      </w:r>
    </w:p>
    <w:p w14:paraId="379193F3" w14:textId="77777777" w:rsidR="00BD394C" w:rsidRDefault="00040EE5" w:rsidP="00040EE5">
      <w:pPr>
        <w:tabs>
          <w:tab w:val="left" w:pos="964"/>
        </w:tabs>
        <w:jc w:val="both"/>
        <w:rPr>
          <w:rFonts w:asciiTheme="minorHAnsi" w:hAnsiTheme="minorHAnsi" w:cstheme="minorHAnsi"/>
        </w:rPr>
      </w:pPr>
      <w:r w:rsidRPr="00780D76">
        <w:rPr>
          <w:rFonts w:asciiTheme="minorHAnsi" w:hAnsiTheme="minorHAnsi" w:cstheme="minorHAnsi"/>
        </w:rPr>
        <w:t xml:space="preserve">However, the explanatory note to the UNCITRAL MLETR </w:t>
      </w:r>
      <w:r w:rsidRPr="00780D76">
        <w:rPr>
          <w:rFonts w:asciiTheme="minorHAnsi" w:hAnsiTheme="minorHAnsi" w:cstheme="minorHAnsi"/>
          <w:b/>
        </w:rPr>
        <w:t xml:space="preserve">(MLETR explanatory note) </w:t>
      </w:r>
      <w:r w:rsidRPr="00780D76">
        <w:rPr>
          <w:rFonts w:asciiTheme="minorHAnsi" w:hAnsiTheme="minorHAnsi" w:cstheme="minorHAnsi"/>
        </w:rPr>
        <w:t>– a document prepared by UNCITRAL as an accompanying guide to the MLETR – indicates that these might include bills of exchange, cheques, promissory notes, consignment notes, bills of lading, warehouse receipts, insurance certificates and air waybills.</w:t>
      </w:r>
      <w:r w:rsidRPr="00780D76">
        <w:rPr>
          <w:rStyle w:val="FootnoteReference"/>
          <w:rFonts w:asciiTheme="minorHAnsi" w:hAnsiTheme="minorHAnsi" w:cstheme="minorHAnsi"/>
        </w:rPr>
        <w:footnoteReference w:id="65"/>
      </w:r>
      <w:r w:rsidRPr="00780D76">
        <w:rPr>
          <w:rFonts w:asciiTheme="minorHAnsi" w:hAnsiTheme="minorHAnsi" w:cstheme="minorHAnsi"/>
        </w:rPr>
        <w:t xml:space="preserve"> </w:t>
      </w:r>
    </w:p>
    <w:p w14:paraId="16EE842F" w14:textId="45D92C9E" w:rsidR="00040EE5" w:rsidRPr="00780D76" w:rsidRDefault="00040EE5" w:rsidP="00040EE5">
      <w:pPr>
        <w:tabs>
          <w:tab w:val="left" w:pos="964"/>
        </w:tabs>
        <w:jc w:val="both"/>
        <w:rPr>
          <w:rFonts w:asciiTheme="minorHAnsi" w:hAnsiTheme="minorHAnsi" w:cstheme="minorHAnsi"/>
          <w:highlight w:val="yellow"/>
        </w:rPr>
      </w:pPr>
      <w:r w:rsidRPr="00780D76">
        <w:rPr>
          <w:rFonts w:asciiTheme="minorHAnsi" w:hAnsiTheme="minorHAnsi" w:cstheme="minorHAnsi"/>
        </w:rPr>
        <w:t>The MLETR explanatory note also notes that the applicable substantive law of a jurisdiction should determine what documents or instruments are transferable within that jurisdiction</w:t>
      </w:r>
      <w:r w:rsidR="00502117">
        <w:rPr>
          <w:rFonts w:asciiTheme="minorHAnsi" w:hAnsiTheme="minorHAnsi" w:cstheme="minorHAnsi"/>
        </w:rPr>
        <w:t>.</w:t>
      </w:r>
    </w:p>
    <w:p w14:paraId="5751B300" w14:textId="77777777" w:rsidR="00040EE5" w:rsidRPr="00780D76" w:rsidRDefault="00040EE5" w:rsidP="00040EE5">
      <w:pPr>
        <w:pStyle w:val="Heading3"/>
        <w:rPr>
          <w:rFonts w:asciiTheme="minorHAnsi" w:hAnsiTheme="minorHAnsi" w:cstheme="minorHAnsi"/>
        </w:rPr>
      </w:pPr>
      <w:bookmarkStart w:id="85" w:name="_Toc176275141"/>
      <w:bookmarkStart w:id="86" w:name="_Toc176420806"/>
      <w:r w:rsidRPr="00780D76">
        <w:rPr>
          <w:rFonts w:asciiTheme="minorHAnsi" w:hAnsiTheme="minorHAnsi" w:cstheme="minorHAnsi"/>
        </w:rPr>
        <w:t>Records provisionally excluded from the MLETR</w:t>
      </w:r>
      <w:bookmarkEnd w:id="85"/>
      <w:bookmarkEnd w:id="86"/>
    </w:p>
    <w:p w14:paraId="744CDC1E"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The MLETR also provisionally excludes certain types of transferable records from its application. </w:t>
      </w:r>
    </w:p>
    <w:p w14:paraId="43A551ED"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Where a specific type of record is excluded, the MLETR would not confirm whether that document can be possessed, is transferable or can be used by electronic tools (though other laws may otherwise enable these documents to be used in an electronic form). </w:t>
      </w:r>
    </w:p>
    <w:p w14:paraId="3844C1A5"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Specifically, the MLETR provisionally excludes:</w:t>
      </w:r>
    </w:p>
    <w:p w14:paraId="40C5BAE5" w14:textId="77777777" w:rsidR="00040EE5" w:rsidRPr="00780D76" w:rsidRDefault="00040EE5" w:rsidP="000E01D0">
      <w:pPr>
        <w:pStyle w:val="ListParagraph"/>
        <w:numPr>
          <w:ilvl w:val="0"/>
          <w:numId w:val="16"/>
        </w:numPr>
        <w:tabs>
          <w:tab w:val="left" w:pos="964"/>
        </w:tabs>
        <w:spacing w:line="276" w:lineRule="auto"/>
        <w:jc w:val="both"/>
        <w:rPr>
          <w:rFonts w:asciiTheme="minorHAnsi" w:hAnsiTheme="minorHAnsi" w:cstheme="minorHAnsi"/>
        </w:rPr>
      </w:pPr>
      <w:r w:rsidRPr="00780D76">
        <w:rPr>
          <w:rFonts w:asciiTheme="minorHAnsi" w:hAnsiTheme="minorHAnsi" w:cstheme="minorHAnsi"/>
          <w:i/>
        </w:rPr>
        <w:lastRenderedPageBreak/>
        <w:t>Securities</w:t>
      </w:r>
      <w:r w:rsidRPr="00780D76">
        <w:rPr>
          <w:rFonts w:asciiTheme="minorHAnsi" w:hAnsiTheme="minorHAnsi" w:cstheme="minorHAnsi"/>
        </w:rPr>
        <w:t>, such as shares and bonds</w:t>
      </w:r>
      <w:r w:rsidRPr="00780D76">
        <w:rPr>
          <w:rStyle w:val="FootnoteReference"/>
          <w:rFonts w:asciiTheme="minorHAnsi" w:hAnsiTheme="minorHAnsi" w:cstheme="minorHAnsi"/>
        </w:rPr>
        <w:footnoteReference w:id="66"/>
      </w:r>
    </w:p>
    <w:p w14:paraId="7C9FC8DE" w14:textId="77777777" w:rsidR="00040EE5" w:rsidRPr="00780D76" w:rsidRDefault="00040EE5" w:rsidP="00040EE5">
      <w:pPr>
        <w:pStyle w:val="ListParagraph"/>
        <w:tabs>
          <w:tab w:val="left" w:pos="964"/>
        </w:tabs>
        <w:spacing w:line="276" w:lineRule="auto"/>
        <w:jc w:val="both"/>
        <w:rPr>
          <w:rFonts w:asciiTheme="minorHAnsi" w:hAnsiTheme="minorHAnsi" w:cstheme="minorHAnsi"/>
        </w:rPr>
      </w:pPr>
    </w:p>
    <w:p w14:paraId="18E9D926" w14:textId="77777777" w:rsidR="00040EE5" w:rsidRPr="00780D76" w:rsidRDefault="00040EE5" w:rsidP="000E01D0">
      <w:pPr>
        <w:pStyle w:val="ListParagraph"/>
        <w:numPr>
          <w:ilvl w:val="0"/>
          <w:numId w:val="16"/>
        </w:numPr>
        <w:tabs>
          <w:tab w:val="left" w:pos="964"/>
        </w:tabs>
        <w:spacing w:line="276" w:lineRule="auto"/>
        <w:jc w:val="both"/>
        <w:rPr>
          <w:rFonts w:asciiTheme="minorHAnsi" w:hAnsiTheme="minorHAnsi" w:cstheme="minorHAnsi"/>
        </w:rPr>
      </w:pPr>
      <w:r w:rsidRPr="00780D76">
        <w:rPr>
          <w:rFonts w:asciiTheme="minorHAnsi" w:hAnsiTheme="minorHAnsi" w:cstheme="minorHAnsi"/>
          <w:i/>
        </w:rPr>
        <w:t>Other investment instruments</w:t>
      </w:r>
      <w:r w:rsidRPr="00780D76">
        <w:rPr>
          <w:rFonts w:asciiTheme="minorHAnsi" w:hAnsiTheme="minorHAnsi" w:cstheme="minorHAnsi"/>
        </w:rPr>
        <w:t>, which may refer to derivative instruments, money market instruments and any other financial product available for investment.</w:t>
      </w:r>
      <w:r w:rsidRPr="00780D76">
        <w:rPr>
          <w:rStyle w:val="FootnoteReference"/>
          <w:rFonts w:asciiTheme="minorHAnsi" w:hAnsiTheme="minorHAnsi" w:cstheme="minorHAnsi"/>
        </w:rPr>
        <w:footnoteReference w:id="67"/>
      </w:r>
    </w:p>
    <w:p w14:paraId="5E3C3AE1" w14:textId="77777777" w:rsidR="00040EE5" w:rsidRPr="00780D76" w:rsidRDefault="00040EE5" w:rsidP="00282AA9">
      <w:pPr>
        <w:tabs>
          <w:tab w:val="left" w:pos="964"/>
        </w:tabs>
        <w:spacing w:line="276" w:lineRule="auto"/>
        <w:jc w:val="both"/>
        <w:rPr>
          <w:rFonts w:asciiTheme="minorHAnsi" w:hAnsiTheme="minorHAnsi" w:cstheme="minorHAnsi"/>
        </w:rPr>
      </w:pPr>
      <w:r w:rsidRPr="00780D76">
        <w:rPr>
          <w:rFonts w:asciiTheme="minorHAnsi" w:hAnsiTheme="minorHAnsi" w:cstheme="minorHAnsi"/>
        </w:rPr>
        <w:t>The MLETR also clarifies that a jurisdiction may also consider whether to exclude other transferable records,</w:t>
      </w:r>
      <w:r w:rsidRPr="00780D76">
        <w:rPr>
          <w:rStyle w:val="FootnoteReference"/>
          <w:rFonts w:asciiTheme="minorHAnsi" w:hAnsiTheme="minorHAnsi" w:cstheme="minorHAnsi"/>
        </w:rPr>
        <w:footnoteReference w:id="68"/>
      </w:r>
      <w:r w:rsidRPr="00780D76">
        <w:rPr>
          <w:rFonts w:asciiTheme="minorHAnsi" w:hAnsiTheme="minorHAnsi" w:cstheme="minorHAnsi"/>
        </w:rPr>
        <w:t xml:space="preserve"> such as:</w:t>
      </w:r>
    </w:p>
    <w:p w14:paraId="47ABACCB" w14:textId="77777777" w:rsidR="00040EE5" w:rsidRPr="00780D76" w:rsidRDefault="00040EE5" w:rsidP="000E01D0">
      <w:pPr>
        <w:pStyle w:val="ListParagraph"/>
        <w:numPr>
          <w:ilvl w:val="0"/>
          <w:numId w:val="17"/>
        </w:numPr>
        <w:spacing w:line="276" w:lineRule="auto"/>
        <w:jc w:val="both"/>
        <w:rPr>
          <w:rFonts w:asciiTheme="minorHAnsi" w:hAnsiTheme="minorHAnsi" w:cstheme="minorHAnsi"/>
        </w:rPr>
      </w:pPr>
      <w:r w:rsidRPr="00A10DE8">
        <w:rPr>
          <w:rFonts w:asciiTheme="minorHAnsi" w:hAnsiTheme="minorHAnsi" w:cstheme="minorHAnsi"/>
          <w:i/>
        </w:rPr>
        <w:t>letters of credit</w:t>
      </w:r>
      <w:r w:rsidRPr="00780D76">
        <w:rPr>
          <w:rFonts w:asciiTheme="minorHAnsi" w:hAnsiTheme="minorHAnsi" w:cstheme="minorHAnsi"/>
        </w:rPr>
        <w:t>, to the extent that such documents may be considered transferable records within the enacting jurisdiction</w:t>
      </w:r>
    </w:p>
    <w:p w14:paraId="2010C688" w14:textId="77777777" w:rsidR="00040EE5" w:rsidRPr="00780D76" w:rsidRDefault="00040EE5" w:rsidP="00040EE5">
      <w:pPr>
        <w:pStyle w:val="ListParagraph"/>
        <w:spacing w:line="276" w:lineRule="auto"/>
        <w:ind w:left="1080"/>
        <w:jc w:val="both"/>
        <w:rPr>
          <w:rFonts w:asciiTheme="minorHAnsi" w:hAnsiTheme="minorHAnsi" w:cstheme="minorHAnsi"/>
        </w:rPr>
      </w:pPr>
    </w:p>
    <w:p w14:paraId="3E9D20A1" w14:textId="77777777" w:rsidR="00040EE5" w:rsidRPr="00780D76" w:rsidRDefault="00040EE5" w:rsidP="000E01D0">
      <w:pPr>
        <w:pStyle w:val="ListParagraph"/>
        <w:numPr>
          <w:ilvl w:val="0"/>
          <w:numId w:val="17"/>
        </w:numPr>
        <w:spacing w:line="276" w:lineRule="auto"/>
        <w:jc w:val="both"/>
        <w:rPr>
          <w:rFonts w:asciiTheme="minorHAnsi" w:hAnsiTheme="minorHAnsi" w:cstheme="minorHAnsi"/>
        </w:rPr>
      </w:pPr>
      <w:r w:rsidRPr="00780D76">
        <w:rPr>
          <w:rFonts w:asciiTheme="minorHAnsi" w:hAnsiTheme="minorHAnsi" w:cstheme="minorHAnsi"/>
        </w:rPr>
        <w:t xml:space="preserve">documents falling under the Convention Providing a Uniform Law for Bills of Exchange and Promissory Notes (Geneva, 1930) and of the Convention Providing a Uniform Law for Cheques (Geneva, 1931). </w:t>
      </w:r>
    </w:p>
    <w:p w14:paraId="2CF9966F"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The department in considering the implementation of the MLETR has been primarily focussed on the area of cross-border trade, and therefore is not aware of any concerns or interest associated with the possession or transfer of shares, investment instruments, and letters of credit in electronic form. </w:t>
      </w:r>
    </w:p>
    <w:p w14:paraId="7E0CE0E9" w14:textId="77777777" w:rsidR="00040EE5" w:rsidRPr="00780D76" w:rsidRDefault="00040EE5" w:rsidP="00040EE5">
      <w:pPr>
        <w:tabs>
          <w:tab w:val="left" w:pos="964"/>
        </w:tabs>
        <w:spacing w:line="276" w:lineRule="auto"/>
        <w:jc w:val="both"/>
        <w:rPr>
          <w:rFonts w:asciiTheme="minorHAnsi" w:hAnsiTheme="minorHAnsi" w:cstheme="minorHAnsi"/>
          <w:highlight w:val="yellow"/>
        </w:rPr>
      </w:pPr>
      <w:r w:rsidRPr="00780D76">
        <w:rPr>
          <w:rFonts w:asciiTheme="minorHAnsi" w:hAnsiTheme="minorHAnsi" w:cstheme="minorHAnsi"/>
        </w:rPr>
        <w:t>Accordingly, the department is interested in preliminary stakeholder views about whether these financial and investment records may be transferable and, if so, any reasons why they shouldn’t also be provisionally excluded from an Australian implementation of the MLETR.</w:t>
      </w:r>
    </w:p>
    <w:p w14:paraId="4F1D3A83" w14:textId="77777777" w:rsidR="00040EE5" w:rsidRPr="00780D76" w:rsidRDefault="00040EE5" w:rsidP="00A10DE8">
      <w:pPr>
        <w:pStyle w:val="Boxheading"/>
        <w:numPr>
          <w:ilvl w:val="0"/>
          <w:numId w:val="32"/>
        </w:numPr>
        <w:spacing w:line="240" w:lineRule="auto"/>
        <w:outlineLvl w:val="2"/>
        <w:rPr>
          <w:rFonts w:asciiTheme="minorHAnsi" w:hAnsiTheme="minorHAnsi" w:cstheme="minorHAnsi"/>
          <w:b/>
          <w:caps w:val="0"/>
          <w:color w:val="auto"/>
          <w:sz w:val="28"/>
        </w:rPr>
      </w:pPr>
    </w:p>
    <w:p w14:paraId="2F5A94C6" w14:textId="77777777" w:rsidR="00040EE5" w:rsidRPr="00780D76" w:rsidRDefault="00040EE5" w:rsidP="00040EE5">
      <w:pPr>
        <w:pStyle w:val="Boxheading"/>
        <w:spacing w:line="240" w:lineRule="auto"/>
        <w:jc w:val="both"/>
        <w:rPr>
          <w:rFonts w:asciiTheme="minorHAnsi" w:hAnsiTheme="minorHAnsi" w:cstheme="minorHAnsi"/>
          <w:caps w:val="0"/>
          <w:color w:val="auto"/>
        </w:rPr>
      </w:pPr>
      <w:r w:rsidRPr="00780D76">
        <w:rPr>
          <w:rFonts w:asciiTheme="minorHAnsi" w:hAnsiTheme="minorHAnsi" w:cstheme="minorHAnsi"/>
          <w:caps w:val="0"/>
          <w:color w:val="auto"/>
        </w:rPr>
        <w:t xml:space="preserve">In your view, should securities like shares and bonds, investment instruments, and letters of credit be excluded from any Australian implementation of MLETR? </w:t>
      </w:r>
    </w:p>
    <w:p w14:paraId="410A39F6" w14:textId="77777777" w:rsidR="00040EE5" w:rsidRPr="00780D76" w:rsidRDefault="00040EE5" w:rsidP="000E01D0">
      <w:pPr>
        <w:pStyle w:val="Boxheading"/>
        <w:numPr>
          <w:ilvl w:val="0"/>
          <w:numId w:val="18"/>
        </w:numPr>
        <w:spacing w:line="240" w:lineRule="auto"/>
        <w:jc w:val="both"/>
        <w:rPr>
          <w:rFonts w:asciiTheme="minorHAnsi" w:hAnsiTheme="minorHAnsi" w:cstheme="minorHAnsi"/>
          <w:b/>
          <w:color w:val="auto"/>
        </w:rPr>
      </w:pPr>
      <w:r w:rsidRPr="00780D76">
        <w:rPr>
          <w:rFonts w:asciiTheme="minorHAnsi" w:hAnsiTheme="minorHAnsi" w:cstheme="minorHAnsi"/>
          <w:b/>
          <w:caps w:val="0"/>
          <w:color w:val="auto"/>
        </w:rPr>
        <w:t>Yes</w:t>
      </w:r>
    </w:p>
    <w:p w14:paraId="405E5787" w14:textId="77777777" w:rsidR="00040EE5" w:rsidRPr="00780D76" w:rsidRDefault="00040EE5" w:rsidP="000E01D0">
      <w:pPr>
        <w:pStyle w:val="Boxheading"/>
        <w:numPr>
          <w:ilvl w:val="0"/>
          <w:numId w:val="18"/>
        </w:numPr>
        <w:spacing w:line="240" w:lineRule="auto"/>
        <w:jc w:val="both"/>
        <w:rPr>
          <w:rFonts w:asciiTheme="minorHAnsi" w:hAnsiTheme="minorHAnsi" w:cstheme="minorHAnsi"/>
          <w:b/>
          <w:color w:val="auto"/>
        </w:rPr>
      </w:pPr>
      <w:r w:rsidRPr="00780D76">
        <w:rPr>
          <w:rFonts w:asciiTheme="minorHAnsi" w:hAnsiTheme="minorHAnsi" w:cstheme="minorHAnsi"/>
          <w:b/>
          <w:caps w:val="0"/>
          <w:color w:val="auto"/>
        </w:rPr>
        <w:t xml:space="preserve">No </w:t>
      </w:r>
    </w:p>
    <w:p w14:paraId="7E50A29E" w14:textId="77777777" w:rsidR="00F40EE8" w:rsidRPr="00780D76" w:rsidRDefault="00F40EE8" w:rsidP="000E01D0">
      <w:pPr>
        <w:pStyle w:val="Boxheading"/>
        <w:numPr>
          <w:ilvl w:val="0"/>
          <w:numId w:val="18"/>
        </w:numPr>
        <w:spacing w:line="240" w:lineRule="auto"/>
        <w:jc w:val="both"/>
        <w:rPr>
          <w:rFonts w:asciiTheme="minorHAnsi" w:hAnsiTheme="minorHAnsi" w:cstheme="minorHAnsi"/>
          <w:b/>
          <w:color w:val="auto"/>
        </w:rPr>
      </w:pPr>
      <w:r w:rsidRPr="00780D76">
        <w:rPr>
          <w:rFonts w:asciiTheme="minorHAnsi" w:hAnsiTheme="minorHAnsi" w:cstheme="minorHAnsi"/>
          <w:b/>
          <w:color w:val="auto"/>
        </w:rPr>
        <w:t>U</w:t>
      </w:r>
      <w:r w:rsidRPr="00780D76">
        <w:rPr>
          <w:rFonts w:asciiTheme="minorHAnsi" w:hAnsiTheme="minorHAnsi" w:cstheme="minorHAnsi"/>
          <w:b/>
          <w:caps w:val="0"/>
          <w:color w:val="auto"/>
        </w:rPr>
        <w:t>nsure</w:t>
      </w:r>
    </w:p>
    <w:p w14:paraId="767B79A9" w14:textId="77777777" w:rsidR="00040EE5" w:rsidRPr="00780D76" w:rsidRDefault="00040EE5" w:rsidP="00040EE5">
      <w:pPr>
        <w:pStyle w:val="Boxheading"/>
        <w:spacing w:line="240" w:lineRule="auto"/>
        <w:jc w:val="both"/>
        <w:rPr>
          <w:rFonts w:asciiTheme="minorHAnsi" w:hAnsiTheme="minorHAnsi" w:cstheme="minorHAnsi"/>
          <w:i/>
          <w:color w:val="auto"/>
          <w:highlight w:val="yellow"/>
        </w:rPr>
      </w:pPr>
      <w:r w:rsidRPr="00780D76">
        <w:rPr>
          <w:rFonts w:asciiTheme="minorHAnsi" w:hAnsiTheme="minorHAnsi" w:cstheme="minorHAnsi"/>
          <w:i/>
          <w:caps w:val="0"/>
          <w:color w:val="auto"/>
        </w:rPr>
        <w:t>Please expand on your answer. For example, what particular issues do you foresee if these financial instruments were included or excluded?</w:t>
      </w:r>
    </w:p>
    <w:p w14:paraId="79F748BE" w14:textId="77777777" w:rsidR="00040EE5" w:rsidRPr="00780D76" w:rsidRDefault="00040EE5" w:rsidP="00040EE5">
      <w:pPr>
        <w:tabs>
          <w:tab w:val="left" w:pos="964"/>
        </w:tabs>
        <w:rPr>
          <w:rFonts w:asciiTheme="minorHAnsi" w:hAnsiTheme="minorHAnsi" w:cstheme="minorHAnsi"/>
          <w:highlight w:val="yellow"/>
        </w:rPr>
      </w:pPr>
    </w:p>
    <w:p w14:paraId="5E8F8C58" w14:textId="77777777" w:rsidR="00E15393" w:rsidRDefault="00E15393">
      <w:pPr>
        <w:spacing w:before="0" w:after="0" w:line="240" w:lineRule="auto"/>
        <w:rPr>
          <w:rFonts w:asciiTheme="minorHAnsi" w:hAnsiTheme="minorHAnsi" w:cstheme="minorHAnsi"/>
          <w:b/>
          <w:bCs/>
          <w:color w:val="auto"/>
          <w:sz w:val="28"/>
          <w:szCs w:val="20"/>
          <w:lang w:val="en"/>
        </w:rPr>
      </w:pPr>
      <w:r>
        <w:rPr>
          <w:rFonts w:asciiTheme="minorHAnsi" w:hAnsiTheme="minorHAnsi" w:cstheme="minorHAnsi"/>
          <w:b/>
          <w:caps/>
          <w:color w:val="auto"/>
          <w:sz w:val="28"/>
        </w:rPr>
        <w:br w:type="page"/>
      </w:r>
    </w:p>
    <w:p w14:paraId="1EAEA713" w14:textId="76601196" w:rsidR="00040EE5" w:rsidRPr="00780D76" w:rsidRDefault="00040EE5" w:rsidP="00A10DE8">
      <w:pPr>
        <w:pStyle w:val="Boxheading"/>
        <w:numPr>
          <w:ilvl w:val="0"/>
          <w:numId w:val="32"/>
        </w:numPr>
        <w:spacing w:line="240" w:lineRule="auto"/>
        <w:outlineLvl w:val="2"/>
        <w:rPr>
          <w:rFonts w:asciiTheme="minorHAnsi" w:hAnsiTheme="minorHAnsi" w:cstheme="minorHAnsi"/>
          <w:b/>
          <w:caps w:val="0"/>
          <w:color w:val="auto"/>
          <w:sz w:val="28"/>
        </w:rPr>
      </w:pPr>
      <w:r w:rsidRPr="00780D76">
        <w:rPr>
          <w:rFonts w:asciiTheme="minorHAnsi" w:hAnsiTheme="minorHAnsi" w:cstheme="minorHAnsi"/>
          <w:b/>
          <w:caps w:val="0"/>
          <w:color w:val="auto"/>
          <w:sz w:val="28"/>
        </w:rPr>
        <w:lastRenderedPageBreak/>
        <w:t xml:space="preserve"> </w:t>
      </w:r>
    </w:p>
    <w:p w14:paraId="2D4C35BB" w14:textId="77777777" w:rsidR="00040EE5" w:rsidRPr="00780D76" w:rsidRDefault="00040EE5" w:rsidP="00040EE5">
      <w:pPr>
        <w:pStyle w:val="Boxheading"/>
        <w:spacing w:line="240" w:lineRule="auto"/>
        <w:jc w:val="both"/>
        <w:rPr>
          <w:rFonts w:asciiTheme="minorHAnsi" w:hAnsiTheme="minorHAnsi" w:cstheme="minorHAnsi"/>
          <w:color w:val="auto"/>
          <w:highlight w:val="yellow"/>
        </w:rPr>
      </w:pPr>
      <w:r w:rsidRPr="00780D76">
        <w:rPr>
          <w:rFonts w:asciiTheme="minorHAnsi" w:hAnsiTheme="minorHAnsi" w:cstheme="minorHAnsi"/>
          <w:caps w:val="0"/>
          <w:color w:val="auto"/>
        </w:rPr>
        <w:t>Please share your views about whether any other records should be specifically included or excluded from Australia’s implementation of MLETR?</w:t>
      </w:r>
    </w:p>
    <w:p w14:paraId="5FB618C1" w14:textId="77777777" w:rsidR="00040EE5" w:rsidRPr="00780D76" w:rsidRDefault="00040EE5" w:rsidP="00040EE5">
      <w:pPr>
        <w:pStyle w:val="Heading3"/>
        <w:rPr>
          <w:rFonts w:asciiTheme="minorHAnsi" w:hAnsiTheme="minorHAnsi" w:cstheme="minorHAnsi"/>
        </w:rPr>
      </w:pPr>
      <w:bookmarkStart w:id="87" w:name="_Toc176275142"/>
      <w:bookmarkStart w:id="88" w:name="_Toc176420807"/>
      <w:r w:rsidRPr="00780D76">
        <w:rPr>
          <w:rFonts w:asciiTheme="minorHAnsi" w:hAnsiTheme="minorHAnsi" w:cstheme="minorHAnsi"/>
        </w:rPr>
        <w:t>How other jurisdictions have applied the MLETR to specific records</w:t>
      </w:r>
      <w:bookmarkEnd w:id="87"/>
      <w:bookmarkEnd w:id="88"/>
      <w:r w:rsidRPr="00780D76">
        <w:rPr>
          <w:rFonts w:asciiTheme="minorHAnsi" w:hAnsiTheme="minorHAnsi" w:cstheme="minorHAnsi"/>
        </w:rPr>
        <w:t xml:space="preserve"> </w:t>
      </w:r>
    </w:p>
    <w:p w14:paraId="67E08B70"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As of July 2024, 10 international jurisdictions have enacted legislation which is based on or inspired by the MLETR.</w:t>
      </w:r>
      <w:r w:rsidRPr="00780D76">
        <w:rPr>
          <w:rStyle w:val="FootnoteReference"/>
          <w:rFonts w:asciiTheme="minorHAnsi" w:hAnsiTheme="minorHAnsi" w:cstheme="minorHAnsi"/>
        </w:rPr>
        <w:footnoteReference w:id="69"/>
      </w:r>
    </w:p>
    <w:p w14:paraId="2C523409"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The majority of these jurisdictions have adopted the broad definition of ‘transferable document or instrument’ set out under the MLETR, that is, without specifying under law which records the MLETR will apply to.</w:t>
      </w:r>
      <w:r w:rsidRPr="00780D76">
        <w:rPr>
          <w:rStyle w:val="FootnoteReference"/>
          <w:rFonts w:asciiTheme="minorHAnsi" w:hAnsiTheme="minorHAnsi" w:cstheme="minorHAnsi"/>
        </w:rPr>
        <w:footnoteReference w:id="70"/>
      </w:r>
    </w:p>
    <w:p w14:paraId="68A309C5"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Singapore’s </w:t>
      </w:r>
      <w:r w:rsidRPr="00A10DE8">
        <w:rPr>
          <w:rFonts w:asciiTheme="minorHAnsi" w:hAnsiTheme="minorHAnsi" w:cstheme="minorHAnsi"/>
          <w:i/>
        </w:rPr>
        <w:t>Electronic Transactions Act 2010</w:t>
      </w:r>
      <w:r w:rsidRPr="00780D76">
        <w:rPr>
          <w:rFonts w:asciiTheme="minorHAnsi" w:hAnsiTheme="minorHAnsi" w:cstheme="minorHAnsi"/>
        </w:rPr>
        <w:t xml:space="preserve"> uses the broad definition, and also specifies that the relevant MLETR-based provisions under their Act will apply to bills of exchange, promissory notes, and bills of lading as those terms are defined under relevant domestic law.</w:t>
      </w:r>
      <w:r w:rsidRPr="00780D76">
        <w:rPr>
          <w:rStyle w:val="FootnoteReference"/>
          <w:rFonts w:asciiTheme="minorHAnsi" w:hAnsiTheme="minorHAnsi" w:cstheme="minorHAnsi"/>
        </w:rPr>
        <w:footnoteReference w:id="71"/>
      </w:r>
    </w:p>
    <w:p w14:paraId="51BAB5DD"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The UK </w:t>
      </w:r>
      <w:r w:rsidRPr="00A10DE8">
        <w:rPr>
          <w:rFonts w:asciiTheme="minorHAnsi" w:hAnsiTheme="minorHAnsi" w:cstheme="minorHAnsi"/>
          <w:i/>
        </w:rPr>
        <w:t xml:space="preserve">Electronic Trade Documents Act 2023 </w:t>
      </w:r>
      <w:r w:rsidRPr="00780D76">
        <w:rPr>
          <w:rFonts w:asciiTheme="minorHAnsi" w:hAnsiTheme="minorHAnsi" w:cstheme="minorHAnsi"/>
        </w:rPr>
        <w:t>(</w:t>
      </w:r>
      <w:r w:rsidRPr="00A10DE8">
        <w:rPr>
          <w:rFonts w:asciiTheme="minorHAnsi" w:hAnsiTheme="minorHAnsi" w:cstheme="minorHAnsi"/>
          <w:b/>
        </w:rPr>
        <w:t>ETDA</w:t>
      </w:r>
      <w:r w:rsidRPr="00780D76">
        <w:rPr>
          <w:rFonts w:asciiTheme="minorHAnsi" w:hAnsiTheme="minorHAnsi" w:cstheme="minorHAnsi"/>
        </w:rPr>
        <w:t>) takes a different approach, by confirming that possession and other legal rights apply to electronic versions of paper trade documents. ‘</w:t>
      </w:r>
      <w:r w:rsidRPr="00A10DE8">
        <w:rPr>
          <w:rFonts w:asciiTheme="minorHAnsi" w:hAnsiTheme="minorHAnsi" w:cstheme="minorHAnsi"/>
          <w:i/>
        </w:rPr>
        <w:t>Trade documents</w:t>
      </w:r>
      <w:r w:rsidRPr="00780D76">
        <w:rPr>
          <w:rFonts w:asciiTheme="minorHAnsi" w:hAnsiTheme="minorHAnsi" w:cstheme="minorHAnsi"/>
        </w:rPr>
        <w:t>’ are documents in paper form, used in trade or trade finance, and which under law or custom require possession of the document to claim performance of an obligation.</w:t>
      </w:r>
      <w:r w:rsidRPr="00780D76">
        <w:rPr>
          <w:rStyle w:val="FootnoteReference"/>
          <w:rFonts w:asciiTheme="minorHAnsi" w:hAnsiTheme="minorHAnsi" w:cstheme="minorHAnsi"/>
        </w:rPr>
        <w:footnoteReference w:id="72"/>
      </w:r>
    </w:p>
    <w:p w14:paraId="02DFBD53" w14:textId="77777777" w:rsidR="00040EE5" w:rsidRPr="00780D76" w:rsidRDefault="00040EE5" w:rsidP="00040EE5">
      <w:pPr>
        <w:tabs>
          <w:tab w:val="left" w:pos="964"/>
        </w:tabs>
        <w:spacing w:line="276" w:lineRule="auto"/>
        <w:jc w:val="both"/>
        <w:rPr>
          <w:rFonts w:asciiTheme="minorHAnsi" w:hAnsiTheme="minorHAnsi" w:cstheme="minorHAnsi"/>
          <w:highlight w:val="yellow"/>
        </w:rPr>
      </w:pPr>
      <w:r w:rsidRPr="00780D76">
        <w:rPr>
          <w:rFonts w:asciiTheme="minorHAnsi" w:hAnsiTheme="minorHAnsi" w:cstheme="minorHAnsi"/>
        </w:rPr>
        <w:t>Unlike ‘transferable records’ under the MLETR, trade documents under the ETDA do not specifically need to be subject to ‘transfer’ for the ETDA to apply. This means that the ETDA is intended to also apply to trade documents which must be ‘possessed’, but whose transferability may be limited,</w:t>
      </w:r>
      <w:r w:rsidRPr="00780D76">
        <w:rPr>
          <w:rStyle w:val="FootnoteReference"/>
          <w:rFonts w:asciiTheme="minorHAnsi" w:hAnsiTheme="minorHAnsi" w:cstheme="minorHAnsi"/>
        </w:rPr>
        <w:footnoteReference w:id="73"/>
      </w:r>
      <w:r w:rsidRPr="00780D76">
        <w:rPr>
          <w:rFonts w:asciiTheme="minorHAnsi" w:hAnsiTheme="minorHAnsi" w:cstheme="minorHAnsi"/>
        </w:rPr>
        <w:t xml:space="preserve"> such as straight bills of lading.</w:t>
      </w:r>
      <w:r w:rsidRPr="00780D76">
        <w:rPr>
          <w:rStyle w:val="FootnoteReference"/>
          <w:rFonts w:asciiTheme="minorHAnsi" w:hAnsiTheme="minorHAnsi" w:cstheme="minorHAnsi"/>
        </w:rPr>
        <w:footnoteReference w:id="74"/>
      </w:r>
    </w:p>
    <w:p w14:paraId="5C6ECB0E" w14:textId="4407F8B1" w:rsidR="00E15393" w:rsidRDefault="00E15393">
      <w:pPr>
        <w:spacing w:before="0" w:after="0" w:line="240" w:lineRule="auto"/>
        <w:rPr>
          <w:rFonts w:asciiTheme="minorHAnsi" w:hAnsiTheme="minorHAnsi" w:cstheme="minorHAnsi"/>
          <w:b/>
          <w:bCs/>
          <w:color w:val="auto"/>
          <w:sz w:val="28"/>
          <w:szCs w:val="20"/>
          <w:lang w:val="en"/>
        </w:rPr>
      </w:pPr>
      <w:r>
        <w:rPr>
          <w:rFonts w:asciiTheme="minorHAnsi" w:hAnsiTheme="minorHAnsi" w:cstheme="minorHAnsi"/>
          <w:b/>
          <w:caps/>
          <w:color w:val="auto"/>
          <w:sz w:val="28"/>
        </w:rPr>
        <w:br w:type="page"/>
      </w:r>
    </w:p>
    <w:p w14:paraId="00DC6749" w14:textId="77777777" w:rsidR="00040EE5" w:rsidRPr="00780D76" w:rsidRDefault="00040EE5" w:rsidP="00A10DE8">
      <w:pPr>
        <w:pStyle w:val="Boxheading"/>
        <w:numPr>
          <w:ilvl w:val="0"/>
          <w:numId w:val="32"/>
        </w:numPr>
        <w:spacing w:line="240" w:lineRule="auto"/>
        <w:outlineLvl w:val="2"/>
        <w:rPr>
          <w:rFonts w:asciiTheme="minorHAnsi" w:hAnsiTheme="minorHAnsi" w:cstheme="minorHAnsi"/>
          <w:b/>
          <w:caps w:val="0"/>
          <w:color w:val="auto"/>
          <w:sz w:val="28"/>
        </w:rPr>
      </w:pPr>
    </w:p>
    <w:p w14:paraId="2170B0E1" w14:textId="77777777" w:rsidR="00040EE5" w:rsidRPr="00780D76" w:rsidRDefault="00040EE5" w:rsidP="00040EE5">
      <w:pPr>
        <w:pStyle w:val="Boxheading"/>
        <w:spacing w:line="240" w:lineRule="auto"/>
        <w:jc w:val="both"/>
        <w:rPr>
          <w:rFonts w:asciiTheme="minorHAnsi" w:hAnsiTheme="minorHAnsi" w:cstheme="minorHAnsi"/>
          <w:caps w:val="0"/>
          <w:color w:val="auto"/>
        </w:rPr>
      </w:pPr>
      <w:r w:rsidRPr="00780D76">
        <w:rPr>
          <w:rFonts w:asciiTheme="minorHAnsi" w:hAnsiTheme="minorHAnsi" w:cstheme="minorHAnsi"/>
          <w:caps w:val="0"/>
          <w:color w:val="auto"/>
        </w:rPr>
        <w:t xml:space="preserve">Should an Australian option for MLETR extend to documents like straight bills of lading, or other documents which must generally be physically possessed, but need not be transferable? </w:t>
      </w:r>
    </w:p>
    <w:p w14:paraId="7B3E7B94" w14:textId="77777777" w:rsidR="00040EE5" w:rsidRPr="00780D76" w:rsidRDefault="00040EE5" w:rsidP="000E01D0">
      <w:pPr>
        <w:pStyle w:val="Boxheading"/>
        <w:numPr>
          <w:ilvl w:val="0"/>
          <w:numId w:val="19"/>
        </w:numPr>
        <w:spacing w:line="240" w:lineRule="auto"/>
        <w:jc w:val="both"/>
        <w:rPr>
          <w:rFonts w:asciiTheme="minorHAnsi" w:hAnsiTheme="minorHAnsi" w:cstheme="minorHAnsi"/>
          <w:b/>
          <w:caps w:val="0"/>
          <w:color w:val="auto"/>
        </w:rPr>
      </w:pPr>
      <w:r w:rsidRPr="00780D76">
        <w:rPr>
          <w:rFonts w:asciiTheme="minorHAnsi" w:hAnsiTheme="minorHAnsi" w:cstheme="minorHAnsi"/>
          <w:b/>
          <w:caps w:val="0"/>
          <w:color w:val="auto"/>
        </w:rPr>
        <w:t>Yes</w:t>
      </w:r>
    </w:p>
    <w:p w14:paraId="2717E6C9" w14:textId="77777777" w:rsidR="00040EE5" w:rsidRPr="00780D76" w:rsidRDefault="00040EE5" w:rsidP="000E01D0">
      <w:pPr>
        <w:pStyle w:val="Boxheading"/>
        <w:numPr>
          <w:ilvl w:val="0"/>
          <w:numId w:val="19"/>
        </w:numPr>
        <w:spacing w:line="240" w:lineRule="auto"/>
        <w:jc w:val="both"/>
        <w:rPr>
          <w:rFonts w:asciiTheme="minorHAnsi" w:hAnsiTheme="minorHAnsi" w:cstheme="minorHAnsi"/>
          <w:b/>
          <w:caps w:val="0"/>
          <w:color w:val="auto"/>
        </w:rPr>
      </w:pPr>
      <w:r w:rsidRPr="00780D76">
        <w:rPr>
          <w:rFonts w:asciiTheme="minorHAnsi" w:hAnsiTheme="minorHAnsi" w:cstheme="minorHAnsi"/>
          <w:b/>
          <w:caps w:val="0"/>
          <w:color w:val="auto"/>
        </w:rPr>
        <w:t xml:space="preserve">No </w:t>
      </w:r>
    </w:p>
    <w:p w14:paraId="5AFD76F9" w14:textId="77777777" w:rsidR="00F40EE8" w:rsidRPr="00780D76" w:rsidRDefault="00F40EE8" w:rsidP="000E01D0">
      <w:pPr>
        <w:pStyle w:val="Boxheading"/>
        <w:numPr>
          <w:ilvl w:val="0"/>
          <w:numId w:val="19"/>
        </w:numPr>
        <w:spacing w:line="240" w:lineRule="auto"/>
        <w:jc w:val="both"/>
        <w:rPr>
          <w:rFonts w:asciiTheme="minorHAnsi" w:hAnsiTheme="minorHAnsi" w:cstheme="minorHAnsi"/>
          <w:b/>
          <w:caps w:val="0"/>
          <w:color w:val="auto"/>
        </w:rPr>
      </w:pPr>
      <w:r w:rsidRPr="00780D76">
        <w:rPr>
          <w:rFonts w:asciiTheme="minorHAnsi" w:hAnsiTheme="minorHAnsi" w:cstheme="minorHAnsi"/>
          <w:b/>
          <w:caps w:val="0"/>
          <w:color w:val="auto"/>
        </w:rPr>
        <w:t>Unsure</w:t>
      </w:r>
    </w:p>
    <w:p w14:paraId="48CA1303" w14:textId="77777777" w:rsidR="00040EE5" w:rsidRPr="00780D76" w:rsidRDefault="00040EE5" w:rsidP="00040EE5">
      <w:pPr>
        <w:pStyle w:val="Boxheading"/>
        <w:spacing w:line="240" w:lineRule="auto"/>
        <w:jc w:val="both"/>
        <w:rPr>
          <w:rFonts w:asciiTheme="minorHAnsi" w:hAnsiTheme="minorHAnsi" w:cstheme="minorHAnsi"/>
          <w:caps w:val="0"/>
          <w:color w:val="auto"/>
        </w:rPr>
      </w:pPr>
      <w:r w:rsidRPr="00780D76">
        <w:rPr>
          <w:rFonts w:asciiTheme="minorHAnsi" w:hAnsiTheme="minorHAnsi" w:cstheme="minorHAnsi"/>
          <w:caps w:val="0"/>
          <w:color w:val="auto"/>
        </w:rPr>
        <w:t xml:space="preserve">Please expand on your answer. </w:t>
      </w:r>
    </w:p>
    <w:p w14:paraId="0B482ACB" w14:textId="77777777" w:rsidR="00040EE5" w:rsidRPr="00780D76" w:rsidRDefault="00040EE5" w:rsidP="00040EE5">
      <w:pPr>
        <w:pStyle w:val="Boxheading"/>
        <w:spacing w:line="240" w:lineRule="auto"/>
        <w:jc w:val="both"/>
        <w:rPr>
          <w:rFonts w:asciiTheme="minorHAnsi" w:hAnsiTheme="minorHAnsi" w:cstheme="minorHAnsi"/>
          <w:i/>
          <w:caps w:val="0"/>
          <w:color w:val="auto"/>
        </w:rPr>
      </w:pPr>
      <w:r w:rsidRPr="00780D76">
        <w:rPr>
          <w:rFonts w:asciiTheme="minorHAnsi" w:hAnsiTheme="minorHAnsi" w:cstheme="minorHAnsi"/>
          <w:i/>
          <w:caps w:val="0"/>
          <w:color w:val="auto"/>
        </w:rPr>
        <w:t>For example, what other documents may be possessable but not transferable? Do you foresee any issues if these were included or excluded?</w:t>
      </w:r>
    </w:p>
    <w:p w14:paraId="6A9E52E9" w14:textId="77777777" w:rsidR="00040EE5" w:rsidRPr="00780D76" w:rsidRDefault="00040EE5" w:rsidP="00040EE5">
      <w:pPr>
        <w:tabs>
          <w:tab w:val="left" w:pos="964"/>
        </w:tabs>
        <w:rPr>
          <w:rFonts w:asciiTheme="minorHAnsi" w:hAnsiTheme="minorHAnsi" w:cstheme="minorHAnsi"/>
          <w:highlight w:val="yellow"/>
        </w:rPr>
      </w:pPr>
    </w:p>
    <w:p w14:paraId="56DF9214" w14:textId="77777777" w:rsidR="00040EE5" w:rsidRPr="00780D76" w:rsidRDefault="00040EE5" w:rsidP="00A10DE8">
      <w:pPr>
        <w:pStyle w:val="Boxheading"/>
        <w:numPr>
          <w:ilvl w:val="0"/>
          <w:numId w:val="32"/>
        </w:numPr>
        <w:spacing w:line="240" w:lineRule="auto"/>
        <w:outlineLvl w:val="2"/>
        <w:rPr>
          <w:rFonts w:asciiTheme="minorHAnsi" w:hAnsiTheme="minorHAnsi" w:cstheme="minorHAnsi"/>
          <w:b/>
          <w:caps w:val="0"/>
          <w:color w:val="auto"/>
          <w:sz w:val="28"/>
        </w:rPr>
      </w:pPr>
      <w:r w:rsidRPr="00780D76">
        <w:rPr>
          <w:rFonts w:asciiTheme="minorHAnsi" w:hAnsiTheme="minorHAnsi" w:cstheme="minorHAnsi"/>
          <w:b/>
          <w:caps w:val="0"/>
          <w:color w:val="auto"/>
          <w:sz w:val="28"/>
        </w:rPr>
        <w:t xml:space="preserve"> </w:t>
      </w:r>
    </w:p>
    <w:p w14:paraId="59F3F683" w14:textId="77777777" w:rsidR="00040EE5" w:rsidRPr="00780D76" w:rsidRDefault="00040EE5" w:rsidP="00040EE5">
      <w:pPr>
        <w:pStyle w:val="Boxheading"/>
        <w:spacing w:line="240" w:lineRule="auto"/>
        <w:rPr>
          <w:rFonts w:asciiTheme="minorHAnsi" w:hAnsiTheme="minorHAnsi" w:cstheme="minorHAnsi"/>
          <w:caps w:val="0"/>
          <w:color w:val="auto"/>
        </w:rPr>
      </w:pPr>
      <w:r w:rsidRPr="00780D76">
        <w:rPr>
          <w:rFonts w:asciiTheme="minorHAnsi" w:hAnsiTheme="minorHAnsi" w:cstheme="minorHAnsi"/>
          <w:caps w:val="0"/>
          <w:color w:val="auto"/>
        </w:rPr>
        <w:t xml:space="preserve">Should an Australian option for MLETR be limited to transferable records which are used specifically in the context of international trade? </w:t>
      </w:r>
    </w:p>
    <w:p w14:paraId="7F44D2FB" w14:textId="77777777" w:rsidR="00040EE5" w:rsidRPr="00780D76" w:rsidRDefault="00040EE5" w:rsidP="000E01D0">
      <w:pPr>
        <w:pStyle w:val="Boxheading"/>
        <w:numPr>
          <w:ilvl w:val="0"/>
          <w:numId w:val="20"/>
        </w:numPr>
        <w:spacing w:line="240" w:lineRule="auto"/>
        <w:rPr>
          <w:rFonts w:asciiTheme="minorHAnsi" w:hAnsiTheme="minorHAnsi" w:cstheme="minorHAnsi"/>
          <w:b/>
          <w:color w:val="auto"/>
        </w:rPr>
      </w:pPr>
      <w:r w:rsidRPr="00780D76">
        <w:rPr>
          <w:rFonts w:asciiTheme="minorHAnsi" w:hAnsiTheme="minorHAnsi" w:cstheme="minorHAnsi"/>
          <w:b/>
          <w:caps w:val="0"/>
          <w:color w:val="auto"/>
        </w:rPr>
        <w:t>Yes</w:t>
      </w:r>
    </w:p>
    <w:p w14:paraId="0E5EEDC2" w14:textId="77777777" w:rsidR="00040EE5" w:rsidRPr="00780D76" w:rsidRDefault="00040EE5" w:rsidP="000E01D0">
      <w:pPr>
        <w:pStyle w:val="Boxheading"/>
        <w:numPr>
          <w:ilvl w:val="0"/>
          <w:numId w:val="20"/>
        </w:numPr>
        <w:spacing w:line="240" w:lineRule="auto"/>
        <w:rPr>
          <w:rFonts w:asciiTheme="minorHAnsi" w:hAnsiTheme="minorHAnsi" w:cstheme="minorHAnsi"/>
          <w:b/>
          <w:color w:val="auto"/>
        </w:rPr>
      </w:pPr>
      <w:r w:rsidRPr="00780D76">
        <w:rPr>
          <w:rFonts w:asciiTheme="minorHAnsi" w:hAnsiTheme="minorHAnsi" w:cstheme="minorHAnsi"/>
          <w:b/>
          <w:caps w:val="0"/>
          <w:color w:val="auto"/>
        </w:rPr>
        <w:t>No</w:t>
      </w:r>
    </w:p>
    <w:p w14:paraId="6AD3E7A4" w14:textId="77777777" w:rsidR="00040EE5" w:rsidRPr="00780D76" w:rsidRDefault="00040EE5" w:rsidP="000E01D0">
      <w:pPr>
        <w:pStyle w:val="Boxheading"/>
        <w:numPr>
          <w:ilvl w:val="0"/>
          <w:numId w:val="20"/>
        </w:numPr>
        <w:spacing w:line="240" w:lineRule="auto"/>
        <w:rPr>
          <w:rFonts w:asciiTheme="minorHAnsi" w:hAnsiTheme="minorHAnsi" w:cstheme="minorHAnsi"/>
          <w:b/>
          <w:color w:val="auto"/>
        </w:rPr>
      </w:pPr>
      <w:r w:rsidRPr="00780D76">
        <w:rPr>
          <w:rFonts w:asciiTheme="minorHAnsi" w:hAnsiTheme="minorHAnsi" w:cstheme="minorHAnsi"/>
          <w:b/>
          <w:caps w:val="0"/>
          <w:color w:val="auto"/>
        </w:rPr>
        <w:t>Unsure</w:t>
      </w:r>
    </w:p>
    <w:p w14:paraId="5E6A794F" w14:textId="77777777" w:rsidR="00040EE5" w:rsidRPr="00780D76" w:rsidRDefault="00040EE5" w:rsidP="00040EE5">
      <w:pPr>
        <w:pStyle w:val="Boxheading"/>
        <w:spacing w:line="240" w:lineRule="auto"/>
        <w:rPr>
          <w:rFonts w:asciiTheme="minorHAnsi" w:hAnsiTheme="minorHAnsi" w:cstheme="minorHAnsi"/>
          <w:caps w:val="0"/>
          <w:color w:val="auto"/>
        </w:rPr>
      </w:pPr>
      <w:r w:rsidRPr="00780D76">
        <w:rPr>
          <w:rFonts w:asciiTheme="minorHAnsi" w:hAnsiTheme="minorHAnsi" w:cstheme="minorHAnsi"/>
          <w:caps w:val="0"/>
          <w:color w:val="auto"/>
        </w:rPr>
        <w:t xml:space="preserve">Please expand on your answer. </w:t>
      </w:r>
    </w:p>
    <w:p w14:paraId="35BCB9EB" w14:textId="77777777" w:rsidR="00040EE5" w:rsidRPr="00780D76" w:rsidRDefault="00040EE5" w:rsidP="00040EE5">
      <w:pPr>
        <w:pStyle w:val="Boxheading"/>
        <w:spacing w:line="240" w:lineRule="auto"/>
        <w:rPr>
          <w:rFonts w:asciiTheme="minorHAnsi" w:hAnsiTheme="minorHAnsi" w:cstheme="minorHAnsi"/>
          <w:color w:val="auto"/>
        </w:rPr>
      </w:pPr>
      <w:r w:rsidRPr="00780D76">
        <w:rPr>
          <w:rFonts w:asciiTheme="minorHAnsi" w:hAnsiTheme="minorHAnsi" w:cstheme="minorHAnsi"/>
          <w:i/>
          <w:caps w:val="0"/>
          <w:color w:val="auto"/>
        </w:rPr>
        <w:t>For example, do you foresee any particular issues if MLETR were limited to international trade only?</w:t>
      </w:r>
    </w:p>
    <w:p w14:paraId="24354DA1" w14:textId="77777777" w:rsidR="00040EE5" w:rsidRPr="00780D76" w:rsidRDefault="00040EE5" w:rsidP="008B382E">
      <w:pPr>
        <w:pStyle w:val="Heading1"/>
        <w:keepLines/>
        <w:numPr>
          <w:ilvl w:val="1"/>
          <w:numId w:val="31"/>
        </w:numPr>
        <w:spacing w:before="0" w:after="240" w:line="259" w:lineRule="auto"/>
        <w:ind w:left="709" w:hanging="709"/>
        <w:rPr>
          <w:rFonts w:asciiTheme="minorHAnsi" w:hAnsiTheme="minorHAnsi" w:cstheme="minorHAnsi"/>
          <w:sz w:val="36"/>
          <w:lang w:eastAsia="en-AU"/>
        </w:rPr>
      </w:pPr>
      <w:bookmarkStart w:id="89" w:name="_Ref176437799"/>
      <w:bookmarkStart w:id="90" w:name="_Toc176437891"/>
      <w:r w:rsidRPr="00780D76">
        <w:rPr>
          <w:rFonts w:asciiTheme="minorHAnsi" w:hAnsiTheme="minorHAnsi" w:cstheme="minorHAnsi"/>
          <w:sz w:val="36"/>
          <w:lang w:eastAsia="en-AU"/>
        </w:rPr>
        <w:t>The MLETR – functional equivalence</w:t>
      </w:r>
      <w:bookmarkEnd w:id="89"/>
      <w:bookmarkEnd w:id="90"/>
      <w:r w:rsidRPr="00780D76">
        <w:rPr>
          <w:rFonts w:asciiTheme="minorHAnsi" w:hAnsiTheme="minorHAnsi" w:cstheme="minorHAnsi"/>
          <w:sz w:val="36"/>
          <w:lang w:eastAsia="en-AU"/>
        </w:rPr>
        <w:t xml:space="preserve"> </w:t>
      </w:r>
    </w:p>
    <w:p w14:paraId="2BEFEA7D" w14:textId="77777777" w:rsidR="00040EE5" w:rsidRPr="00780D76" w:rsidRDefault="00040EE5" w:rsidP="00040EE5">
      <w:pPr>
        <w:tabs>
          <w:tab w:val="left" w:pos="964"/>
        </w:tabs>
        <w:jc w:val="both"/>
        <w:rPr>
          <w:rFonts w:asciiTheme="minorHAnsi" w:hAnsiTheme="minorHAnsi" w:cstheme="minorHAnsi"/>
        </w:rPr>
      </w:pPr>
      <w:r w:rsidRPr="00780D76">
        <w:rPr>
          <w:rFonts w:asciiTheme="minorHAnsi" w:hAnsiTheme="minorHAnsi" w:cstheme="minorHAnsi"/>
        </w:rPr>
        <w:t xml:space="preserve">We are interested in preliminary views about how an Australian option for MLETR should confirm the legal equality, or functional equivalence, of electronic and paper records. </w:t>
      </w:r>
    </w:p>
    <w:p w14:paraId="2E037E73" w14:textId="77777777" w:rsidR="00040EE5" w:rsidRPr="00780D76" w:rsidRDefault="00040EE5" w:rsidP="00040EE5">
      <w:pPr>
        <w:tabs>
          <w:tab w:val="left" w:pos="964"/>
        </w:tabs>
        <w:jc w:val="both"/>
        <w:rPr>
          <w:rFonts w:asciiTheme="minorHAnsi" w:hAnsiTheme="minorHAnsi" w:cstheme="minorHAnsi"/>
        </w:rPr>
      </w:pPr>
      <w:r w:rsidRPr="00780D76">
        <w:rPr>
          <w:rFonts w:asciiTheme="minorHAnsi" w:hAnsiTheme="minorHAnsi" w:cstheme="minorHAnsi"/>
        </w:rPr>
        <w:t xml:space="preserve">Accordingly, this section broadly discusses how the MLETR enables functional equivalence, and asks stakeholders for preliminary views on whether this approach would promote confidence in the legal validity of electronic transferable records in an Australian context. </w:t>
      </w:r>
    </w:p>
    <w:p w14:paraId="5716CEBA" w14:textId="77777777" w:rsidR="00040EE5" w:rsidRPr="00780D76" w:rsidRDefault="00040EE5" w:rsidP="00040EE5">
      <w:pPr>
        <w:pStyle w:val="Heading3"/>
        <w:rPr>
          <w:rFonts w:asciiTheme="minorHAnsi" w:hAnsiTheme="minorHAnsi" w:cstheme="minorHAnsi"/>
        </w:rPr>
      </w:pPr>
      <w:bookmarkStart w:id="91" w:name="_Toc176275144"/>
      <w:bookmarkStart w:id="92" w:name="_Toc176420809"/>
      <w:r w:rsidRPr="00780D76">
        <w:rPr>
          <w:rFonts w:asciiTheme="minorHAnsi" w:hAnsiTheme="minorHAnsi" w:cstheme="minorHAnsi"/>
        </w:rPr>
        <w:t>How does the MLETR enable functional equivalence?</w:t>
      </w:r>
      <w:bookmarkEnd w:id="91"/>
      <w:bookmarkEnd w:id="92"/>
      <w:r w:rsidRPr="00780D76">
        <w:rPr>
          <w:rFonts w:asciiTheme="minorHAnsi" w:hAnsiTheme="minorHAnsi" w:cstheme="minorHAnsi"/>
        </w:rPr>
        <w:t xml:space="preserve"> </w:t>
      </w:r>
    </w:p>
    <w:p w14:paraId="2105A451"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b/>
        </w:rPr>
        <w:t>Functional equivalence</w:t>
      </w:r>
      <w:r w:rsidRPr="00780D76">
        <w:rPr>
          <w:rFonts w:asciiTheme="minorHAnsi" w:hAnsiTheme="minorHAnsi" w:cstheme="minorHAnsi"/>
        </w:rPr>
        <w:t xml:space="preserve"> refers to an approach to legal validity which is based on an analysis of the essential functions of paper-based processes, with a view to achieving those functions through electronic means. </w:t>
      </w:r>
    </w:p>
    <w:p w14:paraId="707D7CBB"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In developing the MLETR, UNCITRAL had regard to a number of essential functions relevant to transferable records: including the need that a unique and singular copy of such records is possessed and transferred by one person at a time. </w:t>
      </w:r>
    </w:p>
    <w:p w14:paraId="192712D0"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lastRenderedPageBreak/>
        <w:t xml:space="preserve">Accordingly, MLETR is intended to give legal validity to electronic transferable records only if they achieve these functions in an electronic manner – that is, only if they are ‘functionally equivalent’ to a paper record. This is achieved primarily under articles 10 and 11 of the MLETR. </w:t>
      </w:r>
    </w:p>
    <w:p w14:paraId="0B09793A" w14:textId="77777777" w:rsidR="00040EE5" w:rsidRPr="00780D76" w:rsidRDefault="00040EE5" w:rsidP="00040EE5">
      <w:pPr>
        <w:tabs>
          <w:tab w:val="left" w:pos="964"/>
        </w:tabs>
        <w:spacing w:line="276" w:lineRule="auto"/>
        <w:jc w:val="both"/>
        <w:rPr>
          <w:rFonts w:asciiTheme="minorHAnsi" w:hAnsiTheme="minorHAnsi" w:cstheme="minorHAnsi"/>
          <w:b/>
          <w:u w:val="single"/>
        </w:rPr>
      </w:pPr>
      <w:r w:rsidRPr="00780D76">
        <w:rPr>
          <w:rFonts w:asciiTheme="minorHAnsi" w:hAnsiTheme="minorHAnsi" w:cstheme="minorHAnsi"/>
          <w:b/>
          <w:u w:val="single"/>
        </w:rPr>
        <w:t xml:space="preserve">Please refer to articles 10 and 11 at the MLETR, set out at Annexure A. </w:t>
      </w:r>
    </w:p>
    <w:p w14:paraId="057C5A60"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Together, articles 10 and 11 confirm that a person can satisfy a requirement to possess a paper transferable record, if that person can be identified as having ‘exclusive control’ of an electronic transferable record which: </w:t>
      </w:r>
    </w:p>
    <w:p w14:paraId="0EA3C01D" w14:textId="77777777" w:rsidR="00040EE5" w:rsidRPr="00780D76" w:rsidRDefault="00040EE5" w:rsidP="000E01D0">
      <w:pPr>
        <w:pStyle w:val="ListParagraph"/>
        <w:numPr>
          <w:ilvl w:val="0"/>
          <w:numId w:val="21"/>
        </w:numPr>
        <w:tabs>
          <w:tab w:val="left" w:pos="964"/>
        </w:tabs>
        <w:spacing w:line="276" w:lineRule="auto"/>
        <w:jc w:val="both"/>
        <w:rPr>
          <w:rFonts w:asciiTheme="minorHAnsi" w:hAnsiTheme="minorHAnsi" w:cstheme="minorHAnsi"/>
        </w:rPr>
      </w:pPr>
      <w:r w:rsidRPr="00780D76">
        <w:rPr>
          <w:rFonts w:asciiTheme="minorHAnsi" w:hAnsiTheme="minorHAnsi" w:cstheme="minorHAnsi"/>
        </w:rPr>
        <w:t>contains all information normally required on the equivalent paper record, and</w:t>
      </w:r>
    </w:p>
    <w:p w14:paraId="3B0DC498" w14:textId="77777777" w:rsidR="00040EE5" w:rsidRPr="00780D76" w:rsidRDefault="00040EE5" w:rsidP="000E01D0">
      <w:pPr>
        <w:pStyle w:val="ListParagraph"/>
        <w:numPr>
          <w:ilvl w:val="0"/>
          <w:numId w:val="21"/>
        </w:numPr>
        <w:tabs>
          <w:tab w:val="left" w:pos="964"/>
        </w:tabs>
        <w:spacing w:line="276" w:lineRule="auto"/>
        <w:jc w:val="both"/>
        <w:rPr>
          <w:rFonts w:asciiTheme="minorHAnsi" w:hAnsiTheme="minorHAnsi" w:cstheme="minorHAnsi"/>
        </w:rPr>
      </w:pPr>
      <w:r w:rsidRPr="00780D76">
        <w:rPr>
          <w:rFonts w:asciiTheme="minorHAnsi" w:hAnsiTheme="minorHAnsi" w:cstheme="minorHAnsi"/>
        </w:rPr>
        <w:t>uses a ‘</w:t>
      </w:r>
      <w:r w:rsidRPr="00A10DE8">
        <w:rPr>
          <w:rFonts w:asciiTheme="minorHAnsi" w:hAnsiTheme="minorHAnsi" w:cstheme="minorHAnsi"/>
          <w:i/>
        </w:rPr>
        <w:t>reliable method</w:t>
      </w:r>
      <w:r w:rsidRPr="00780D76">
        <w:rPr>
          <w:rFonts w:asciiTheme="minorHAnsi" w:hAnsiTheme="minorHAnsi" w:cstheme="minorHAnsi"/>
        </w:rPr>
        <w:t>’ to identify that the record is unique, ensure that it is subject to control, and retain the record’s integrity.</w:t>
      </w:r>
    </w:p>
    <w:p w14:paraId="1A3BCD91"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The requirement of ‘</w:t>
      </w:r>
      <w:r w:rsidRPr="00A10DE8">
        <w:rPr>
          <w:rFonts w:asciiTheme="minorHAnsi" w:hAnsiTheme="minorHAnsi" w:cstheme="minorHAnsi"/>
          <w:i/>
        </w:rPr>
        <w:t>control</w:t>
      </w:r>
      <w:r w:rsidRPr="00780D76">
        <w:rPr>
          <w:rFonts w:asciiTheme="minorHAnsi" w:hAnsiTheme="minorHAnsi" w:cstheme="minorHAnsi"/>
        </w:rPr>
        <w:t>’ is intended to be functionally equivalent to the notion of ‘possession’, which is a central requirement to the use of all transferable records.</w:t>
      </w:r>
      <w:r w:rsidRPr="00780D76">
        <w:rPr>
          <w:rStyle w:val="FootnoteReference"/>
          <w:rFonts w:asciiTheme="minorHAnsi" w:hAnsiTheme="minorHAnsi" w:cstheme="minorHAnsi"/>
        </w:rPr>
        <w:footnoteReference w:id="75"/>
      </w:r>
      <w:r w:rsidRPr="00780D76">
        <w:rPr>
          <w:rFonts w:asciiTheme="minorHAnsi" w:hAnsiTheme="minorHAnsi" w:cstheme="minorHAnsi"/>
        </w:rPr>
        <w:t xml:space="preserve"> </w:t>
      </w:r>
    </w:p>
    <w:p w14:paraId="0349FF0F"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Further, the requirement that the holder be ‘</w:t>
      </w:r>
      <w:r w:rsidRPr="00A10DE8">
        <w:rPr>
          <w:rFonts w:asciiTheme="minorHAnsi" w:hAnsiTheme="minorHAnsi" w:cstheme="minorHAnsi"/>
          <w:i/>
        </w:rPr>
        <w:t>identified</w:t>
      </w:r>
      <w:r w:rsidRPr="00780D76">
        <w:rPr>
          <w:rFonts w:asciiTheme="minorHAnsi" w:hAnsiTheme="minorHAnsi" w:cstheme="minorHAnsi"/>
        </w:rPr>
        <w:t>’ as being in exclusive control is intended to be functionally equivalent to the ‘</w:t>
      </w:r>
      <w:r w:rsidRPr="00A10DE8">
        <w:rPr>
          <w:rFonts w:asciiTheme="minorHAnsi" w:hAnsiTheme="minorHAnsi" w:cstheme="minorHAnsi"/>
          <w:i/>
        </w:rPr>
        <w:t>singularity</w:t>
      </w:r>
      <w:r w:rsidRPr="00E15393">
        <w:rPr>
          <w:rFonts w:asciiTheme="minorHAnsi" w:hAnsiTheme="minorHAnsi" w:cstheme="minorHAnsi"/>
        </w:rPr>
        <w:t>’</w:t>
      </w:r>
      <w:r w:rsidRPr="00780D76">
        <w:rPr>
          <w:rFonts w:asciiTheme="minorHAnsi" w:hAnsiTheme="minorHAnsi" w:cstheme="minorHAnsi"/>
        </w:rPr>
        <w:t xml:space="preserve"> of a paper trade document, and thereby limit the possibility of multiple claims of the same obligation using identical copes of an electronic document.</w:t>
      </w:r>
      <w:r w:rsidRPr="00780D76">
        <w:rPr>
          <w:rStyle w:val="FootnoteReference"/>
          <w:rFonts w:asciiTheme="minorHAnsi" w:hAnsiTheme="minorHAnsi" w:cstheme="minorHAnsi"/>
        </w:rPr>
        <w:footnoteReference w:id="76"/>
      </w:r>
      <w:r w:rsidRPr="00780D76">
        <w:rPr>
          <w:rFonts w:asciiTheme="minorHAnsi" w:hAnsiTheme="minorHAnsi" w:cstheme="minorHAnsi"/>
        </w:rPr>
        <w:t xml:space="preserve"> </w:t>
      </w:r>
    </w:p>
    <w:p w14:paraId="48CA8B96" w14:textId="77777777" w:rsidR="00040EE5" w:rsidRPr="00780D76" w:rsidRDefault="00040EE5" w:rsidP="00040EE5">
      <w:pPr>
        <w:pStyle w:val="Heading3"/>
        <w:rPr>
          <w:rFonts w:asciiTheme="minorHAnsi" w:hAnsiTheme="minorHAnsi" w:cstheme="minorHAnsi"/>
        </w:rPr>
      </w:pPr>
      <w:bookmarkStart w:id="93" w:name="_Toc176275145"/>
      <w:bookmarkStart w:id="94" w:name="_Toc176420810"/>
      <w:r w:rsidRPr="00780D76">
        <w:rPr>
          <w:rFonts w:asciiTheme="minorHAnsi" w:hAnsiTheme="minorHAnsi" w:cstheme="minorHAnsi"/>
        </w:rPr>
        <w:t>Functional equivalence, for functions other than possession and transfer</w:t>
      </w:r>
      <w:bookmarkEnd w:id="93"/>
      <w:bookmarkEnd w:id="94"/>
      <w:r w:rsidRPr="00780D76">
        <w:rPr>
          <w:rFonts w:asciiTheme="minorHAnsi" w:hAnsiTheme="minorHAnsi" w:cstheme="minorHAnsi"/>
        </w:rPr>
        <w:t xml:space="preserve"> </w:t>
      </w:r>
    </w:p>
    <w:p w14:paraId="1D59C89F"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Where an electronic transferable record is functionally equivalent to a paper record, the MLETR also confirms that electronic tools may also be used to satisfy other relevant requirements or functions under law. </w:t>
      </w:r>
    </w:p>
    <w:p w14:paraId="18723F0D"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For example, the MLETR also contains provisions confirming the functional equivalence (or non-discrimination against) the following functions when completed electronically in respect of an electronic transferable record: writing on a transferable record; signing a transferable record; and indicating a time or place for, endorsing, and amending an electronic transferable record.</w:t>
      </w:r>
      <w:r w:rsidRPr="00780D76">
        <w:rPr>
          <w:rStyle w:val="FootnoteReference"/>
          <w:rFonts w:asciiTheme="minorHAnsi" w:hAnsiTheme="minorHAnsi" w:cstheme="minorHAnsi"/>
        </w:rPr>
        <w:footnoteReference w:id="77"/>
      </w:r>
    </w:p>
    <w:p w14:paraId="71E98D8B" w14:textId="77777777" w:rsidR="00040EE5" w:rsidRPr="00780D76" w:rsidRDefault="00040EE5" w:rsidP="00040EE5">
      <w:pPr>
        <w:pStyle w:val="Heading3"/>
        <w:rPr>
          <w:rFonts w:asciiTheme="minorHAnsi" w:hAnsiTheme="minorHAnsi" w:cstheme="minorHAnsi"/>
        </w:rPr>
      </w:pPr>
      <w:bookmarkStart w:id="95" w:name="_Toc176275146"/>
      <w:bookmarkStart w:id="96" w:name="_Toc176420811"/>
      <w:r w:rsidRPr="00780D76">
        <w:rPr>
          <w:rFonts w:asciiTheme="minorHAnsi" w:hAnsiTheme="minorHAnsi" w:cstheme="minorHAnsi"/>
        </w:rPr>
        <w:t>How are these provisions comparable with existing Australian law?</w:t>
      </w:r>
      <w:bookmarkEnd w:id="95"/>
      <w:bookmarkEnd w:id="96"/>
      <w:r w:rsidRPr="00780D76">
        <w:rPr>
          <w:rFonts w:asciiTheme="minorHAnsi" w:hAnsiTheme="minorHAnsi" w:cstheme="minorHAnsi"/>
        </w:rPr>
        <w:t xml:space="preserve"> </w:t>
      </w:r>
    </w:p>
    <w:p w14:paraId="27E7F3B3"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If the MLETR were implemented in Australia, provisions based on articles 10 and 11 may confirm how any requirement to possess or transfer transferable records under Australian law (including potentially those noted under</w:t>
      </w:r>
      <w:r w:rsidR="006F1DCC" w:rsidRPr="00780D76">
        <w:rPr>
          <w:rFonts w:asciiTheme="minorHAnsi" w:hAnsiTheme="minorHAnsi" w:cstheme="minorHAnsi"/>
        </w:rPr>
        <w:t xml:space="preserve"> </w:t>
      </w:r>
      <w:r w:rsidR="006F1DCC" w:rsidRPr="00780D76">
        <w:rPr>
          <w:rFonts w:asciiTheme="minorHAnsi" w:hAnsiTheme="minorHAnsi" w:cstheme="minorHAnsi"/>
          <w:b/>
          <w:color w:val="0000FF"/>
          <w:u w:val="single"/>
        </w:rPr>
        <w:t>part</w:t>
      </w:r>
      <w:r w:rsidRPr="00780D76">
        <w:rPr>
          <w:rFonts w:asciiTheme="minorHAnsi" w:hAnsiTheme="minorHAnsi" w:cstheme="minorHAnsi"/>
          <w:b/>
          <w:color w:val="0000FF"/>
          <w:u w:val="single"/>
        </w:rPr>
        <w:t xml:space="preserve"> </w:t>
      </w:r>
      <w:r w:rsidR="006F1DCC" w:rsidRPr="00780D76">
        <w:rPr>
          <w:rFonts w:asciiTheme="minorHAnsi" w:hAnsiTheme="minorHAnsi" w:cstheme="minorHAnsi"/>
          <w:b/>
          <w:color w:val="0000FF"/>
          <w:highlight w:val="yellow"/>
          <w:u w:val="single"/>
        </w:rPr>
        <w:fldChar w:fldCharType="begin"/>
      </w:r>
      <w:r w:rsidR="006F1DCC" w:rsidRPr="00780D76">
        <w:rPr>
          <w:rFonts w:asciiTheme="minorHAnsi" w:hAnsiTheme="minorHAnsi" w:cstheme="minorHAnsi"/>
          <w:b/>
          <w:color w:val="0000FF"/>
          <w:u w:val="single"/>
        </w:rPr>
        <w:instrText xml:space="preserve"> REF _Ref176437614 \r \h </w:instrText>
      </w:r>
      <w:r w:rsidR="006F1DCC" w:rsidRPr="00780D76">
        <w:rPr>
          <w:rFonts w:asciiTheme="minorHAnsi" w:hAnsiTheme="minorHAnsi" w:cstheme="minorHAnsi"/>
          <w:b/>
          <w:color w:val="0000FF"/>
          <w:highlight w:val="yellow"/>
          <w:u w:val="single"/>
        </w:rPr>
        <w:instrText xml:space="preserve"> \* MERGEFORMAT </w:instrText>
      </w:r>
      <w:r w:rsidR="006F1DCC" w:rsidRPr="00780D76">
        <w:rPr>
          <w:rFonts w:asciiTheme="minorHAnsi" w:hAnsiTheme="minorHAnsi" w:cstheme="minorHAnsi"/>
          <w:b/>
          <w:color w:val="0000FF"/>
          <w:highlight w:val="yellow"/>
          <w:u w:val="single"/>
        </w:rPr>
      </w:r>
      <w:r w:rsidR="006F1DCC" w:rsidRPr="00780D76">
        <w:rPr>
          <w:rFonts w:asciiTheme="minorHAnsi" w:hAnsiTheme="minorHAnsi" w:cstheme="minorHAnsi"/>
          <w:b/>
          <w:color w:val="0000FF"/>
          <w:highlight w:val="yellow"/>
          <w:u w:val="single"/>
        </w:rPr>
        <w:fldChar w:fldCharType="separate"/>
      </w:r>
      <w:r w:rsidR="006F1DCC" w:rsidRPr="00780D76">
        <w:rPr>
          <w:rFonts w:asciiTheme="minorHAnsi" w:hAnsiTheme="minorHAnsi" w:cstheme="minorHAnsi"/>
          <w:b/>
          <w:color w:val="0000FF"/>
          <w:u w:val="single"/>
        </w:rPr>
        <w:t>3</w:t>
      </w:r>
      <w:r w:rsidR="006F1DCC" w:rsidRPr="00780D76">
        <w:rPr>
          <w:rFonts w:asciiTheme="minorHAnsi" w:hAnsiTheme="minorHAnsi" w:cstheme="minorHAnsi"/>
          <w:b/>
          <w:color w:val="0000FF"/>
          <w:highlight w:val="yellow"/>
          <w:u w:val="single"/>
        </w:rPr>
        <w:fldChar w:fldCharType="end"/>
      </w:r>
      <w:r w:rsidRPr="00780D76">
        <w:rPr>
          <w:rFonts w:asciiTheme="minorHAnsi" w:hAnsiTheme="minorHAnsi" w:cstheme="minorHAnsi"/>
          <w:color w:val="0000FF"/>
        </w:rPr>
        <w:t xml:space="preserve"> </w:t>
      </w:r>
      <w:r w:rsidRPr="00780D76">
        <w:rPr>
          <w:rFonts w:asciiTheme="minorHAnsi" w:hAnsiTheme="minorHAnsi" w:cstheme="minorHAnsi"/>
        </w:rPr>
        <w:t xml:space="preserve">of this paper) could be undertaken electronically. </w:t>
      </w:r>
    </w:p>
    <w:p w14:paraId="087CEA94"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There is no equivalent to these articles under current Australian law. For example, as discussed at </w:t>
      </w:r>
      <w:r w:rsidRPr="00780D76">
        <w:rPr>
          <w:rFonts w:asciiTheme="minorHAnsi" w:hAnsiTheme="minorHAnsi" w:cstheme="minorHAnsi"/>
          <w:b/>
          <w:color w:val="0000FF"/>
          <w:u w:val="single"/>
        </w:rPr>
        <w:t xml:space="preserve">part </w:t>
      </w:r>
      <w:r w:rsidR="009B6057" w:rsidRPr="00780D76">
        <w:rPr>
          <w:rFonts w:asciiTheme="minorHAnsi" w:hAnsiTheme="minorHAnsi" w:cstheme="minorHAnsi"/>
          <w:b/>
          <w:color w:val="0000FF"/>
          <w:u w:val="single"/>
        </w:rPr>
        <w:fldChar w:fldCharType="begin"/>
      </w:r>
      <w:r w:rsidR="009B6057" w:rsidRPr="00780D76">
        <w:rPr>
          <w:rFonts w:asciiTheme="minorHAnsi" w:hAnsiTheme="minorHAnsi" w:cstheme="minorHAnsi"/>
          <w:b/>
          <w:color w:val="0000FF"/>
          <w:u w:val="single"/>
        </w:rPr>
        <w:instrText xml:space="preserve"> REF _Ref176437621 \r \h </w:instrText>
      </w:r>
      <w:r w:rsidR="00282AA9" w:rsidRPr="00780D76">
        <w:rPr>
          <w:rFonts w:asciiTheme="minorHAnsi" w:hAnsiTheme="minorHAnsi" w:cstheme="minorHAnsi"/>
          <w:b/>
          <w:color w:val="0000FF"/>
          <w:u w:val="single"/>
        </w:rPr>
        <w:instrText xml:space="preserve"> \* MERGEFORMAT </w:instrText>
      </w:r>
      <w:r w:rsidR="009B6057" w:rsidRPr="00780D76">
        <w:rPr>
          <w:rFonts w:asciiTheme="minorHAnsi" w:hAnsiTheme="minorHAnsi" w:cstheme="minorHAnsi"/>
          <w:b/>
          <w:color w:val="0000FF"/>
          <w:u w:val="single"/>
        </w:rPr>
      </w:r>
      <w:r w:rsidR="009B6057" w:rsidRPr="00780D76">
        <w:rPr>
          <w:rFonts w:asciiTheme="minorHAnsi" w:hAnsiTheme="minorHAnsi" w:cstheme="minorHAnsi"/>
          <w:b/>
          <w:color w:val="0000FF"/>
          <w:u w:val="single"/>
        </w:rPr>
        <w:fldChar w:fldCharType="separate"/>
      </w:r>
      <w:r w:rsidR="009B6057" w:rsidRPr="00780D76">
        <w:rPr>
          <w:rFonts w:asciiTheme="minorHAnsi" w:hAnsiTheme="minorHAnsi" w:cstheme="minorHAnsi"/>
          <w:b/>
          <w:color w:val="0000FF"/>
          <w:u w:val="single"/>
        </w:rPr>
        <w:t>3.6</w:t>
      </w:r>
      <w:r w:rsidR="009B6057" w:rsidRPr="00780D76">
        <w:rPr>
          <w:rFonts w:asciiTheme="minorHAnsi" w:hAnsiTheme="minorHAnsi" w:cstheme="minorHAnsi"/>
          <w:b/>
          <w:color w:val="0000FF"/>
          <w:u w:val="single"/>
        </w:rPr>
        <w:fldChar w:fldCharType="end"/>
      </w:r>
      <w:r w:rsidR="009B6057" w:rsidRPr="00780D76">
        <w:rPr>
          <w:rFonts w:asciiTheme="minorHAnsi" w:hAnsiTheme="minorHAnsi" w:cstheme="minorHAnsi"/>
          <w:color w:val="0000FF"/>
        </w:rPr>
        <w:t xml:space="preserve"> </w:t>
      </w:r>
      <w:r w:rsidRPr="00780D76">
        <w:rPr>
          <w:rFonts w:asciiTheme="minorHAnsi" w:hAnsiTheme="minorHAnsi" w:cstheme="minorHAnsi"/>
        </w:rPr>
        <w:t xml:space="preserve">of this paper, existing Australian laws which enable the use of eBOLs do not themselves require eBOLs to be functionally equivalent in the same manner. </w:t>
      </w:r>
    </w:p>
    <w:p w14:paraId="3B3FED5B"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lastRenderedPageBreak/>
        <w:t xml:space="preserve">However, with respect to functions other than ‘possession’ and ‘transfer’ under MLETR (for example, ‘signatures’ and ‘information in writing’), our view is that the conditions for functional equivalence under other MLETR articles may be broadly comparable to those under the Uniform Australian ETAs. </w:t>
      </w:r>
    </w:p>
    <w:p w14:paraId="1E81A1BD"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For example, both section 9 of the ETA and article 8 of the MLETR require, amongst other things, that electronic written information must be ‘</w:t>
      </w:r>
      <w:r w:rsidRPr="00A10DE8">
        <w:rPr>
          <w:rFonts w:asciiTheme="minorHAnsi" w:hAnsiTheme="minorHAnsi" w:cstheme="minorHAnsi"/>
          <w:i/>
        </w:rPr>
        <w:t>accessible so as to be useable for subsequent reference</w:t>
      </w:r>
      <w:r w:rsidRPr="00780D76">
        <w:rPr>
          <w:rFonts w:asciiTheme="minorHAnsi" w:hAnsiTheme="minorHAnsi" w:cstheme="minorHAnsi"/>
        </w:rPr>
        <w:t xml:space="preserve">’ in order to be functionally equivalent to physically-written information. </w:t>
      </w:r>
    </w:p>
    <w:p w14:paraId="6E2695CA"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We note that, in developing these provisions, UNCITRAL had regard to maintaining consistency with earlier texts, in particular the MLEC and the Electronic Communications Convention. As describ</w:t>
      </w:r>
      <w:r w:rsidRPr="00780D76">
        <w:rPr>
          <w:rFonts w:asciiTheme="minorHAnsi" w:hAnsiTheme="minorHAnsi" w:cstheme="minorHAnsi"/>
          <w:color w:val="auto"/>
        </w:rPr>
        <w:t xml:space="preserve">ed at </w:t>
      </w:r>
      <w:r w:rsidRPr="00780D76">
        <w:rPr>
          <w:rFonts w:asciiTheme="minorHAnsi" w:hAnsiTheme="minorHAnsi" w:cstheme="minorHAnsi"/>
          <w:b/>
          <w:color w:val="0000FF"/>
          <w:u w:val="single"/>
        </w:rPr>
        <w:t xml:space="preserve">part </w:t>
      </w:r>
      <w:r w:rsidR="009B6057" w:rsidRPr="00780D76">
        <w:rPr>
          <w:rFonts w:asciiTheme="minorHAnsi" w:hAnsiTheme="minorHAnsi" w:cstheme="minorHAnsi"/>
          <w:b/>
          <w:color w:val="0000FF"/>
          <w:u w:val="single"/>
        </w:rPr>
        <w:fldChar w:fldCharType="begin"/>
      </w:r>
      <w:r w:rsidR="009B6057" w:rsidRPr="00780D76">
        <w:rPr>
          <w:rFonts w:asciiTheme="minorHAnsi" w:hAnsiTheme="minorHAnsi" w:cstheme="minorHAnsi"/>
          <w:b/>
          <w:color w:val="0000FF"/>
          <w:u w:val="single"/>
        </w:rPr>
        <w:instrText xml:space="preserve"> REF _Ref176437630 \r \h </w:instrText>
      </w:r>
      <w:r w:rsidR="00282AA9" w:rsidRPr="00780D76">
        <w:rPr>
          <w:rFonts w:asciiTheme="minorHAnsi" w:hAnsiTheme="minorHAnsi" w:cstheme="minorHAnsi"/>
          <w:b/>
          <w:color w:val="0000FF"/>
          <w:u w:val="single"/>
        </w:rPr>
        <w:instrText xml:space="preserve"> \* MERGEFORMAT </w:instrText>
      </w:r>
      <w:r w:rsidR="009B6057" w:rsidRPr="00780D76">
        <w:rPr>
          <w:rFonts w:asciiTheme="minorHAnsi" w:hAnsiTheme="minorHAnsi" w:cstheme="minorHAnsi"/>
          <w:b/>
          <w:color w:val="0000FF"/>
          <w:u w:val="single"/>
        </w:rPr>
      </w:r>
      <w:r w:rsidR="009B6057" w:rsidRPr="00780D76">
        <w:rPr>
          <w:rFonts w:asciiTheme="minorHAnsi" w:hAnsiTheme="minorHAnsi" w:cstheme="minorHAnsi"/>
          <w:b/>
          <w:color w:val="0000FF"/>
          <w:u w:val="single"/>
        </w:rPr>
        <w:fldChar w:fldCharType="separate"/>
      </w:r>
      <w:r w:rsidR="009B6057" w:rsidRPr="00780D76">
        <w:rPr>
          <w:rFonts w:asciiTheme="minorHAnsi" w:hAnsiTheme="minorHAnsi" w:cstheme="minorHAnsi"/>
          <w:b/>
          <w:color w:val="0000FF"/>
          <w:u w:val="single"/>
        </w:rPr>
        <w:t>3.5</w:t>
      </w:r>
      <w:r w:rsidR="009B6057" w:rsidRPr="00780D76">
        <w:rPr>
          <w:rFonts w:asciiTheme="minorHAnsi" w:hAnsiTheme="minorHAnsi" w:cstheme="minorHAnsi"/>
          <w:b/>
          <w:color w:val="0000FF"/>
          <w:u w:val="single"/>
        </w:rPr>
        <w:fldChar w:fldCharType="end"/>
      </w:r>
      <w:r w:rsidRPr="00780D76">
        <w:rPr>
          <w:rFonts w:asciiTheme="minorHAnsi" w:hAnsiTheme="minorHAnsi" w:cstheme="minorHAnsi"/>
          <w:color w:val="FF0000"/>
        </w:rPr>
        <w:t xml:space="preserve"> </w:t>
      </w:r>
      <w:r w:rsidRPr="00780D76">
        <w:rPr>
          <w:rFonts w:asciiTheme="minorHAnsi" w:hAnsiTheme="minorHAnsi" w:cstheme="minorHAnsi"/>
        </w:rPr>
        <w:t>above, the Uniform Australian ETAs were substantially inspired by the MLEC and the Electronic Communications Convention.</w:t>
      </w:r>
    </w:p>
    <w:p w14:paraId="594D672F" w14:textId="77777777" w:rsidR="00040EE5" w:rsidRPr="00780D76" w:rsidRDefault="00040EE5" w:rsidP="00A10DE8">
      <w:pPr>
        <w:pStyle w:val="Boxheading"/>
        <w:numPr>
          <w:ilvl w:val="0"/>
          <w:numId w:val="32"/>
        </w:numPr>
        <w:spacing w:line="240" w:lineRule="auto"/>
        <w:outlineLvl w:val="2"/>
        <w:rPr>
          <w:rFonts w:asciiTheme="minorHAnsi" w:hAnsiTheme="minorHAnsi" w:cstheme="minorHAnsi"/>
          <w:b/>
          <w:caps w:val="0"/>
          <w:color w:val="auto"/>
          <w:sz w:val="28"/>
        </w:rPr>
      </w:pPr>
    </w:p>
    <w:p w14:paraId="097C5935" w14:textId="77777777" w:rsidR="00040EE5" w:rsidRPr="00780D76" w:rsidRDefault="00040EE5" w:rsidP="009B6057">
      <w:pPr>
        <w:pStyle w:val="Boxheading"/>
        <w:spacing w:line="240" w:lineRule="auto"/>
        <w:rPr>
          <w:rFonts w:asciiTheme="minorHAnsi" w:hAnsiTheme="minorHAnsi" w:cstheme="minorHAnsi"/>
          <w:caps w:val="0"/>
          <w:color w:val="auto"/>
        </w:rPr>
      </w:pPr>
      <w:r w:rsidRPr="00780D76">
        <w:rPr>
          <w:rFonts w:asciiTheme="minorHAnsi" w:hAnsiTheme="minorHAnsi" w:cstheme="minorHAnsi"/>
          <w:caps w:val="0"/>
          <w:color w:val="auto"/>
        </w:rPr>
        <w:t>Would adoption of the MLETR in its current form provide you with confidence that electronic transferable records are just as legally valid as paper versions of those records for the purpose of Australian law?</w:t>
      </w:r>
    </w:p>
    <w:p w14:paraId="027705A6" w14:textId="77777777" w:rsidR="00040EE5" w:rsidRPr="00780D76" w:rsidRDefault="00040EE5" w:rsidP="009B6057">
      <w:pPr>
        <w:pStyle w:val="Boxheading"/>
        <w:numPr>
          <w:ilvl w:val="0"/>
          <w:numId w:val="20"/>
        </w:numPr>
        <w:spacing w:line="240" w:lineRule="auto"/>
        <w:rPr>
          <w:rFonts w:asciiTheme="minorHAnsi" w:hAnsiTheme="minorHAnsi" w:cstheme="minorHAnsi"/>
          <w:b/>
          <w:caps w:val="0"/>
          <w:color w:val="auto"/>
        </w:rPr>
      </w:pPr>
      <w:r w:rsidRPr="00780D76">
        <w:rPr>
          <w:rFonts w:asciiTheme="minorHAnsi" w:hAnsiTheme="minorHAnsi" w:cstheme="minorHAnsi"/>
          <w:b/>
          <w:caps w:val="0"/>
          <w:color w:val="auto"/>
        </w:rPr>
        <w:t>Yes</w:t>
      </w:r>
    </w:p>
    <w:p w14:paraId="2B20580B" w14:textId="77777777" w:rsidR="00040EE5" w:rsidRPr="00780D76" w:rsidRDefault="00040EE5" w:rsidP="009B6057">
      <w:pPr>
        <w:pStyle w:val="Boxheading"/>
        <w:numPr>
          <w:ilvl w:val="0"/>
          <w:numId w:val="20"/>
        </w:numPr>
        <w:spacing w:line="240" w:lineRule="auto"/>
        <w:rPr>
          <w:rFonts w:asciiTheme="minorHAnsi" w:hAnsiTheme="minorHAnsi" w:cstheme="minorHAnsi"/>
          <w:b/>
          <w:caps w:val="0"/>
          <w:color w:val="auto"/>
        </w:rPr>
      </w:pPr>
      <w:r w:rsidRPr="00780D76">
        <w:rPr>
          <w:rFonts w:asciiTheme="minorHAnsi" w:hAnsiTheme="minorHAnsi" w:cstheme="minorHAnsi"/>
          <w:b/>
          <w:caps w:val="0"/>
          <w:color w:val="auto"/>
        </w:rPr>
        <w:t>No</w:t>
      </w:r>
    </w:p>
    <w:p w14:paraId="12DE7452" w14:textId="77777777" w:rsidR="00040EE5" w:rsidRPr="00780D76" w:rsidRDefault="00040EE5" w:rsidP="009B6057">
      <w:pPr>
        <w:pStyle w:val="Boxheading"/>
        <w:numPr>
          <w:ilvl w:val="0"/>
          <w:numId w:val="20"/>
        </w:numPr>
        <w:spacing w:line="240" w:lineRule="auto"/>
        <w:rPr>
          <w:rFonts w:asciiTheme="minorHAnsi" w:hAnsiTheme="minorHAnsi" w:cstheme="minorHAnsi"/>
          <w:b/>
          <w:caps w:val="0"/>
          <w:color w:val="auto"/>
        </w:rPr>
      </w:pPr>
      <w:r w:rsidRPr="00780D76">
        <w:rPr>
          <w:rFonts w:asciiTheme="minorHAnsi" w:hAnsiTheme="minorHAnsi" w:cstheme="minorHAnsi"/>
          <w:b/>
          <w:caps w:val="0"/>
          <w:color w:val="auto"/>
        </w:rPr>
        <w:t xml:space="preserve">Unsure at this stage </w:t>
      </w:r>
    </w:p>
    <w:p w14:paraId="7B211B7E" w14:textId="77777777" w:rsidR="00040EE5" w:rsidRPr="00780D76" w:rsidRDefault="00040EE5" w:rsidP="009B6057">
      <w:pPr>
        <w:pStyle w:val="Boxheading"/>
        <w:spacing w:line="240" w:lineRule="auto"/>
        <w:rPr>
          <w:rFonts w:asciiTheme="minorHAnsi" w:hAnsiTheme="minorHAnsi" w:cstheme="minorHAnsi"/>
          <w:caps w:val="0"/>
          <w:color w:val="auto"/>
        </w:rPr>
      </w:pPr>
      <w:r w:rsidRPr="00780D76">
        <w:rPr>
          <w:rFonts w:asciiTheme="minorHAnsi" w:hAnsiTheme="minorHAnsi" w:cstheme="minorHAnsi"/>
          <w:caps w:val="0"/>
          <w:color w:val="auto"/>
        </w:rPr>
        <w:t xml:space="preserve">Please expand on your answer. </w:t>
      </w:r>
    </w:p>
    <w:p w14:paraId="4028A955" w14:textId="77777777" w:rsidR="00040EE5" w:rsidRPr="00780D76" w:rsidRDefault="00040EE5" w:rsidP="009B6057">
      <w:pPr>
        <w:pStyle w:val="Boxheading"/>
        <w:spacing w:line="240" w:lineRule="auto"/>
        <w:rPr>
          <w:rFonts w:asciiTheme="minorHAnsi" w:hAnsiTheme="minorHAnsi" w:cstheme="minorHAnsi"/>
          <w:i/>
          <w:color w:val="auto"/>
        </w:rPr>
      </w:pPr>
      <w:r w:rsidRPr="00780D76">
        <w:rPr>
          <w:rFonts w:asciiTheme="minorHAnsi" w:hAnsiTheme="minorHAnsi" w:cstheme="minorHAnsi"/>
          <w:i/>
          <w:caps w:val="0"/>
          <w:color w:val="auto"/>
        </w:rPr>
        <w:t xml:space="preserve">For example: what, if any, modifications or clarifications would be necessary to provide you with confidence in the legal validity of electronic transferable records. </w:t>
      </w:r>
    </w:p>
    <w:p w14:paraId="72F505C1" w14:textId="77777777" w:rsidR="00040EE5" w:rsidRPr="00780D76" w:rsidRDefault="00040EE5" w:rsidP="00040EE5">
      <w:pPr>
        <w:pStyle w:val="Heading3"/>
        <w:rPr>
          <w:rFonts w:asciiTheme="minorHAnsi" w:hAnsiTheme="minorHAnsi" w:cstheme="minorHAnsi"/>
        </w:rPr>
      </w:pPr>
      <w:bookmarkStart w:id="97" w:name="_Toc176275147"/>
      <w:bookmarkStart w:id="98" w:name="_Toc176420812"/>
      <w:r w:rsidRPr="00780D76">
        <w:rPr>
          <w:rFonts w:asciiTheme="minorHAnsi" w:hAnsiTheme="minorHAnsi" w:cstheme="minorHAnsi"/>
        </w:rPr>
        <w:t>How other jurisdictions have enabled functional equivalence</w:t>
      </w:r>
      <w:bookmarkEnd w:id="97"/>
      <w:bookmarkEnd w:id="98"/>
      <w:r w:rsidRPr="00780D76">
        <w:rPr>
          <w:rFonts w:asciiTheme="minorHAnsi" w:hAnsiTheme="minorHAnsi" w:cstheme="minorHAnsi"/>
        </w:rPr>
        <w:t xml:space="preserve"> </w:t>
      </w:r>
    </w:p>
    <w:p w14:paraId="3CEAC230" w14:textId="77777777" w:rsidR="00040EE5"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Of the 10 international jurisdictions which have enacted MLETR-based legislation to date, the majority have established functional equivalence though substantial adoption of the MLETR. Most of these jurisdictions – particularly those which, like Australia, have existing legislation based on the MLEC – incorporated these provisions within their existing electronic transactions legislation.</w:t>
      </w:r>
      <w:r w:rsidRPr="00780D76">
        <w:rPr>
          <w:rStyle w:val="FootnoteReference"/>
          <w:rFonts w:asciiTheme="minorHAnsi" w:hAnsiTheme="minorHAnsi" w:cstheme="minorHAnsi"/>
        </w:rPr>
        <w:footnoteReference w:id="78"/>
      </w:r>
    </w:p>
    <w:p w14:paraId="152875B2" w14:textId="77777777" w:rsidR="00040EE5"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 xml:space="preserve">The UK – which has not previously enacted legislation based on the MLEC or the Electronic Communications Convention – took a different approach to confirming the functional equivalence of paper and electronic trade documents under UK law. </w:t>
      </w:r>
    </w:p>
    <w:p w14:paraId="4C37E15D" w14:textId="77777777" w:rsidR="00040EE5"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lastRenderedPageBreak/>
        <w:t>In brief, the UK ETDA:</w:t>
      </w:r>
      <w:r w:rsidRPr="00780D76">
        <w:rPr>
          <w:rStyle w:val="FootnoteReference"/>
          <w:rFonts w:asciiTheme="minorHAnsi" w:hAnsiTheme="minorHAnsi" w:cstheme="minorHAnsi"/>
        </w:rPr>
        <w:footnoteReference w:id="79"/>
      </w:r>
      <w:r w:rsidRPr="00780D76">
        <w:rPr>
          <w:rFonts w:asciiTheme="minorHAnsi" w:hAnsiTheme="minorHAnsi" w:cstheme="minorHAnsi"/>
        </w:rPr>
        <w:t xml:space="preserve"> </w:t>
      </w:r>
    </w:p>
    <w:p w14:paraId="16CD935D" w14:textId="77777777" w:rsidR="00040EE5" w:rsidRPr="00780D76" w:rsidRDefault="00040EE5" w:rsidP="008B382E">
      <w:pPr>
        <w:pStyle w:val="ListParagraph"/>
        <w:numPr>
          <w:ilvl w:val="0"/>
          <w:numId w:val="22"/>
        </w:numPr>
        <w:spacing w:line="276" w:lineRule="auto"/>
        <w:jc w:val="both"/>
        <w:rPr>
          <w:rFonts w:asciiTheme="minorHAnsi" w:hAnsiTheme="minorHAnsi" w:cstheme="minorHAnsi"/>
        </w:rPr>
      </w:pPr>
      <w:r w:rsidRPr="00780D76">
        <w:rPr>
          <w:rFonts w:asciiTheme="minorHAnsi" w:hAnsiTheme="minorHAnsi" w:cstheme="minorHAnsi"/>
        </w:rPr>
        <w:t>does not say that the function of possessing a paper record can be achieved by a person being identified as having exclusive control of an electronic version of that record</w:t>
      </w:r>
    </w:p>
    <w:p w14:paraId="679B23CF" w14:textId="77777777" w:rsidR="00040EE5" w:rsidRPr="00780D76" w:rsidRDefault="00040EE5" w:rsidP="008B382E">
      <w:pPr>
        <w:pStyle w:val="ListParagraph"/>
        <w:numPr>
          <w:ilvl w:val="0"/>
          <w:numId w:val="22"/>
        </w:numPr>
        <w:spacing w:line="276" w:lineRule="auto"/>
        <w:jc w:val="both"/>
        <w:rPr>
          <w:rFonts w:asciiTheme="minorHAnsi" w:hAnsiTheme="minorHAnsi" w:cstheme="minorHAnsi"/>
        </w:rPr>
      </w:pPr>
      <w:r w:rsidRPr="00780D76">
        <w:rPr>
          <w:rFonts w:asciiTheme="minorHAnsi" w:hAnsiTheme="minorHAnsi" w:cstheme="minorHAnsi"/>
        </w:rPr>
        <w:t>instead confirms, amongst other things, that an electronic ‘trade document’ is capable of being possessed,</w:t>
      </w:r>
      <w:r w:rsidRPr="00780D76">
        <w:rPr>
          <w:rStyle w:val="FootnoteReference"/>
          <w:rFonts w:asciiTheme="minorHAnsi" w:hAnsiTheme="minorHAnsi" w:cstheme="minorHAnsi"/>
        </w:rPr>
        <w:footnoteReference w:id="80"/>
      </w:r>
      <w:r w:rsidRPr="00780D76">
        <w:rPr>
          <w:rFonts w:asciiTheme="minorHAnsi" w:hAnsiTheme="minorHAnsi" w:cstheme="minorHAnsi"/>
        </w:rPr>
        <w:t xml:space="preserve"> and that anything done in relation to an electronic trade document has the same effect in relation to the document as it would have in relation to its paper counterpart.</w:t>
      </w:r>
      <w:r w:rsidRPr="00780D76">
        <w:rPr>
          <w:rStyle w:val="FootnoteReference"/>
          <w:rFonts w:asciiTheme="minorHAnsi" w:hAnsiTheme="minorHAnsi" w:cstheme="minorHAnsi"/>
        </w:rPr>
        <w:footnoteReference w:id="81"/>
      </w:r>
    </w:p>
    <w:p w14:paraId="45B9B1E9" w14:textId="77777777" w:rsidR="00040EE5"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These above provisions were intended to ensure that the rights available to those in possession a paper trade document should also be available in respect of electronic trade documents,</w:t>
      </w:r>
      <w:r w:rsidRPr="00780D76">
        <w:rPr>
          <w:rStyle w:val="FootnoteReference"/>
          <w:rFonts w:asciiTheme="minorHAnsi" w:hAnsiTheme="minorHAnsi" w:cstheme="minorHAnsi"/>
        </w:rPr>
        <w:footnoteReference w:id="82"/>
      </w:r>
      <w:r w:rsidRPr="00780D76">
        <w:rPr>
          <w:rFonts w:asciiTheme="minorHAnsi" w:hAnsiTheme="minorHAnsi" w:cstheme="minorHAnsi"/>
        </w:rPr>
        <w:t xml:space="preserve"> though in a manner more appropriate to accommodate features particular to the law of England and Wales.</w:t>
      </w:r>
      <w:r w:rsidRPr="00780D76">
        <w:rPr>
          <w:rStyle w:val="FootnoteReference"/>
          <w:rFonts w:asciiTheme="minorHAnsi" w:hAnsiTheme="minorHAnsi" w:cstheme="minorHAnsi"/>
        </w:rPr>
        <w:footnoteReference w:id="83"/>
      </w:r>
    </w:p>
    <w:p w14:paraId="7FEB1F31" w14:textId="77777777" w:rsidR="00040EE5"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At this stage, we would be interested in preliminary views regarding whether a distinct approach to functional equivalence might also be appropriate in an Australian context, given Australia’s connection with English law.</w:t>
      </w:r>
    </w:p>
    <w:p w14:paraId="7A189C0D" w14:textId="77777777" w:rsidR="00040EE5" w:rsidRPr="00780D76" w:rsidRDefault="00040EE5" w:rsidP="008B382E">
      <w:pPr>
        <w:pStyle w:val="Boxheading"/>
        <w:numPr>
          <w:ilvl w:val="0"/>
          <w:numId w:val="32"/>
        </w:numPr>
        <w:spacing w:line="240" w:lineRule="auto"/>
        <w:rPr>
          <w:rFonts w:asciiTheme="minorHAnsi" w:hAnsiTheme="minorHAnsi" w:cstheme="minorHAnsi"/>
          <w:b/>
          <w:color w:val="auto"/>
          <w:sz w:val="28"/>
        </w:rPr>
      </w:pPr>
      <w:r w:rsidRPr="00780D76">
        <w:rPr>
          <w:rFonts w:asciiTheme="minorHAnsi" w:hAnsiTheme="minorHAnsi" w:cstheme="minorHAnsi"/>
          <w:b/>
          <w:caps w:val="0"/>
          <w:color w:val="auto"/>
          <w:sz w:val="28"/>
        </w:rPr>
        <w:t xml:space="preserve"> </w:t>
      </w:r>
    </w:p>
    <w:p w14:paraId="1D27854D" w14:textId="77777777" w:rsidR="00040EE5" w:rsidRPr="00780D76" w:rsidRDefault="00040EE5" w:rsidP="009B6057">
      <w:pPr>
        <w:pStyle w:val="Boxheading"/>
        <w:spacing w:line="240" w:lineRule="auto"/>
        <w:rPr>
          <w:rFonts w:asciiTheme="minorHAnsi" w:hAnsiTheme="minorHAnsi" w:cstheme="minorHAnsi"/>
          <w:color w:val="auto"/>
        </w:rPr>
      </w:pPr>
      <w:r w:rsidRPr="00780D76">
        <w:rPr>
          <w:rFonts w:asciiTheme="minorHAnsi" w:hAnsiTheme="minorHAnsi" w:cstheme="minorHAnsi"/>
          <w:caps w:val="0"/>
          <w:color w:val="auto"/>
        </w:rPr>
        <w:t>Please share your preliminary views about whether there is anything under Australian law which you think justifies a unique approach to confirming the functional equivalence of transferable records (that is, as distinct from the MLETR)</w:t>
      </w:r>
      <w:r w:rsidRPr="00780D76">
        <w:rPr>
          <w:rFonts w:asciiTheme="minorHAnsi" w:hAnsiTheme="minorHAnsi" w:cstheme="minorHAnsi"/>
          <w:color w:val="auto"/>
        </w:rPr>
        <w:t>?</w:t>
      </w:r>
    </w:p>
    <w:p w14:paraId="1031A814" w14:textId="77777777" w:rsidR="00040EE5" w:rsidRPr="00780D76" w:rsidRDefault="00040EE5" w:rsidP="008B382E">
      <w:pPr>
        <w:pStyle w:val="Heading1"/>
        <w:keepLines/>
        <w:numPr>
          <w:ilvl w:val="1"/>
          <w:numId w:val="31"/>
        </w:numPr>
        <w:spacing w:before="0" w:after="240" w:line="259" w:lineRule="auto"/>
        <w:ind w:left="709" w:hanging="709"/>
        <w:rPr>
          <w:rFonts w:asciiTheme="minorHAnsi" w:hAnsiTheme="minorHAnsi" w:cstheme="minorHAnsi"/>
          <w:sz w:val="36"/>
          <w:lang w:eastAsia="en-AU"/>
        </w:rPr>
      </w:pPr>
      <w:bookmarkStart w:id="99" w:name="_Ref176437699"/>
      <w:bookmarkStart w:id="100" w:name="_Toc176437892"/>
      <w:r w:rsidRPr="00780D76">
        <w:rPr>
          <w:rFonts w:asciiTheme="minorHAnsi" w:hAnsiTheme="minorHAnsi" w:cstheme="minorHAnsi"/>
          <w:sz w:val="36"/>
          <w:lang w:eastAsia="en-AU"/>
        </w:rPr>
        <w:t>The MLETR – technology-neutrality</w:t>
      </w:r>
      <w:bookmarkEnd w:id="99"/>
      <w:bookmarkEnd w:id="100"/>
      <w:r w:rsidRPr="00780D76">
        <w:rPr>
          <w:rFonts w:asciiTheme="minorHAnsi" w:hAnsiTheme="minorHAnsi" w:cstheme="minorHAnsi"/>
          <w:sz w:val="36"/>
          <w:lang w:eastAsia="en-AU"/>
        </w:rPr>
        <w:t xml:space="preserve"> </w:t>
      </w:r>
    </w:p>
    <w:p w14:paraId="5C09B738"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We are also interested in preliminary views about how an Australian option for MLETR should provide flexibility for trade participants to use available technology or electronic systems, whilst also ensuring minimum levels of security and reliability. </w:t>
      </w:r>
    </w:p>
    <w:p w14:paraId="7BC6C2C5"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Accordingly, this section broadly discusses how the MLETR provides a technology-neutral or flexible approach, and asks stakeholders for preliminary views on whether this approach would promote both innovation and confidence in the usability of electronic transferable records. </w:t>
      </w:r>
    </w:p>
    <w:p w14:paraId="132B0132" w14:textId="77777777" w:rsidR="00040EE5" w:rsidRPr="00780D76" w:rsidRDefault="00040EE5" w:rsidP="009B6057">
      <w:pPr>
        <w:pStyle w:val="Heading3"/>
        <w:rPr>
          <w:rFonts w:asciiTheme="minorHAnsi" w:hAnsiTheme="minorHAnsi" w:cstheme="minorHAnsi"/>
        </w:rPr>
      </w:pPr>
      <w:bookmarkStart w:id="101" w:name="_Toc176275149"/>
      <w:bookmarkStart w:id="102" w:name="_Toc176420814"/>
      <w:r w:rsidRPr="00780D76">
        <w:rPr>
          <w:rFonts w:asciiTheme="minorHAnsi" w:hAnsiTheme="minorHAnsi" w:cstheme="minorHAnsi"/>
        </w:rPr>
        <w:t>How does the MLETR enable technology-neutrality?</w:t>
      </w:r>
      <w:bookmarkEnd w:id="101"/>
      <w:bookmarkEnd w:id="102"/>
      <w:r w:rsidRPr="00780D76">
        <w:rPr>
          <w:rFonts w:asciiTheme="minorHAnsi" w:hAnsiTheme="minorHAnsi" w:cstheme="minorHAnsi"/>
        </w:rPr>
        <w:t xml:space="preserve"> </w:t>
      </w:r>
    </w:p>
    <w:p w14:paraId="73D997EE"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b/>
        </w:rPr>
        <w:t>Technology-neutrality</w:t>
      </w:r>
      <w:r w:rsidRPr="00780D76">
        <w:rPr>
          <w:rFonts w:asciiTheme="minorHAnsi" w:hAnsiTheme="minorHAnsi" w:cstheme="minorHAnsi"/>
        </w:rPr>
        <w:t xml:space="preserve"> refers to an approach to legal validity that provides generic rules to achieve functional equivalence, and which does not require any particular system or software to be used for compliance. </w:t>
      </w:r>
    </w:p>
    <w:p w14:paraId="7DA66B36"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lastRenderedPageBreak/>
        <w:t xml:space="preserve">For example, several provisions under MLETR which establish functional equivalence, including articles 10 and 11, require that a sufficiently ‘reliable’ method be used to establish particular criteria, without specifying any technology, software or electronic method that must be used. </w:t>
      </w:r>
    </w:p>
    <w:p w14:paraId="746BEA3B"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Article 12 of the MLETR contains the considerations relevant to an assessment of whether a specific method is sufficiently reliable. For example, under article 12, a method must be ‘as reliable as appropriate’: based on the function for which the method is being used and all relevant circumstances, including the following non-exhaustive factors: </w:t>
      </w:r>
    </w:p>
    <w:p w14:paraId="6B05BDC3" w14:textId="77777777" w:rsidR="00040EE5" w:rsidRPr="00780D76" w:rsidRDefault="00040EE5" w:rsidP="008B382E">
      <w:pPr>
        <w:pStyle w:val="ListParagraph"/>
        <w:numPr>
          <w:ilvl w:val="0"/>
          <w:numId w:val="23"/>
        </w:num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any operational rules relevant to the assessment of reliability </w:t>
      </w:r>
    </w:p>
    <w:p w14:paraId="564DC412" w14:textId="77777777" w:rsidR="00040EE5" w:rsidRPr="00780D76" w:rsidRDefault="00040EE5" w:rsidP="008B382E">
      <w:pPr>
        <w:pStyle w:val="ListParagraph"/>
        <w:numPr>
          <w:ilvl w:val="0"/>
          <w:numId w:val="23"/>
        </w:num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the assurance of data integrity </w:t>
      </w:r>
    </w:p>
    <w:p w14:paraId="0067C57A" w14:textId="77777777" w:rsidR="00040EE5" w:rsidRPr="00780D76" w:rsidRDefault="00040EE5" w:rsidP="008B382E">
      <w:pPr>
        <w:pStyle w:val="ListParagraph"/>
        <w:numPr>
          <w:ilvl w:val="0"/>
          <w:numId w:val="23"/>
        </w:num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the ability to prevent unauthorized access to and use of the system </w:t>
      </w:r>
    </w:p>
    <w:p w14:paraId="280F921E" w14:textId="77777777" w:rsidR="00040EE5" w:rsidRPr="00780D76" w:rsidRDefault="00040EE5" w:rsidP="008B382E">
      <w:pPr>
        <w:pStyle w:val="ListParagraph"/>
        <w:numPr>
          <w:ilvl w:val="0"/>
          <w:numId w:val="23"/>
        </w:num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the security of hardware and software </w:t>
      </w:r>
    </w:p>
    <w:p w14:paraId="78655699" w14:textId="77777777" w:rsidR="00040EE5" w:rsidRPr="00780D76" w:rsidRDefault="00040EE5" w:rsidP="008B382E">
      <w:pPr>
        <w:pStyle w:val="ListParagraph"/>
        <w:numPr>
          <w:ilvl w:val="0"/>
          <w:numId w:val="23"/>
        </w:num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the regularity and extent of audit by an independent body </w:t>
      </w:r>
    </w:p>
    <w:p w14:paraId="62B821AB" w14:textId="77777777" w:rsidR="00040EE5" w:rsidRPr="00780D76" w:rsidRDefault="00040EE5" w:rsidP="008B382E">
      <w:pPr>
        <w:pStyle w:val="ListParagraph"/>
        <w:numPr>
          <w:ilvl w:val="0"/>
          <w:numId w:val="23"/>
        </w:num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the existence of a declaration by a supervisory body, an accreditation body or a voluntary scheme regarding the reliability of the method </w:t>
      </w:r>
    </w:p>
    <w:p w14:paraId="4CF08126" w14:textId="77777777" w:rsidR="00040EE5" w:rsidRPr="00780D76" w:rsidRDefault="00040EE5" w:rsidP="008B382E">
      <w:pPr>
        <w:pStyle w:val="ListParagraph"/>
        <w:numPr>
          <w:ilvl w:val="0"/>
          <w:numId w:val="23"/>
        </w:num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any applicable industry standard. </w:t>
      </w:r>
    </w:p>
    <w:p w14:paraId="41977B73" w14:textId="77777777" w:rsidR="00040EE5" w:rsidRPr="00780D76" w:rsidRDefault="00040EE5" w:rsidP="00040EE5">
      <w:pPr>
        <w:tabs>
          <w:tab w:val="left" w:pos="964"/>
        </w:tabs>
        <w:spacing w:line="276" w:lineRule="auto"/>
        <w:jc w:val="both"/>
        <w:rPr>
          <w:rFonts w:asciiTheme="minorHAnsi" w:hAnsiTheme="minorHAnsi" w:cstheme="minorHAnsi"/>
          <w:b/>
          <w:u w:val="single"/>
        </w:rPr>
      </w:pPr>
      <w:r w:rsidRPr="00780D76">
        <w:rPr>
          <w:rFonts w:asciiTheme="minorHAnsi" w:hAnsiTheme="minorHAnsi" w:cstheme="minorHAnsi"/>
          <w:b/>
          <w:u w:val="single"/>
        </w:rPr>
        <w:t xml:space="preserve">Please refer to article 12 of the MLETR set out at Annexure A. </w:t>
      </w:r>
    </w:p>
    <w:p w14:paraId="6B67D326"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Article 12 also confirms that a method which has ‘in fact’ fulfilled the relevant function, for example based on evidence to that effect, will be deemed appropriately reliable. This provision was intended to limit frivolous litigation concerning the reliability of demonstrably effective methods. </w:t>
      </w:r>
    </w:p>
    <w:p w14:paraId="091C59FC"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Subject to the method being appropriately reliable, parties may therefore generate or possess electronic transferable records using the method of their choosing, whether based on distributed ledger technology, registry, token, or any other technology.</w:t>
      </w:r>
      <w:r w:rsidRPr="00780D76">
        <w:rPr>
          <w:rStyle w:val="FootnoteReference"/>
          <w:rFonts w:asciiTheme="minorHAnsi" w:hAnsiTheme="minorHAnsi" w:cstheme="minorHAnsi"/>
        </w:rPr>
        <w:footnoteReference w:id="84"/>
      </w:r>
    </w:p>
    <w:p w14:paraId="1FB4D1B8" w14:textId="77777777" w:rsidR="00040EE5" w:rsidRPr="00780D76" w:rsidRDefault="00040EE5" w:rsidP="00040EE5">
      <w:pPr>
        <w:pStyle w:val="Heading3"/>
        <w:rPr>
          <w:rFonts w:asciiTheme="minorHAnsi" w:hAnsiTheme="minorHAnsi" w:cstheme="minorHAnsi"/>
        </w:rPr>
      </w:pPr>
      <w:bookmarkStart w:id="103" w:name="_Toc176275150"/>
      <w:bookmarkStart w:id="104" w:name="_Toc176420815"/>
      <w:r w:rsidRPr="00780D76">
        <w:rPr>
          <w:rFonts w:asciiTheme="minorHAnsi" w:hAnsiTheme="minorHAnsi" w:cstheme="minorHAnsi"/>
        </w:rPr>
        <w:t>How are these provisions comparable with existing Australian law?</w:t>
      </w:r>
      <w:bookmarkEnd w:id="103"/>
      <w:bookmarkEnd w:id="104"/>
      <w:r w:rsidRPr="00780D76">
        <w:rPr>
          <w:rFonts w:asciiTheme="minorHAnsi" w:hAnsiTheme="minorHAnsi" w:cstheme="minorHAnsi"/>
        </w:rPr>
        <w:t xml:space="preserve"> </w:t>
      </w:r>
    </w:p>
    <w:p w14:paraId="76DE4A05"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The approach under article 12 of the MLETR is comparable with the Uniform Australian ETAs, which likewise require that ‘reliable’ methods be used to electronically complete certain functions required or permitted under law (like making signatures), where the ‘reliability’ of these methods may be considered in light of the purpose for which it was used, and all other relevant circumstances.</w:t>
      </w:r>
      <w:r w:rsidRPr="00780D76">
        <w:rPr>
          <w:rStyle w:val="FootnoteReference"/>
          <w:rFonts w:asciiTheme="minorHAnsi" w:hAnsiTheme="minorHAnsi" w:cstheme="minorHAnsi"/>
        </w:rPr>
        <w:footnoteReference w:id="85"/>
      </w:r>
    </w:p>
    <w:p w14:paraId="48CA9B46"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For example, this approach gives Australians the flexibility to use any technology or method of their choosing to generate an electronic signature as required under Commonwealth law, so long as the method identifies the signer and their intention, using a sufficiently ‘reliable’ method.</w:t>
      </w:r>
      <w:r w:rsidRPr="00780D76">
        <w:rPr>
          <w:rStyle w:val="FootnoteReference"/>
          <w:rFonts w:asciiTheme="minorHAnsi" w:hAnsiTheme="minorHAnsi" w:cstheme="minorHAnsi"/>
        </w:rPr>
        <w:footnoteReference w:id="86"/>
      </w:r>
      <w:r w:rsidRPr="00780D76">
        <w:rPr>
          <w:rFonts w:asciiTheme="minorHAnsi" w:hAnsiTheme="minorHAnsi" w:cstheme="minorHAnsi"/>
        </w:rPr>
        <w:t xml:space="preserve"> </w:t>
      </w:r>
    </w:p>
    <w:p w14:paraId="1FB3B734"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Conversely, as discussed at</w:t>
      </w:r>
      <w:r w:rsidR="009B6057" w:rsidRPr="00780D76">
        <w:rPr>
          <w:rFonts w:asciiTheme="minorHAnsi" w:hAnsiTheme="minorHAnsi" w:cstheme="minorHAnsi"/>
        </w:rPr>
        <w:t xml:space="preserve"> </w:t>
      </w:r>
      <w:r w:rsidR="009B6057" w:rsidRPr="00780D76">
        <w:rPr>
          <w:rFonts w:asciiTheme="minorHAnsi" w:hAnsiTheme="minorHAnsi" w:cstheme="minorHAnsi"/>
          <w:b/>
          <w:color w:val="0000FF"/>
          <w:u w:val="single"/>
        </w:rPr>
        <w:t>part</w:t>
      </w:r>
      <w:r w:rsidRPr="00780D76">
        <w:rPr>
          <w:rFonts w:asciiTheme="minorHAnsi" w:hAnsiTheme="minorHAnsi" w:cstheme="minorHAnsi"/>
          <w:b/>
          <w:color w:val="0000FF"/>
          <w:u w:val="single"/>
        </w:rPr>
        <w:t xml:space="preserve"> </w:t>
      </w:r>
      <w:r w:rsidR="009B6057" w:rsidRPr="00780D76">
        <w:rPr>
          <w:rFonts w:asciiTheme="minorHAnsi" w:hAnsiTheme="minorHAnsi" w:cstheme="minorHAnsi"/>
          <w:b/>
          <w:color w:val="0000FF"/>
          <w:u w:val="single"/>
        </w:rPr>
        <w:fldChar w:fldCharType="begin"/>
      </w:r>
      <w:r w:rsidR="009B6057" w:rsidRPr="00780D76">
        <w:rPr>
          <w:rFonts w:asciiTheme="minorHAnsi" w:hAnsiTheme="minorHAnsi" w:cstheme="minorHAnsi"/>
          <w:b/>
          <w:color w:val="0000FF"/>
          <w:u w:val="single"/>
        </w:rPr>
        <w:instrText xml:space="preserve"> REF _Ref176437650 \r \h </w:instrText>
      </w:r>
      <w:r w:rsidR="00282AA9" w:rsidRPr="00780D76">
        <w:rPr>
          <w:rFonts w:asciiTheme="minorHAnsi" w:hAnsiTheme="minorHAnsi" w:cstheme="minorHAnsi"/>
          <w:b/>
          <w:color w:val="0000FF"/>
          <w:u w:val="single"/>
        </w:rPr>
        <w:instrText xml:space="preserve"> \* MERGEFORMAT </w:instrText>
      </w:r>
      <w:r w:rsidR="009B6057" w:rsidRPr="00780D76">
        <w:rPr>
          <w:rFonts w:asciiTheme="minorHAnsi" w:hAnsiTheme="minorHAnsi" w:cstheme="minorHAnsi"/>
          <w:b/>
          <w:color w:val="0000FF"/>
          <w:u w:val="single"/>
        </w:rPr>
      </w:r>
      <w:r w:rsidR="009B6057" w:rsidRPr="00780D76">
        <w:rPr>
          <w:rFonts w:asciiTheme="minorHAnsi" w:hAnsiTheme="minorHAnsi" w:cstheme="minorHAnsi"/>
          <w:b/>
          <w:color w:val="0000FF"/>
          <w:u w:val="single"/>
        </w:rPr>
        <w:fldChar w:fldCharType="separate"/>
      </w:r>
      <w:r w:rsidR="009B6057" w:rsidRPr="00780D76">
        <w:rPr>
          <w:rFonts w:asciiTheme="minorHAnsi" w:hAnsiTheme="minorHAnsi" w:cstheme="minorHAnsi"/>
          <w:b/>
          <w:color w:val="0000FF"/>
          <w:u w:val="single"/>
        </w:rPr>
        <w:t>3.6</w:t>
      </w:r>
      <w:r w:rsidR="009B6057" w:rsidRPr="00780D76">
        <w:rPr>
          <w:rFonts w:asciiTheme="minorHAnsi" w:hAnsiTheme="minorHAnsi" w:cstheme="minorHAnsi"/>
          <w:b/>
          <w:color w:val="0000FF"/>
          <w:u w:val="single"/>
        </w:rPr>
        <w:fldChar w:fldCharType="end"/>
      </w:r>
      <w:r w:rsidRPr="00780D76">
        <w:rPr>
          <w:rFonts w:asciiTheme="minorHAnsi" w:hAnsiTheme="minorHAnsi" w:cstheme="minorHAnsi"/>
          <w:color w:val="0000FF"/>
        </w:rPr>
        <w:t xml:space="preserve"> </w:t>
      </w:r>
      <w:r w:rsidRPr="00780D76">
        <w:rPr>
          <w:rFonts w:asciiTheme="minorHAnsi" w:hAnsiTheme="minorHAnsi" w:cstheme="minorHAnsi"/>
        </w:rPr>
        <w:t xml:space="preserve">of this paper, existing Australian laws which enable the use of eBOLs do not themselves require that the method used to generate the eBOL be sufficiently reliable, nor set any factors relevant to reliability. In addition, eBOLs may be restricted to the technology or system referred to in the underlying agreement. </w:t>
      </w:r>
    </w:p>
    <w:p w14:paraId="4C881983"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lastRenderedPageBreak/>
        <w:t>We are interested in preliminary stakeholder views about the appropriateness of factors upon which reliability can be assessed under article 12 of the MLETR, including any potential changes which may improve stakeholder confidence or clarity.</w:t>
      </w:r>
    </w:p>
    <w:p w14:paraId="1C478558" w14:textId="77777777" w:rsidR="00040EE5" w:rsidRPr="00780D76" w:rsidRDefault="00040EE5" w:rsidP="008B382E">
      <w:pPr>
        <w:pStyle w:val="Boxheading"/>
        <w:numPr>
          <w:ilvl w:val="0"/>
          <w:numId w:val="32"/>
        </w:numPr>
        <w:spacing w:line="240" w:lineRule="auto"/>
        <w:rPr>
          <w:rFonts w:asciiTheme="minorHAnsi" w:hAnsiTheme="minorHAnsi" w:cstheme="minorHAnsi"/>
          <w:b/>
          <w:color w:val="auto"/>
          <w:sz w:val="28"/>
        </w:rPr>
      </w:pPr>
      <w:r w:rsidRPr="00780D76">
        <w:rPr>
          <w:rFonts w:asciiTheme="minorHAnsi" w:hAnsiTheme="minorHAnsi" w:cstheme="minorHAnsi"/>
          <w:b/>
          <w:caps w:val="0"/>
          <w:color w:val="auto"/>
          <w:sz w:val="28"/>
        </w:rPr>
        <w:t xml:space="preserve"> </w:t>
      </w:r>
    </w:p>
    <w:p w14:paraId="7ED330C5" w14:textId="77777777" w:rsidR="00040EE5" w:rsidRPr="00780D76" w:rsidRDefault="00040EE5" w:rsidP="00140ED4">
      <w:pPr>
        <w:pStyle w:val="Boxheading"/>
        <w:spacing w:line="240" w:lineRule="auto"/>
        <w:jc w:val="both"/>
        <w:rPr>
          <w:rFonts w:asciiTheme="minorHAnsi" w:hAnsiTheme="minorHAnsi" w:cstheme="minorHAnsi"/>
          <w:caps w:val="0"/>
          <w:color w:val="auto"/>
        </w:rPr>
      </w:pPr>
      <w:r w:rsidRPr="00780D76">
        <w:rPr>
          <w:rFonts w:asciiTheme="minorHAnsi" w:hAnsiTheme="minorHAnsi" w:cstheme="minorHAnsi"/>
          <w:caps w:val="0"/>
          <w:color w:val="auto"/>
        </w:rPr>
        <w:t xml:space="preserve">To what extent does the approach to reliability under article 12 of the </w:t>
      </w:r>
      <w:r w:rsidR="009B6057" w:rsidRPr="00780D76">
        <w:rPr>
          <w:rFonts w:asciiTheme="minorHAnsi" w:hAnsiTheme="minorHAnsi" w:cstheme="minorHAnsi"/>
          <w:caps w:val="0"/>
          <w:color w:val="auto"/>
        </w:rPr>
        <w:t>MLETR</w:t>
      </w:r>
      <w:r w:rsidRPr="00780D76">
        <w:rPr>
          <w:rFonts w:asciiTheme="minorHAnsi" w:hAnsiTheme="minorHAnsi" w:cstheme="minorHAnsi"/>
          <w:caps w:val="0"/>
          <w:color w:val="auto"/>
        </w:rPr>
        <w:t xml:space="preserve"> appropriately balance stakeholder </w:t>
      </w:r>
      <w:r w:rsidRPr="00780D76">
        <w:rPr>
          <w:rFonts w:asciiTheme="minorHAnsi" w:hAnsiTheme="minorHAnsi" w:cstheme="minorHAnsi"/>
          <w:b/>
          <w:caps w:val="0"/>
          <w:color w:val="auto"/>
        </w:rPr>
        <w:t>confidence</w:t>
      </w:r>
      <w:r w:rsidRPr="00780D76">
        <w:rPr>
          <w:rFonts w:asciiTheme="minorHAnsi" w:hAnsiTheme="minorHAnsi" w:cstheme="minorHAnsi"/>
          <w:caps w:val="0"/>
          <w:color w:val="auto"/>
        </w:rPr>
        <w:t xml:space="preserve"> (that is, confidence in the legal validity of a particular electronic method) and flexibility (that is, </w:t>
      </w:r>
      <w:r w:rsidRPr="00780D76">
        <w:rPr>
          <w:rFonts w:asciiTheme="minorHAnsi" w:hAnsiTheme="minorHAnsi" w:cstheme="minorHAnsi"/>
          <w:b/>
          <w:caps w:val="0"/>
          <w:color w:val="auto"/>
        </w:rPr>
        <w:t>flexibility</w:t>
      </w:r>
      <w:r w:rsidRPr="00780D76">
        <w:rPr>
          <w:rFonts w:asciiTheme="minorHAnsi" w:hAnsiTheme="minorHAnsi" w:cstheme="minorHAnsi"/>
          <w:caps w:val="0"/>
          <w:color w:val="auto"/>
        </w:rPr>
        <w:t xml:space="preserve"> to use a technology or method of the stakeholder’s choice).</w:t>
      </w:r>
    </w:p>
    <w:p w14:paraId="0702F16D" w14:textId="77777777" w:rsidR="00040EE5" w:rsidRPr="00780D76" w:rsidRDefault="00282AA9" w:rsidP="008B382E">
      <w:pPr>
        <w:pStyle w:val="Boxheading"/>
        <w:numPr>
          <w:ilvl w:val="0"/>
          <w:numId w:val="24"/>
        </w:numPr>
        <w:spacing w:line="240" w:lineRule="auto"/>
        <w:jc w:val="both"/>
        <w:rPr>
          <w:rFonts w:asciiTheme="minorHAnsi" w:hAnsiTheme="minorHAnsi" w:cstheme="minorHAnsi"/>
          <w:b/>
          <w:color w:val="auto"/>
        </w:rPr>
      </w:pPr>
      <w:r w:rsidRPr="00780D76">
        <w:rPr>
          <w:rFonts w:asciiTheme="minorHAnsi" w:hAnsiTheme="minorHAnsi" w:cstheme="minorHAnsi"/>
          <w:b/>
          <w:caps w:val="0"/>
          <w:color w:val="auto"/>
        </w:rPr>
        <w:t>V</w:t>
      </w:r>
      <w:r w:rsidR="00040EE5" w:rsidRPr="00780D76">
        <w:rPr>
          <w:rFonts w:asciiTheme="minorHAnsi" w:hAnsiTheme="minorHAnsi" w:cstheme="minorHAnsi"/>
          <w:b/>
          <w:caps w:val="0"/>
          <w:color w:val="auto"/>
        </w:rPr>
        <w:t>ery well</w:t>
      </w:r>
    </w:p>
    <w:p w14:paraId="16F49FD1" w14:textId="77777777" w:rsidR="00040EE5" w:rsidRPr="00780D76" w:rsidRDefault="00282AA9" w:rsidP="008B382E">
      <w:pPr>
        <w:pStyle w:val="Boxheading"/>
        <w:numPr>
          <w:ilvl w:val="0"/>
          <w:numId w:val="24"/>
        </w:numPr>
        <w:spacing w:line="240" w:lineRule="auto"/>
        <w:jc w:val="both"/>
        <w:rPr>
          <w:rFonts w:asciiTheme="minorHAnsi" w:hAnsiTheme="minorHAnsi" w:cstheme="minorHAnsi"/>
          <w:b/>
          <w:color w:val="auto"/>
        </w:rPr>
      </w:pPr>
      <w:r w:rsidRPr="00780D76">
        <w:rPr>
          <w:rFonts w:asciiTheme="minorHAnsi" w:hAnsiTheme="minorHAnsi" w:cstheme="minorHAnsi"/>
          <w:b/>
          <w:caps w:val="0"/>
          <w:color w:val="auto"/>
        </w:rPr>
        <w:t>W</w:t>
      </w:r>
      <w:r w:rsidR="00040EE5" w:rsidRPr="00780D76">
        <w:rPr>
          <w:rFonts w:asciiTheme="minorHAnsi" w:hAnsiTheme="minorHAnsi" w:cstheme="minorHAnsi"/>
          <w:b/>
          <w:caps w:val="0"/>
          <w:color w:val="auto"/>
        </w:rPr>
        <w:t>ell</w:t>
      </w:r>
    </w:p>
    <w:p w14:paraId="41A3D7C3" w14:textId="77777777" w:rsidR="00040EE5" w:rsidRPr="00780D76" w:rsidRDefault="00282AA9" w:rsidP="008B382E">
      <w:pPr>
        <w:pStyle w:val="Boxheading"/>
        <w:numPr>
          <w:ilvl w:val="0"/>
          <w:numId w:val="24"/>
        </w:numPr>
        <w:spacing w:line="240" w:lineRule="auto"/>
        <w:jc w:val="both"/>
        <w:rPr>
          <w:rFonts w:asciiTheme="minorHAnsi" w:hAnsiTheme="minorHAnsi" w:cstheme="minorHAnsi"/>
          <w:b/>
          <w:color w:val="auto"/>
        </w:rPr>
      </w:pPr>
      <w:r w:rsidRPr="00780D76">
        <w:rPr>
          <w:rFonts w:asciiTheme="minorHAnsi" w:hAnsiTheme="minorHAnsi" w:cstheme="minorHAnsi"/>
          <w:b/>
          <w:caps w:val="0"/>
          <w:color w:val="auto"/>
        </w:rPr>
        <w:t>S</w:t>
      </w:r>
      <w:r w:rsidR="00040EE5" w:rsidRPr="00780D76">
        <w:rPr>
          <w:rFonts w:asciiTheme="minorHAnsi" w:hAnsiTheme="minorHAnsi" w:cstheme="minorHAnsi"/>
          <w:b/>
          <w:caps w:val="0"/>
          <w:color w:val="auto"/>
        </w:rPr>
        <w:t>omewhat</w:t>
      </w:r>
    </w:p>
    <w:p w14:paraId="45992E94" w14:textId="77777777" w:rsidR="00040EE5" w:rsidRPr="00780D76" w:rsidRDefault="00282AA9" w:rsidP="008B382E">
      <w:pPr>
        <w:pStyle w:val="Boxheading"/>
        <w:numPr>
          <w:ilvl w:val="0"/>
          <w:numId w:val="24"/>
        </w:numPr>
        <w:spacing w:line="240" w:lineRule="auto"/>
        <w:jc w:val="both"/>
        <w:rPr>
          <w:rFonts w:asciiTheme="minorHAnsi" w:hAnsiTheme="minorHAnsi" w:cstheme="minorHAnsi"/>
          <w:b/>
          <w:color w:val="auto"/>
        </w:rPr>
      </w:pPr>
      <w:r w:rsidRPr="00780D76">
        <w:rPr>
          <w:rFonts w:asciiTheme="minorHAnsi" w:hAnsiTheme="minorHAnsi" w:cstheme="minorHAnsi"/>
          <w:b/>
          <w:caps w:val="0"/>
          <w:color w:val="auto"/>
        </w:rPr>
        <w:t>P</w:t>
      </w:r>
      <w:r w:rsidR="00040EE5" w:rsidRPr="00780D76">
        <w:rPr>
          <w:rFonts w:asciiTheme="minorHAnsi" w:hAnsiTheme="minorHAnsi" w:cstheme="minorHAnsi"/>
          <w:b/>
          <w:caps w:val="0"/>
          <w:color w:val="auto"/>
        </w:rPr>
        <w:t>oorly</w:t>
      </w:r>
    </w:p>
    <w:p w14:paraId="209CBC55" w14:textId="77777777" w:rsidR="00040EE5" w:rsidRPr="00780D76" w:rsidRDefault="00282AA9" w:rsidP="008B382E">
      <w:pPr>
        <w:pStyle w:val="Boxheading"/>
        <w:numPr>
          <w:ilvl w:val="0"/>
          <w:numId w:val="24"/>
        </w:numPr>
        <w:spacing w:line="240" w:lineRule="auto"/>
        <w:jc w:val="both"/>
        <w:rPr>
          <w:rFonts w:asciiTheme="minorHAnsi" w:hAnsiTheme="minorHAnsi" w:cstheme="minorHAnsi"/>
          <w:b/>
          <w:color w:val="auto"/>
        </w:rPr>
      </w:pPr>
      <w:r w:rsidRPr="00780D76">
        <w:rPr>
          <w:rFonts w:asciiTheme="minorHAnsi" w:hAnsiTheme="minorHAnsi" w:cstheme="minorHAnsi"/>
          <w:b/>
          <w:caps w:val="0"/>
          <w:color w:val="auto"/>
        </w:rPr>
        <w:t>V</w:t>
      </w:r>
      <w:r w:rsidR="00040EE5" w:rsidRPr="00780D76">
        <w:rPr>
          <w:rFonts w:asciiTheme="minorHAnsi" w:hAnsiTheme="minorHAnsi" w:cstheme="minorHAnsi"/>
          <w:b/>
          <w:caps w:val="0"/>
          <w:color w:val="auto"/>
        </w:rPr>
        <w:t>ery poorly</w:t>
      </w:r>
    </w:p>
    <w:p w14:paraId="37F1D72E" w14:textId="77777777" w:rsidR="00B6301D" w:rsidRPr="00780D76" w:rsidRDefault="00282AA9" w:rsidP="008B382E">
      <w:pPr>
        <w:pStyle w:val="Boxheading"/>
        <w:numPr>
          <w:ilvl w:val="0"/>
          <w:numId w:val="24"/>
        </w:numPr>
        <w:spacing w:line="240" w:lineRule="auto"/>
        <w:jc w:val="both"/>
        <w:rPr>
          <w:rFonts w:asciiTheme="minorHAnsi" w:hAnsiTheme="minorHAnsi" w:cstheme="minorHAnsi"/>
          <w:b/>
          <w:color w:val="auto"/>
        </w:rPr>
      </w:pPr>
      <w:r w:rsidRPr="00780D76">
        <w:rPr>
          <w:rFonts w:asciiTheme="minorHAnsi" w:hAnsiTheme="minorHAnsi" w:cstheme="minorHAnsi"/>
          <w:b/>
          <w:caps w:val="0"/>
          <w:color w:val="auto"/>
        </w:rPr>
        <w:t>U</w:t>
      </w:r>
      <w:r w:rsidR="00040EE5" w:rsidRPr="00780D76">
        <w:rPr>
          <w:rFonts w:asciiTheme="minorHAnsi" w:hAnsiTheme="minorHAnsi" w:cstheme="minorHAnsi"/>
          <w:b/>
          <w:caps w:val="0"/>
          <w:color w:val="auto"/>
        </w:rPr>
        <w:t xml:space="preserve">nsure </w:t>
      </w:r>
    </w:p>
    <w:p w14:paraId="53D8D26E" w14:textId="5872C97E" w:rsidR="00040EE5" w:rsidRPr="00780D76" w:rsidRDefault="00040EE5" w:rsidP="00B6301D">
      <w:pPr>
        <w:pStyle w:val="Boxheading"/>
        <w:spacing w:line="240" w:lineRule="auto"/>
        <w:jc w:val="both"/>
        <w:rPr>
          <w:rFonts w:asciiTheme="minorHAnsi" w:hAnsiTheme="minorHAnsi" w:cstheme="minorHAnsi"/>
          <w:color w:val="auto"/>
        </w:rPr>
      </w:pPr>
      <w:r w:rsidRPr="00780D76">
        <w:rPr>
          <w:rFonts w:asciiTheme="minorHAnsi" w:hAnsiTheme="minorHAnsi" w:cstheme="minorHAnsi"/>
          <w:caps w:val="0"/>
          <w:color w:val="auto"/>
        </w:rPr>
        <w:t>Please explain your answer, especially what other factors might be relevant to determining reliability, or any other changes which you consider might achieve this balance</w:t>
      </w:r>
      <w:r w:rsidR="006F51E4">
        <w:rPr>
          <w:rFonts w:asciiTheme="minorHAnsi" w:hAnsiTheme="minorHAnsi" w:cstheme="minorHAnsi"/>
          <w:caps w:val="0"/>
          <w:color w:val="auto"/>
        </w:rPr>
        <w:t>.</w:t>
      </w:r>
    </w:p>
    <w:p w14:paraId="400DB42E" w14:textId="77777777" w:rsidR="00040EE5" w:rsidRPr="00780D76" w:rsidRDefault="00040EE5" w:rsidP="00040EE5">
      <w:pPr>
        <w:tabs>
          <w:tab w:val="left" w:pos="964"/>
        </w:tabs>
        <w:spacing w:line="276" w:lineRule="auto"/>
        <w:jc w:val="both"/>
        <w:rPr>
          <w:rFonts w:asciiTheme="minorHAnsi" w:hAnsiTheme="minorHAnsi" w:cstheme="minorHAnsi"/>
        </w:rPr>
      </w:pPr>
    </w:p>
    <w:p w14:paraId="68C629F7" w14:textId="77777777" w:rsidR="00040EE5" w:rsidRPr="00780D76" w:rsidRDefault="00040EE5" w:rsidP="008B382E">
      <w:pPr>
        <w:pStyle w:val="Boxheading"/>
        <w:numPr>
          <w:ilvl w:val="0"/>
          <w:numId w:val="32"/>
        </w:numPr>
        <w:spacing w:line="240" w:lineRule="auto"/>
        <w:rPr>
          <w:rFonts w:asciiTheme="minorHAnsi" w:hAnsiTheme="minorHAnsi" w:cstheme="minorHAnsi"/>
          <w:b/>
          <w:color w:val="auto"/>
          <w:sz w:val="28"/>
        </w:rPr>
      </w:pPr>
      <w:r w:rsidRPr="00780D76">
        <w:rPr>
          <w:rFonts w:asciiTheme="minorHAnsi" w:hAnsiTheme="minorHAnsi" w:cstheme="minorHAnsi"/>
          <w:b/>
          <w:caps w:val="0"/>
          <w:color w:val="auto"/>
          <w:sz w:val="28"/>
        </w:rPr>
        <w:t xml:space="preserve"> </w:t>
      </w:r>
    </w:p>
    <w:p w14:paraId="1544E018" w14:textId="77777777" w:rsidR="00040EE5" w:rsidRPr="00780D76" w:rsidRDefault="00040EE5" w:rsidP="009B6057">
      <w:pPr>
        <w:pStyle w:val="Boxheading"/>
        <w:spacing w:line="240" w:lineRule="auto"/>
        <w:jc w:val="both"/>
        <w:rPr>
          <w:rFonts w:asciiTheme="minorHAnsi" w:hAnsiTheme="minorHAnsi" w:cstheme="minorHAnsi"/>
          <w:caps w:val="0"/>
          <w:color w:val="auto"/>
        </w:rPr>
      </w:pPr>
      <w:r w:rsidRPr="00780D76">
        <w:rPr>
          <w:rFonts w:asciiTheme="minorHAnsi" w:hAnsiTheme="minorHAnsi" w:cstheme="minorHAnsi"/>
          <w:caps w:val="0"/>
          <w:color w:val="auto"/>
        </w:rPr>
        <w:t>In your view, do the factors under article 12 sufficiently promote stakeholders trust and security in the use of electronic transferable records (including the prevention of fraud and the security of data relating to electronic transferable records)?</w:t>
      </w:r>
    </w:p>
    <w:p w14:paraId="0E55B9C3" w14:textId="77777777" w:rsidR="00040EE5" w:rsidRPr="00780D76" w:rsidRDefault="00040EE5" w:rsidP="008B382E">
      <w:pPr>
        <w:pStyle w:val="Boxheading"/>
        <w:numPr>
          <w:ilvl w:val="0"/>
          <w:numId w:val="24"/>
        </w:numPr>
        <w:spacing w:line="240" w:lineRule="auto"/>
        <w:jc w:val="both"/>
        <w:rPr>
          <w:rFonts w:asciiTheme="minorHAnsi" w:hAnsiTheme="minorHAnsi" w:cstheme="minorHAnsi"/>
          <w:b/>
          <w:caps w:val="0"/>
          <w:color w:val="auto"/>
        </w:rPr>
      </w:pPr>
      <w:r w:rsidRPr="00780D76">
        <w:rPr>
          <w:rFonts w:asciiTheme="minorHAnsi" w:hAnsiTheme="minorHAnsi" w:cstheme="minorHAnsi"/>
          <w:b/>
          <w:caps w:val="0"/>
          <w:color w:val="auto"/>
        </w:rPr>
        <w:t>Yes</w:t>
      </w:r>
    </w:p>
    <w:p w14:paraId="09C4146E" w14:textId="77777777" w:rsidR="00040EE5" w:rsidRPr="00780D76" w:rsidRDefault="00040EE5" w:rsidP="008B382E">
      <w:pPr>
        <w:pStyle w:val="Boxheading"/>
        <w:numPr>
          <w:ilvl w:val="0"/>
          <w:numId w:val="24"/>
        </w:numPr>
        <w:spacing w:line="240" w:lineRule="auto"/>
        <w:jc w:val="both"/>
        <w:rPr>
          <w:rFonts w:asciiTheme="minorHAnsi" w:hAnsiTheme="minorHAnsi" w:cstheme="minorHAnsi"/>
          <w:b/>
          <w:caps w:val="0"/>
          <w:color w:val="auto"/>
        </w:rPr>
      </w:pPr>
      <w:r w:rsidRPr="00780D76">
        <w:rPr>
          <w:rFonts w:asciiTheme="minorHAnsi" w:hAnsiTheme="minorHAnsi" w:cstheme="minorHAnsi"/>
          <w:b/>
          <w:caps w:val="0"/>
          <w:color w:val="auto"/>
        </w:rPr>
        <w:t>No</w:t>
      </w:r>
    </w:p>
    <w:p w14:paraId="42508858" w14:textId="77777777" w:rsidR="00040EE5" w:rsidRPr="00780D76" w:rsidRDefault="00040EE5" w:rsidP="008B382E">
      <w:pPr>
        <w:pStyle w:val="Boxheading"/>
        <w:numPr>
          <w:ilvl w:val="0"/>
          <w:numId w:val="24"/>
        </w:numPr>
        <w:spacing w:line="240" w:lineRule="auto"/>
        <w:jc w:val="both"/>
        <w:rPr>
          <w:rFonts w:asciiTheme="minorHAnsi" w:hAnsiTheme="minorHAnsi" w:cstheme="minorHAnsi"/>
          <w:b/>
          <w:caps w:val="0"/>
          <w:color w:val="auto"/>
        </w:rPr>
      </w:pPr>
      <w:r w:rsidRPr="00780D76">
        <w:rPr>
          <w:rFonts w:asciiTheme="minorHAnsi" w:hAnsiTheme="minorHAnsi" w:cstheme="minorHAnsi"/>
          <w:b/>
          <w:caps w:val="0"/>
          <w:color w:val="auto"/>
        </w:rPr>
        <w:t>Unsure</w:t>
      </w:r>
    </w:p>
    <w:p w14:paraId="268B5D48" w14:textId="77777777" w:rsidR="00040EE5" w:rsidRPr="00780D76" w:rsidRDefault="00040EE5" w:rsidP="009B6057">
      <w:pPr>
        <w:pStyle w:val="Boxheading"/>
        <w:spacing w:line="240" w:lineRule="auto"/>
        <w:jc w:val="both"/>
        <w:rPr>
          <w:rFonts w:asciiTheme="minorHAnsi" w:hAnsiTheme="minorHAnsi" w:cstheme="minorHAnsi"/>
          <w:color w:val="auto"/>
        </w:rPr>
      </w:pPr>
      <w:r w:rsidRPr="00780D76">
        <w:rPr>
          <w:rFonts w:asciiTheme="minorHAnsi" w:hAnsiTheme="minorHAnsi" w:cstheme="minorHAnsi"/>
          <w:caps w:val="0"/>
          <w:color w:val="auto"/>
        </w:rPr>
        <w:t>Please explain your answer, especially what other factors might be relevant to promoting trust and security in the use of electronic transferable records.</w:t>
      </w:r>
    </w:p>
    <w:p w14:paraId="4B86474E" w14:textId="77777777" w:rsidR="00040EE5" w:rsidRPr="00780D76" w:rsidRDefault="00040EE5" w:rsidP="00040EE5">
      <w:pPr>
        <w:pStyle w:val="Heading3"/>
        <w:rPr>
          <w:rFonts w:asciiTheme="minorHAnsi" w:hAnsiTheme="minorHAnsi" w:cstheme="minorHAnsi"/>
        </w:rPr>
      </w:pPr>
      <w:bookmarkStart w:id="105" w:name="_Toc176275151"/>
      <w:bookmarkStart w:id="106" w:name="_Toc176420816"/>
      <w:r w:rsidRPr="00780D76">
        <w:rPr>
          <w:rFonts w:asciiTheme="minorHAnsi" w:hAnsiTheme="minorHAnsi" w:cstheme="minorHAnsi"/>
        </w:rPr>
        <w:t>How other jurisdictions have enabled technology neutrality</w:t>
      </w:r>
      <w:bookmarkEnd w:id="105"/>
      <w:bookmarkEnd w:id="106"/>
      <w:r w:rsidRPr="00780D76">
        <w:rPr>
          <w:rFonts w:asciiTheme="minorHAnsi" w:hAnsiTheme="minorHAnsi" w:cstheme="minorHAnsi"/>
        </w:rPr>
        <w:t xml:space="preserve"> </w:t>
      </w:r>
    </w:p>
    <w:p w14:paraId="796A655B"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 xml:space="preserve">Of the 10 international jurisdictions which have enacted MLETR-based legislation to date, the majority have enabled technology neutrality though substantial adoption of article 12 of the MLETR. </w:t>
      </w:r>
    </w:p>
    <w:p w14:paraId="01BF5517"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lastRenderedPageBreak/>
        <w:t>Singapore, which adopted article 12 of the MLETR substantially, also included a provision to confirm that future regulations may specify electronic record management systems which are ‘presumed’ to be reliable.</w:t>
      </w:r>
      <w:r w:rsidRPr="00780D76">
        <w:rPr>
          <w:rStyle w:val="FootnoteReference"/>
          <w:rFonts w:asciiTheme="minorHAnsi" w:hAnsiTheme="minorHAnsi" w:cstheme="minorHAnsi"/>
        </w:rPr>
        <w:footnoteReference w:id="87"/>
      </w:r>
    </w:p>
    <w:p w14:paraId="242FFEBE" w14:textId="77777777" w:rsidR="00040EE5" w:rsidRPr="00780D76" w:rsidRDefault="00040EE5" w:rsidP="00040EE5">
      <w:pPr>
        <w:tabs>
          <w:tab w:val="left" w:pos="964"/>
        </w:tabs>
        <w:spacing w:line="276" w:lineRule="auto"/>
        <w:jc w:val="both"/>
        <w:rPr>
          <w:rFonts w:asciiTheme="minorHAnsi" w:hAnsiTheme="minorHAnsi" w:cstheme="minorHAnsi"/>
        </w:rPr>
      </w:pPr>
      <w:r w:rsidRPr="00780D76">
        <w:rPr>
          <w:rFonts w:asciiTheme="minorHAnsi" w:hAnsiTheme="minorHAnsi" w:cstheme="minorHAnsi"/>
        </w:rPr>
        <w:t>The UK ETDA also adopted general reliability standards based substantially on those under the MLETR.</w:t>
      </w:r>
      <w:r w:rsidRPr="00780D76">
        <w:rPr>
          <w:rStyle w:val="FootnoteReference"/>
          <w:rFonts w:asciiTheme="minorHAnsi" w:hAnsiTheme="minorHAnsi" w:cstheme="minorHAnsi"/>
        </w:rPr>
        <w:footnoteReference w:id="88"/>
      </w:r>
      <w:r w:rsidRPr="00780D76">
        <w:rPr>
          <w:rFonts w:asciiTheme="minorHAnsi" w:hAnsiTheme="minorHAnsi" w:cstheme="minorHAnsi"/>
        </w:rPr>
        <w:t xml:space="preserve"> Unlike Singapore, the ETDA does not contemplate the accreditation of a trade record management system.</w:t>
      </w:r>
    </w:p>
    <w:p w14:paraId="604C7905" w14:textId="77777777" w:rsidR="00040EE5" w:rsidRPr="00780D76" w:rsidRDefault="00040EE5" w:rsidP="008B382E">
      <w:pPr>
        <w:pStyle w:val="Boxheading"/>
        <w:numPr>
          <w:ilvl w:val="0"/>
          <w:numId w:val="32"/>
        </w:numPr>
        <w:spacing w:line="240" w:lineRule="auto"/>
        <w:rPr>
          <w:rFonts w:asciiTheme="minorHAnsi" w:hAnsiTheme="minorHAnsi" w:cstheme="minorHAnsi"/>
          <w:b/>
          <w:color w:val="auto"/>
          <w:sz w:val="28"/>
        </w:rPr>
      </w:pPr>
      <w:r w:rsidRPr="00780D76">
        <w:rPr>
          <w:rFonts w:asciiTheme="minorHAnsi" w:hAnsiTheme="minorHAnsi" w:cstheme="minorHAnsi"/>
          <w:b/>
          <w:caps w:val="0"/>
          <w:color w:val="auto"/>
          <w:sz w:val="28"/>
        </w:rPr>
        <w:t xml:space="preserve"> </w:t>
      </w:r>
    </w:p>
    <w:p w14:paraId="70CB95EC" w14:textId="77777777" w:rsidR="00B6301D" w:rsidRPr="00780D76" w:rsidRDefault="00040EE5" w:rsidP="00B6301D">
      <w:pPr>
        <w:pStyle w:val="Boxheading"/>
        <w:spacing w:line="240" w:lineRule="auto"/>
        <w:jc w:val="both"/>
        <w:rPr>
          <w:rFonts w:asciiTheme="minorHAnsi" w:hAnsiTheme="minorHAnsi" w:cstheme="minorHAnsi"/>
          <w:color w:val="auto"/>
        </w:rPr>
      </w:pPr>
      <w:r w:rsidRPr="00780D76">
        <w:rPr>
          <w:rFonts w:asciiTheme="minorHAnsi" w:hAnsiTheme="minorHAnsi" w:cstheme="minorHAnsi"/>
          <w:caps w:val="0"/>
          <w:color w:val="auto"/>
        </w:rPr>
        <w:t>Please share any views you have about whether an Australian MLETR implementation option should utilise an accreditation system to specify that certain electronic transferable record management systems are sufficiently reliable?</w:t>
      </w:r>
    </w:p>
    <w:p w14:paraId="329A63BE" w14:textId="77777777" w:rsidR="00E15393" w:rsidRDefault="00E15393">
      <w:pPr>
        <w:spacing w:before="0" w:after="0" w:line="240" w:lineRule="auto"/>
        <w:rPr>
          <w:rFonts w:asciiTheme="minorHAnsi" w:hAnsiTheme="minorHAnsi" w:cstheme="minorHAnsi"/>
          <w:b/>
          <w:bCs/>
          <w:color w:val="50748A"/>
          <w:kern w:val="28"/>
          <w:sz w:val="44"/>
          <w:szCs w:val="36"/>
          <w:lang w:eastAsia="en-AU"/>
        </w:rPr>
      </w:pPr>
      <w:bookmarkStart w:id="107" w:name="_Toc176437893"/>
      <w:r>
        <w:rPr>
          <w:rFonts w:asciiTheme="minorHAnsi" w:hAnsiTheme="minorHAnsi" w:cstheme="minorHAnsi"/>
          <w:lang w:eastAsia="en-AU"/>
        </w:rPr>
        <w:br w:type="page"/>
      </w:r>
    </w:p>
    <w:p w14:paraId="4D436828" w14:textId="22730BDA" w:rsidR="00B6301D" w:rsidRPr="00780D76" w:rsidRDefault="00B6301D" w:rsidP="008B382E">
      <w:pPr>
        <w:pStyle w:val="Heading1"/>
        <w:keepLines/>
        <w:numPr>
          <w:ilvl w:val="0"/>
          <w:numId w:val="31"/>
        </w:numPr>
        <w:spacing w:before="0" w:after="240" w:line="259" w:lineRule="auto"/>
        <w:ind w:left="426" w:hanging="426"/>
        <w:rPr>
          <w:rFonts w:asciiTheme="minorHAnsi" w:hAnsiTheme="minorHAnsi" w:cstheme="minorHAnsi"/>
          <w:lang w:eastAsia="en-AU"/>
        </w:rPr>
      </w:pPr>
      <w:r w:rsidRPr="00780D76">
        <w:rPr>
          <w:rFonts w:asciiTheme="minorHAnsi" w:hAnsiTheme="minorHAnsi" w:cstheme="minorHAnsi"/>
          <w:lang w:eastAsia="en-AU"/>
        </w:rPr>
        <w:lastRenderedPageBreak/>
        <w:t>International interoperability and industry engagement</w:t>
      </w:r>
      <w:bookmarkEnd w:id="107"/>
    </w:p>
    <w:p w14:paraId="2DFFB640" w14:textId="77777777" w:rsidR="00B6301D" w:rsidRPr="00780D76" w:rsidRDefault="00B6301D" w:rsidP="00282AA9">
      <w:pPr>
        <w:jc w:val="both"/>
        <w:rPr>
          <w:rFonts w:asciiTheme="minorHAnsi" w:hAnsiTheme="minorHAnsi" w:cstheme="minorHAnsi"/>
          <w:b/>
          <w:color w:val="auto"/>
          <w:szCs w:val="21"/>
        </w:rPr>
      </w:pPr>
      <w:r w:rsidRPr="00780D76">
        <w:rPr>
          <w:rFonts w:asciiTheme="minorHAnsi" w:hAnsiTheme="minorHAnsi" w:cstheme="minorHAnsi"/>
          <w:color w:val="auto"/>
          <w:szCs w:val="21"/>
        </w:rPr>
        <w:t xml:space="preserve">The department’s current role is to develop options for implementation of domestic legislation aligned with the MLETR. </w:t>
      </w:r>
    </w:p>
    <w:p w14:paraId="45FF886C" w14:textId="77777777" w:rsidR="00B6301D" w:rsidRPr="00780D76" w:rsidRDefault="00B6301D" w:rsidP="00282AA9">
      <w:pPr>
        <w:jc w:val="both"/>
        <w:rPr>
          <w:rFonts w:asciiTheme="minorHAnsi" w:hAnsiTheme="minorHAnsi" w:cstheme="minorHAnsi"/>
          <w:b/>
          <w:color w:val="auto"/>
          <w:szCs w:val="21"/>
        </w:rPr>
      </w:pPr>
      <w:r w:rsidRPr="00780D76">
        <w:rPr>
          <w:rFonts w:asciiTheme="minorHAnsi" w:hAnsiTheme="minorHAnsi" w:cstheme="minorHAnsi"/>
          <w:color w:val="auto"/>
          <w:szCs w:val="21"/>
        </w:rPr>
        <w:t xml:space="preserve">However, we recognise the importance of considering broader and more practical considerations – outside of domestic legislation, and in collaboration with relevant cross-government agencies – so that any MLETR-based framework is usable for industry. </w:t>
      </w:r>
    </w:p>
    <w:p w14:paraId="77216289" w14:textId="77777777" w:rsidR="00B6301D" w:rsidRPr="00780D76" w:rsidRDefault="00B6301D" w:rsidP="00282AA9">
      <w:pPr>
        <w:jc w:val="both"/>
        <w:rPr>
          <w:rFonts w:asciiTheme="minorHAnsi" w:hAnsiTheme="minorHAnsi" w:cstheme="minorHAnsi"/>
          <w:b/>
          <w:color w:val="auto"/>
          <w:szCs w:val="21"/>
        </w:rPr>
      </w:pPr>
      <w:r w:rsidRPr="00780D76">
        <w:rPr>
          <w:rFonts w:asciiTheme="minorHAnsi" w:hAnsiTheme="minorHAnsi" w:cstheme="minorHAnsi"/>
          <w:color w:val="auto"/>
          <w:szCs w:val="21"/>
        </w:rPr>
        <w:t xml:space="preserve">This final part of the consultation paper describes some of these broader considerations which the department considers relevant to the implementation of the MLETR under domestic law. </w:t>
      </w:r>
    </w:p>
    <w:p w14:paraId="56CE10AA" w14:textId="77777777" w:rsidR="009A52A0" w:rsidRPr="00780D76" w:rsidRDefault="009A52A0" w:rsidP="008B382E">
      <w:pPr>
        <w:pStyle w:val="Heading1"/>
        <w:keepLines/>
        <w:numPr>
          <w:ilvl w:val="1"/>
          <w:numId w:val="31"/>
        </w:numPr>
        <w:spacing w:before="0" w:after="240" w:line="259" w:lineRule="auto"/>
        <w:ind w:left="709" w:hanging="709"/>
        <w:rPr>
          <w:rFonts w:asciiTheme="minorHAnsi" w:hAnsiTheme="minorHAnsi" w:cstheme="minorHAnsi"/>
          <w:sz w:val="36"/>
          <w:lang w:eastAsia="en-AU"/>
        </w:rPr>
      </w:pPr>
      <w:bookmarkStart w:id="108" w:name="_Ref176437518"/>
      <w:bookmarkStart w:id="109" w:name="_Toc176437894"/>
      <w:bookmarkStart w:id="110" w:name="_Toc176420823"/>
      <w:r w:rsidRPr="00780D76">
        <w:rPr>
          <w:rFonts w:asciiTheme="minorHAnsi" w:hAnsiTheme="minorHAnsi" w:cstheme="minorHAnsi"/>
          <w:sz w:val="36"/>
          <w:lang w:eastAsia="en-AU"/>
        </w:rPr>
        <w:t>International legal interoperability</w:t>
      </w:r>
      <w:bookmarkEnd w:id="108"/>
      <w:bookmarkEnd w:id="109"/>
    </w:p>
    <w:p w14:paraId="3A621D01" w14:textId="77777777" w:rsidR="009A52A0" w:rsidRPr="00780D76" w:rsidRDefault="009A52A0" w:rsidP="00282AA9">
      <w:pPr>
        <w:jc w:val="both"/>
        <w:rPr>
          <w:rFonts w:asciiTheme="minorHAnsi" w:hAnsiTheme="minorHAnsi" w:cstheme="minorHAnsi"/>
          <w:color w:val="auto"/>
          <w:szCs w:val="21"/>
        </w:rPr>
      </w:pPr>
      <w:r w:rsidRPr="00780D76">
        <w:rPr>
          <w:rFonts w:asciiTheme="minorHAnsi" w:hAnsiTheme="minorHAnsi" w:cstheme="minorHAnsi"/>
          <w:color w:val="auto"/>
          <w:szCs w:val="21"/>
        </w:rPr>
        <w:t>We are interested in preliminary stakeholder views about how to ensure Australia’s electronic transferable record legal framework is compatible and legally interoperable with those of our international trading partners.</w:t>
      </w:r>
    </w:p>
    <w:p w14:paraId="60FF81A2" w14:textId="77777777" w:rsidR="00040EE5" w:rsidRPr="00780D76" w:rsidRDefault="00040EE5" w:rsidP="009B6057">
      <w:pPr>
        <w:pStyle w:val="Heading3"/>
        <w:rPr>
          <w:rFonts w:asciiTheme="minorHAnsi" w:hAnsiTheme="minorHAnsi" w:cstheme="minorHAnsi"/>
        </w:rPr>
      </w:pPr>
      <w:r w:rsidRPr="00780D76">
        <w:rPr>
          <w:rFonts w:asciiTheme="minorHAnsi" w:hAnsiTheme="minorHAnsi" w:cstheme="minorHAnsi"/>
        </w:rPr>
        <w:t>Legal interoperability through adoption of an international standard</w:t>
      </w:r>
      <w:bookmarkEnd w:id="110"/>
    </w:p>
    <w:p w14:paraId="451D0EA0" w14:textId="77777777" w:rsidR="00040EE5" w:rsidRPr="00780D76" w:rsidRDefault="00040EE5" w:rsidP="00AA592D">
      <w:pPr>
        <w:spacing w:line="276" w:lineRule="auto"/>
        <w:jc w:val="both"/>
        <w:rPr>
          <w:rFonts w:asciiTheme="minorHAnsi" w:hAnsiTheme="minorHAnsi" w:cstheme="minorHAnsi"/>
          <w:color w:val="auto"/>
          <w:szCs w:val="21"/>
        </w:rPr>
      </w:pPr>
      <w:bookmarkStart w:id="111" w:name="_Toc176420824"/>
      <w:r w:rsidRPr="00780D76">
        <w:rPr>
          <w:rFonts w:asciiTheme="minorHAnsi" w:hAnsiTheme="minorHAnsi" w:cstheme="minorHAnsi"/>
          <w:color w:val="auto"/>
          <w:szCs w:val="21"/>
        </w:rPr>
        <w:t>Transferable records are regularly used in course of trade between Australia and other countries. The effectiveness of any Australian legal framework for electronic transferable records may therefore be affected if it was generally inconsistent with Australia’s trading partners’ frameworks.</w:t>
      </w:r>
      <w:bookmarkEnd w:id="111"/>
      <w:r w:rsidRPr="00780D76">
        <w:rPr>
          <w:rFonts w:asciiTheme="minorHAnsi" w:hAnsiTheme="minorHAnsi" w:cstheme="minorHAnsi"/>
          <w:color w:val="auto"/>
          <w:szCs w:val="21"/>
        </w:rPr>
        <w:t xml:space="preserve"> </w:t>
      </w:r>
    </w:p>
    <w:p w14:paraId="06C6E3C0" w14:textId="77777777" w:rsidR="00040EE5" w:rsidRPr="00780D76" w:rsidRDefault="00040EE5" w:rsidP="00AA592D">
      <w:pPr>
        <w:spacing w:line="276" w:lineRule="auto"/>
        <w:jc w:val="both"/>
        <w:rPr>
          <w:rFonts w:asciiTheme="minorHAnsi" w:hAnsiTheme="minorHAnsi" w:cstheme="minorHAnsi"/>
          <w:color w:val="auto"/>
          <w:szCs w:val="21"/>
        </w:rPr>
      </w:pPr>
      <w:bookmarkStart w:id="112" w:name="_Toc176420825"/>
      <w:r w:rsidRPr="00780D76">
        <w:rPr>
          <w:rFonts w:asciiTheme="minorHAnsi" w:hAnsiTheme="minorHAnsi" w:cstheme="minorHAnsi"/>
          <w:color w:val="auto"/>
          <w:szCs w:val="21"/>
        </w:rPr>
        <w:t xml:space="preserve">Accordingly, we have heard from stakeholders that any Australian option for enabling electronic </w:t>
      </w:r>
      <w:r w:rsidRPr="00780D76">
        <w:rPr>
          <w:rFonts w:asciiTheme="minorHAnsi" w:hAnsiTheme="minorHAnsi" w:cstheme="minorHAnsi"/>
        </w:rPr>
        <w:t>transferable</w:t>
      </w:r>
      <w:r w:rsidRPr="00780D76">
        <w:rPr>
          <w:rFonts w:asciiTheme="minorHAnsi" w:hAnsiTheme="minorHAnsi" w:cstheme="minorHAnsi"/>
          <w:color w:val="auto"/>
          <w:szCs w:val="21"/>
        </w:rPr>
        <w:t xml:space="preserve"> records should prioritise interoperability of legal approaches to electronic transferable records both in Australia, and across international borders.</w:t>
      </w:r>
      <w:bookmarkEnd w:id="112"/>
      <w:r w:rsidRPr="00780D76">
        <w:rPr>
          <w:rFonts w:asciiTheme="minorHAnsi" w:hAnsiTheme="minorHAnsi" w:cstheme="minorHAnsi"/>
          <w:color w:val="auto"/>
          <w:szCs w:val="21"/>
        </w:rPr>
        <w:t xml:space="preserve"> </w:t>
      </w:r>
    </w:p>
    <w:p w14:paraId="171BE524" w14:textId="77777777" w:rsidR="00040EE5" w:rsidRPr="00780D76" w:rsidRDefault="00040EE5" w:rsidP="00AA592D">
      <w:pPr>
        <w:spacing w:line="276" w:lineRule="auto"/>
        <w:jc w:val="both"/>
        <w:rPr>
          <w:rFonts w:asciiTheme="minorHAnsi" w:hAnsiTheme="minorHAnsi" w:cstheme="minorHAnsi"/>
          <w:color w:val="auto"/>
          <w:szCs w:val="21"/>
        </w:rPr>
      </w:pPr>
      <w:bookmarkStart w:id="113" w:name="_Toc176420826"/>
      <w:r w:rsidRPr="00780D76">
        <w:rPr>
          <w:rFonts w:asciiTheme="minorHAnsi" w:hAnsiTheme="minorHAnsi" w:cstheme="minorHAnsi"/>
        </w:rPr>
        <w:t>For</w:t>
      </w:r>
      <w:r w:rsidRPr="00780D76">
        <w:rPr>
          <w:rFonts w:asciiTheme="minorHAnsi" w:hAnsiTheme="minorHAnsi" w:cstheme="minorHAnsi"/>
          <w:color w:val="auto"/>
          <w:szCs w:val="21"/>
        </w:rPr>
        <w:t xml:space="preserve"> example, stakeholders responding to previous STS consultations have shared the following views on the need to ensure international legal interoperability:</w:t>
      </w:r>
      <w:bookmarkEnd w:id="113"/>
    </w:p>
    <w:p w14:paraId="2D84D237" w14:textId="77777777" w:rsidR="00E15393" w:rsidRDefault="00040EE5" w:rsidP="00040EE5">
      <w:pPr>
        <w:pStyle w:val="PolicyStatement"/>
        <w:spacing w:line="276" w:lineRule="auto"/>
        <w:jc w:val="both"/>
        <w:rPr>
          <w:rFonts w:asciiTheme="minorHAnsi" w:hAnsiTheme="minorHAnsi" w:cstheme="minorHAnsi"/>
          <w:i/>
        </w:rPr>
      </w:pPr>
      <w:r w:rsidRPr="00780D76">
        <w:rPr>
          <w:rFonts w:asciiTheme="minorHAnsi" w:hAnsiTheme="minorHAnsi" w:cstheme="minorHAnsi"/>
          <w:i/>
        </w:rPr>
        <w:t>“given the inherently global character of cross-border trade, consideration of interoperability with trading partners’ legal frameworks is essential…”</w:t>
      </w:r>
      <w:r w:rsidRPr="00780D76">
        <w:rPr>
          <w:rStyle w:val="FootnoteReference"/>
          <w:rFonts w:asciiTheme="minorHAnsi" w:hAnsiTheme="minorHAnsi" w:cstheme="minorHAnsi"/>
          <w:i/>
        </w:rPr>
        <w:footnoteReference w:id="89"/>
      </w:r>
      <w:r w:rsidRPr="00780D76">
        <w:rPr>
          <w:rFonts w:asciiTheme="minorHAnsi" w:hAnsiTheme="minorHAnsi" w:cstheme="minorHAnsi"/>
          <w:i/>
        </w:rPr>
        <w:t xml:space="preserve"> </w:t>
      </w:r>
    </w:p>
    <w:p w14:paraId="243245E2" w14:textId="67F1422E" w:rsidR="00040EE5" w:rsidRPr="00780D76" w:rsidRDefault="00040EE5" w:rsidP="00040EE5">
      <w:pPr>
        <w:pStyle w:val="PolicyStatement"/>
        <w:spacing w:line="276" w:lineRule="auto"/>
        <w:jc w:val="both"/>
        <w:rPr>
          <w:rFonts w:asciiTheme="minorHAnsi" w:hAnsiTheme="minorHAnsi" w:cstheme="minorHAnsi"/>
          <w:i/>
          <w:highlight w:val="yellow"/>
        </w:rPr>
      </w:pPr>
      <w:r w:rsidRPr="00780D76">
        <w:rPr>
          <w:rFonts w:asciiTheme="minorHAnsi" w:hAnsiTheme="minorHAnsi" w:cstheme="minorHAnsi"/>
          <w:i/>
        </w:rPr>
        <w:t>“MTLER represents [an] internationally recognised set of standards and it would appear to be the appropriate basis for adoption in Australia…</w:t>
      </w:r>
      <w:r w:rsidRPr="00780D76">
        <w:rPr>
          <w:rStyle w:val="FootnoteReference"/>
          <w:rFonts w:asciiTheme="minorHAnsi" w:hAnsiTheme="minorHAnsi" w:cstheme="minorHAnsi"/>
          <w:i/>
        </w:rPr>
        <w:footnoteReference w:id="90"/>
      </w:r>
    </w:p>
    <w:p w14:paraId="37AFC498" w14:textId="77777777" w:rsidR="00040EE5" w:rsidRPr="00780D76" w:rsidRDefault="00040EE5" w:rsidP="00AA592D">
      <w:pPr>
        <w:spacing w:line="276" w:lineRule="auto"/>
        <w:jc w:val="both"/>
        <w:rPr>
          <w:rFonts w:asciiTheme="minorHAnsi" w:hAnsiTheme="minorHAnsi" w:cstheme="minorHAnsi"/>
          <w:color w:val="auto"/>
          <w:szCs w:val="21"/>
          <w:highlight w:val="yellow"/>
        </w:rPr>
      </w:pPr>
      <w:bookmarkStart w:id="114" w:name="_Toc176420827"/>
      <w:r w:rsidRPr="00780D76">
        <w:rPr>
          <w:rFonts w:asciiTheme="minorHAnsi" w:hAnsiTheme="minorHAnsi" w:cstheme="minorHAnsi"/>
        </w:rPr>
        <w:lastRenderedPageBreak/>
        <w:t>Based</w:t>
      </w:r>
      <w:r w:rsidRPr="00780D76">
        <w:rPr>
          <w:rFonts w:asciiTheme="minorHAnsi" w:hAnsiTheme="minorHAnsi" w:cstheme="minorHAnsi"/>
          <w:color w:val="auto"/>
          <w:szCs w:val="21"/>
        </w:rPr>
        <w:t xml:space="preserve"> on this initial stakeholder feedback, the department’s initial view is that adoption of a model law in Australia, like the MLETR, would provide the most effective means of ensuring that Australia’s legal framework is harmonised with those overseas.</w:t>
      </w:r>
      <w:bookmarkEnd w:id="114"/>
    </w:p>
    <w:p w14:paraId="6D15DEB9" w14:textId="77777777" w:rsidR="00040EE5" w:rsidRPr="00780D76" w:rsidRDefault="00040EE5" w:rsidP="00AA592D">
      <w:pPr>
        <w:spacing w:line="276" w:lineRule="auto"/>
        <w:jc w:val="both"/>
        <w:rPr>
          <w:rFonts w:asciiTheme="minorHAnsi" w:hAnsiTheme="minorHAnsi" w:cstheme="minorHAnsi"/>
          <w:color w:val="auto"/>
          <w:szCs w:val="21"/>
        </w:rPr>
      </w:pPr>
      <w:bookmarkStart w:id="115" w:name="_Toc176420828"/>
      <w:r w:rsidRPr="00780D76">
        <w:rPr>
          <w:rFonts w:asciiTheme="minorHAnsi" w:hAnsiTheme="minorHAnsi" w:cstheme="minorHAnsi"/>
          <w:color w:val="auto"/>
          <w:szCs w:val="21"/>
        </w:rPr>
        <w:t>In addition, according to the International Chamber of Commerce Digital Standards Initiative,</w:t>
      </w:r>
      <w:r w:rsidRPr="00780D76">
        <w:rPr>
          <w:rStyle w:val="FootnoteReference"/>
          <w:rFonts w:asciiTheme="minorHAnsi" w:hAnsiTheme="minorHAnsi" w:cstheme="minorHAnsi"/>
          <w:color w:val="auto"/>
          <w:szCs w:val="21"/>
        </w:rPr>
        <w:footnoteReference w:id="91"/>
      </w:r>
      <w:r w:rsidRPr="00780D76">
        <w:rPr>
          <w:rFonts w:asciiTheme="minorHAnsi" w:hAnsiTheme="minorHAnsi" w:cstheme="minorHAnsi"/>
          <w:color w:val="auto"/>
          <w:szCs w:val="21"/>
        </w:rPr>
        <w:t xml:space="preserve"> various other jurisdictions are at advancing stages of considering or adopting MLETR-aligned legal frameworks, including Cambodia, Canada, Colombia, Mexico, Spain and Thailand.</w:t>
      </w:r>
      <w:bookmarkEnd w:id="115"/>
    </w:p>
    <w:p w14:paraId="7B0E416F" w14:textId="77777777" w:rsidR="00040EE5" w:rsidRPr="00780D76" w:rsidRDefault="00040EE5" w:rsidP="008B382E">
      <w:pPr>
        <w:pStyle w:val="Boxheading"/>
        <w:numPr>
          <w:ilvl w:val="0"/>
          <w:numId w:val="32"/>
        </w:numPr>
        <w:spacing w:line="240" w:lineRule="auto"/>
        <w:rPr>
          <w:rFonts w:asciiTheme="minorHAnsi" w:hAnsiTheme="minorHAnsi" w:cstheme="minorHAnsi"/>
          <w:b/>
          <w:color w:val="auto"/>
          <w:sz w:val="28"/>
        </w:rPr>
      </w:pPr>
    </w:p>
    <w:p w14:paraId="6CF1449F" w14:textId="77777777" w:rsidR="00040EE5" w:rsidRPr="00780D76" w:rsidRDefault="00040EE5" w:rsidP="00040EE5">
      <w:pPr>
        <w:pStyle w:val="Boxheading"/>
        <w:spacing w:line="240" w:lineRule="auto"/>
        <w:jc w:val="both"/>
        <w:rPr>
          <w:rFonts w:asciiTheme="minorHAnsi" w:hAnsiTheme="minorHAnsi" w:cstheme="minorHAnsi"/>
          <w:color w:val="auto"/>
          <w:highlight w:val="yellow"/>
        </w:rPr>
      </w:pPr>
      <w:r w:rsidRPr="00780D76">
        <w:rPr>
          <w:rFonts w:asciiTheme="minorHAnsi" w:hAnsiTheme="minorHAnsi" w:cstheme="minorHAnsi"/>
          <w:caps w:val="0"/>
          <w:color w:val="auto"/>
        </w:rPr>
        <w:t>To what extent do you consider that adoption of the MLETR would enable an internationally interoperable legal framework for electronic transferable records?</w:t>
      </w:r>
    </w:p>
    <w:p w14:paraId="7EE266FE" w14:textId="77777777" w:rsidR="00040EE5" w:rsidRPr="00780D76" w:rsidRDefault="00040EE5" w:rsidP="00040EE5">
      <w:pPr>
        <w:pStyle w:val="Heading3"/>
        <w:rPr>
          <w:rFonts w:asciiTheme="minorHAnsi" w:hAnsiTheme="minorHAnsi" w:cstheme="minorHAnsi"/>
        </w:rPr>
      </w:pPr>
      <w:bookmarkStart w:id="116" w:name="_Toc176420829"/>
      <w:r w:rsidRPr="00780D76">
        <w:rPr>
          <w:rFonts w:asciiTheme="minorHAnsi" w:hAnsiTheme="minorHAnsi" w:cstheme="minorHAnsi"/>
        </w:rPr>
        <w:t>International deviations to the MLETR approach</w:t>
      </w:r>
      <w:bookmarkEnd w:id="116"/>
      <w:r w:rsidRPr="00780D76">
        <w:rPr>
          <w:rFonts w:asciiTheme="minorHAnsi" w:hAnsiTheme="minorHAnsi" w:cstheme="minorHAnsi"/>
        </w:rPr>
        <w:t xml:space="preserve"> </w:t>
      </w:r>
    </w:p>
    <w:p w14:paraId="4E961961" w14:textId="77777777" w:rsidR="00040EE5" w:rsidRPr="00780D76" w:rsidRDefault="00040EE5" w:rsidP="00AA592D">
      <w:pPr>
        <w:spacing w:line="276" w:lineRule="auto"/>
        <w:jc w:val="both"/>
        <w:rPr>
          <w:rFonts w:asciiTheme="minorHAnsi" w:hAnsiTheme="minorHAnsi" w:cstheme="minorHAnsi"/>
          <w:color w:val="auto"/>
          <w:szCs w:val="21"/>
        </w:rPr>
      </w:pPr>
      <w:bookmarkStart w:id="117" w:name="_Toc176420830"/>
      <w:r w:rsidRPr="00780D76">
        <w:rPr>
          <w:rFonts w:asciiTheme="minorHAnsi" w:hAnsiTheme="minorHAnsi" w:cstheme="minorHAnsi"/>
          <w:color w:val="auto"/>
          <w:szCs w:val="21"/>
        </w:rPr>
        <w:t xml:space="preserve">We </w:t>
      </w:r>
      <w:r w:rsidRPr="00780D76">
        <w:rPr>
          <w:rFonts w:asciiTheme="minorHAnsi" w:hAnsiTheme="minorHAnsi" w:cstheme="minorHAnsi"/>
        </w:rPr>
        <w:t>are</w:t>
      </w:r>
      <w:r w:rsidRPr="00780D76">
        <w:rPr>
          <w:rFonts w:asciiTheme="minorHAnsi" w:hAnsiTheme="minorHAnsi" w:cstheme="minorHAnsi"/>
          <w:color w:val="auto"/>
          <w:szCs w:val="21"/>
        </w:rPr>
        <w:t xml:space="preserve"> also interested in stakeholder views about whether inconsistent international approaches to electronic transferable records may affect the usability of any MLETR-based option in Australia.</w:t>
      </w:r>
      <w:bookmarkEnd w:id="117"/>
      <w:r w:rsidRPr="00780D76">
        <w:rPr>
          <w:rFonts w:asciiTheme="minorHAnsi" w:hAnsiTheme="minorHAnsi" w:cstheme="minorHAnsi"/>
          <w:color w:val="auto"/>
          <w:szCs w:val="21"/>
        </w:rPr>
        <w:t xml:space="preserve"> </w:t>
      </w:r>
    </w:p>
    <w:p w14:paraId="6F5888DC" w14:textId="77777777" w:rsidR="00040EE5" w:rsidRPr="00780D76" w:rsidRDefault="00040EE5" w:rsidP="00AA592D">
      <w:pPr>
        <w:spacing w:line="276" w:lineRule="auto"/>
        <w:jc w:val="both"/>
        <w:rPr>
          <w:rFonts w:asciiTheme="minorHAnsi" w:hAnsiTheme="minorHAnsi" w:cstheme="minorHAnsi"/>
        </w:rPr>
      </w:pPr>
      <w:bookmarkStart w:id="118" w:name="_Toc176420831"/>
      <w:r w:rsidRPr="00780D76">
        <w:rPr>
          <w:rFonts w:asciiTheme="minorHAnsi" w:hAnsiTheme="minorHAnsi" w:cstheme="minorHAnsi"/>
          <w:color w:val="auto"/>
          <w:szCs w:val="21"/>
        </w:rPr>
        <w:t xml:space="preserve">Though the MLETR was developed broadly to achieve a more uniform international approach to electronic </w:t>
      </w:r>
      <w:r w:rsidRPr="00780D76">
        <w:rPr>
          <w:rFonts w:asciiTheme="minorHAnsi" w:hAnsiTheme="minorHAnsi" w:cstheme="minorHAnsi"/>
        </w:rPr>
        <w:t>transferable</w:t>
      </w:r>
      <w:r w:rsidRPr="00780D76">
        <w:rPr>
          <w:rFonts w:asciiTheme="minorHAnsi" w:hAnsiTheme="minorHAnsi" w:cstheme="minorHAnsi"/>
          <w:color w:val="auto"/>
          <w:szCs w:val="21"/>
        </w:rPr>
        <w:t xml:space="preserve"> records, the nature of a model law like MLETR is that any jurisdiction may enact it </w:t>
      </w:r>
      <w:r w:rsidRPr="00780D76">
        <w:rPr>
          <w:rFonts w:asciiTheme="minorHAnsi" w:hAnsiTheme="minorHAnsi" w:cstheme="minorHAnsi"/>
        </w:rPr>
        <w:t>partially or with modifications of its choosing.</w:t>
      </w:r>
      <w:bookmarkEnd w:id="118"/>
      <w:r w:rsidRPr="00780D76">
        <w:rPr>
          <w:rFonts w:asciiTheme="minorHAnsi" w:hAnsiTheme="minorHAnsi" w:cstheme="minorHAnsi"/>
        </w:rPr>
        <w:t xml:space="preserve"> </w:t>
      </w:r>
    </w:p>
    <w:p w14:paraId="32874BF8" w14:textId="77777777" w:rsidR="00040EE5" w:rsidRPr="00780D76" w:rsidRDefault="00040EE5" w:rsidP="00AA592D">
      <w:pPr>
        <w:spacing w:line="276" w:lineRule="auto"/>
        <w:jc w:val="both"/>
        <w:rPr>
          <w:rFonts w:asciiTheme="minorHAnsi" w:hAnsiTheme="minorHAnsi" w:cstheme="minorHAnsi"/>
          <w:color w:val="auto"/>
          <w:szCs w:val="21"/>
        </w:rPr>
      </w:pPr>
      <w:bookmarkStart w:id="119" w:name="_Toc176275167"/>
      <w:bookmarkStart w:id="120" w:name="_Toc176420832"/>
      <w:r w:rsidRPr="00780D76">
        <w:rPr>
          <w:rFonts w:asciiTheme="minorHAnsi" w:hAnsiTheme="minorHAnsi" w:cstheme="minorHAnsi"/>
        </w:rPr>
        <w:t>We also recognise that, potentially, not all jurisdictions may enact electronic transferable record legislation, whilst</w:t>
      </w:r>
      <w:r w:rsidRPr="00780D76">
        <w:rPr>
          <w:rFonts w:asciiTheme="minorHAnsi" w:hAnsiTheme="minorHAnsi" w:cstheme="minorHAnsi"/>
          <w:color w:val="auto"/>
          <w:szCs w:val="21"/>
        </w:rPr>
        <w:t xml:space="preserve"> others may enact MLETR-aligned legislation at a different pace, or legislation which does not contain compatible criteria for functional equivalence.</w:t>
      </w:r>
      <w:bookmarkEnd w:id="119"/>
      <w:bookmarkEnd w:id="120"/>
      <w:r w:rsidRPr="00780D76">
        <w:rPr>
          <w:rFonts w:asciiTheme="minorHAnsi" w:hAnsiTheme="minorHAnsi" w:cstheme="minorHAnsi"/>
          <w:color w:val="auto"/>
          <w:szCs w:val="21"/>
        </w:rPr>
        <w:t xml:space="preserve"> </w:t>
      </w:r>
    </w:p>
    <w:p w14:paraId="0B7A403D" w14:textId="77777777" w:rsidR="00040EE5" w:rsidRPr="00780D76" w:rsidRDefault="00040EE5" w:rsidP="00AA592D">
      <w:pPr>
        <w:spacing w:line="276" w:lineRule="auto"/>
        <w:jc w:val="both"/>
        <w:rPr>
          <w:rFonts w:asciiTheme="minorHAnsi" w:hAnsiTheme="minorHAnsi" w:cstheme="minorHAnsi"/>
          <w:color w:val="auto"/>
          <w:szCs w:val="21"/>
        </w:rPr>
      </w:pPr>
      <w:bookmarkStart w:id="121" w:name="_Toc176275168"/>
      <w:bookmarkStart w:id="122" w:name="_Toc176420833"/>
      <w:r w:rsidRPr="00780D76">
        <w:rPr>
          <w:rFonts w:asciiTheme="minorHAnsi" w:hAnsiTheme="minorHAnsi" w:cstheme="minorHAnsi"/>
          <w:color w:val="auto"/>
          <w:szCs w:val="21"/>
        </w:rPr>
        <w:t xml:space="preserve">Our </w:t>
      </w:r>
      <w:r w:rsidRPr="00780D76">
        <w:rPr>
          <w:rFonts w:asciiTheme="minorHAnsi" w:hAnsiTheme="minorHAnsi" w:cstheme="minorHAnsi"/>
        </w:rPr>
        <w:t>preliminary</w:t>
      </w:r>
      <w:r w:rsidRPr="00780D76">
        <w:rPr>
          <w:rFonts w:asciiTheme="minorHAnsi" w:hAnsiTheme="minorHAnsi" w:cstheme="minorHAnsi"/>
          <w:color w:val="auto"/>
          <w:szCs w:val="21"/>
        </w:rPr>
        <w:t xml:space="preserve"> view is that compatible international frameworks for electronic transferable records will improve the usability of such records across borders. As noted by Australia’s engagement on the MLETR described below, Australia is actively participating in efforts to encourage international adoption of frameworks which take the MLETR into account.</w:t>
      </w:r>
      <w:bookmarkEnd w:id="121"/>
      <w:bookmarkEnd w:id="122"/>
      <w:r w:rsidRPr="00780D76">
        <w:rPr>
          <w:rFonts w:asciiTheme="minorHAnsi" w:hAnsiTheme="minorHAnsi" w:cstheme="minorHAnsi"/>
          <w:color w:val="auto"/>
          <w:szCs w:val="21"/>
        </w:rPr>
        <w:t xml:space="preserve"> </w:t>
      </w:r>
    </w:p>
    <w:p w14:paraId="6BFF2126" w14:textId="77777777" w:rsidR="00AA592D" w:rsidRPr="00780D76" w:rsidRDefault="00040EE5" w:rsidP="00AA592D">
      <w:pPr>
        <w:spacing w:line="276" w:lineRule="auto"/>
        <w:jc w:val="both"/>
        <w:rPr>
          <w:rFonts w:asciiTheme="minorHAnsi" w:hAnsiTheme="minorHAnsi" w:cstheme="minorHAnsi"/>
          <w:color w:val="auto"/>
          <w:szCs w:val="21"/>
        </w:rPr>
      </w:pPr>
      <w:bookmarkStart w:id="123" w:name="_Toc176275169"/>
      <w:bookmarkStart w:id="124" w:name="_Toc176420834"/>
      <w:r w:rsidRPr="00780D76">
        <w:rPr>
          <w:rFonts w:asciiTheme="minorHAnsi" w:hAnsiTheme="minorHAnsi" w:cstheme="minorHAnsi"/>
          <w:color w:val="auto"/>
          <w:szCs w:val="21"/>
        </w:rPr>
        <w:t xml:space="preserve">However, our preliminary view is that inconsistent legal frameworks would still not necessarily prevent cross-border </w:t>
      </w:r>
      <w:r w:rsidRPr="00780D76">
        <w:rPr>
          <w:rFonts w:asciiTheme="minorHAnsi" w:hAnsiTheme="minorHAnsi" w:cstheme="minorHAnsi"/>
        </w:rPr>
        <w:t>transactions</w:t>
      </w:r>
      <w:r w:rsidRPr="00780D76">
        <w:rPr>
          <w:rFonts w:asciiTheme="minorHAnsi" w:hAnsiTheme="minorHAnsi" w:cstheme="minorHAnsi"/>
          <w:color w:val="auto"/>
          <w:szCs w:val="21"/>
        </w:rPr>
        <w:t xml:space="preserve"> involving transferable records because:</w:t>
      </w:r>
      <w:bookmarkEnd w:id="123"/>
      <w:bookmarkEnd w:id="124"/>
      <w:r w:rsidRPr="00780D76">
        <w:rPr>
          <w:rFonts w:asciiTheme="minorHAnsi" w:hAnsiTheme="minorHAnsi" w:cstheme="minorHAnsi"/>
          <w:color w:val="auto"/>
          <w:szCs w:val="21"/>
        </w:rPr>
        <w:t xml:space="preserve"> </w:t>
      </w:r>
      <w:bookmarkStart w:id="125" w:name="_Toc176275170"/>
      <w:bookmarkStart w:id="126" w:name="_Toc176420835"/>
    </w:p>
    <w:p w14:paraId="35A7A977" w14:textId="77777777" w:rsidR="00040EE5" w:rsidRPr="00780D76" w:rsidRDefault="00040EE5" w:rsidP="00AA592D">
      <w:pPr>
        <w:pStyle w:val="ListParagraph"/>
        <w:numPr>
          <w:ilvl w:val="0"/>
          <w:numId w:val="16"/>
        </w:numPr>
        <w:tabs>
          <w:tab w:val="left" w:pos="964"/>
        </w:tabs>
        <w:spacing w:line="276" w:lineRule="auto"/>
        <w:jc w:val="both"/>
        <w:rPr>
          <w:rFonts w:asciiTheme="minorHAnsi" w:hAnsiTheme="minorHAnsi" w:cstheme="minorHAnsi"/>
          <w:color w:val="auto"/>
          <w:szCs w:val="21"/>
        </w:rPr>
      </w:pPr>
      <w:r w:rsidRPr="00780D76">
        <w:rPr>
          <w:rFonts w:asciiTheme="minorHAnsi" w:hAnsiTheme="minorHAnsi" w:cstheme="minorHAnsi"/>
        </w:rPr>
        <w:t>the</w:t>
      </w:r>
      <w:r w:rsidRPr="00780D76">
        <w:rPr>
          <w:rFonts w:asciiTheme="minorHAnsi" w:hAnsiTheme="minorHAnsi" w:cstheme="minorHAnsi"/>
          <w:color w:val="auto"/>
          <w:szCs w:val="21"/>
        </w:rPr>
        <w:t xml:space="preserve"> MLETR does not require any person to use electronic transferable records – it only confirms that a </w:t>
      </w:r>
      <w:r w:rsidRPr="00780D76">
        <w:rPr>
          <w:rFonts w:asciiTheme="minorHAnsi" w:hAnsiTheme="minorHAnsi" w:cstheme="minorHAnsi"/>
        </w:rPr>
        <w:t>person</w:t>
      </w:r>
      <w:r w:rsidRPr="00780D76">
        <w:rPr>
          <w:rFonts w:asciiTheme="minorHAnsi" w:hAnsiTheme="minorHAnsi" w:cstheme="minorHAnsi"/>
          <w:color w:val="auto"/>
          <w:szCs w:val="21"/>
        </w:rPr>
        <w:t xml:space="preserve"> may choose to use electronic transferable records if they so desire – and accordingly trade participants may continue to use traditional paper records where there is no alternative</w:t>
      </w:r>
      <w:bookmarkEnd w:id="125"/>
      <w:bookmarkEnd w:id="126"/>
    </w:p>
    <w:p w14:paraId="7C1CFB0A" w14:textId="77777777" w:rsidR="00040EE5" w:rsidRPr="00780D76" w:rsidRDefault="00040EE5" w:rsidP="00AA592D">
      <w:pPr>
        <w:pStyle w:val="ListParagraph"/>
        <w:numPr>
          <w:ilvl w:val="0"/>
          <w:numId w:val="16"/>
        </w:numPr>
        <w:tabs>
          <w:tab w:val="left" w:pos="964"/>
        </w:tabs>
        <w:spacing w:line="276" w:lineRule="auto"/>
        <w:jc w:val="both"/>
        <w:rPr>
          <w:rFonts w:asciiTheme="minorHAnsi" w:hAnsiTheme="minorHAnsi" w:cstheme="minorHAnsi"/>
          <w:color w:val="auto"/>
          <w:szCs w:val="21"/>
        </w:rPr>
      </w:pPr>
      <w:bookmarkStart w:id="127" w:name="_Toc176275171"/>
      <w:bookmarkStart w:id="128" w:name="_Toc176420836"/>
      <w:r w:rsidRPr="00780D76">
        <w:rPr>
          <w:rFonts w:asciiTheme="minorHAnsi" w:hAnsiTheme="minorHAnsi" w:cstheme="minorHAnsi"/>
          <w:color w:val="auto"/>
          <w:szCs w:val="21"/>
        </w:rPr>
        <w:t xml:space="preserve">articles 17 and 18 of the MLETR enable trade participants to ‘convert’ electronic transferable records to paper records, and vice versa, for example if required to satisfy any paper-based </w:t>
      </w:r>
      <w:r w:rsidRPr="00780D76">
        <w:rPr>
          <w:rFonts w:asciiTheme="minorHAnsi" w:hAnsiTheme="minorHAnsi" w:cstheme="minorHAnsi"/>
        </w:rPr>
        <w:t>requirements</w:t>
      </w:r>
      <w:r w:rsidRPr="00780D76">
        <w:rPr>
          <w:rFonts w:asciiTheme="minorHAnsi" w:hAnsiTheme="minorHAnsi" w:cstheme="minorHAnsi"/>
          <w:color w:val="auto"/>
          <w:szCs w:val="21"/>
        </w:rPr>
        <w:t xml:space="preserve"> of another jurisdiction.</w:t>
      </w:r>
      <w:bookmarkEnd w:id="127"/>
      <w:bookmarkEnd w:id="128"/>
      <w:r w:rsidRPr="00780D76">
        <w:rPr>
          <w:rFonts w:asciiTheme="minorHAnsi" w:hAnsiTheme="minorHAnsi" w:cstheme="minorHAnsi"/>
          <w:color w:val="auto"/>
          <w:szCs w:val="21"/>
        </w:rPr>
        <w:t xml:space="preserve"> </w:t>
      </w:r>
    </w:p>
    <w:p w14:paraId="7ED7B367" w14:textId="77777777" w:rsidR="00040EE5" w:rsidRPr="00780D76" w:rsidRDefault="00040EE5" w:rsidP="00AA592D">
      <w:pPr>
        <w:spacing w:line="276" w:lineRule="auto"/>
        <w:jc w:val="both"/>
        <w:rPr>
          <w:rFonts w:asciiTheme="minorHAnsi" w:hAnsiTheme="minorHAnsi" w:cstheme="minorHAnsi"/>
          <w:b/>
          <w:color w:val="auto"/>
          <w:szCs w:val="21"/>
          <w:u w:val="single"/>
        </w:rPr>
      </w:pPr>
      <w:bookmarkStart w:id="129" w:name="_Toc176275172"/>
      <w:bookmarkStart w:id="130" w:name="_Toc176420837"/>
      <w:r w:rsidRPr="00780D76">
        <w:rPr>
          <w:rFonts w:asciiTheme="minorHAnsi" w:hAnsiTheme="minorHAnsi" w:cstheme="minorHAnsi"/>
          <w:b/>
          <w:color w:val="auto"/>
          <w:szCs w:val="21"/>
          <w:u w:val="single"/>
        </w:rPr>
        <w:t>Please refer to articles 17 and 18 of the MLETR set out at Annexure A.</w:t>
      </w:r>
      <w:bookmarkEnd w:id="129"/>
      <w:bookmarkEnd w:id="130"/>
      <w:r w:rsidRPr="00780D76">
        <w:rPr>
          <w:rFonts w:asciiTheme="minorHAnsi" w:hAnsiTheme="minorHAnsi" w:cstheme="minorHAnsi"/>
          <w:b/>
          <w:color w:val="auto"/>
          <w:szCs w:val="21"/>
          <w:u w:val="single"/>
        </w:rPr>
        <w:t xml:space="preserve"> </w:t>
      </w:r>
    </w:p>
    <w:p w14:paraId="340A7187" w14:textId="77777777" w:rsidR="00040EE5" w:rsidRPr="00780D76" w:rsidRDefault="00040EE5" w:rsidP="00AA592D">
      <w:pPr>
        <w:spacing w:line="276" w:lineRule="auto"/>
        <w:jc w:val="both"/>
        <w:rPr>
          <w:rFonts w:asciiTheme="minorHAnsi" w:hAnsiTheme="minorHAnsi" w:cstheme="minorHAnsi"/>
          <w:color w:val="auto"/>
          <w:szCs w:val="21"/>
          <w:highlight w:val="yellow"/>
        </w:rPr>
      </w:pPr>
      <w:bookmarkStart w:id="131" w:name="_Toc176275173"/>
      <w:bookmarkStart w:id="132" w:name="_Toc176420838"/>
      <w:r w:rsidRPr="00780D76">
        <w:rPr>
          <w:rFonts w:asciiTheme="minorHAnsi" w:hAnsiTheme="minorHAnsi" w:cstheme="minorHAnsi"/>
          <w:color w:val="auto"/>
          <w:szCs w:val="21"/>
        </w:rPr>
        <w:lastRenderedPageBreak/>
        <w:t>However, we are interested in stakeholder views about the extent to which international adoption of comparable legal frameworks would be a factor in their use of electronic transferable records</w:t>
      </w:r>
      <w:bookmarkEnd w:id="131"/>
      <w:bookmarkEnd w:id="132"/>
      <w:r w:rsidR="00282AA9" w:rsidRPr="00780D76">
        <w:rPr>
          <w:rFonts w:asciiTheme="minorHAnsi" w:hAnsiTheme="minorHAnsi" w:cstheme="minorHAnsi"/>
          <w:color w:val="auto"/>
          <w:szCs w:val="21"/>
        </w:rPr>
        <w:t>.</w:t>
      </w:r>
    </w:p>
    <w:p w14:paraId="0FB20C4E" w14:textId="77777777" w:rsidR="00040EE5" w:rsidRPr="00780D76" w:rsidRDefault="00040EE5" w:rsidP="008B382E">
      <w:pPr>
        <w:pStyle w:val="Boxheading"/>
        <w:numPr>
          <w:ilvl w:val="0"/>
          <w:numId w:val="32"/>
        </w:numPr>
        <w:spacing w:line="240" w:lineRule="auto"/>
        <w:rPr>
          <w:rFonts w:asciiTheme="minorHAnsi" w:hAnsiTheme="minorHAnsi" w:cstheme="minorHAnsi"/>
          <w:b/>
          <w:color w:val="auto"/>
          <w:sz w:val="28"/>
        </w:rPr>
      </w:pPr>
      <w:r w:rsidRPr="00780D76">
        <w:rPr>
          <w:rFonts w:asciiTheme="minorHAnsi" w:hAnsiTheme="minorHAnsi" w:cstheme="minorHAnsi"/>
          <w:b/>
          <w:caps w:val="0"/>
          <w:color w:val="auto"/>
          <w:sz w:val="28"/>
        </w:rPr>
        <w:t xml:space="preserve"> </w:t>
      </w:r>
    </w:p>
    <w:p w14:paraId="3C8ED205" w14:textId="77777777" w:rsidR="00040EE5" w:rsidRPr="00780D76" w:rsidRDefault="00040EE5" w:rsidP="00040EE5">
      <w:pPr>
        <w:pStyle w:val="Boxheading"/>
        <w:jc w:val="both"/>
        <w:rPr>
          <w:rFonts w:asciiTheme="minorHAnsi" w:hAnsiTheme="minorHAnsi" w:cstheme="minorHAnsi"/>
          <w:caps w:val="0"/>
          <w:color w:val="auto"/>
        </w:rPr>
      </w:pPr>
      <w:r w:rsidRPr="00780D76">
        <w:rPr>
          <w:rFonts w:asciiTheme="minorHAnsi" w:hAnsiTheme="minorHAnsi" w:cstheme="minorHAnsi"/>
          <w:caps w:val="0"/>
          <w:color w:val="auto"/>
        </w:rPr>
        <w:t>Assuming that Australia enacted legislation based on the MLETR: would you consider the legality of electronic transferable records in other international jurisdictions, before you adopted electronic transferable records into your business practices?</w:t>
      </w:r>
    </w:p>
    <w:p w14:paraId="4E1BE0CF" w14:textId="77777777" w:rsidR="00040EE5" w:rsidRPr="00780D76" w:rsidRDefault="00040EE5" w:rsidP="008B382E">
      <w:pPr>
        <w:pStyle w:val="Boxheading"/>
        <w:numPr>
          <w:ilvl w:val="0"/>
          <w:numId w:val="25"/>
        </w:numPr>
        <w:ind w:left="587"/>
        <w:jc w:val="both"/>
        <w:rPr>
          <w:rFonts w:asciiTheme="minorHAnsi" w:hAnsiTheme="minorHAnsi" w:cstheme="minorHAnsi"/>
          <w:b/>
          <w:color w:val="auto"/>
        </w:rPr>
      </w:pPr>
      <w:r w:rsidRPr="00780D76">
        <w:rPr>
          <w:rFonts w:asciiTheme="minorHAnsi" w:hAnsiTheme="minorHAnsi" w:cstheme="minorHAnsi"/>
          <w:b/>
          <w:caps w:val="0"/>
          <w:color w:val="auto"/>
        </w:rPr>
        <w:t>Yes</w:t>
      </w:r>
    </w:p>
    <w:p w14:paraId="1E8C3A9F" w14:textId="77777777" w:rsidR="00040EE5" w:rsidRPr="00780D76" w:rsidRDefault="00040EE5" w:rsidP="008B382E">
      <w:pPr>
        <w:pStyle w:val="Boxheading"/>
        <w:numPr>
          <w:ilvl w:val="0"/>
          <w:numId w:val="25"/>
        </w:numPr>
        <w:ind w:left="587"/>
        <w:jc w:val="both"/>
        <w:rPr>
          <w:rFonts w:asciiTheme="minorHAnsi" w:hAnsiTheme="minorHAnsi" w:cstheme="minorHAnsi"/>
          <w:b/>
          <w:color w:val="auto"/>
        </w:rPr>
      </w:pPr>
      <w:r w:rsidRPr="00780D76">
        <w:rPr>
          <w:rFonts w:asciiTheme="minorHAnsi" w:hAnsiTheme="minorHAnsi" w:cstheme="minorHAnsi"/>
          <w:b/>
          <w:caps w:val="0"/>
          <w:color w:val="auto"/>
        </w:rPr>
        <w:t>No</w:t>
      </w:r>
    </w:p>
    <w:p w14:paraId="04B19BF0" w14:textId="77777777" w:rsidR="00040EE5" w:rsidRPr="00780D76" w:rsidRDefault="00040EE5" w:rsidP="008B382E">
      <w:pPr>
        <w:pStyle w:val="Boxheading"/>
        <w:numPr>
          <w:ilvl w:val="0"/>
          <w:numId w:val="25"/>
        </w:numPr>
        <w:ind w:left="587"/>
        <w:jc w:val="both"/>
        <w:rPr>
          <w:rFonts w:asciiTheme="minorHAnsi" w:hAnsiTheme="minorHAnsi" w:cstheme="minorHAnsi"/>
          <w:b/>
          <w:color w:val="auto"/>
        </w:rPr>
      </w:pPr>
      <w:r w:rsidRPr="00780D76">
        <w:rPr>
          <w:rFonts w:asciiTheme="minorHAnsi" w:hAnsiTheme="minorHAnsi" w:cstheme="minorHAnsi"/>
          <w:b/>
          <w:caps w:val="0"/>
          <w:color w:val="auto"/>
        </w:rPr>
        <w:t>Unsure</w:t>
      </w:r>
    </w:p>
    <w:p w14:paraId="2CB8062E" w14:textId="77777777" w:rsidR="00040EE5" w:rsidRPr="00780D76" w:rsidRDefault="00040EE5" w:rsidP="00040EE5">
      <w:pPr>
        <w:pStyle w:val="Boxheading"/>
        <w:jc w:val="both"/>
        <w:rPr>
          <w:rFonts w:asciiTheme="minorHAnsi" w:hAnsiTheme="minorHAnsi" w:cstheme="minorHAnsi"/>
          <w:color w:val="auto"/>
          <w:highlight w:val="yellow"/>
        </w:rPr>
      </w:pPr>
      <w:r w:rsidRPr="00780D76">
        <w:rPr>
          <w:rFonts w:asciiTheme="minorHAnsi" w:hAnsiTheme="minorHAnsi" w:cstheme="minorHAnsi"/>
          <w:caps w:val="0"/>
          <w:color w:val="auto"/>
        </w:rPr>
        <w:t>Please explain your answer, including (if applicable) the extent to which articles 17 and 18 would be sufficient for you to navigate between electronic and paper requirements.</w:t>
      </w:r>
    </w:p>
    <w:p w14:paraId="2AD1CAD5" w14:textId="77777777" w:rsidR="00040EE5" w:rsidRPr="00780D76" w:rsidRDefault="00040EE5" w:rsidP="00040EE5">
      <w:pPr>
        <w:pStyle w:val="Heading3"/>
        <w:rPr>
          <w:rFonts w:asciiTheme="minorHAnsi" w:hAnsiTheme="minorHAnsi" w:cstheme="minorHAnsi"/>
        </w:rPr>
      </w:pPr>
      <w:bookmarkStart w:id="133" w:name="_Toc176420839"/>
      <w:r w:rsidRPr="00780D76">
        <w:rPr>
          <w:rFonts w:asciiTheme="minorHAnsi" w:hAnsiTheme="minorHAnsi" w:cstheme="minorHAnsi"/>
        </w:rPr>
        <w:t>Australian international engagement on MLETR</w:t>
      </w:r>
      <w:bookmarkEnd w:id="133"/>
      <w:r w:rsidRPr="00780D76">
        <w:rPr>
          <w:rFonts w:asciiTheme="minorHAnsi" w:hAnsiTheme="minorHAnsi" w:cstheme="minorHAnsi"/>
        </w:rPr>
        <w:t xml:space="preserve"> </w:t>
      </w:r>
    </w:p>
    <w:p w14:paraId="4D5F2917" w14:textId="77777777" w:rsidR="00040EE5" w:rsidRPr="00780D76" w:rsidRDefault="00040EE5" w:rsidP="00AA592D">
      <w:pPr>
        <w:spacing w:line="276" w:lineRule="auto"/>
        <w:jc w:val="both"/>
        <w:rPr>
          <w:rFonts w:asciiTheme="minorHAnsi" w:hAnsiTheme="minorHAnsi" w:cstheme="minorHAnsi"/>
          <w:color w:val="auto"/>
          <w:szCs w:val="21"/>
        </w:rPr>
      </w:pPr>
      <w:bookmarkStart w:id="134" w:name="_Toc176275175"/>
      <w:bookmarkStart w:id="135" w:name="_Toc176420840"/>
      <w:r w:rsidRPr="00780D76">
        <w:rPr>
          <w:rFonts w:asciiTheme="minorHAnsi" w:hAnsiTheme="minorHAnsi" w:cstheme="minorHAnsi"/>
          <w:color w:val="auto"/>
          <w:szCs w:val="21"/>
        </w:rPr>
        <w:t>In addition to feedback from trade participants, Australia’s engagement in multilateral forums and with Australia’s trading partners provides opportunities to leverage the benefits of international adoption of the MLETR, and learn from international experiences to drive domestic reform.</w:t>
      </w:r>
      <w:bookmarkEnd w:id="134"/>
      <w:bookmarkEnd w:id="135"/>
      <w:r w:rsidRPr="00780D76">
        <w:rPr>
          <w:rFonts w:asciiTheme="minorHAnsi" w:hAnsiTheme="minorHAnsi" w:cstheme="minorHAnsi"/>
          <w:color w:val="auto"/>
          <w:szCs w:val="21"/>
        </w:rPr>
        <w:t xml:space="preserve"> </w:t>
      </w:r>
    </w:p>
    <w:p w14:paraId="56B83DC8" w14:textId="77777777" w:rsidR="00040EE5" w:rsidRPr="00780D76" w:rsidRDefault="00040EE5" w:rsidP="00AA592D">
      <w:pPr>
        <w:spacing w:line="276" w:lineRule="auto"/>
        <w:jc w:val="both"/>
        <w:rPr>
          <w:rFonts w:asciiTheme="minorHAnsi" w:hAnsiTheme="minorHAnsi" w:cstheme="minorHAnsi"/>
          <w:color w:val="auto"/>
          <w:szCs w:val="21"/>
        </w:rPr>
      </w:pPr>
      <w:bookmarkStart w:id="136" w:name="_Toc176275176"/>
      <w:bookmarkStart w:id="137" w:name="_Toc176420841"/>
      <w:r w:rsidRPr="00780D76">
        <w:rPr>
          <w:rFonts w:asciiTheme="minorHAnsi" w:hAnsiTheme="minorHAnsi" w:cstheme="minorHAnsi"/>
          <w:color w:val="auto"/>
          <w:szCs w:val="21"/>
        </w:rPr>
        <w:t>For example, Australia is currently leading an Asia-Pacific Economic Cooperation (</w:t>
      </w:r>
      <w:r w:rsidRPr="00780D76">
        <w:rPr>
          <w:rFonts w:asciiTheme="minorHAnsi" w:hAnsiTheme="minorHAnsi" w:cstheme="minorHAnsi"/>
          <w:b/>
          <w:color w:val="auto"/>
          <w:szCs w:val="21"/>
        </w:rPr>
        <w:t>APEC</w:t>
      </w:r>
      <w:r w:rsidRPr="00780D76">
        <w:rPr>
          <w:rFonts w:asciiTheme="minorHAnsi" w:hAnsiTheme="minorHAnsi" w:cstheme="minorHAnsi"/>
          <w:color w:val="auto"/>
          <w:szCs w:val="21"/>
        </w:rPr>
        <w:t>) project to analyse the legal gaps and economic benefits of APEC economies adopting a legal framework that takes the MLETR into account. Australia’s engagement will help facilitate next steps for greater cooperation in our region towards collectively implementing paperless trade.</w:t>
      </w:r>
      <w:bookmarkEnd w:id="136"/>
      <w:bookmarkEnd w:id="137"/>
      <w:r w:rsidRPr="00780D76">
        <w:rPr>
          <w:rFonts w:asciiTheme="minorHAnsi" w:hAnsiTheme="minorHAnsi" w:cstheme="minorHAnsi"/>
          <w:color w:val="auto"/>
          <w:szCs w:val="21"/>
        </w:rPr>
        <w:t xml:space="preserve"> </w:t>
      </w:r>
    </w:p>
    <w:p w14:paraId="7527071B" w14:textId="77777777" w:rsidR="00040EE5" w:rsidRPr="00780D76" w:rsidRDefault="00040EE5" w:rsidP="00AA592D">
      <w:pPr>
        <w:spacing w:line="276" w:lineRule="auto"/>
        <w:jc w:val="both"/>
        <w:rPr>
          <w:rFonts w:asciiTheme="minorHAnsi" w:hAnsiTheme="minorHAnsi" w:cstheme="minorHAnsi"/>
          <w:color w:val="auto"/>
          <w:szCs w:val="21"/>
        </w:rPr>
      </w:pPr>
      <w:bookmarkStart w:id="138" w:name="_Toc176275177"/>
      <w:bookmarkStart w:id="139" w:name="_Toc176420842"/>
      <w:r w:rsidRPr="00780D76">
        <w:rPr>
          <w:rFonts w:asciiTheme="minorHAnsi" w:hAnsiTheme="minorHAnsi" w:cstheme="minorHAnsi"/>
          <w:color w:val="auto"/>
          <w:szCs w:val="21"/>
        </w:rPr>
        <w:t>In addition, at the G7 hosted by the UK in 2021, Australia agreed to the ‘Framework for G7 Collaboration on Electronic Transferable Records’, which champions the work of UNCITRAL and promotes the adoption of legal frameworks aligned with the MLETR.</w:t>
      </w:r>
      <w:bookmarkEnd w:id="138"/>
      <w:bookmarkEnd w:id="139"/>
      <w:r w:rsidRPr="00780D76">
        <w:rPr>
          <w:rFonts w:asciiTheme="minorHAnsi" w:hAnsiTheme="minorHAnsi" w:cstheme="minorHAnsi"/>
          <w:color w:val="auto"/>
          <w:szCs w:val="21"/>
        </w:rPr>
        <w:t xml:space="preserve"> </w:t>
      </w:r>
    </w:p>
    <w:p w14:paraId="754894C3" w14:textId="77777777" w:rsidR="00040EE5" w:rsidRPr="00780D76" w:rsidRDefault="00040EE5" w:rsidP="00AA592D">
      <w:pPr>
        <w:spacing w:line="276" w:lineRule="auto"/>
        <w:jc w:val="both"/>
        <w:rPr>
          <w:rFonts w:asciiTheme="minorHAnsi" w:hAnsiTheme="minorHAnsi" w:cstheme="minorHAnsi"/>
          <w:color w:val="auto"/>
          <w:szCs w:val="21"/>
        </w:rPr>
      </w:pPr>
      <w:bookmarkStart w:id="140" w:name="_Toc176275178"/>
      <w:bookmarkStart w:id="141" w:name="_Toc176420843"/>
      <w:r w:rsidRPr="00780D76">
        <w:rPr>
          <w:rFonts w:asciiTheme="minorHAnsi" w:hAnsiTheme="minorHAnsi" w:cstheme="minorHAnsi"/>
          <w:color w:val="auto"/>
          <w:szCs w:val="21"/>
        </w:rPr>
        <w:t>The Australian Government also participates in global rule-making to shape and support an open digital economy. For example, Australia has agreed to provisions in the Australia-Singapore Digital Economy Agreement,</w:t>
      </w:r>
      <w:r w:rsidRPr="00780D76">
        <w:rPr>
          <w:rStyle w:val="FootnoteReference"/>
          <w:rFonts w:asciiTheme="minorHAnsi" w:hAnsiTheme="minorHAnsi" w:cstheme="minorHAnsi"/>
          <w:color w:val="auto"/>
          <w:szCs w:val="21"/>
        </w:rPr>
        <w:footnoteReference w:id="92"/>
      </w:r>
      <w:r w:rsidRPr="00780D76">
        <w:rPr>
          <w:rFonts w:asciiTheme="minorHAnsi" w:hAnsiTheme="minorHAnsi" w:cstheme="minorHAnsi"/>
          <w:color w:val="auto"/>
          <w:szCs w:val="21"/>
        </w:rPr>
        <w:t xml:space="preserve"> and the Australia-United Kingdom Free Trade Agreement which recognise the importance of developing mechanisms to facilitate the use of electronic transferable records, and encourage parties to consider model texts like the MLETR.</w:t>
      </w:r>
      <w:r w:rsidRPr="00780D76">
        <w:rPr>
          <w:rStyle w:val="FootnoteReference"/>
          <w:rFonts w:asciiTheme="minorHAnsi" w:hAnsiTheme="minorHAnsi" w:cstheme="minorHAnsi"/>
          <w:color w:val="auto"/>
          <w:szCs w:val="21"/>
        </w:rPr>
        <w:footnoteReference w:id="93"/>
      </w:r>
      <w:bookmarkEnd w:id="140"/>
      <w:bookmarkEnd w:id="141"/>
    </w:p>
    <w:p w14:paraId="7C7FE3B7" w14:textId="77777777" w:rsidR="00040EE5" w:rsidRPr="00780D76" w:rsidRDefault="00040EE5" w:rsidP="008B382E">
      <w:pPr>
        <w:pStyle w:val="Heading1"/>
        <w:keepLines/>
        <w:numPr>
          <w:ilvl w:val="1"/>
          <w:numId w:val="31"/>
        </w:numPr>
        <w:spacing w:before="0" w:after="240" w:line="259" w:lineRule="auto"/>
        <w:ind w:left="709" w:hanging="709"/>
        <w:rPr>
          <w:rFonts w:asciiTheme="minorHAnsi" w:hAnsiTheme="minorHAnsi" w:cstheme="minorHAnsi"/>
          <w:sz w:val="36"/>
          <w:lang w:eastAsia="en-AU"/>
        </w:rPr>
      </w:pPr>
      <w:bookmarkStart w:id="142" w:name="_Toc176437895"/>
      <w:r w:rsidRPr="00780D76">
        <w:rPr>
          <w:rFonts w:asciiTheme="minorHAnsi" w:hAnsiTheme="minorHAnsi" w:cstheme="minorHAnsi"/>
          <w:sz w:val="36"/>
          <w:lang w:eastAsia="en-AU"/>
        </w:rPr>
        <w:lastRenderedPageBreak/>
        <w:t>MLETR technology</w:t>
      </w:r>
      <w:bookmarkEnd w:id="142"/>
      <w:r w:rsidRPr="00780D76">
        <w:rPr>
          <w:rFonts w:asciiTheme="minorHAnsi" w:hAnsiTheme="minorHAnsi" w:cstheme="minorHAnsi"/>
          <w:sz w:val="36"/>
          <w:lang w:eastAsia="en-AU"/>
        </w:rPr>
        <w:t xml:space="preserve"> </w:t>
      </w:r>
    </w:p>
    <w:p w14:paraId="514FCC74" w14:textId="77777777" w:rsidR="00040EE5" w:rsidRPr="00780D76" w:rsidRDefault="00040EE5" w:rsidP="00AA592D">
      <w:pPr>
        <w:spacing w:line="276" w:lineRule="auto"/>
        <w:jc w:val="both"/>
        <w:rPr>
          <w:rFonts w:asciiTheme="minorHAnsi" w:hAnsiTheme="minorHAnsi" w:cstheme="minorHAnsi"/>
          <w:color w:val="auto"/>
          <w:szCs w:val="21"/>
        </w:rPr>
      </w:pPr>
      <w:bookmarkStart w:id="143" w:name="_Toc176275180"/>
      <w:bookmarkStart w:id="144" w:name="_Toc176420845"/>
      <w:r w:rsidRPr="00780D76">
        <w:rPr>
          <w:rFonts w:asciiTheme="minorHAnsi" w:hAnsiTheme="minorHAnsi" w:cstheme="minorHAnsi"/>
          <w:color w:val="auto"/>
          <w:szCs w:val="21"/>
        </w:rPr>
        <w:t>The department’s engagement in the MLETR project is limited to investigating options to confirm the legal validity of electronic transferable records. We are not considering the development of technology for the use of electronic transferable records.</w:t>
      </w:r>
      <w:bookmarkEnd w:id="143"/>
      <w:bookmarkEnd w:id="144"/>
      <w:r w:rsidRPr="00780D76">
        <w:rPr>
          <w:rFonts w:asciiTheme="minorHAnsi" w:hAnsiTheme="minorHAnsi" w:cstheme="minorHAnsi"/>
          <w:color w:val="auto"/>
          <w:szCs w:val="21"/>
        </w:rPr>
        <w:t xml:space="preserve"> </w:t>
      </w:r>
    </w:p>
    <w:p w14:paraId="7D636A69" w14:textId="77777777" w:rsidR="00040EE5" w:rsidRPr="00780D76" w:rsidRDefault="00040EE5" w:rsidP="00AA592D">
      <w:pPr>
        <w:spacing w:line="276" w:lineRule="auto"/>
        <w:jc w:val="both"/>
        <w:rPr>
          <w:rFonts w:asciiTheme="minorHAnsi" w:hAnsiTheme="minorHAnsi" w:cstheme="minorHAnsi"/>
          <w:color w:val="auto"/>
          <w:szCs w:val="21"/>
        </w:rPr>
      </w:pPr>
      <w:bookmarkStart w:id="145" w:name="_Toc176275181"/>
      <w:bookmarkStart w:id="146" w:name="_Toc176420846"/>
      <w:r w:rsidRPr="00780D76">
        <w:rPr>
          <w:rFonts w:asciiTheme="minorHAnsi" w:hAnsiTheme="minorHAnsi" w:cstheme="minorHAnsi"/>
          <w:color w:val="auto"/>
          <w:szCs w:val="21"/>
        </w:rPr>
        <w:t>However, we also recognise that trade participants will need to have access to appropriate technology based on appropriate technological standards, to use these records effectively.</w:t>
      </w:r>
      <w:bookmarkEnd w:id="145"/>
      <w:bookmarkEnd w:id="146"/>
      <w:r w:rsidRPr="00780D76">
        <w:rPr>
          <w:rFonts w:asciiTheme="minorHAnsi" w:hAnsiTheme="minorHAnsi" w:cstheme="minorHAnsi"/>
          <w:color w:val="auto"/>
          <w:szCs w:val="21"/>
        </w:rPr>
        <w:t xml:space="preserve"> </w:t>
      </w:r>
    </w:p>
    <w:p w14:paraId="69F62A0A" w14:textId="77777777" w:rsidR="00040EE5" w:rsidRPr="00780D76" w:rsidRDefault="00040EE5" w:rsidP="00AA592D">
      <w:pPr>
        <w:spacing w:line="276" w:lineRule="auto"/>
        <w:jc w:val="both"/>
        <w:rPr>
          <w:rFonts w:asciiTheme="minorHAnsi" w:hAnsiTheme="minorHAnsi" w:cstheme="minorHAnsi"/>
          <w:color w:val="auto"/>
          <w:szCs w:val="21"/>
        </w:rPr>
      </w:pPr>
      <w:bookmarkStart w:id="147" w:name="_Toc176275182"/>
      <w:bookmarkStart w:id="148" w:name="_Toc176420847"/>
      <w:r w:rsidRPr="00780D76">
        <w:rPr>
          <w:rFonts w:asciiTheme="minorHAnsi" w:hAnsiTheme="minorHAnsi" w:cstheme="minorHAnsi"/>
          <w:color w:val="auto"/>
          <w:szCs w:val="21"/>
        </w:rPr>
        <w:t>Accordingly, this section of the consultation paper broadly seeks preliminary views about the technologies and technological standards which have been developed by relevant bodies and industry, to generate or transfer an electronic transferable record pursuant to the MLETR. We also ask stakeholders to identify any technology-specific challenges to the usability of electronic transferable records.</w:t>
      </w:r>
      <w:bookmarkEnd w:id="147"/>
      <w:bookmarkEnd w:id="148"/>
    </w:p>
    <w:p w14:paraId="23B7B10E" w14:textId="77777777" w:rsidR="00040EE5" w:rsidRPr="00780D76" w:rsidRDefault="00040EE5" w:rsidP="00040EE5">
      <w:pPr>
        <w:pStyle w:val="Heading3"/>
        <w:rPr>
          <w:rFonts w:asciiTheme="minorHAnsi" w:hAnsiTheme="minorHAnsi" w:cstheme="minorHAnsi"/>
        </w:rPr>
      </w:pPr>
      <w:bookmarkStart w:id="149" w:name="_Toc176420848"/>
      <w:r w:rsidRPr="00780D76">
        <w:rPr>
          <w:rFonts w:asciiTheme="minorHAnsi" w:hAnsiTheme="minorHAnsi" w:cstheme="minorHAnsi"/>
        </w:rPr>
        <w:t>Identifying different technological options for MLETR</w:t>
      </w:r>
      <w:bookmarkEnd w:id="149"/>
      <w:r w:rsidRPr="00780D76">
        <w:rPr>
          <w:rFonts w:asciiTheme="minorHAnsi" w:hAnsiTheme="minorHAnsi" w:cstheme="minorHAnsi"/>
        </w:rPr>
        <w:t xml:space="preserve"> </w:t>
      </w:r>
    </w:p>
    <w:p w14:paraId="59101D62" w14:textId="77777777" w:rsidR="00040EE5" w:rsidRPr="00780D76" w:rsidRDefault="00040EE5" w:rsidP="00AA592D">
      <w:pPr>
        <w:spacing w:line="276" w:lineRule="auto"/>
        <w:jc w:val="both"/>
        <w:rPr>
          <w:rFonts w:asciiTheme="minorHAnsi" w:hAnsiTheme="minorHAnsi" w:cstheme="minorHAnsi"/>
        </w:rPr>
      </w:pPr>
      <w:r w:rsidRPr="00780D76">
        <w:rPr>
          <w:rFonts w:asciiTheme="minorHAnsi" w:hAnsiTheme="minorHAnsi" w:cstheme="minorHAnsi"/>
        </w:rPr>
        <w:t xml:space="preserve">As described at </w:t>
      </w:r>
      <w:r w:rsidR="009B6057" w:rsidRPr="00780D76">
        <w:rPr>
          <w:rFonts w:asciiTheme="minorHAnsi" w:hAnsiTheme="minorHAnsi" w:cstheme="minorHAnsi"/>
          <w:b/>
          <w:color w:val="0000FF"/>
          <w:u w:val="single"/>
        </w:rPr>
        <w:t xml:space="preserve">part </w:t>
      </w:r>
      <w:r w:rsidR="009B6057" w:rsidRPr="00780D76">
        <w:rPr>
          <w:rFonts w:asciiTheme="minorHAnsi" w:hAnsiTheme="minorHAnsi" w:cstheme="minorHAnsi"/>
          <w:b/>
          <w:color w:val="0000FF"/>
          <w:u w:val="single"/>
        </w:rPr>
        <w:fldChar w:fldCharType="begin"/>
      </w:r>
      <w:r w:rsidR="009B6057" w:rsidRPr="00780D76">
        <w:rPr>
          <w:rFonts w:asciiTheme="minorHAnsi" w:hAnsiTheme="minorHAnsi" w:cstheme="minorHAnsi"/>
          <w:b/>
          <w:color w:val="0000FF"/>
          <w:u w:val="single"/>
        </w:rPr>
        <w:instrText xml:space="preserve"> REF _Ref176437699 \r \h </w:instrText>
      </w:r>
      <w:r w:rsidR="00282AA9" w:rsidRPr="00780D76">
        <w:rPr>
          <w:rFonts w:asciiTheme="minorHAnsi" w:hAnsiTheme="minorHAnsi" w:cstheme="minorHAnsi"/>
          <w:b/>
          <w:color w:val="0000FF"/>
          <w:u w:val="single"/>
        </w:rPr>
        <w:instrText xml:space="preserve"> \* MERGEFORMAT </w:instrText>
      </w:r>
      <w:r w:rsidR="009B6057" w:rsidRPr="00780D76">
        <w:rPr>
          <w:rFonts w:asciiTheme="minorHAnsi" w:hAnsiTheme="minorHAnsi" w:cstheme="minorHAnsi"/>
          <w:b/>
          <w:color w:val="0000FF"/>
          <w:u w:val="single"/>
        </w:rPr>
      </w:r>
      <w:r w:rsidR="009B6057" w:rsidRPr="00780D76">
        <w:rPr>
          <w:rFonts w:asciiTheme="minorHAnsi" w:hAnsiTheme="minorHAnsi" w:cstheme="minorHAnsi"/>
          <w:b/>
          <w:color w:val="0000FF"/>
          <w:u w:val="single"/>
        </w:rPr>
        <w:fldChar w:fldCharType="separate"/>
      </w:r>
      <w:r w:rsidR="009B6057" w:rsidRPr="00780D76">
        <w:rPr>
          <w:rFonts w:asciiTheme="minorHAnsi" w:hAnsiTheme="minorHAnsi" w:cstheme="minorHAnsi"/>
          <w:b/>
          <w:color w:val="0000FF"/>
          <w:u w:val="single"/>
        </w:rPr>
        <w:t>4.3</w:t>
      </w:r>
      <w:r w:rsidR="009B6057" w:rsidRPr="00780D76">
        <w:rPr>
          <w:rFonts w:asciiTheme="minorHAnsi" w:hAnsiTheme="minorHAnsi" w:cstheme="minorHAnsi"/>
          <w:b/>
          <w:color w:val="0000FF"/>
          <w:u w:val="single"/>
        </w:rPr>
        <w:fldChar w:fldCharType="end"/>
      </w:r>
      <w:r w:rsidR="009B6057" w:rsidRPr="00780D76">
        <w:rPr>
          <w:rFonts w:asciiTheme="minorHAnsi" w:hAnsiTheme="minorHAnsi" w:cstheme="minorHAnsi"/>
          <w:color w:val="0000FF"/>
        </w:rPr>
        <w:t xml:space="preserve"> </w:t>
      </w:r>
      <w:r w:rsidRPr="00780D76">
        <w:rPr>
          <w:rFonts w:asciiTheme="minorHAnsi" w:hAnsiTheme="minorHAnsi" w:cstheme="minorHAnsi"/>
        </w:rPr>
        <w:t xml:space="preserve">of this paper, the MLETR takes a technology neutral approach to electronic transferable records, and does not itself specify that any particular technologies be used to identify that the electronic record is unique and subject to exclusive control. </w:t>
      </w:r>
    </w:p>
    <w:p w14:paraId="5A441463" w14:textId="77777777" w:rsidR="00040EE5" w:rsidRPr="00780D76" w:rsidRDefault="00040EE5" w:rsidP="00040EE5">
      <w:pPr>
        <w:jc w:val="both"/>
        <w:rPr>
          <w:rFonts w:asciiTheme="minorHAnsi" w:hAnsiTheme="minorHAnsi" w:cstheme="minorHAnsi"/>
        </w:rPr>
      </w:pPr>
      <w:r w:rsidRPr="00780D76">
        <w:rPr>
          <w:rFonts w:asciiTheme="minorHAnsi" w:hAnsiTheme="minorHAnsi" w:cstheme="minorHAnsi"/>
        </w:rPr>
        <w:t xml:space="preserve">Technology systems which use distributed ledger technology </w:t>
      </w:r>
      <w:r w:rsidRPr="00780D76">
        <w:rPr>
          <w:rFonts w:asciiTheme="minorHAnsi" w:hAnsiTheme="minorHAnsi" w:cstheme="minorHAnsi"/>
          <w:b/>
        </w:rPr>
        <w:t>(DLT)</w:t>
      </w:r>
      <w:r w:rsidRPr="00780D76">
        <w:rPr>
          <w:rFonts w:asciiTheme="minorHAnsi" w:hAnsiTheme="minorHAnsi" w:cstheme="minorHAnsi"/>
        </w:rPr>
        <w:t xml:space="preserve"> may provide one potential means of practically achieving these requirements.</w:t>
      </w:r>
      <w:r w:rsidRPr="00780D76">
        <w:rPr>
          <w:rStyle w:val="FootnoteReference"/>
          <w:rFonts w:asciiTheme="minorHAnsi" w:hAnsiTheme="minorHAnsi" w:cstheme="minorHAnsi"/>
        </w:rPr>
        <w:footnoteReference w:id="94"/>
      </w:r>
    </w:p>
    <w:p w14:paraId="00CF075D" w14:textId="77777777" w:rsidR="00040EE5" w:rsidRPr="00780D76" w:rsidRDefault="00040EE5" w:rsidP="008B382E">
      <w:pPr>
        <w:pStyle w:val="ListParagraph"/>
        <w:numPr>
          <w:ilvl w:val="0"/>
          <w:numId w:val="26"/>
        </w:numPr>
        <w:spacing w:line="256" w:lineRule="auto"/>
        <w:jc w:val="both"/>
        <w:rPr>
          <w:rFonts w:asciiTheme="minorHAnsi" w:hAnsiTheme="minorHAnsi" w:cstheme="minorHAnsi"/>
        </w:rPr>
      </w:pPr>
      <w:r w:rsidRPr="00780D76">
        <w:rPr>
          <w:rFonts w:asciiTheme="minorHAnsi" w:hAnsiTheme="minorHAnsi" w:cstheme="minorHAnsi"/>
        </w:rPr>
        <w:t>Technologies using distributed ledgers will track information on a type of database, that is hosted and maintained collectively by a network of linked computers.</w:t>
      </w:r>
    </w:p>
    <w:p w14:paraId="215A35C2" w14:textId="77777777" w:rsidR="00040EE5" w:rsidRPr="00780D76" w:rsidRDefault="00040EE5" w:rsidP="00040EE5">
      <w:pPr>
        <w:pStyle w:val="ListParagraph"/>
        <w:jc w:val="both"/>
        <w:rPr>
          <w:rFonts w:asciiTheme="minorHAnsi" w:hAnsiTheme="minorHAnsi" w:cstheme="minorHAnsi"/>
        </w:rPr>
      </w:pPr>
    </w:p>
    <w:p w14:paraId="1CCD0515" w14:textId="77777777" w:rsidR="00040EE5" w:rsidRPr="00780D76" w:rsidRDefault="00040EE5" w:rsidP="008B382E">
      <w:pPr>
        <w:pStyle w:val="ListParagraph"/>
        <w:numPr>
          <w:ilvl w:val="0"/>
          <w:numId w:val="26"/>
        </w:numPr>
        <w:spacing w:line="256" w:lineRule="auto"/>
        <w:jc w:val="both"/>
        <w:rPr>
          <w:rFonts w:asciiTheme="minorHAnsi" w:hAnsiTheme="minorHAnsi" w:cstheme="minorHAnsi"/>
        </w:rPr>
      </w:pPr>
      <w:r w:rsidRPr="00780D76">
        <w:rPr>
          <w:rFonts w:asciiTheme="minorHAnsi" w:hAnsiTheme="minorHAnsi" w:cstheme="minorHAnsi"/>
        </w:rPr>
        <w:t>New data can only be added if, by a collective consensus mechanism, all the linked computers have verified the data’s trustworthiness.</w:t>
      </w:r>
      <w:r w:rsidRPr="00780D76">
        <w:rPr>
          <w:rStyle w:val="FootnoteReference"/>
          <w:rFonts w:asciiTheme="minorHAnsi" w:hAnsiTheme="minorHAnsi" w:cstheme="minorHAnsi"/>
        </w:rPr>
        <w:footnoteReference w:id="95"/>
      </w:r>
    </w:p>
    <w:p w14:paraId="0048BF0D" w14:textId="77777777" w:rsidR="00040EE5" w:rsidRPr="00780D76" w:rsidRDefault="00040EE5" w:rsidP="00040EE5">
      <w:pPr>
        <w:pStyle w:val="ListParagraph"/>
        <w:rPr>
          <w:rFonts w:asciiTheme="minorHAnsi" w:hAnsiTheme="minorHAnsi" w:cstheme="minorHAnsi"/>
        </w:rPr>
      </w:pPr>
    </w:p>
    <w:p w14:paraId="01D60B57" w14:textId="77777777" w:rsidR="00040EE5" w:rsidRPr="00780D76" w:rsidRDefault="00040EE5" w:rsidP="008B382E">
      <w:pPr>
        <w:pStyle w:val="ListParagraph"/>
        <w:numPr>
          <w:ilvl w:val="0"/>
          <w:numId w:val="26"/>
        </w:numPr>
        <w:spacing w:line="276" w:lineRule="auto"/>
        <w:jc w:val="both"/>
        <w:rPr>
          <w:rFonts w:asciiTheme="minorHAnsi" w:hAnsiTheme="minorHAnsi" w:cstheme="minorHAnsi"/>
        </w:rPr>
      </w:pPr>
      <w:r w:rsidRPr="00780D76">
        <w:rPr>
          <w:rFonts w:asciiTheme="minorHAnsi" w:hAnsiTheme="minorHAnsi" w:cstheme="minorHAnsi"/>
        </w:rPr>
        <w:t>A transferable record in the form of electronic data might therefore be issued via a distributed ledger, and accessible on a particular system. The data could reflect who controls the unique record, which could be transferable by the parties signing with their private keys. Any new data would need to pass the ledger’s consensus mechanism, reducing the risk of tampering.</w:t>
      </w:r>
      <w:r w:rsidRPr="00780D76">
        <w:rPr>
          <w:rStyle w:val="FootnoteReference"/>
          <w:rFonts w:asciiTheme="minorHAnsi" w:hAnsiTheme="minorHAnsi" w:cstheme="minorHAnsi"/>
        </w:rPr>
        <w:footnoteReference w:id="96"/>
      </w:r>
      <w:r w:rsidRPr="00780D76">
        <w:rPr>
          <w:rFonts w:asciiTheme="minorHAnsi" w:hAnsiTheme="minorHAnsi" w:cstheme="minorHAnsi"/>
        </w:rPr>
        <w:t xml:space="preserve">95 </w:t>
      </w:r>
    </w:p>
    <w:p w14:paraId="0B7DA785" w14:textId="77777777" w:rsidR="00040EE5"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 xml:space="preserve">However, trade participants can also use other technologies pursuant to the MLETR, so long as the system incorporates appropriately reliable methods. For example, we have heard initial assessments that some existing eBOL platforms of the type described under </w:t>
      </w:r>
      <w:r w:rsidR="009B6057" w:rsidRPr="00780D76">
        <w:rPr>
          <w:rFonts w:asciiTheme="minorHAnsi" w:hAnsiTheme="minorHAnsi" w:cstheme="minorHAnsi"/>
          <w:b/>
          <w:color w:val="0000FF"/>
          <w:u w:val="single"/>
        </w:rPr>
        <w:t xml:space="preserve">part </w:t>
      </w:r>
      <w:r w:rsidR="009B6057" w:rsidRPr="00780D76">
        <w:rPr>
          <w:rFonts w:asciiTheme="minorHAnsi" w:hAnsiTheme="minorHAnsi" w:cstheme="minorHAnsi"/>
          <w:b/>
          <w:color w:val="0000FF"/>
          <w:u w:val="single"/>
        </w:rPr>
        <w:fldChar w:fldCharType="begin"/>
      </w:r>
      <w:r w:rsidR="009B6057" w:rsidRPr="00780D76">
        <w:rPr>
          <w:rFonts w:asciiTheme="minorHAnsi" w:hAnsiTheme="minorHAnsi" w:cstheme="minorHAnsi"/>
          <w:b/>
          <w:color w:val="0000FF"/>
          <w:u w:val="single"/>
        </w:rPr>
        <w:instrText xml:space="preserve"> REF _Ref176437720 \r \h </w:instrText>
      </w:r>
      <w:r w:rsidR="00282AA9" w:rsidRPr="00780D76">
        <w:rPr>
          <w:rFonts w:asciiTheme="minorHAnsi" w:hAnsiTheme="minorHAnsi" w:cstheme="minorHAnsi"/>
          <w:b/>
          <w:color w:val="0000FF"/>
          <w:u w:val="single"/>
        </w:rPr>
        <w:instrText xml:space="preserve"> \* MERGEFORMAT </w:instrText>
      </w:r>
      <w:r w:rsidR="009B6057" w:rsidRPr="00780D76">
        <w:rPr>
          <w:rFonts w:asciiTheme="minorHAnsi" w:hAnsiTheme="minorHAnsi" w:cstheme="minorHAnsi"/>
          <w:b/>
          <w:color w:val="0000FF"/>
          <w:u w:val="single"/>
        </w:rPr>
      </w:r>
      <w:r w:rsidR="009B6057" w:rsidRPr="00780D76">
        <w:rPr>
          <w:rFonts w:asciiTheme="minorHAnsi" w:hAnsiTheme="minorHAnsi" w:cstheme="minorHAnsi"/>
          <w:b/>
          <w:color w:val="0000FF"/>
          <w:u w:val="single"/>
        </w:rPr>
        <w:fldChar w:fldCharType="separate"/>
      </w:r>
      <w:r w:rsidR="009B6057" w:rsidRPr="00780D76">
        <w:rPr>
          <w:rFonts w:asciiTheme="minorHAnsi" w:hAnsiTheme="minorHAnsi" w:cstheme="minorHAnsi"/>
          <w:b/>
          <w:color w:val="0000FF"/>
          <w:u w:val="single"/>
        </w:rPr>
        <w:t>3.6</w:t>
      </w:r>
      <w:r w:rsidR="009B6057" w:rsidRPr="00780D76">
        <w:rPr>
          <w:rFonts w:asciiTheme="minorHAnsi" w:hAnsiTheme="minorHAnsi" w:cstheme="minorHAnsi"/>
          <w:b/>
          <w:color w:val="0000FF"/>
          <w:u w:val="single"/>
        </w:rPr>
        <w:fldChar w:fldCharType="end"/>
      </w:r>
      <w:r w:rsidR="009B6057" w:rsidRPr="00780D76">
        <w:rPr>
          <w:rFonts w:asciiTheme="minorHAnsi" w:hAnsiTheme="minorHAnsi" w:cstheme="minorHAnsi"/>
        </w:rPr>
        <w:t xml:space="preserve"> </w:t>
      </w:r>
      <w:r w:rsidRPr="00780D76">
        <w:rPr>
          <w:rFonts w:asciiTheme="minorHAnsi" w:hAnsiTheme="minorHAnsi" w:cstheme="minorHAnsi"/>
        </w:rPr>
        <w:t>may already satisfy the MLETR requirements, depending on their underlying rules and requirements.</w:t>
      </w:r>
    </w:p>
    <w:p w14:paraId="0AAFC834" w14:textId="77777777" w:rsidR="00E15393" w:rsidRDefault="00E15393">
      <w:pPr>
        <w:spacing w:before="0" w:after="0" w:line="240" w:lineRule="auto"/>
        <w:rPr>
          <w:rFonts w:asciiTheme="minorHAnsi" w:hAnsiTheme="minorHAnsi" w:cstheme="minorHAnsi"/>
          <w:b/>
          <w:bCs/>
          <w:color w:val="auto"/>
          <w:sz w:val="28"/>
          <w:szCs w:val="20"/>
          <w:lang w:val="en"/>
        </w:rPr>
      </w:pPr>
      <w:r>
        <w:rPr>
          <w:rFonts w:asciiTheme="minorHAnsi" w:hAnsiTheme="minorHAnsi" w:cstheme="minorHAnsi"/>
          <w:b/>
          <w:caps/>
          <w:color w:val="auto"/>
          <w:sz w:val="28"/>
        </w:rPr>
        <w:br w:type="page"/>
      </w:r>
    </w:p>
    <w:p w14:paraId="6E90452C" w14:textId="5B814E90" w:rsidR="00040EE5" w:rsidRPr="00780D76" w:rsidRDefault="00040EE5" w:rsidP="008B382E">
      <w:pPr>
        <w:pStyle w:val="Boxheading"/>
        <w:numPr>
          <w:ilvl w:val="0"/>
          <w:numId w:val="32"/>
        </w:numPr>
        <w:spacing w:line="240" w:lineRule="auto"/>
        <w:rPr>
          <w:rFonts w:asciiTheme="minorHAnsi" w:hAnsiTheme="minorHAnsi" w:cstheme="minorHAnsi"/>
          <w:b/>
          <w:color w:val="auto"/>
          <w:sz w:val="28"/>
        </w:rPr>
      </w:pPr>
      <w:r w:rsidRPr="00780D76">
        <w:rPr>
          <w:rFonts w:asciiTheme="minorHAnsi" w:hAnsiTheme="minorHAnsi" w:cstheme="minorHAnsi"/>
          <w:b/>
          <w:caps w:val="0"/>
          <w:color w:val="auto"/>
          <w:sz w:val="28"/>
        </w:rPr>
        <w:lastRenderedPageBreak/>
        <w:t xml:space="preserve"> </w:t>
      </w:r>
    </w:p>
    <w:p w14:paraId="2FBAA392" w14:textId="77777777" w:rsidR="00040EE5" w:rsidRPr="00780D76" w:rsidRDefault="00040EE5" w:rsidP="00040EE5">
      <w:pPr>
        <w:pStyle w:val="Boxheading"/>
        <w:spacing w:line="240" w:lineRule="auto"/>
        <w:jc w:val="both"/>
        <w:rPr>
          <w:rFonts w:asciiTheme="minorHAnsi" w:hAnsiTheme="minorHAnsi" w:cstheme="minorHAnsi"/>
          <w:caps w:val="0"/>
          <w:color w:val="auto"/>
        </w:rPr>
      </w:pPr>
      <w:r w:rsidRPr="00780D76">
        <w:rPr>
          <w:rFonts w:asciiTheme="minorHAnsi" w:hAnsiTheme="minorHAnsi" w:cstheme="minorHAnsi"/>
          <w:caps w:val="0"/>
          <w:color w:val="auto"/>
        </w:rPr>
        <w:t>Are you aware of, or have you ever used, an electronic system to issue or transfer a unique electronic document, in a way that maintains exclusive control of that document?</w:t>
      </w:r>
    </w:p>
    <w:p w14:paraId="2621D1D0" w14:textId="77777777" w:rsidR="00040EE5" w:rsidRPr="00780D76" w:rsidRDefault="00040EE5" w:rsidP="008B382E">
      <w:pPr>
        <w:pStyle w:val="Boxheading"/>
        <w:numPr>
          <w:ilvl w:val="0"/>
          <w:numId w:val="27"/>
        </w:numPr>
        <w:spacing w:line="240" w:lineRule="auto"/>
        <w:jc w:val="both"/>
        <w:rPr>
          <w:rFonts w:asciiTheme="minorHAnsi" w:hAnsiTheme="minorHAnsi" w:cstheme="minorHAnsi"/>
          <w:b/>
          <w:color w:val="auto"/>
        </w:rPr>
      </w:pPr>
      <w:r w:rsidRPr="00780D76">
        <w:rPr>
          <w:rFonts w:asciiTheme="minorHAnsi" w:hAnsiTheme="minorHAnsi" w:cstheme="minorHAnsi"/>
          <w:b/>
          <w:caps w:val="0"/>
          <w:color w:val="auto"/>
        </w:rPr>
        <w:t>Yes</w:t>
      </w:r>
    </w:p>
    <w:p w14:paraId="7A7ACDC2" w14:textId="77777777" w:rsidR="00040EE5" w:rsidRPr="00780D76" w:rsidRDefault="00040EE5" w:rsidP="008B382E">
      <w:pPr>
        <w:pStyle w:val="Boxheading"/>
        <w:numPr>
          <w:ilvl w:val="0"/>
          <w:numId w:val="27"/>
        </w:numPr>
        <w:spacing w:line="240" w:lineRule="auto"/>
        <w:jc w:val="both"/>
        <w:rPr>
          <w:rFonts w:asciiTheme="minorHAnsi" w:hAnsiTheme="minorHAnsi" w:cstheme="minorHAnsi"/>
          <w:b/>
          <w:color w:val="auto"/>
        </w:rPr>
      </w:pPr>
      <w:r w:rsidRPr="00780D76">
        <w:rPr>
          <w:rFonts w:asciiTheme="minorHAnsi" w:hAnsiTheme="minorHAnsi" w:cstheme="minorHAnsi"/>
          <w:b/>
          <w:caps w:val="0"/>
          <w:color w:val="auto"/>
        </w:rPr>
        <w:t xml:space="preserve">No </w:t>
      </w:r>
    </w:p>
    <w:p w14:paraId="54348A54" w14:textId="77777777" w:rsidR="00040EE5" w:rsidRPr="00780D76" w:rsidRDefault="00040EE5" w:rsidP="00040EE5">
      <w:pPr>
        <w:pStyle w:val="Boxheading"/>
        <w:spacing w:line="240" w:lineRule="auto"/>
        <w:jc w:val="both"/>
        <w:rPr>
          <w:rFonts w:asciiTheme="minorHAnsi" w:hAnsiTheme="minorHAnsi" w:cstheme="minorHAnsi"/>
          <w:color w:val="auto"/>
        </w:rPr>
      </w:pPr>
      <w:r w:rsidRPr="00780D76">
        <w:rPr>
          <w:rFonts w:asciiTheme="minorHAnsi" w:hAnsiTheme="minorHAnsi" w:cstheme="minorHAnsi"/>
          <w:caps w:val="0"/>
          <w:color w:val="auto"/>
        </w:rPr>
        <w:t>If yes, please describe your experiences using the system, broadly how the system tracked exclusive control of the record, and any challenges you experienced or of which you are aware?</w:t>
      </w:r>
    </w:p>
    <w:p w14:paraId="7EABA648" w14:textId="77777777" w:rsidR="00040EE5" w:rsidRPr="00780D76" w:rsidRDefault="00040EE5" w:rsidP="009B6057">
      <w:pPr>
        <w:pStyle w:val="Heading3"/>
        <w:rPr>
          <w:rFonts w:asciiTheme="minorHAnsi" w:hAnsiTheme="minorHAnsi" w:cstheme="minorHAnsi"/>
        </w:rPr>
      </w:pPr>
      <w:bookmarkStart w:id="150" w:name="_Toc176420849"/>
      <w:r w:rsidRPr="00780D76">
        <w:rPr>
          <w:rFonts w:asciiTheme="minorHAnsi" w:hAnsiTheme="minorHAnsi" w:cstheme="minorHAnsi"/>
        </w:rPr>
        <w:t>Data and technological interoperability</w:t>
      </w:r>
      <w:bookmarkEnd w:id="150"/>
    </w:p>
    <w:p w14:paraId="1A171C55" w14:textId="77777777" w:rsidR="00040EE5"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 xml:space="preserve">If the MLETR were enacted under Australian law, it would provide a more uniform framework for confirming the legal validity of electronic transferable records, accordingly to more uniform criteria relating to the reliability, security and accessibility of these records. </w:t>
      </w:r>
    </w:p>
    <w:p w14:paraId="03A6AC3E" w14:textId="77777777" w:rsidR="00040EE5"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 xml:space="preserve">We anticipate that the MLETR-aligned framework may give technology-providers greater confidence to develop compliant systems for generating transferable records, and trade participants greater confidence to use these tools to generate and transfer transferable records under Australian law. </w:t>
      </w:r>
    </w:p>
    <w:p w14:paraId="2C2A8551" w14:textId="77777777" w:rsidR="00140ED4" w:rsidRPr="00780D76" w:rsidRDefault="00040EE5" w:rsidP="00040EE5">
      <w:pPr>
        <w:spacing w:line="276" w:lineRule="auto"/>
        <w:jc w:val="both"/>
        <w:rPr>
          <w:rFonts w:asciiTheme="minorHAnsi" w:hAnsiTheme="minorHAnsi" w:cstheme="minorHAnsi"/>
          <w:highlight w:val="yellow"/>
        </w:rPr>
      </w:pPr>
      <w:r w:rsidRPr="00780D76">
        <w:rPr>
          <w:rFonts w:asciiTheme="minorHAnsi" w:hAnsiTheme="minorHAnsi" w:cstheme="minorHAnsi"/>
        </w:rPr>
        <w:t>Electronic transferable records based on common legal frameworks may also be more easily transferable between different private systems, so long as those systems utilise common data standards or underlying technologies. For example, ‘TradeTrust’, developed by the Singapore Infocomm Media Development Authority, is an existing open-source technological framework based on a common distributed ledger, which can be used to exchange MLETR-compliant electronic transferable records between separate system providers.</w:t>
      </w:r>
      <w:r w:rsidRPr="00780D76">
        <w:rPr>
          <w:rStyle w:val="FootnoteReference"/>
          <w:rFonts w:asciiTheme="minorHAnsi" w:hAnsiTheme="minorHAnsi" w:cstheme="minorHAnsi"/>
        </w:rPr>
        <w:footnoteReference w:id="97"/>
      </w:r>
    </w:p>
    <w:p w14:paraId="76493024" w14:textId="77777777" w:rsidR="00040EE5" w:rsidRPr="00780D76" w:rsidRDefault="00040EE5" w:rsidP="00040EE5">
      <w:pPr>
        <w:spacing w:line="276" w:lineRule="auto"/>
        <w:jc w:val="both"/>
        <w:rPr>
          <w:rFonts w:asciiTheme="minorHAnsi" w:hAnsiTheme="minorHAnsi" w:cstheme="minorHAnsi"/>
          <w:highlight w:val="yellow"/>
        </w:rPr>
      </w:pPr>
      <w:r w:rsidRPr="00780D76">
        <w:rPr>
          <w:rFonts w:asciiTheme="minorHAnsi" w:hAnsiTheme="minorHAnsi" w:cstheme="minorHAnsi"/>
        </w:rPr>
        <w:t xml:space="preserve">We are also aware of efforts being undertaken, including by the International Chamber of Commerce </w:t>
      </w:r>
      <w:r w:rsidRPr="00780D76">
        <w:rPr>
          <w:rFonts w:asciiTheme="minorHAnsi" w:hAnsiTheme="minorHAnsi" w:cstheme="minorHAnsi"/>
          <w:b/>
        </w:rPr>
        <w:t>(ICC)</w:t>
      </w:r>
      <w:r w:rsidRPr="00780D76">
        <w:rPr>
          <w:rFonts w:asciiTheme="minorHAnsi" w:hAnsiTheme="minorHAnsi" w:cstheme="minorHAnsi"/>
        </w:rPr>
        <w:t xml:space="preserve"> Digital Standards Initiative, to develop harmonised digitalised trade standards as a key enabler of enabling inclusive international digital trade.</w:t>
      </w:r>
      <w:r w:rsidRPr="00780D76">
        <w:rPr>
          <w:rStyle w:val="FootnoteReference"/>
          <w:rFonts w:asciiTheme="minorHAnsi" w:hAnsiTheme="minorHAnsi" w:cstheme="minorHAnsi"/>
        </w:rPr>
        <w:footnoteReference w:id="98"/>
      </w:r>
    </w:p>
    <w:p w14:paraId="70C8CC5C" w14:textId="77777777" w:rsidR="00040EE5"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 xml:space="preserve">However, the MLETR does not itself require technology providers to develop or provide technology systems which can communicate, or share data, with other MLETR-compliant technology systems. For example, different providers may rely on different underlying systems, or use reference key data in a particular way, which may be incompatible with other systems or data standards. </w:t>
      </w:r>
    </w:p>
    <w:p w14:paraId="6254EC37" w14:textId="77777777" w:rsidR="00040EE5" w:rsidRPr="00780D76" w:rsidRDefault="00040EE5" w:rsidP="00040EE5">
      <w:pPr>
        <w:spacing w:line="276" w:lineRule="auto"/>
        <w:jc w:val="both"/>
        <w:rPr>
          <w:rFonts w:asciiTheme="minorHAnsi" w:hAnsiTheme="minorHAnsi" w:cstheme="minorHAnsi"/>
        </w:rPr>
      </w:pPr>
      <w:r w:rsidRPr="00780D76">
        <w:rPr>
          <w:rFonts w:asciiTheme="minorHAnsi" w:hAnsiTheme="minorHAnsi" w:cstheme="minorHAnsi"/>
        </w:rPr>
        <w:t xml:space="preserve">Whilst the existence of unaligned technologies would not itself affect the legal validity of an electronic transferable record issued under MLETR, we are interested in the extent to which unaligned technologies may practically impact the usability of electronic transferable records. </w:t>
      </w:r>
    </w:p>
    <w:p w14:paraId="6EF6F17D" w14:textId="77777777" w:rsidR="00040EE5" w:rsidRPr="00780D76" w:rsidRDefault="00040EE5" w:rsidP="00040EE5">
      <w:pPr>
        <w:spacing w:line="276" w:lineRule="auto"/>
        <w:jc w:val="both"/>
        <w:rPr>
          <w:rFonts w:asciiTheme="minorHAnsi" w:hAnsiTheme="minorHAnsi" w:cstheme="minorHAnsi"/>
          <w:highlight w:val="yellow"/>
        </w:rPr>
      </w:pPr>
      <w:r w:rsidRPr="00780D76">
        <w:rPr>
          <w:rFonts w:asciiTheme="minorHAnsi" w:hAnsiTheme="minorHAnsi" w:cstheme="minorHAnsi"/>
        </w:rPr>
        <w:lastRenderedPageBreak/>
        <w:t>We are also interested in stakeholder views on how to encourage software developers and vendors to develop technologies and platforms which are broadly interoperable (and may communicate) with other technology methods, including how to encourage the use of common data standards.</w:t>
      </w:r>
    </w:p>
    <w:p w14:paraId="129B3DC0" w14:textId="77777777" w:rsidR="00040EE5" w:rsidRPr="00780D76" w:rsidRDefault="00040EE5" w:rsidP="00A10DE8">
      <w:pPr>
        <w:pStyle w:val="Boxheading"/>
        <w:numPr>
          <w:ilvl w:val="0"/>
          <w:numId w:val="32"/>
        </w:numPr>
        <w:spacing w:line="240" w:lineRule="auto"/>
        <w:outlineLvl w:val="2"/>
        <w:rPr>
          <w:rFonts w:asciiTheme="minorHAnsi" w:hAnsiTheme="minorHAnsi" w:cstheme="minorHAnsi"/>
          <w:b/>
          <w:caps w:val="0"/>
          <w:color w:val="auto"/>
          <w:sz w:val="28"/>
        </w:rPr>
      </w:pPr>
      <w:r w:rsidRPr="00780D76">
        <w:rPr>
          <w:rFonts w:asciiTheme="minorHAnsi" w:hAnsiTheme="minorHAnsi" w:cstheme="minorHAnsi"/>
          <w:b/>
          <w:caps w:val="0"/>
          <w:color w:val="auto"/>
          <w:sz w:val="28"/>
        </w:rPr>
        <w:t xml:space="preserve"> </w:t>
      </w:r>
    </w:p>
    <w:p w14:paraId="689CB39B" w14:textId="77777777" w:rsidR="00040EE5" w:rsidRPr="00780D76" w:rsidRDefault="00040EE5" w:rsidP="00040EE5">
      <w:pPr>
        <w:pStyle w:val="Boxheading"/>
        <w:spacing w:line="240" w:lineRule="auto"/>
        <w:jc w:val="both"/>
        <w:rPr>
          <w:rFonts w:asciiTheme="minorHAnsi" w:hAnsiTheme="minorHAnsi" w:cstheme="minorHAnsi"/>
          <w:color w:val="auto"/>
          <w:highlight w:val="yellow"/>
        </w:rPr>
      </w:pPr>
      <w:r w:rsidRPr="00780D76">
        <w:rPr>
          <w:rFonts w:asciiTheme="minorHAnsi" w:hAnsiTheme="minorHAnsi" w:cstheme="minorHAnsi"/>
          <w:caps w:val="0"/>
          <w:color w:val="auto"/>
        </w:rPr>
        <w:t>Please share any views on how the government can encourage interoperability between different technologies, and use of common data standards, under a MLETR-aligned legal framework?</w:t>
      </w:r>
    </w:p>
    <w:p w14:paraId="5EA33EBD" w14:textId="77777777" w:rsidR="00040EE5" w:rsidRPr="00780D76" w:rsidRDefault="00040EE5" w:rsidP="00040EE5">
      <w:pPr>
        <w:spacing w:line="276" w:lineRule="auto"/>
        <w:rPr>
          <w:rFonts w:asciiTheme="minorHAnsi" w:hAnsiTheme="minorHAnsi" w:cstheme="minorHAnsi"/>
          <w:highlight w:val="yellow"/>
        </w:rPr>
      </w:pPr>
    </w:p>
    <w:p w14:paraId="37AAB50C" w14:textId="77777777" w:rsidR="00040EE5" w:rsidRPr="00780D76" w:rsidRDefault="00040EE5" w:rsidP="00A10DE8">
      <w:pPr>
        <w:pStyle w:val="Boxheading"/>
        <w:numPr>
          <w:ilvl w:val="0"/>
          <w:numId w:val="32"/>
        </w:numPr>
        <w:spacing w:line="240" w:lineRule="auto"/>
        <w:outlineLvl w:val="2"/>
        <w:rPr>
          <w:rFonts w:asciiTheme="minorHAnsi" w:hAnsiTheme="minorHAnsi" w:cstheme="minorHAnsi"/>
          <w:b/>
          <w:caps w:val="0"/>
          <w:color w:val="auto"/>
          <w:sz w:val="28"/>
        </w:rPr>
      </w:pPr>
      <w:r w:rsidRPr="00780D76">
        <w:rPr>
          <w:rFonts w:asciiTheme="minorHAnsi" w:hAnsiTheme="minorHAnsi" w:cstheme="minorHAnsi"/>
          <w:b/>
          <w:caps w:val="0"/>
          <w:color w:val="auto"/>
          <w:sz w:val="28"/>
        </w:rPr>
        <w:t xml:space="preserve"> </w:t>
      </w:r>
    </w:p>
    <w:p w14:paraId="2AF065C7" w14:textId="77777777" w:rsidR="00040EE5" w:rsidRPr="00780D76" w:rsidRDefault="00040EE5" w:rsidP="00040EE5">
      <w:pPr>
        <w:pStyle w:val="Boxheading"/>
        <w:spacing w:line="240" w:lineRule="auto"/>
        <w:rPr>
          <w:rFonts w:asciiTheme="minorHAnsi" w:hAnsiTheme="minorHAnsi" w:cstheme="minorHAnsi"/>
          <w:color w:val="auto"/>
          <w:highlight w:val="yellow"/>
        </w:rPr>
      </w:pPr>
      <w:r w:rsidRPr="00780D76">
        <w:rPr>
          <w:rFonts w:asciiTheme="minorHAnsi" w:hAnsiTheme="minorHAnsi" w:cstheme="minorHAnsi"/>
          <w:caps w:val="0"/>
          <w:color w:val="auto"/>
        </w:rPr>
        <w:t>What challenges do you expect software vendors may face in developing technology to enable the use and transfer of electronic transferable records in compliance with the MLETR?</w:t>
      </w:r>
    </w:p>
    <w:p w14:paraId="637D43A8" w14:textId="77777777" w:rsidR="00040EE5" w:rsidRPr="00780D76" w:rsidRDefault="00040EE5" w:rsidP="008B382E">
      <w:pPr>
        <w:pStyle w:val="Heading1"/>
        <w:keepLines/>
        <w:numPr>
          <w:ilvl w:val="1"/>
          <w:numId w:val="31"/>
        </w:numPr>
        <w:spacing w:before="0" w:after="240" w:line="259" w:lineRule="auto"/>
        <w:ind w:left="709" w:hanging="709"/>
        <w:rPr>
          <w:rFonts w:asciiTheme="minorHAnsi" w:hAnsiTheme="minorHAnsi" w:cstheme="minorHAnsi"/>
          <w:sz w:val="36"/>
          <w:lang w:eastAsia="en-AU"/>
        </w:rPr>
      </w:pPr>
      <w:bookmarkStart w:id="151" w:name="_Toc176437896"/>
      <w:r w:rsidRPr="00780D76">
        <w:rPr>
          <w:rFonts w:asciiTheme="minorHAnsi" w:hAnsiTheme="minorHAnsi" w:cstheme="minorHAnsi"/>
          <w:sz w:val="36"/>
          <w:lang w:eastAsia="en-AU"/>
        </w:rPr>
        <w:t>Industry engagement and support</w:t>
      </w:r>
      <w:bookmarkEnd w:id="151"/>
      <w:r w:rsidRPr="00780D76">
        <w:rPr>
          <w:rFonts w:asciiTheme="minorHAnsi" w:hAnsiTheme="minorHAnsi" w:cstheme="minorHAnsi"/>
          <w:sz w:val="36"/>
          <w:lang w:eastAsia="en-AU"/>
        </w:rPr>
        <w:t xml:space="preserve"> </w:t>
      </w:r>
    </w:p>
    <w:p w14:paraId="57995EFE" w14:textId="77777777" w:rsidR="00040EE5" w:rsidRPr="00780D76" w:rsidRDefault="00040EE5" w:rsidP="00040EE5">
      <w:pPr>
        <w:spacing w:line="276" w:lineRule="auto"/>
        <w:rPr>
          <w:rFonts w:asciiTheme="minorHAnsi" w:hAnsiTheme="minorHAnsi" w:cstheme="minorHAnsi"/>
          <w:highlight w:val="yellow"/>
        </w:rPr>
      </w:pPr>
      <w:r w:rsidRPr="00780D76">
        <w:rPr>
          <w:rFonts w:asciiTheme="minorHAnsi" w:hAnsiTheme="minorHAnsi" w:cstheme="minorHAnsi"/>
        </w:rPr>
        <w:t>Finally, we are interested in further views or strategies about how the government can encourage industry confidence in any approved MLETR-aligned framework, and industry readiness to use electronic transferable records when these are available.</w:t>
      </w:r>
    </w:p>
    <w:p w14:paraId="31DE23BF" w14:textId="77777777" w:rsidR="00040EE5" w:rsidRPr="00780D76" w:rsidRDefault="00040EE5" w:rsidP="008B382E">
      <w:pPr>
        <w:pStyle w:val="Boxheading"/>
        <w:numPr>
          <w:ilvl w:val="0"/>
          <w:numId w:val="32"/>
        </w:numPr>
        <w:spacing w:line="240" w:lineRule="auto"/>
        <w:rPr>
          <w:rFonts w:asciiTheme="minorHAnsi" w:hAnsiTheme="minorHAnsi" w:cstheme="minorHAnsi"/>
          <w:b/>
          <w:color w:val="auto"/>
          <w:sz w:val="28"/>
        </w:rPr>
      </w:pPr>
      <w:r w:rsidRPr="00780D76">
        <w:rPr>
          <w:rFonts w:asciiTheme="minorHAnsi" w:hAnsiTheme="minorHAnsi" w:cstheme="minorHAnsi"/>
          <w:b/>
          <w:color w:val="auto"/>
          <w:sz w:val="28"/>
        </w:rPr>
        <w:t xml:space="preserve"> </w:t>
      </w:r>
    </w:p>
    <w:p w14:paraId="320E1853" w14:textId="77777777" w:rsidR="00040EE5" w:rsidRPr="00780D76" w:rsidRDefault="00040EE5" w:rsidP="00040EE5">
      <w:pPr>
        <w:pStyle w:val="Boxheading"/>
        <w:spacing w:line="240" w:lineRule="auto"/>
        <w:jc w:val="both"/>
        <w:rPr>
          <w:rFonts w:asciiTheme="minorHAnsi" w:hAnsiTheme="minorHAnsi" w:cstheme="minorHAnsi"/>
          <w:color w:val="auto"/>
          <w:highlight w:val="yellow"/>
        </w:rPr>
      </w:pPr>
      <w:r w:rsidRPr="00780D76">
        <w:rPr>
          <w:rFonts w:asciiTheme="minorHAnsi" w:hAnsiTheme="minorHAnsi" w:cstheme="minorHAnsi"/>
          <w:caps w:val="0"/>
          <w:color w:val="auto"/>
        </w:rPr>
        <w:t>How else can the Australian government involve industry, and encourage industry readiness, to promote industry confidence in the usability of electronic transferable records?</w:t>
      </w:r>
    </w:p>
    <w:p w14:paraId="61C7FBFF" w14:textId="77777777" w:rsidR="00040EE5" w:rsidRPr="00780D76" w:rsidRDefault="00040EE5" w:rsidP="00040EE5">
      <w:pPr>
        <w:rPr>
          <w:rFonts w:asciiTheme="minorHAnsi" w:hAnsiTheme="minorHAnsi" w:cstheme="minorHAnsi"/>
          <w:highlight w:val="yellow"/>
        </w:rPr>
      </w:pPr>
    </w:p>
    <w:p w14:paraId="501B494A" w14:textId="77777777" w:rsidR="00040EE5" w:rsidRPr="00780D76" w:rsidRDefault="00040EE5" w:rsidP="008B382E">
      <w:pPr>
        <w:pStyle w:val="Boxheading"/>
        <w:numPr>
          <w:ilvl w:val="0"/>
          <w:numId w:val="32"/>
        </w:numPr>
        <w:spacing w:line="240" w:lineRule="auto"/>
        <w:rPr>
          <w:rFonts w:asciiTheme="minorHAnsi" w:hAnsiTheme="minorHAnsi" w:cstheme="minorHAnsi"/>
          <w:b/>
          <w:color w:val="auto"/>
          <w:sz w:val="28"/>
          <w:szCs w:val="24"/>
        </w:rPr>
      </w:pPr>
      <w:r w:rsidRPr="00780D76">
        <w:rPr>
          <w:rFonts w:asciiTheme="minorHAnsi" w:hAnsiTheme="minorHAnsi" w:cstheme="minorHAnsi"/>
          <w:b/>
          <w:caps w:val="0"/>
          <w:color w:val="auto"/>
          <w:sz w:val="28"/>
          <w:szCs w:val="24"/>
        </w:rPr>
        <w:t xml:space="preserve"> </w:t>
      </w:r>
    </w:p>
    <w:p w14:paraId="41D78C0D" w14:textId="77777777" w:rsidR="00B15EDD" w:rsidRPr="00780D76" w:rsidRDefault="00040EE5" w:rsidP="00140ED4">
      <w:pPr>
        <w:pStyle w:val="Boxheading"/>
        <w:jc w:val="both"/>
        <w:rPr>
          <w:rFonts w:asciiTheme="minorHAnsi" w:hAnsiTheme="minorHAnsi" w:cstheme="minorHAnsi"/>
          <w:highlight w:val="yellow"/>
        </w:rPr>
      </w:pPr>
      <w:r w:rsidRPr="00780D76">
        <w:rPr>
          <w:rFonts w:asciiTheme="minorHAnsi" w:hAnsiTheme="minorHAnsi" w:cstheme="minorHAnsi"/>
          <w:caps w:val="0"/>
          <w:color w:val="auto"/>
        </w:rPr>
        <w:t>Finally, we would welcome any further comments or considerations which you consider may be relevant to our consideration of options to implement the MLETR in Australi</w:t>
      </w:r>
      <w:r w:rsidR="009D25BF" w:rsidRPr="00780D76">
        <w:rPr>
          <w:rFonts w:asciiTheme="minorHAnsi" w:hAnsiTheme="minorHAnsi" w:cstheme="minorHAnsi"/>
          <w:caps w:val="0"/>
          <w:color w:val="auto"/>
        </w:rPr>
        <w:t>a.</w:t>
      </w:r>
    </w:p>
    <w:p w14:paraId="0524A558" w14:textId="77777777" w:rsidR="00B15EDD" w:rsidRPr="00780D76" w:rsidRDefault="00B15EDD" w:rsidP="00B15EDD">
      <w:pPr>
        <w:rPr>
          <w:rFonts w:asciiTheme="minorHAnsi" w:hAnsiTheme="minorHAnsi" w:cstheme="minorHAnsi"/>
          <w:highlight w:val="yellow"/>
          <w:lang w:val="en"/>
        </w:rPr>
      </w:pPr>
    </w:p>
    <w:p w14:paraId="672050B9" w14:textId="77777777" w:rsidR="003D1B2E" w:rsidRDefault="003D1B2E" w:rsidP="003D1B2E">
      <w:pPr>
        <w:spacing w:before="0" w:after="0" w:line="240" w:lineRule="auto"/>
        <w:rPr>
          <w:rStyle w:val="Heading1Char"/>
          <w:rFonts w:asciiTheme="minorHAnsi" w:hAnsiTheme="minorHAnsi" w:cstheme="minorHAnsi"/>
          <w:highlight w:val="yellow"/>
        </w:rPr>
        <w:sectPr w:rsidR="003D1B2E" w:rsidSect="00144642">
          <w:pgSz w:w="11906" w:h="16838" w:code="9"/>
          <w:pgMar w:top="1701" w:right="1418" w:bottom="1134" w:left="1418" w:header="709" w:footer="953" w:gutter="0"/>
          <w:cols w:space="708"/>
          <w:docGrid w:linePitch="360"/>
        </w:sectPr>
      </w:pPr>
    </w:p>
    <w:p w14:paraId="7DAB6CA2" w14:textId="77777777" w:rsidR="00BE35EF" w:rsidRPr="00780D76" w:rsidRDefault="00B15EDD" w:rsidP="00A10DE8">
      <w:pPr>
        <w:spacing w:before="0" w:after="0" w:line="240" w:lineRule="auto"/>
      </w:pPr>
      <w:bookmarkStart w:id="152" w:name="_Toc176437897"/>
      <w:r w:rsidRPr="00780D76">
        <w:rPr>
          <w:rStyle w:val="Heading1Char"/>
          <w:rFonts w:asciiTheme="minorHAnsi" w:hAnsiTheme="minorHAnsi" w:cstheme="minorHAnsi"/>
        </w:rPr>
        <w:lastRenderedPageBreak/>
        <w:t>Annexure A - Model Law on Electronic Transferable Records</w:t>
      </w:r>
      <w:bookmarkEnd w:id="152"/>
      <w:r w:rsidRPr="00780D76">
        <w:t xml:space="preserve"> </w:t>
      </w:r>
    </w:p>
    <w:p w14:paraId="34738DB2" w14:textId="77777777" w:rsidR="00BE35EF" w:rsidRPr="00967D34" w:rsidRDefault="00BE35EF" w:rsidP="00EC4F94">
      <w:pPr>
        <w:pStyle w:val="Heading4"/>
        <w:rPr>
          <w:rFonts w:asciiTheme="minorHAnsi" w:hAnsiTheme="minorHAnsi" w:cstheme="minorHAnsi"/>
          <w:sz w:val="24"/>
        </w:rPr>
      </w:pPr>
      <w:r w:rsidRPr="00967D34">
        <w:rPr>
          <w:rFonts w:asciiTheme="minorHAnsi" w:hAnsiTheme="minorHAnsi" w:cstheme="minorHAnsi"/>
          <w:sz w:val="24"/>
        </w:rPr>
        <w:t>Reproduced with permission of the United Nations Commission on International Trade Law (UNCITRAL).</w:t>
      </w:r>
    </w:p>
    <w:p w14:paraId="500FAF78" w14:textId="77777777" w:rsidR="00843D0E" w:rsidRPr="00780D76" w:rsidRDefault="00843D0E" w:rsidP="00843D0E">
      <w:pPr>
        <w:rPr>
          <w:rFonts w:asciiTheme="minorHAnsi" w:eastAsiaTheme="minorEastAsia" w:hAnsiTheme="minorHAnsi" w:cstheme="minorHAnsi"/>
          <w:b/>
          <w:noProof/>
          <w:color w:val="auto"/>
          <w:sz w:val="22"/>
          <w:szCs w:val="22"/>
          <w:lang w:eastAsia="en-AU"/>
        </w:rPr>
      </w:pPr>
    </w:p>
    <w:p w14:paraId="04CB6537" w14:textId="77777777" w:rsidR="007D0DC1" w:rsidRPr="007D0DC1" w:rsidRDefault="007D0DC1" w:rsidP="007D0DC1">
      <w:pPr>
        <w:rPr>
          <w:rFonts w:asciiTheme="minorHAnsi" w:eastAsiaTheme="minorEastAsia" w:hAnsiTheme="minorHAnsi" w:cstheme="minorHAnsi"/>
          <w:b/>
          <w:noProof/>
          <w:color w:val="auto"/>
          <w:sz w:val="22"/>
          <w:szCs w:val="22"/>
          <w:lang w:eastAsia="en-AU"/>
        </w:rPr>
      </w:pPr>
      <w:r w:rsidRPr="00560C64">
        <w:rPr>
          <w:rFonts w:asciiTheme="minorHAnsi" w:eastAsiaTheme="minorEastAsia" w:hAnsiTheme="minorHAnsi" w:cstheme="minorHAnsi"/>
          <w:b/>
          <w:noProof/>
          <w:color w:val="auto"/>
          <w:sz w:val="32"/>
          <w:szCs w:val="22"/>
          <w:lang w:eastAsia="en-AU"/>
        </w:rPr>
        <w:t>UNCITRAL Model Law on Electronic Transferable Records</w:t>
      </w:r>
      <w:r w:rsidRPr="007D0DC1">
        <w:rPr>
          <w:rFonts w:asciiTheme="minorHAnsi" w:eastAsiaTheme="minorEastAsia" w:hAnsiTheme="minorHAnsi" w:cstheme="minorHAnsi"/>
          <w:b/>
          <w:noProof/>
          <w:color w:val="auto"/>
          <w:sz w:val="22"/>
          <w:szCs w:val="22"/>
          <w:lang w:eastAsia="en-AU"/>
        </w:rPr>
        <w:tab/>
      </w:r>
      <w:r w:rsidRPr="007D0DC1">
        <w:rPr>
          <w:rFonts w:asciiTheme="minorHAnsi" w:eastAsiaTheme="minorEastAsia" w:hAnsiTheme="minorHAnsi" w:cstheme="minorHAnsi"/>
          <w:b/>
          <w:noProof/>
          <w:color w:val="auto"/>
          <w:sz w:val="22"/>
          <w:szCs w:val="22"/>
          <w:lang w:eastAsia="en-AU"/>
        </w:rPr>
        <w:tab/>
      </w:r>
    </w:p>
    <w:p w14:paraId="55A0B5BA" w14:textId="17FBD42C" w:rsidR="00560C64" w:rsidRPr="00626914" w:rsidRDefault="007D0DC1" w:rsidP="007D0DC1">
      <w:pPr>
        <w:rPr>
          <w:rFonts w:asciiTheme="minorHAnsi" w:eastAsiaTheme="minorEastAsia" w:hAnsiTheme="minorHAnsi" w:cstheme="minorHAnsi"/>
          <w:b/>
          <w:noProof/>
          <w:color w:val="auto"/>
          <w:sz w:val="24"/>
          <w:szCs w:val="22"/>
          <w:lang w:eastAsia="en-AU"/>
        </w:rPr>
      </w:pPr>
      <w:r w:rsidRPr="00626914">
        <w:rPr>
          <w:rFonts w:asciiTheme="minorHAnsi" w:eastAsiaTheme="minorEastAsia" w:hAnsiTheme="minorHAnsi" w:cstheme="minorHAnsi"/>
          <w:b/>
          <w:noProof/>
          <w:color w:val="auto"/>
          <w:sz w:val="28"/>
          <w:szCs w:val="22"/>
          <w:lang w:eastAsia="en-AU"/>
        </w:rPr>
        <w:t>Contents</w:t>
      </w:r>
      <w:r w:rsidRPr="007D0DC1">
        <w:rPr>
          <w:rFonts w:asciiTheme="minorHAnsi" w:eastAsiaTheme="minorEastAsia" w:hAnsiTheme="minorHAnsi" w:cstheme="minorHAnsi"/>
          <w:b/>
          <w:noProof/>
          <w:color w:val="auto"/>
          <w:sz w:val="22"/>
          <w:szCs w:val="22"/>
          <w:lang w:eastAsia="en-AU"/>
        </w:rPr>
        <w:tab/>
      </w:r>
      <w:r w:rsidR="00560C64">
        <w:rPr>
          <w:rFonts w:asciiTheme="minorHAnsi" w:eastAsiaTheme="minorEastAsia" w:hAnsiTheme="minorHAnsi" w:cstheme="minorHAnsi"/>
          <w:b/>
          <w:noProof/>
          <w:color w:val="auto"/>
          <w:sz w:val="22"/>
          <w:szCs w:val="22"/>
          <w:lang w:eastAsia="en-AU"/>
        </w:rPr>
        <w:tab/>
      </w:r>
      <w:r w:rsidR="00560C64">
        <w:rPr>
          <w:rFonts w:asciiTheme="minorHAnsi" w:eastAsiaTheme="minorEastAsia" w:hAnsiTheme="minorHAnsi" w:cstheme="minorHAnsi"/>
          <w:b/>
          <w:noProof/>
          <w:color w:val="auto"/>
          <w:sz w:val="22"/>
          <w:szCs w:val="22"/>
          <w:lang w:eastAsia="en-AU"/>
        </w:rPr>
        <w:tab/>
      </w:r>
      <w:r w:rsidR="00560C64">
        <w:rPr>
          <w:rFonts w:asciiTheme="minorHAnsi" w:eastAsiaTheme="minorEastAsia" w:hAnsiTheme="minorHAnsi" w:cstheme="minorHAnsi"/>
          <w:b/>
          <w:noProof/>
          <w:color w:val="auto"/>
          <w:sz w:val="22"/>
          <w:szCs w:val="22"/>
          <w:lang w:eastAsia="en-AU"/>
        </w:rPr>
        <w:tab/>
      </w:r>
      <w:r w:rsidR="00560C64">
        <w:rPr>
          <w:rFonts w:asciiTheme="minorHAnsi" w:eastAsiaTheme="minorEastAsia" w:hAnsiTheme="minorHAnsi" w:cstheme="minorHAnsi"/>
          <w:b/>
          <w:noProof/>
          <w:color w:val="auto"/>
          <w:sz w:val="22"/>
          <w:szCs w:val="22"/>
          <w:lang w:eastAsia="en-AU"/>
        </w:rPr>
        <w:tab/>
      </w:r>
      <w:r w:rsidR="00560C64">
        <w:rPr>
          <w:rFonts w:asciiTheme="minorHAnsi" w:eastAsiaTheme="minorEastAsia" w:hAnsiTheme="minorHAnsi" w:cstheme="minorHAnsi"/>
          <w:b/>
          <w:noProof/>
          <w:color w:val="auto"/>
          <w:sz w:val="22"/>
          <w:szCs w:val="22"/>
          <w:lang w:eastAsia="en-AU"/>
        </w:rPr>
        <w:tab/>
      </w:r>
      <w:r w:rsidR="00560C64">
        <w:rPr>
          <w:rFonts w:asciiTheme="minorHAnsi" w:eastAsiaTheme="minorEastAsia" w:hAnsiTheme="minorHAnsi" w:cstheme="minorHAnsi"/>
          <w:b/>
          <w:noProof/>
          <w:color w:val="auto"/>
          <w:sz w:val="22"/>
          <w:szCs w:val="22"/>
          <w:lang w:eastAsia="en-AU"/>
        </w:rPr>
        <w:tab/>
      </w:r>
      <w:r w:rsidR="00560C64">
        <w:rPr>
          <w:rFonts w:asciiTheme="minorHAnsi" w:eastAsiaTheme="minorEastAsia" w:hAnsiTheme="minorHAnsi" w:cstheme="minorHAnsi"/>
          <w:b/>
          <w:noProof/>
          <w:color w:val="auto"/>
          <w:sz w:val="22"/>
          <w:szCs w:val="22"/>
          <w:lang w:eastAsia="en-AU"/>
        </w:rPr>
        <w:tab/>
      </w:r>
      <w:r w:rsidR="00560C64">
        <w:rPr>
          <w:rFonts w:asciiTheme="minorHAnsi" w:eastAsiaTheme="minorEastAsia" w:hAnsiTheme="minorHAnsi" w:cstheme="minorHAnsi"/>
          <w:b/>
          <w:noProof/>
          <w:color w:val="auto"/>
          <w:sz w:val="22"/>
          <w:szCs w:val="22"/>
          <w:lang w:eastAsia="en-AU"/>
        </w:rPr>
        <w:tab/>
      </w:r>
    </w:p>
    <w:p w14:paraId="1168850D" w14:textId="727011A1" w:rsidR="007D0DC1" w:rsidRPr="005F718D" w:rsidRDefault="007D0DC1" w:rsidP="005F718D">
      <w:pPr>
        <w:rPr>
          <w:rFonts w:asciiTheme="minorHAnsi" w:eastAsiaTheme="minorEastAsia" w:hAnsiTheme="minorHAnsi" w:cstheme="minorHAnsi"/>
          <w:noProof/>
          <w:color w:val="auto"/>
          <w:sz w:val="22"/>
          <w:szCs w:val="22"/>
          <w:lang w:eastAsia="en-AU"/>
        </w:rPr>
      </w:pPr>
      <w:r w:rsidRPr="005F718D">
        <w:rPr>
          <w:rFonts w:asciiTheme="minorHAnsi" w:eastAsiaTheme="minorEastAsia" w:hAnsiTheme="minorHAnsi" w:cstheme="minorHAnsi"/>
          <w:noProof/>
          <w:color w:val="auto"/>
          <w:sz w:val="22"/>
          <w:szCs w:val="22"/>
          <w:lang w:eastAsia="en-AU"/>
        </w:rPr>
        <w:t>Resolution adopted by the General Assembly on 7 December 2017</w:t>
      </w:r>
    </w:p>
    <w:p w14:paraId="71C50D73" w14:textId="50614898" w:rsidR="007D0DC1" w:rsidRPr="005F718D" w:rsidRDefault="007D0DC1" w:rsidP="005F718D">
      <w:pPr>
        <w:rPr>
          <w:rFonts w:asciiTheme="minorHAnsi" w:eastAsiaTheme="minorEastAsia" w:hAnsiTheme="minorHAnsi" w:cstheme="minorHAnsi"/>
          <w:noProof/>
          <w:color w:val="auto"/>
          <w:sz w:val="22"/>
          <w:szCs w:val="22"/>
          <w:lang w:eastAsia="en-AU"/>
        </w:rPr>
      </w:pPr>
      <w:r w:rsidRPr="005F718D">
        <w:rPr>
          <w:rFonts w:asciiTheme="minorHAnsi" w:eastAsiaTheme="minorEastAsia" w:hAnsiTheme="minorHAnsi" w:cstheme="minorHAnsi"/>
          <w:noProof/>
          <w:color w:val="auto"/>
          <w:sz w:val="22"/>
          <w:szCs w:val="22"/>
          <w:lang w:eastAsia="en-AU"/>
        </w:rPr>
        <w:t>Decision of the United Nations Commission on International Trade Law (UNCITRAL)</w:t>
      </w:r>
    </w:p>
    <w:p w14:paraId="2FA1EACA" w14:textId="3F2AD9D8" w:rsidR="007D0DC1" w:rsidRPr="005F718D" w:rsidRDefault="007D0DC1" w:rsidP="005F718D">
      <w:pPr>
        <w:rPr>
          <w:rFonts w:asciiTheme="minorHAnsi" w:eastAsiaTheme="minorEastAsia" w:hAnsiTheme="minorHAnsi" w:cstheme="minorHAnsi"/>
          <w:noProof/>
          <w:color w:val="auto"/>
          <w:sz w:val="22"/>
          <w:szCs w:val="22"/>
          <w:lang w:eastAsia="en-AU"/>
        </w:rPr>
      </w:pPr>
      <w:r w:rsidRPr="005F718D">
        <w:rPr>
          <w:rFonts w:asciiTheme="minorHAnsi" w:eastAsiaTheme="minorEastAsia" w:hAnsiTheme="minorHAnsi" w:cstheme="minorHAnsi"/>
          <w:noProof/>
          <w:color w:val="auto"/>
          <w:sz w:val="22"/>
          <w:szCs w:val="22"/>
          <w:lang w:eastAsia="en-AU"/>
        </w:rPr>
        <w:t>UNCITRAL Model Law on Electronic Transferable Records</w:t>
      </w:r>
    </w:p>
    <w:p w14:paraId="71B92484" w14:textId="77777777" w:rsidR="007D0DC1" w:rsidRPr="00560C64" w:rsidRDefault="007D0DC1" w:rsidP="007D0DC1">
      <w:pPr>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noProof/>
          <w:color w:val="auto"/>
          <w:sz w:val="22"/>
          <w:szCs w:val="22"/>
          <w:lang w:eastAsia="en-AU"/>
        </w:rPr>
        <w:t>Chapter I.</w:t>
      </w:r>
      <w:r w:rsidRPr="00560C64">
        <w:rPr>
          <w:rFonts w:asciiTheme="minorHAnsi" w:eastAsiaTheme="minorEastAsia" w:hAnsiTheme="minorHAnsi" w:cstheme="minorHAnsi"/>
          <w:noProof/>
          <w:color w:val="auto"/>
          <w:sz w:val="22"/>
          <w:szCs w:val="22"/>
          <w:lang w:eastAsia="en-AU"/>
        </w:rPr>
        <w:tab/>
        <w:t>General provisions</w:t>
      </w:r>
      <w:r w:rsidRPr="00560C6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noProof/>
          <w:color w:val="auto"/>
          <w:sz w:val="22"/>
          <w:szCs w:val="22"/>
          <w:lang w:eastAsia="en-AU"/>
        </w:rPr>
        <w:tab/>
      </w:r>
    </w:p>
    <w:p w14:paraId="66BAD3B0" w14:textId="77777777" w:rsidR="007D0DC1" w:rsidRPr="00560C64" w:rsidRDefault="007D0DC1" w:rsidP="00560C64">
      <w:pPr>
        <w:ind w:left="720" w:firstLine="720"/>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noProof/>
          <w:color w:val="auto"/>
          <w:sz w:val="22"/>
          <w:szCs w:val="22"/>
          <w:lang w:eastAsia="en-AU"/>
        </w:rPr>
        <w:t>Article 1.</w:t>
      </w:r>
      <w:r w:rsidR="00560C64">
        <w:rPr>
          <w:rFonts w:asciiTheme="minorHAnsi" w:eastAsiaTheme="minorEastAsia" w:hAnsiTheme="minorHAnsi" w:cstheme="minorHAnsi"/>
          <w:noProof/>
          <w:color w:val="auto"/>
          <w:sz w:val="22"/>
          <w:szCs w:val="22"/>
          <w:lang w:eastAsia="en-AU"/>
        </w:rPr>
        <w:tab/>
        <w:t xml:space="preserve"> </w:t>
      </w:r>
      <w:r w:rsidRPr="00560C64">
        <w:rPr>
          <w:rFonts w:asciiTheme="minorHAnsi" w:eastAsiaTheme="minorEastAsia" w:hAnsiTheme="minorHAnsi" w:cstheme="minorHAnsi"/>
          <w:noProof/>
          <w:color w:val="auto"/>
          <w:sz w:val="22"/>
          <w:szCs w:val="22"/>
          <w:lang w:eastAsia="en-AU"/>
        </w:rPr>
        <w:t>Scope of application</w:t>
      </w:r>
      <w:r w:rsidRPr="00560C6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noProof/>
          <w:color w:val="auto"/>
          <w:sz w:val="22"/>
          <w:szCs w:val="22"/>
          <w:lang w:eastAsia="en-AU"/>
        </w:rPr>
        <w:tab/>
      </w:r>
    </w:p>
    <w:p w14:paraId="2857EAF8" w14:textId="77777777" w:rsidR="007D0DC1" w:rsidRPr="00560C64" w:rsidRDefault="007D0DC1" w:rsidP="00560C64">
      <w:pPr>
        <w:ind w:left="720" w:firstLine="720"/>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noProof/>
          <w:color w:val="auto"/>
          <w:sz w:val="22"/>
          <w:szCs w:val="22"/>
          <w:lang w:eastAsia="en-AU"/>
        </w:rPr>
        <w:t>Article 2.</w:t>
      </w:r>
      <w:r w:rsidR="00560C64">
        <w:rPr>
          <w:rFonts w:asciiTheme="minorHAnsi" w:eastAsiaTheme="minorEastAsia" w:hAnsiTheme="minorHAnsi" w:cstheme="minorHAnsi"/>
          <w:noProof/>
          <w:color w:val="auto"/>
          <w:sz w:val="22"/>
          <w:szCs w:val="22"/>
          <w:lang w:eastAsia="en-AU"/>
        </w:rPr>
        <w:t xml:space="preserve"> </w:t>
      </w:r>
      <w:r w:rsidR="00560C6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noProof/>
          <w:color w:val="auto"/>
          <w:sz w:val="22"/>
          <w:szCs w:val="22"/>
          <w:lang w:eastAsia="en-AU"/>
        </w:rPr>
        <w:t>Definitions</w:t>
      </w:r>
      <w:r w:rsidRPr="00560C6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noProof/>
          <w:color w:val="auto"/>
          <w:sz w:val="22"/>
          <w:szCs w:val="22"/>
          <w:lang w:eastAsia="en-AU"/>
        </w:rPr>
        <w:tab/>
      </w:r>
    </w:p>
    <w:p w14:paraId="4FDDF260" w14:textId="77777777" w:rsidR="007D0DC1" w:rsidRPr="00560C64" w:rsidRDefault="007D0DC1" w:rsidP="00560C64">
      <w:pPr>
        <w:ind w:left="720" w:firstLine="720"/>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noProof/>
          <w:color w:val="auto"/>
          <w:sz w:val="22"/>
          <w:szCs w:val="22"/>
          <w:lang w:eastAsia="en-AU"/>
        </w:rPr>
        <w:t>Article 3.</w:t>
      </w:r>
      <w:r w:rsidR="00560C64">
        <w:rPr>
          <w:rFonts w:asciiTheme="minorHAnsi" w:eastAsiaTheme="minorEastAsia" w:hAnsiTheme="minorHAnsi" w:cstheme="minorHAnsi"/>
          <w:noProof/>
          <w:color w:val="auto"/>
          <w:sz w:val="22"/>
          <w:szCs w:val="22"/>
          <w:lang w:eastAsia="en-AU"/>
        </w:rPr>
        <w:t xml:space="preserve"> </w:t>
      </w:r>
      <w:r w:rsidR="00560C64">
        <w:rPr>
          <w:rFonts w:asciiTheme="minorHAnsi" w:eastAsiaTheme="minorEastAsia" w:hAnsiTheme="minorHAnsi" w:cstheme="minorHAnsi"/>
          <w:noProof/>
          <w:color w:val="auto"/>
          <w:sz w:val="22"/>
          <w:szCs w:val="22"/>
          <w:lang w:eastAsia="en-AU"/>
        </w:rPr>
        <w:tab/>
        <w:t>I</w:t>
      </w:r>
      <w:r w:rsidRPr="00560C64">
        <w:rPr>
          <w:rFonts w:asciiTheme="minorHAnsi" w:eastAsiaTheme="minorEastAsia" w:hAnsiTheme="minorHAnsi" w:cstheme="minorHAnsi"/>
          <w:noProof/>
          <w:color w:val="auto"/>
          <w:sz w:val="22"/>
          <w:szCs w:val="22"/>
          <w:lang w:eastAsia="en-AU"/>
        </w:rPr>
        <w:t>nterpretation</w:t>
      </w:r>
      <w:r w:rsidRPr="00560C6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noProof/>
          <w:color w:val="auto"/>
          <w:sz w:val="22"/>
          <w:szCs w:val="22"/>
          <w:lang w:eastAsia="en-AU"/>
        </w:rPr>
        <w:tab/>
      </w:r>
    </w:p>
    <w:p w14:paraId="10A83541" w14:textId="77777777" w:rsidR="007D0DC1" w:rsidRPr="00560C64" w:rsidRDefault="007D0DC1" w:rsidP="00560C64">
      <w:pPr>
        <w:ind w:left="720" w:firstLine="720"/>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noProof/>
          <w:color w:val="auto"/>
          <w:sz w:val="22"/>
          <w:szCs w:val="22"/>
          <w:lang w:eastAsia="en-AU"/>
        </w:rPr>
        <w:t>Article 4.</w:t>
      </w:r>
      <w:r w:rsidRPr="00560C64">
        <w:rPr>
          <w:rFonts w:asciiTheme="minorHAnsi" w:eastAsiaTheme="minorEastAsia" w:hAnsiTheme="minorHAnsi" w:cstheme="minorHAnsi"/>
          <w:noProof/>
          <w:color w:val="auto"/>
          <w:sz w:val="22"/>
          <w:szCs w:val="22"/>
          <w:lang w:eastAsia="en-AU"/>
        </w:rPr>
        <w:tab/>
        <w:t>Party autonomy and privity of contract</w:t>
      </w:r>
      <w:r w:rsidRPr="00560C6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noProof/>
          <w:color w:val="auto"/>
          <w:sz w:val="22"/>
          <w:szCs w:val="22"/>
          <w:lang w:eastAsia="en-AU"/>
        </w:rPr>
        <w:tab/>
      </w:r>
    </w:p>
    <w:p w14:paraId="200FB311" w14:textId="77777777" w:rsidR="007D0DC1" w:rsidRPr="00560C64" w:rsidRDefault="007D0DC1" w:rsidP="00560C64">
      <w:pPr>
        <w:ind w:left="720" w:firstLine="720"/>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noProof/>
          <w:color w:val="auto"/>
          <w:sz w:val="22"/>
          <w:szCs w:val="22"/>
          <w:lang w:eastAsia="en-AU"/>
        </w:rPr>
        <w:t>Article 5.</w:t>
      </w:r>
      <w:r w:rsidRPr="00560C64">
        <w:rPr>
          <w:rFonts w:asciiTheme="minorHAnsi" w:eastAsiaTheme="minorEastAsia" w:hAnsiTheme="minorHAnsi" w:cstheme="minorHAnsi"/>
          <w:noProof/>
          <w:color w:val="auto"/>
          <w:sz w:val="22"/>
          <w:szCs w:val="22"/>
          <w:lang w:eastAsia="en-AU"/>
        </w:rPr>
        <w:tab/>
        <w:t>Information requirements</w:t>
      </w:r>
      <w:r w:rsidRPr="00560C6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noProof/>
          <w:color w:val="auto"/>
          <w:sz w:val="22"/>
          <w:szCs w:val="22"/>
          <w:lang w:eastAsia="en-AU"/>
        </w:rPr>
        <w:tab/>
      </w:r>
    </w:p>
    <w:p w14:paraId="15554C59" w14:textId="77777777" w:rsidR="007D0DC1" w:rsidRPr="00560C64" w:rsidRDefault="007D0DC1" w:rsidP="00560C64">
      <w:pPr>
        <w:ind w:left="720" w:firstLine="720"/>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noProof/>
          <w:color w:val="auto"/>
          <w:sz w:val="22"/>
          <w:szCs w:val="22"/>
          <w:lang w:eastAsia="en-AU"/>
        </w:rPr>
        <w:t>Article 6.</w:t>
      </w:r>
      <w:r w:rsidRPr="00560C64">
        <w:rPr>
          <w:rFonts w:asciiTheme="minorHAnsi" w:eastAsiaTheme="minorEastAsia" w:hAnsiTheme="minorHAnsi" w:cstheme="minorHAnsi"/>
          <w:noProof/>
          <w:color w:val="auto"/>
          <w:sz w:val="22"/>
          <w:szCs w:val="22"/>
          <w:lang w:eastAsia="en-AU"/>
        </w:rPr>
        <w:tab/>
        <w:t>Additional information in electronic transferable records</w:t>
      </w:r>
    </w:p>
    <w:p w14:paraId="045EBC84" w14:textId="77777777" w:rsidR="007D0DC1" w:rsidRPr="00560C64" w:rsidRDefault="007D0DC1" w:rsidP="00560C64">
      <w:pPr>
        <w:ind w:left="720" w:firstLine="720"/>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noProof/>
          <w:color w:val="auto"/>
          <w:sz w:val="22"/>
          <w:szCs w:val="22"/>
          <w:lang w:eastAsia="en-AU"/>
        </w:rPr>
        <w:t>Article 7.</w:t>
      </w:r>
      <w:r w:rsidRPr="00560C64">
        <w:rPr>
          <w:rFonts w:asciiTheme="minorHAnsi" w:eastAsiaTheme="minorEastAsia" w:hAnsiTheme="minorHAnsi" w:cstheme="minorHAnsi"/>
          <w:noProof/>
          <w:color w:val="auto"/>
          <w:sz w:val="22"/>
          <w:szCs w:val="22"/>
          <w:lang w:eastAsia="en-AU"/>
        </w:rPr>
        <w:tab/>
        <w:t>Legal recognition of an electronic transferable record</w:t>
      </w:r>
      <w:r w:rsidRPr="00560C6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noProof/>
          <w:color w:val="auto"/>
          <w:sz w:val="22"/>
          <w:szCs w:val="22"/>
          <w:lang w:eastAsia="en-AU"/>
        </w:rPr>
        <w:tab/>
      </w:r>
    </w:p>
    <w:p w14:paraId="4172C0B0" w14:textId="77777777" w:rsidR="007D0DC1" w:rsidRPr="00560C64" w:rsidRDefault="007D0DC1" w:rsidP="007D0DC1">
      <w:pPr>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noProof/>
          <w:color w:val="auto"/>
          <w:sz w:val="22"/>
          <w:szCs w:val="22"/>
          <w:lang w:eastAsia="en-AU"/>
        </w:rPr>
        <w:t>Chapter II.</w:t>
      </w:r>
      <w:r w:rsidRPr="00560C64">
        <w:rPr>
          <w:rFonts w:asciiTheme="minorHAnsi" w:eastAsiaTheme="minorEastAsia" w:hAnsiTheme="minorHAnsi" w:cstheme="minorHAnsi"/>
          <w:noProof/>
          <w:color w:val="auto"/>
          <w:sz w:val="22"/>
          <w:szCs w:val="22"/>
          <w:lang w:eastAsia="en-AU"/>
        </w:rPr>
        <w:tab/>
        <w:t>Provisions on functional equivalence</w:t>
      </w:r>
      <w:r w:rsidRPr="00560C6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noProof/>
          <w:color w:val="auto"/>
          <w:sz w:val="22"/>
          <w:szCs w:val="22"/>
          <w:lang w:eastAsia="en-AU"/>
        </w:rPr>
        <w:tab/>
      </w:r>
    </w:p>
    <w:p w14:paraId="6A56E445" w14:textId="77777777" w:rsidR="007D0DC1" w:rsidRPr="00560C64" w:rsidRDefault="007D0DC1" w:rsidP="00560C64">
      <w:pPr>
        <w:ind w:left="720" w:firstLine="720"/>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noProof/>
          <w:color w:val="auto"/>
          <w:sz w:val="22"/>
          <w:szCs w:val="22"/>
          <w:lang w:eastAsia="en-AU"/>
        </w:rPr>
        <w:t>Article 8.</w:t>
      </w:r>
      <w:r w:rsidRPr="00560C64">
        <w:rPr>
          <w:rFonts w:asciiTheme="minorHAnsi" w:eastAsiaTheme="minorEastAsia" w:hAnsiTheme="minorHAnsi" w:cstheme="minorHAnsi"/>
          <w:noProof/>
          <w:color w:val="auto"/>
          <w:sz w:val="22"/>
          <w:szCs w:val="22"/>
          <w:lang w:eastAsia="en-AU"/>
        </w:rPr>
        <w:tab/>
        <w:t>Writing</w:t>
      </w:r>
      <w:r w:rsidRPr="00560C6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noProof/>
          <w:color w:val="auto"/>
          <w:sz w:val="22"/>
          <w:szCs w:val="22"/>
          <w:lang w:eastAsia="en-AU"/>
        </w:rPr>
        <w:tab/>
      </w:r>
    </w:p>
    <w:p w14:paraId="22801E15" w14:textId="77777777" w:rsidR="007D0DC1" w:rsidRPr="00560C64" w:rsidRDefault="007D0DC1" w:rsidP="00560C64">
      <w:pPr>
        <w:ind w:left="720" w:firstLine="720"/>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noProof/>
          <w:color w:val="auto"/>
          <w:sz w:val="22"/>
          <w:szCs w:val="22"/>
          <w:lang w:eastAsia="en-AU"/>
        </w:rPr>
        <w:t>Article 9.</w:t>
      </w:r>
      <w:r w:rsidRPr="00560C64">
        <w:rPr>
          <w:rFonts w:asciiTheme="minorHAnsi" w:eastAsiaTheme="minorEastAsia" w:hAnsiTheme="minorHAnsi" w:cstheme="minorHAnsi"/>
          <w:noProof/>
          <w:color w:val="auto"/>
          <w:sz w:val="22"/>
          <w:szCs w:val="22"/>
          <w:lang w:eastAsia="en-AU"/>
        </w:rPr>
        <w:tab/>
        <w:t>Signature</w:t>
      </w:r>
      <w:r w:rsidRPr="00560C6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noProof/>
          <w:color w:val="auto"/>
          <w:sz w:val="22"/>
          <w:szCs w:val="22"/>
          <w:lang w:eastAsia="en-AU"/>
        </w:rPr>
        <w:tab/>
      </w:r>
    </w:p>
    <w:p w14:paraId="280EDE80" w14:textId="77777777" w:rsidR="007D0DC1" w:rsidRPr="00560C64" w:rsidRDefault="007D0DC1" w:rsidP="00560C64">
      <w:pPr>
        <w:ind w:left="720" w:firstLine="720"/>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noProof/>
          <w:color w:val="auto"/>
          <w:sz w:val="22"/>
          <w:szCs w:val="22"/>
          <w:lang w:eastAsia="en-AU"/>
        </w:rPr>
        <w:t>Article 10.</w:t>
      </w:r>
      <w:r w:rsidRPr="00560C64">
        <w:rPr>
          <w:rFonts w:asciiTheme="minorHAnsi" w:eastAsiaTheme="minorEastAsia" w:hAnsiTheme="minorHAnsi" w:cstheme="minorHAnsi"/>
          <w:noProof/>
          <w:color w:val="auto"/>
          <w:sz w:val="22"/>
          <w:szCs w:val="22"/>
          <w:lang w:eastAsia="en-AU"/>
        </w:rPr>
        <w:tab/>
        <w:t>Transferable documents or instruments</w:t>
      </w:r>
      <w:r w:rsidRPr="00560C6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noProof/>
          <w:color w:val="auto"/>
          <w:sz w:val="22"/>
          <w:szCs w:val="22"/>
          <w:lang w:eastAsia="en-AU"/>
        </w:rPr>
        <w:tab/>
      </w:r>
    </w:p>
    <w:p w14:paraId="5D7AAA4B" w14:textId="77777777" w:rsidR="007D0DC1" w:rsidRPr="00560C64" w:rsidRDefault="007D0DC1" w:rsidP="00560C64">
      <w:pPr>
        <w:ind w:left="720" w:firstLine="720"/>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noProof/>
          <w:color w:val="auto"/>
          <w:sz w:val="22"/>
          <w:szCs w:val="22"/>
          <w:lang w:eastAsia="en-AU"/>
        </w:rPr>
        <w:t>Article 11.</w:t>
      </w:r>
      <w:r w:rsidRPr="00560C64">
        <w:rPr>
          <w:rFonts w:asciiTheme="minorHAnsi" w:eastAsiaTheme="minorEastAsia" w:hAnsiTheme="minorHAnsi" w:cstheme="minorHAnsi"/>
          <w:noProof/>
          <w:color w:val="auto"/>
          <w:sz w:val="22"/>
          <w:szCs w:val="22"/>
          <w:lang w:eastAsia="en-AU"/>
        </w:rPr>
        <w:tab/>
        <w:t>Control</w:t>
      </w:r>
      <w:r w:rsidRPr="00560C6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noProof/>
          <w:color w:val="auto"/>
          <w:sz w:val="22"/>
          <w:szCs w:val="22"/>
          <w:lang w:eastAsia="en-AU"/>
        </w:rPr>
        <w:tab/>
      </w:r>
    </w:p>
    <w:p w14:paraId="45E3D843" w14:textId="77777777" w:rsidR="007D0DC1" w:rsidRPr="00560C64" w:rsidRDefault="007D0DC1" w:rsidP="007D0DC1">
      <w:pPr>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noProof/>
          <w:color w:val="auto"/>
          <w:sz w:val="22"/>
          <w:szCs w:val="22"/>
          <w:lang w:eastAsia="en-AU"/>
        </w:rPr>
        <w:t>Chapter III.</w:t>
      </w:r>
      <w:r w:rsidRPr="00560C64">
        <w:rPr>
          <w:rFonts w:asciiTheme="minorHAnsi" w:eastAsiaTheme="minorEastAsia" w:hAnsiTheme="minorHAnsi" w:cstheme="minorHAnsi"/>
          <w:noProof/>
          <w:color w:val="auto"/>
          <w:sz w:val="22"/>
          <w:szCs w:val="22"/>
          <w:lang w:eastAsia="en-AU"/>
        </w:rPr>
        <w:tab/>
        <w:t>Use of electronic transferable records</w:t>
      </w:r>
      <w:r w:rsidRPr="00560C6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noProof/>
          <w:color w:val="auto"/>
          <w:sz w:val="22"/>
          <w:szCs w:val="22"/>
          <w:lang w:eastAsia="en-AU"/>
        </w:rPr>
        <w:tab/>
      </w:r>
    </w:p>
    <w:p w14:paraId="50EC5416" w14:textId="77777777" w:rsidR="007D0DC1" w:rsidRPr="00560C64" w:rsidRDefault="007D0DC1" w:rsidP="00560C64">
      <w:pPr>
        <w:ind w:left="720" w:firstLine="720"/>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noProof/>
          <w:color w:val="auto"/>
          <w:sz w:val="22"/>
          <w:szCs w:val="22"/>
          <w:lang w:eastAsia="en-AU"/>
        </w:rPr>
        <w:t>Article 12.</w:t>
      </w:r>
      <w:r w:rsidRPr="00560C64">
        <w:rPr>
          <w:rFonts w:asciiTheme="minorHAnsi" w:eastAsiaTheme="minorEastAsia" w:hAnsiTheme="minorHAnsi" w:cstheme="minorHAnsi"/>
          <w:noProof/>
          <w:color w:val="auto"/>
          <w:sz w:val="22"/>
          <w:szCs w:val="22"/>
          <w:lang w:eastAsia="en-AU"/>
        </w:rPr>
        <w:tab/>
        <w:t>General reliability standard</w:t>
      </w:r>
      <w:r w:rsidRPr="00560C6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noProof/>
          <w:color w:val="auto"/>
          <w:sz w:val="22"/>
          <w:szCs w:val="22"/>
          <w:lang w:eastAsia="en-AU"/>
        </w:rPr>
        <w:tab/>
      </w:r>
    </w:p>
    <w:p w14:paraId="1562B05A" w14:textId="77777777" w:rsidR="007D0DC1" w:rsidRPr="00560C64" w:rsidRDefault="007D0DC1" w:rsidP="00560C64">
      <w:pPr>
        <w:ind w:left="720" w:firstLine="720"/>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noProof/>
          <w:color w:val="auto"/>
          <w:sz w:val="22"/>
          <w:szCs w:val="22"/>
          <w:lang w:eastAsia="en-AU"/>
        </w:rPr>
        <w:t>Article 13.</w:t>
      </w:r>
      <w:r w:rsidRPr="00560C64">
        <w:rPr>
          <w:rFonts w:asciiTheme="minorHAnsi" w:eastAsiaTheme="minorEastAsia" w:hAnsiTheme="minorHAnsi" w:cstheme="minorHAnsi"/>
          <w:noProof/>
          <w:color w:val="auto"/>
          <w:sz w:val="22"/>
          <w:szCs w:val="22"/>
          <w:lang w:eastAsia="en-AU"/>
        </w:rPr>
        <w:tab/>
        <w:t>Indication of time and place in electronic transferable records</w:t>
      </w:r>
      <w:r w:rsidRPr="00560C64">
        <w:rPr>
          <w:rFonts w:asciiTheme="minorHAnsi" w:eastAsiaTheme="minorEastAsia" w:hAnsiTheme="minorHAnsi" w:cstheme="minorHAnsi"/>
          <w:noProof/>
          <w:color w:val="auto"/>
          <w:sz w:val="22"/>
          <w:szCs w:val="22"/>
          <w:lang w:eastAsia="en-AU"/>
        </w:rPr>
        <w:tab/>
      </w:r>
    </w:p>
    <w:p w14:paraId="061436CE" w14:textId="77777777" w:rsidR="007D0DC1" w:rsidRPr="007D0DC1" w:rsidRDefault="007D0DC1" w:rsidP="00560C64">
      <w:pPr>
        <w:ind w:left="720" w:firstLine="720"/>
        <w:rPr>
          <w:rFonts w:asciiTheme="minorHAnsi" w:eastAsiaTheme="minorEastAsia" w:hAnsiTheme="minorHAnsi" w:cstheme="minorHAnsi"/>
          <w:b/>
          <w:noProof/>
          <w:color w:val="auto"/>
          <w:sz w:val="22"/>
          <w:szCs w:val="22"/>
          <w:lang w:eastAsia="en-AU"/>
        </w:rPr>
      </w:pPr>
      <w:r w:rsidRPr="00560C64">
        <w:rPr>
          <w:rFonts w:asciiTheme="minorHAnsi" w:eastAsiaTheme="minorEastAsia" w:hAnsiTheme="minorHAnsi" w:cstheme="minorHAnsi"/>
          <w:noProof/>
          <w:color w:val="auto"/>
          <w:sz w:val="22"/>
          <w:szCs w:val="22"/>
          <w:lang w:eastAsia="en-AU"/>
        </w:rPr>
        <w:t>Article 14.</w:t>
      </w:r>
      <w:r w:rsidRPr="00560C64">
        <w:rPr>
          <w:rFonts w:asciiTheme="minorHAnsi" w:eastAsiaTheme="minorEastAsia" w:hAnsiTheme="minorHAnsi" w:cstheme="minorHAnsi"/>
          <w:noProof/>
          <w:color w:val="auto"/>
          <w:sz w:val="22"/>
          <w:szCs w:val="22"/>
          <w:lang w:eastAsia="en-AU"/>
        </w:rPr>
        <w:tab/>
        <w:t>Place of business</w:t>
      </w:r>
      <w:r w:rsidRPr="00560C6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noProof/>
          <w:color w:val="auto"/>
          <w:sz w:val="22"/>
          <w:szCs w:val="22"/>
          <w:lang w:eastAsia="en-AU"/>
        </w:rPr>
        <w:tab/>
      </w:r>
    </w:p>
    <w:p w14:paraId="50872299" w14:textId="77777777" w:rsidR="007D0DC1" w:rsidRPr="00560C64" w:rsidRDefault="007D0DC1" w:rsidP="00560C64">
      <w:pPr>
        <w:ind w:left="720" w:firstLine="720"/>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noProof/>
          <w:color w:val="auto"/>
          <w:sz w:val="22"/>
          <w:szCs w:val="22"/>
          <w:lang w:eastAsia="en-AU"/>
        </w:rPr>
        <w:t>Article 15.</w:t>
      </w:r>
      <w:r w:rsidRPr="00560C64">
        <w:rPr>
          <w:rFonts w:asciiTheme="minorHAnsi" w:eastAsiaTheme="minorEastAsia" w:hAnsiTheme="minorHAnsi" w:cstheme="minorHAnsi"/>
          <w:noProof/>
          <w:color w:val="auto"/>
          <w:sz w:val="22"/>
          <w:szCs w:val="22"/>
          <w:lang w:eastAsia="en-AU"/>
        </w:rPr>
        <w:tab/>
        <w:t>Endorsement</w:t>
      </w:r>
      <w:r w:rsidRPr="00560C6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noProof/>
          <w:color w:val="auto"/>
          <w:sz w:val="22"/>
          <w:szCs w:val="22"/>
          <w:lang w:eastAsia="en-AU"/>
        </w:rPr>
        <w:tab/>
      </w:r>
    </w:p>
    <w:p w14:paraId="6B473666" w14:textId="77777777" w:rsidR="007D0DC1" w:rsidRPr="00560C64" w:rsidRDefault="007D0DC1" w:rsidP="00560C64">
      <w:pPr>
        <w:ind w:left="720" w:firstLine="720"/>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noProof/>
          <w:color w:val="auto"/>
          <w:sz w:val="22"/>
          <w:szCs w:val="22"/>
          <w:lang w:eastAsia="en-AU"/>
        </w:rPr>
        <w:t>Article 16.</w:t>
      </w:r>
      <w:r w:rsidRPr="00560C64">
        <w:rPr>
          <w:rFonts w:asciiTheme="minorHAnsi" w:eastAsiaTheme="minorEastAsia" w:hAnsiTheme="minorHAnsi" w:cstheme="minorHAnsi"/>
          <w:noProof/>
          <w:color w:val="auto"/>
          <w:sz w:val="22"/>
          <w:szCs w:val="22"/>
          <w:lang w:eastAsia="en-AU"/>
        </w:rPr>
        <w:tab/>
        <w:t>Amendment</w:t>
      </w:r>
      <w:r w:rsidRPr="00560C6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noProof/>
          <w:color w:val="auto"/>
          <w:sz w:val="22"/>
          <w:szCs w:val="22"/>
          <w:lang w:eastAsia="en-AU"/>
        </w:rPr>
        <w:tab/>
      </w:r>
    </w:p>
    <w:p w14:paraId="25FED9B2" w14:textId="77777777" w:rsidR="007D0DC1" w:rsidRPr="00560C64" w:rsidRDefault="007D0DC1" w:rsidP="00560C64">
      <w:pPr>
        <w:ind w:left="2880" w:hanging="1440"/>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noProof/>
          <w:color w:val="auto"/>
          <w:sz w:val="22"/>
          <w:szCs w:val="22"/>
          <w:lang w:eastAsia="en-AU"/>
        </w:rPr>
        <w:lastRenderedPageBreak/>
        <w:t>Article 17.</w:t>
      </w:r>
      <w:r w:rsidRPr="00560C64">
        <w:rPr>
          <w:rFonts w:asciiTheme="minorHAnsi" w:eastAsiaTheme="minorEastAsia" w:hAnsiTheme="minorHAnsi" w:cstheme="minorHAnsi"/>
          <w:noProof/>
          <w:color w:val="auto"/>
          <w:sz w:val="22"/>
          <w:szCs w:val="22"/>
          <w:lang w:eastAsia="en-AU"/>
        </w:rPr>
        <w:tab/>
        <w:t>Replacement of a transferable document or instrument with an electronic transferable record</w:t>
      </w:r>
      <w:r w:rsidRPr="00560C6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noProof/>
          <w:color w:val="auto"/>
          <w:sz w:val="22"/>
          <w:szCs w:val="22"/>
          <w:lang w:eastAsia="en-AU"/>
        </w:rPr>
        <w:tab/>
      </w:r>
    </w:p>
    <w:p w14:paraId="3CF25835" w14:textId="77777777" w:rsidR="007D0DC1" w:rsidRPr="00560C64" w:rsidRDefault="007D0DC1" w:rsidP="00560C64">
      <w:pPr>
        <w:ind w:left="2880" w:hanging="1440"/>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noProof/>
          <w:color w:val="auto"/>
          <w:sz w:val="22"/>
          <w:szCs w:val="22"/>
          <w:lang w:eastAsia="en-AU"/>
        </w:rPr>
        <w:t>Article 18.</w:t>
      </w:r>
      <w:r w:rsidRPr="00560C64">
        <w:rPr>
          <w:rFonts w:asciiTheme="minorHAnsi" w:eastAsiaTheme="minorEastAsia" w:hAnsiTheme="minorHAnsi" w:cstheme="minorHAnsi"/>
          <w:noProof/>
          <w:color w:val="auto"/>
          <w:sz w:val="22"/>
          <w:szCs w:val="22"/>
          <w:lang w:eastAsia="en-AU"/>
        </w:rPr>
        <w:tab/>
        <w:t>Replacement of an electronic transferable record with a transferable document or instrument</w:t>
      </w:r>
      <w:r w:rsidRPr="00560C6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noProof/>
          <w:color w:val="auto"/>
          <w:sz w:val="22"/>
          <w:szCs w:val="22"/>
          <w:lang w:eastAsia="en-AU"/>
        </w:rPr>
        <w:tab/>
      </w:r>
    </w:p>
    <w:p w14:paraId="382EBB3A" w14:textId="77777777" w:rsidR="007D0DC1" w:rsidRPr="00560C64" w:rsidRDefault="007D0DC1" w:rsidP="007D0DC1">
      <w:pPr>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noProof/>
          <w:color w:val="auto"/>
          <w:sz w:val="22"/>
          <w:szCs w:val="22"/>
          <w:lang w:eastAsia="en-AU"/>
        </w:rPr>
        <w:t>Chapter IV.</w:t>
      </w:r>
      <w:r w:rsidRPr="00560C64">
        <w:rPr>
          <w:rFonts w:asciiTheme="minorHAnsi" w:eastAsiaTheme="minorEastAsia" w:hAnsiTheme="minorHAnsi" w:cstheme="minorHAnsi"/>
          <w:noProof/>
          <w:color w:val="auto"/>
          <w:sz w:val="22"/>
          <w:szCs w:val="22"/>
          <w:lang w:eastAsia="en-AU"/>
        </w:rPr>
        <w:tab/>
        <w:t>Cross-border recognition of electronic transferable records</w:t>
      </w:r>
      <w:r w:rsidRPr="00560C6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noProof/>
          <w:color w:val="auto"/>
          <w:sz w:val="22"/>
          <w:szCs w:val="22"/>
          <w:lang w:eastAsia="en-AU"/>
        </w:rPr>
        <w:tab/>
      </w:r>
    </w:p>
    <w:p w14:paraId="73D16EF8" w14:textId="77777777" w:rsidR="007D0DC1" w:rsidRPr="00560C64" w:rsidRDefault="007D0DC1" w:rsidP="00560C64">
      <w:pPr>
        <w:ind w:left="720" w:firstLine="720"/>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noProof/>
          <w:color w:val="auto"/>
          <w:sz w:val="22"/>
          <w:szCs w:val="22"/>
          <w:lang w:eastAsia="en-AU"/>
        </w:rPr>
        <w:t xml:space="preserve">Article 19. </w:t>
      </w:r>
      <w:r w:rsidR="00560C6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noProof/>
          <w:color w:val="auto"/>
          <w:sz w:val="22"/>
          <w:szCs w:val="22"/>
          <w:lang w:eastAsia="en-AU"/>
        </w:rPr>
        <w:t>Non-discrimination of foreign electronic transferable records</w:t>
      </w:r>
      <w:r w:rsidRPr="00560C6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noProof/>
          <w:color w:val="auto"/>
          <w:sz w:val="22"/>
          <w:szCs w:val="22"/>
          <w:lang w:eastAsia="en-AU"/>
        </w:rPr>
        <w:tab/>
      </w:r>
    </w:p>
    <w:p w14:paraId="449B0433" w14:textId="77777777" w:rsidR="007D0DC1" w:rsidRPr="00560C64" w:rsidRDefault="007D0DC1" w:rsidP="007D0DC1">
      <w:pPr>
        <w:rPr>
          <w:rFonts w:asciiTheme="minorHAnsi" w:eastAsiaTheme="minorEastAsia" w:hAnsiTheme="minorHAnsi" w:cstheme="minorHAnsi"/>
          <w:b/>
          <w:noProof/>
          <w:color w:val="auto"/>
          <w:sz w:val="22"/>
          <w:szCs w:val="22"/>
          <w:lang w:eastAsia="en-AU"/>
        </w:rPr>
      </w:pPr>
      <w:r w:rsidRPr="00560C64">
        <w:rPr>
          <w:rFonts w:asciiTheme="minorHAnsi" w:eastAsiaTheme="minorEastAsia" w:hAnsiTheme="minorHAnsi" w:cstheme="minorHAnsi"/>
          <w:b/>
          <w:noProof/>
          <w:color w:val="auto"/>
          <w:sz w:val="24"/>
          <w:szCs w:val="22"/>
          <w:lang w:eastAsia="en-AU"/>
        </w:rPr>
        <w:t>Explanatory Note to the UNCITRAL Model Law on Electronic Transferable Records</w:t>
      </w:r>
      <w:r w:rsidRPr="00560C64">
        <w:rPr>
          <w:rFonts w:asciiTheme="minorHAnsi" w:eastAsiaTheme="minorEastAsia" w:hAnsiTheme="minorHAnsi" w:cstheme="minorHAnsi"/>
          <w:b/>
          <w:noProof/>
          <w:color w:val="auto"/>
          <w:sz w:val="22"/>
          <w:szCs w:val="22"/>
          <w:lang w:eastAsia="en-AU"/>
        </w:rPr>
        <w:tab/>
      </w:r>
    </w:p>
    <w:p w14:paraId="5E82A1D0" w14:textId="5486833A" w:rsidR="00626914" w:rsidRPr="00626914" w:rsidRDefault="007D0DC1" w:rsidP="00626914">
      <w:pPr>
        <w:pStyle w:val="ListParagraph"/>
        <w:numPr>
          <w:ilvl w:val="0"/>
          <w:numId w:val="44"/>
        </w:numPr>
        <w:spacing w:line="276" w:lineRule="auto"/>
        <w:rPr>
          <w:rFonts w:asciiTheme="minorHAnsi" w:eastAsiaTheme="minorEastAsia" w:hAnsiTheme="minorHAnsi" w:cstheme="minorHAnsi"/>
          <w:noProof/>
          <w:color w:val="auto"/>
          <w:sz w:val="22"/>
          <w:szCs w:val="22"/>
          <w:lang w:eastAsia="en-AU"/>
        </w:rPr>
      </w:pPr>
      <w:r w:rsidRPr="00626914">
        <w:rPr>
          <w:rFonts w:asciiTheme="minorHAnsi" w:eastAsiaTheme="minorEastAsia" w:hAnsiTheme="minorHAnsi" w:cstheme="minorHAnsi"/>
          <w:noProof/>
          <w:color w:val="auto"/>
          <w:sz w:val="22"/>
          <w:szCs w:val="22"/>
          <w:lang w:eastAsia="en-AU"/>
        </w:rPr>
        <w:t>Introduction</w:t>
      </w:r>
      <w:r w:rsidRPr="00626914">
        <w:rPr>
          <w:rFonts w:asciiTheme="minorHAnsi" w:eastAsiaTheme="minorEastAsia" w:hAnsiTheme="minorHAnsi" w:cstheme="minorHAnsi"/>
          <w:noProof/>
          <w:color w:val="auto"/>
          <w:sz w:val="22"/>
          <w:szCs w:val="22"/>
          <w:lang w:eastAsia="en-AU"/>
        </w:rPr>
        <w:tab/>
      </w:r>
    </w:p>
    <w:p w14:paraId="3019071F" w14:textId="291FBA28" w:rsidR="00626914" w:rsidRDefault="00626914" w:rsidP="00626914">
      <w:pPr>
        <w:pStyle w:val="ListParagraph"/>
        <w:numPr>
          <w:ilvl w:val="0"/>
          <w:numId w:val="45"/>
        </w:numPr>
        <w:spacing w:line="276" w:lineRule="auto"/>
        <w:rPr>
          <w:rFonts w:asciiTheme="minorHAnsi" w:eastAsiaTheme="minorEastAsia" w:hAnsiTheme="minorHAnsi" w:cstheme="minorHAnsi"/>
          <w:noProof/>
          <w:color w:val="auto"/>
          <w:sz w:val="22"/>
          <w:szCs w:val="22"/>
          <w:lang w:eastAsia="en-AU"/>
        </w:rPr>
      </w:pPr>
      <w:r>
        <w:rPr>
          <w:rFonts w:asciiTheme="minorHAnsi" w:eastAsiaTheme="minorEastAsia" w:hAnsiTheme="minorHAnsi" w:cstheme="minorHAnsi"/>
          <w:noProof/>
          <w:color w:val="auto"/>
          <w:sz w:val="22"/>
          <w:szCs w:val="22"/>
          <w:lang w:eastAsia="en-AU"/>
        </w:rPr>
        <w:t>Purpose</w:t>
      </w:r>
    </w:p>
    <w:p w14:paraId="733AC2CC" w14:textId="77777777" w:rsidR="00626914" w:rsidRDefault="00626914" w:rsidP="00626914">
      <w:pPr>
        <w:pStyle w:val="ListParagraph"/>
        <w:numPr>
          <w:ilvl w:val="0"/>
          <w:numId w:val="45"/>
        </w:numPr>
        <w:spacing w:line="276" w:lineRule="auto"/>
        <w:rPr>
          <w:rFonts w:asciiTheme="minorHAnsi" w:eastAsiaTheme="minorEastAsia" w:hAnsiTheme="minorHAnsi" w:cstheme="minorHAnsi"/>
          <w:noProof/>
          <w:color w:val="auto"/>
          <w:sz w:val="22"/>
          <w:szCs w:val="22"/>
          <w:lang w:eastAsia="en-AU"/>
        </w:rPr>
      </w:pPr>
      <w:r w:rsidRPr="00626914">
        <w:rPr>
          <w:rFonts w:asciiTheme="minorHAnsi" w:eastAsiaTheme="minorEastAsia" w:hAnsiTheme="minorHAnsi" w:cstheme="minorHAnsi"/>
          <w:noProof/>
          <w:color w:val="auto"/>
          <w:sz w:val="22"/>
          <w:szCs w:val="22"/>
          <w:lang w:eastAsia="en-AU"/>
        </w:rPr>
        <w:t>Objectives</w:t>
      </w:r>
    </w:p>
    <w:p w14:paraId="7A6D49F2" w14:textId="5134D777" w:rsidR="00626914" w:rsidRPr="00626914" w:rsidRDefault="00626914" w:rsidP="00626914">
      <w:pPr>
        <w:pStyle w:val="ListParagraph"/>
        <w:numPr>
          <w:ilvl w:val="0"/>
          <w:numId w:val="45"/>
        </w:numPr>
        <w:spacing w:line="276" w:lineRule="auto"/>
        <w:rPr>
          <w:rFonts w:asciiTheme="minorHAnsi" w:eastAsiaTheme="minorEastAsia" w:hAnsiTheme="minorHAnsi" w:cstheme="minorHAnsi"/>
          <w:noProof/>
          <w:color w:val="auto"/>
          <w:sz w:val="22"/>
          <w:szCs w:val="22"/>
          <w:lang w:eastAsia="en-AU"/>
        </w:rPr>
      </w:pPr>
      <w:r w:rsidRPr="00626914">
        <w:rPr>
          <w:rFonts w:asciiTheme="minorHAnsi" w:eastAsiaTheme="minorEastAsia" w:hAnsiTheme="minorHAnsi" w:cstheme="minorHAnsi"/>
          <w:noProof/>
          <w:color w:val="auto"/>
          <w:sz w:val="22"/>
          <w:szCs w:val="22"/>
          <w:lang w:eastAsia="en-AU"/>
        </w:rPr>
        <w:t xml:space="preserve">Scope </w:t>
      </w:r>
    </w:p>
    <w:p w14:paraId="2BD6B32C" w14:textId="77777777" w:rsidR="00626914" w:rsidRDefault="00626914" w:rsidP="00626914">
      <w:pPr>
        <w:pStyle w:val="ListParagraph"/>
        <w:numPr>
          <w:ilvl w:val="0"/>
          <w:numId w:val="45"/>
        </w:numPr>
        <w:rPr>
          <w:rFonts w:asciiTheme="minorHAnsi" w:eastAsiaTheme="minorEastAsia" w:hAnsiTheme="minorHAnsi" w:cstheme="minorHAnsi"/>
          <w:noProof/>
          <w:color w:val="auto"/>
          <w:sz w:val="22"/>
          <w:szCs w:val="22"/>
          <w:lang w:eastAsia="en-AU"/>
        </w:rPr>
      </w:pPr>
      <w:r>
        <w:rPr>
          <w:rFonts w:asciiTheme="minorHAnsi" w:eastAsiaTheme="minorEastAsia" w:hAnsiTheme="minorHAnsi" w:cstheme="minorHAnsi"/>
          <w:noProof/>
          <w:color w:val="auto"/>
          <w:sz w:val="22"/>
          <w:szCs w:val="22"/>
          <w:lang w:eastAsia="en-AU"/>
        </w:rPr>
        <w:t>Strucure</w:t>
      </w:r>
    </w:p>
    <w:p w14:paraId="09FCE5C8" w14:textId="33CF5795" w:rsidR="007D0DC1" w:rsidRPr="00626914" w:rsidRDefault="00626914" w:rsidP="00626914">
      <w:pPr>
        <w:pStyle w:val="ListParagraph"/>
        <w:numPr>
          <w:ilvl w:val="0"/>
          <w:numId w:val="45"/>
        </w:numPr>
        <w:rPr>
          <w:rFonts w:asciiTheme="minorHAnsi" w:eastAsiaTheme="minorEastAsia" w:hAnsiTheme="minorHAnsi" w:cstheme="minorHAnsi"/>
          <w:noProof/>
          <w:color w:val="auto"/>
          <w:sz w:val="22"/>
          <w:szCs w:val="22"/>
          <w:lang w:eastAsia="en-AU"/>
        </w:rPr>
      </w:pPr>
      <w:r>
        <w:rPr>
          <w:rFonts w:asciiTheme="minorHAnsi" w:eastAsiaTheme="minorEastAsia" w:hAnsiTheme="minorHAnsi" w:cstheme="minorHAnsi"/>
          <w:noProof/>
          <w:color w:val="auto"/>
          <w:sz w:val="22"/>
          <w:szCs w:val="22"/>
          <w:lang w:eastAsia="en-AU"/>
        </w:rPr>
        <w:t xml:space="preserve">Background and drafting history </w:t>
      </w:r>
      <w:r w:rsidR="007D0DC1" w:rsidRPr="00626914">
        <w:rPr>
          <w:rFonts w:asciiTheme="minorHAnsi" w:eastAsiaTheme="minorEastAsia" w:hAnsiTheme="minorHAnsi" w:cstheme="minorHAnsi"/>
          <w:noProof/>
          <w:color w:val="auto"/>
          <w:sz w:val="22"/>
          <w:szCs w:val="22"/>
          <w:lang w:eastAsia="en-AU"/>
        </w:rPr>
        <w:tab/>
      </w:r>
      <w:r w:rsidR="007D0DC1" w:rsidRPr="00626914">
        <w:rPr>
          <w:rFonts w:asciiTheme="minorHAnsi" w:eastAsiaTheme="minorEastAsia" w:hAnsiTheme="minorHAnsi" w:cstheme="minorHAnsi"/>
          <w:noProof/>
          <w:color w:val="auto"/>
          <w:sz w:val="22"/>
          <w:szCs w:val="22"/>
          <w:lang w:eastAsia="en-AU"/>
        </w:rPr>
        <w:tab/>
      </w:r>
    </w:p>
    <w:p w14:paraId="4607E78C" w14:textId="77777777" w:rsidR="007D0DC1" w:rsidRPr="00560C64" w:rsidRDefault="007D0DC1" w:rsidP="00626914">
      <w:pPr>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noProof/>
          <w:color w:val="auto"/>
          <w:sz w:val="22"/>
          <w:szCs w:val="22"/>
          <w:lang w:eastAsia="en-AU"/>
        </w:rPr>
        <w:t>II.</w:t>
      </w:r>
      <w:r w:rsidRPr="00560C64">
        <w:rPr>
          <w:rFonts w:asciiTheme="minorHAnsi" w:eastAsiaTheme="minorEastAsia" w:hAnsiTheme="minorHAnsi" w:cstheme="minorHAnsi"/>
          <w:noProof/>
          <w:color w:val="auto"/>
          <w:sz w:val="22"/>
          <w:szCs w:val="22"/>
          <w:lang w:eastAsia="en-AU"/>
        </w:rPr>
        <w:tab/>
        <w:t>Article-by-article commentary</w:t>
      </w:r>
      <w:r w:rsidRPr="00560C6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noProof/>
          <w:color w:val="auto"/>
          <w:sz w:val="22"/>
          <w:szCs w:val="22"/>
          <w:lang w:eastAsia="en-AU"/>
        </w:rPr>
        <w:tab/>
      </w:r>
    </w:p>
    <w:p w14:paraId="384AC10C" w14:textId="77777777" w:rsidR="007D0DC1" w:rsidRPr="00560C64" w:rsidRDefault="007D0DC1" w:rsidP="007D0DC1">
      <w:pPr>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noProof/>
          <w:color w:val="auto"/>
          <w:sz w:val="22"/>
          <w:szCs w:val="22"/>
          <w:lang w:eastAsia="en-AU"/>
        </w:rPr>
        <w:t>Chapter I.</w:t>
      </w:r>
      <w:r w:rsidRPr="00560C64">
        <w:rPr>
          <w:rFonts w:asciiTheme="minorHAnsi" w:eastAsiaTheme="minorEastAsia" w:hAnsiTheme="minorHAnsi" w:cstheme="minorHAnsi"/>
          <w:noProof/>
          <w:color w:val="auto"/>
          <w:sz w:val="22"/>
          <w:szCs w:val="22"/>
          <w:lang w:eastAsia="en-AU"/>
        </w:rPr>
        <w:tab/>
        <w:t>General provisions</w:t>
      </w:r>
      <w:r w:rsidRPr="00560C6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noProof/>
          <w:color w:val="auto"/>
          <w:sz w:val="22"/>
          <w:szCs w:val="22"/>
          <w:lang w:eastAsia="en-AU"/>
        </w:rPr>
        <w:tab/>
      </w:r>
    </w:p>
    <w:p w14:paraId="26DCC560" w14:textId="77777777" w:rsidR="007D0DC1" w:rsidRPr="00560C64" w:rsidRDefault="007D0DC1" w:rsidP="00560C64">
      <w:pPr>
        <w:ind w:left="720" w:firstLine="720"/>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noProof/>
          <w:color w:val="auto"/>
          <w:sz w:val="22"/>
          <w:szCs w:val="22"/>
          <w:lang w:eastAsia="en-AU"/>
        </w:rPr>
        <w:t>Article 1.</w:t>
      </w:r>
      <w:r w:rsidRPr="00560C64">
        <w:rPr>
          <w:rFonts w:asciiTheme="minorHAnsi" w:eastAsiaTheme="minorEastAsia" w:hAnsiTheme="minorHAnsi" w:cstheme="minorHAnsi"/>
          <w:noProof/>
          <w:color w:val="auto"/>
          <w:sz w:val="22"/>
          <w:szCs w:val="22"/>
          <w:lang w:eastAsia="en-AU"/>
        </w:rPr>
        <w:tab/>
        <w:t>Scope of application</w:t>
      </w:r>
      <w:r w:rsidRPr="00560C6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noProof/>
          <w:color w:val="auto"/>
          <w:sz w:val="22"/>
          <w:szCs w:val="22"/>
          <w:lang w:eastAsia="en-AU"/>
        </w:rPr>
        <w:tab/>
      </w:r>
    </w:p>
    <w:p w14:paraId="7E8CA972" w14:textId="77777777" w:rsidR="007D0DC1" w:rsidRPr="00560C64" w:rsidRDefault="007D0DC1" w:rsidP="00560C64">
      <w:pPr>
        <w:ind w:left="720" w:firstLine="720"/>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noProof/>
          <w:color w:val="auto"/>
          <w:sz w:val="22"/>
          <w:szCs w:val="22"/>
          <w:lang w:eastAsia="en-AU"/>
        </w:rPr>
        <w:t>Article 2.</w:t>
      </w:r>
      <w:r w:rsidRPr="00560C64">
        <w:rPr>
          <w:rFonts w:asciiTheme="minorHAnsi" w:eastAsiaTheme="minorEastAsia" w:hAnsiTheme="minorHAnsi" w:cstheme="minorHAnsi"/>
          <w:noProof/>
          <w:color w:val="auto"/>
          <w:sz w:val="22"/>
          <w:szCs w:val="22"/>
          <w:lang w:eastAsia="en-AU"/>
        </w:rPr>
        <w:tab/>
        <w:t>Definitions</w:t>
      </w:r>
      <w:r w:rsidRPr="00560C6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noProof/>
          <w:color w:val="auto"/>
          <w:sz w:val="22"/>
          <w:szCs w:val="22"/>
          <w:lang w:eastAsia="en-AU"/>
        </w:rPr>
        <w:tab/>
      </w:r>
    </w:p>
    <w:p w14:paraId="754D75BE" w14:textId="77777777" w:rsidR="007D0DC1" w:rsidRPr="00560C64" w:rsidRDefault="007D0DC1" w:rsidP="00560C64">
      <w:pPr>
        <w:ind w:left="720" w:firstLine="720"/>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noProof/>
          <w:color w:val="auto"/>
          <w:sz w:val="22"/>
          <w:szCs w:val="22"/>
          <w:lang w:eastAsia="en-AU"/>
        </w:rPr>
        <w:t>Article 3.</w:t>
      </w:r>
      <w:r w:rsidRPr="00560C64">
        <w:rPr>
          <w:rFonts w:asciiTheme="minorHAnsi" w:eastAsiaTheme="minorEastAsia" w:hAnsiTheme="minorHAnsi" w:cstheme="minorHAnsi"/>
          <w:noProof/>
          <w:color w:val="auto"/>
          <w:sz w:val="22"/>
          <w:szCs w:val="22"/>
          <w:lang w:eastAsia="en-AU"/>
        </w:rPr>
        <w:tab/>
        <w:t>Interpretation</w:t>
      </w:r>
      <w:r w:rsidRPr="00560C6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noProof/>
          <w:color w:val="auto"/>
          <w:sz w:val="22"/>
          <w:szCs w:val="22"/>
          <w:lang w:eastAsia="en-AU"/>
        </w:rPr>
        <w:tab/>
      </w:r>
    </w:p>
    <w:p w14:paraId="37AAF9A1" w14:textId="77777777" w:rsidR="007D0DC1" w:rsidRPr="00560C64" w:rsidRDefault="007D0DC1" w:rsidP="00560C64">
      <w:pPr>
        <w:ind w:left="720" w:firstLine="720"/>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noProof/>
          <w:color w:val="auto"/>
          <w:sz w:val="22"/>
          <w:szCs w:val="22"/>
          <w:lang w:eastAsia="en-AU"/>
        </w:rPr>
        <w:t>Article 4.</w:t>
      </w:r>
      <w:r w:rsidRPr="00560C64">
        <w:rPr>
          <w:rFonts w:asciiTheme="minorHAnsi" w:eastAsiaTheme="minorEastAsia" w:hAnsiTheme="minorHAnsi" w:cstheme="minorHAnsi"/>
          <w:noProof/>
          <w:color w:val="auto"/>
          <w:sz w:val="22"/>
          <w:szCs w:val="22"/>
          <w:lang w:eastAsia="en-AU"/>
        </w:rPr>
        <w:tab/>
        <w:t>Party autonomy and privity of contract</w:t>
      </w:r>
      <w:r w:rsidRPr="00560C6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noProof/>
          <w:color w:val="auto"/>
          <w:sz w:val="22"/>
          <w:szCs w:val="22"/>
          <w:lang w:eastAsia="en-AU"/>
        </w:rPr>
        <w:tab/>
      </w:r>
    </w:p>
    <w:p w14:paraId="353755DA" w14:textId="77777777" w:rsidR="007D0DC1" w:rsidRPr="00560C64" w:rsidRDefault="007D0DC1" w:rsidP="00560C64">
      <w:pPr>
        <w:ind w:left="720" w:firstLine="720"/>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noProof/>
          <w:color w:val="auto"/>
          <w:sz w:val="22"/>
          <w:szCs w:val="22"/>
          <w:lang w:eastAsia="en-AU"/>
        </w:rPr>
        <w:t>Article 5.</w:t>
      </w:r>
      <w:r w:rsidRPr="00560C64">
        <w:rPr>
          <w:rFonts w:asciiTheme="minorHAnsi" w:eastAsiaTheme="minorEastAsia" w:hAnsiTheme="minorHAnsi" w:cstheme="minorHAnsi"/>
          <w:noProof/>
          <w:color w:val="auto"/>
          <w:sz w:val="22"/>
          <w:szCs w:val="22"/>
          <w:lang w:eastAsia="en-AU"/>
        </w:rPr>
        <w:tab/>
        <w:t>Information requirements</w:t>
      </w:r>
      <w:r w:rsidRPr="00560C6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noProof/>
          <w:color w:val="auto"/>
          <w:sz w:val="22"/>
          <w:szCs w:val="22"/>
          <w:lang w:eastAsia="en-AU"/>
        </w:rPr>
        <w:tab/>
      </w:r>
    </w:p>
    <w:p w14:paraId="26E56729" w14:textId="77777777" w:rsidR="007D0DC1" w:rsidRPr="00560C64" w:rsidRDefault="007D0DC1" w:rsidP="00560C64">
      <w:pPr>
        <w:ind w:left="720" w:firstLine="720"/>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noProof/>
          <w:color w:val="auto"/>
          <w:sz w:val="22"/>
          <w:szCs w:val="22"/>
          <w:lang w:eastAsia="en-AU"/>
        </w:rPr>
        <w:t>Article 6.</w:t>
      </w:r>
      <w:r w:rsidRPr="00560C64">
        <w:rPr>
          <w:rFonts w:asciiTheme="minorHAnsi" w:eastAsiaTheme="minorEastAsia" w:hAnsiTheme="minorHAnsi" w:cstheme="minorHAnsi"/>
          <w:noProof/>
          <w:color w:val="auto"/>
          <w:sz w:val="22"/>
          <w:szCs w:val="22"/>
          <w:lang w:eastAsia="en-AU"/>
        </w:rPr>
        <w:tab/>
        <w:t>Additional information in electronic transferable records</w:t>
      </w:r>
      <w:r w:rsidRPr="00560C64">
        <w:rPr>
          <w:rFonts w:asciiTheme="minorHAnsi" w:eastAsiaTheme="minorEastAsia" w:hAnsiTheme="minorHAnsi" w:cstheme="minorHAnsi"/>
          <w:noProof/>
          <w:color w:val="auto"/>
          <w:sz w:val="22"/>
          <w:szCs w:val="22"/>
          <w:lang w:eastAsia="en-AU"/>
        </w:rPr>
        <w:tab/>
      </w:r>
    </w:p>
    <w:p w14:paraId="49B35700" w14:textId="77777777" w:rsidR="007D0DC1" w:rsidRPr="00560C64" w:rsidRDefault="007D0DC1" w:rsidP="00560C64">
      <w:pPr>
        <w:ind w:left="720" w:firstLine="720"/>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noProof/>
          <w:color w:val="auto"/>
          <w:sz w:val="22"/>
          <w:szCs w:val="22"/>
          <w:lang w:eastAsia="en-AU"/>
        </w:rPr>
        <w:t>Article 7.</w:t>
      </w:r>
      <w:r w:rsidRPr="00560C64">
        <w:rPr>
          <w:rFonts w:asciiTheme="minorHAnsi" w:eastAsiaTheme="minorEastAsia" w:hAnsiTheme="minorHAnsi" w:cstheme="minorHAnsi"/>
          <w:noProof/>
          <w:color w:val="auto"/>
          <w:sz w:val="22"/>
          <w:szCs w:val="22"/>
          <w:lang w:eastAsia="en-AU"/>
        </w:rPr>
        <w:tab/>
        <w:t>Legal recognition of an electronic transferable record</w:t>
      </w:r>
      <w:r w:rsidRPr="00560C6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noProof/>
          <w:color w:val="auto"/>
          <w:sz w:val="22"/>
          <w:szCs w:val="22"/>
          <w:lang w:eastAsia="en-AU"/>
        </w:rPr>
        <w:tab/>
      </w:r>
    </w:p>
    <w:p w14:paraId="001D834E" w14:textId="77777777" w:rsidR="007D0DC1" w:rsidRPr="00560C64" w:rsidRDefault="007D0DC1" w:rsidP="007D0DC1">
      <w:pPr>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noProof/>
          <w:color w:val="auto"/>
          <w:sz w:val="22"/>
          <w:szCs w:val="22"/>
          <w:lang w:eastAsia="en-AU"/>
        </w:rPr>
        <w:t>Chapter II.</w:t>
      </w:r>
      <w:r w:rsidRPr="00560C64">
        <w:rPr>
          <w:rFonts w:asciiTheme="minorHAnsi" w:eastAsiaTheme="minorEastAsia" w:hAnsiTheme="minorHAnsi" w:cstheme="minorHAnsi"/>
          <w:noProof/>
          <w:color w:val="auto"/>
          <w:sz w:val="22"/>
          <w:szCs w:val="22"/>
          <w:lang w:eastAsia="en-AU"/>
        </w:rPr>
        <w:tab/>
        <w:t>Provisions on functional equivalence</w:t>
      </w:r>
      <w:r w:rsidRPr="00560C6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noProof/>
          <w:color w:val="auto"/>
          <w:sz w:val="22"/>
          <w:szCs w:val="22"/>
          <w:lang w:eastAsia="en-AU"/>
        </w:rPr>
        <w:tab/>
      </w:r>
    </w:p>
    <w:p w14:paraId="0742F4D2" w14:textId="77777777" w:rsidR="007D0DC1" w:rsidRPr="00560C64" w:rsidRDefault="007D0DC1" w:rsidP="00560C64">
      <w:pPr>
        <w:ind w:left="720" w:firstLine="720"/>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noProof/>
          <w:color w:val="auto"/>
          <w:sz w:val="22"/>
          <w:szCs w:val="22"/>
          <w:lang w:eastAsia="en-AU"/>
        </w:rPr>
        <w:t>Article 8.</w:t>
      </w:r>
      <w:r w:rsidRPr="00560C64">
        <w:rPr>
          <w:rFonts w:asciiTheme="minorHAnsi" w:eastAsiaTheme="minorEastAsia" w:hAnsiTheme="minorHAnsi" w:cstheme="minorHAnsi"/>
          <w:noProof/>
          <w:color w:val="auto"/>
          <w:sz w:val="22"/>
          <w:szCs w:val="22"/>
          <w:lang w:eastAsia="en-AU"/>
        </w:rPr>
        <w:tab/>
        <w:t>Writing</w:t>
      </w:r>
      <w:r w:rsidRPr="00560C6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noProof/>
          <w:color w:val="auto"/>
          <w:sz w:val="22"/>
          <w:szCs w:val="22"/>
          <w:lang w:eastAsia="en-AU"/>
        </w:rPr>
        <w:tab/>
      </w:r>
    </w:p>
    <w:p w14:paraId="2EB6D995" w14:textId="77777777" w:rsidR="007D0DC1" w:rsidRPr="00560C64" w:rsidRDefault="007D0DC1" w:rsidP="00560C64">
      <w:pPr>
        <w:ind w:left="720" w:firstLine="720"/>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noProof/>
          <w:color w:val="auto"/>
          <w:sz w:val="22"/>
          <w:szCs w:val="22"/>
          <w:lang w:eastAsia="en-AU"/>
        </w:rPr>
        <w:t>Article 9.</w:t>
      </w:r>
      <w:r w:rsidRPr="00560C64">
        <w:rPr>
          <w:rFonts w:asciiTheme="minorHAnsi" w:eastAsiaTheme="minorEastAsia" w:hAnsiTheme="minorHAnsi" w:cstheme="minorHAnsi"/>
          <w:noProof/>
          <w:color w:val="auto"/>
          <w:sz w:val="22"/>
          <w:szCs w:val="22"/>
          <w:lang w:eastAsia="en-AU"/>
        </w:rPr>
        <w:tab/>
        <w:t>Signature</w:t>
      </w:r>
      <w:r w:rsidRPr="00560C6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noProof/>
          <w:color w:val="auto"/>
          <w:sz w:val="22"/>
          <w:szCs w:val="22"/>
          <w:lang w:eastAsia="en-AU"/>
        </w:rPr>
        <w:tab/>
      </w:r>
    </w:p>
    <w:p w14:paraId="37C60150" w14:textId="77777777" w:rsidR="007D0DC1" w:rsidRPr="00560C64" w:rsidRDefault="007D0DC1" w:rsidP="00560C64">
      <w:pPr>
        <w:ind w:left="720" w:firstLine="720"/>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noProof/>
          <w:color w:val="auto"/>
          <w:sz w:val="22"/>
          <w:szCs w:val="22"/>
          <w:lang w:eastAsia="en-AU"/>
        </w:rPr>
        <w:t>Article 10.</w:t>
      </w:r>
      <w:r w:rsidRPr="00560C64">
        <w:rPr>
          <w:rFonts w:asciiTheme="minorHAnsi" w:eastAsiaTheme="minorEastAsia" w:hAnsiTheme="minorHAnsi" w:cstheme="minorHAnsi"/>
          <w:noProof/>
          <w:color w:val="auto"/>
          <w:sz w:val="22"/>
          <w:szCs w:val="22"/>
          <w:lang w:eastAsia="en-AU"/>
        </w:rPr>
        <w:tab/>
        <w:t>Transferable documents or instruments</w:t>
      </w:r>
      <w:r w:rsidRPr="00560C6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noProof/>
          <w:color w:val="auto"/>
          <w:sz w:val="22"/>
          <w:szCs w:val="22"/>
          <w:lang w:eastAsia="en-AU"/>
        </w:rPr>
        <w:tab/>
      </w:r>
    </w:p>
    <w:p w14:paraId="422D1CA3" w14:textId="77777777" w:rsidR="007D0DC1" w:rsidRPr="00560C64" w:rsidRDefault="007D0DC1" w:rsidP="00560C64">
      <w:pPr>
        <w:ind w:left="720" w:firstLine="720"/>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noProof/>
          <w:color w:val="auto"/>
          <w:sz w:val="22"/>
          <w:szCs w:val="22"/>
          <w:lang w:eastAsia="en-AU"/>
        </w:rPr>
        <w:t>Article 11.</w:t>
      </w:r>
      <w:r w:rsidRPr="00560C64">
        <w:rPr>
          <w:rFonts w:asciiTheme="minorHAnsi" w:eastAsiaTheme="minorEastAsia" w:hAnsiTheme="minorHAnsi" w:cstheme="minorHAnsi"/>
          <w:noProof/>
          <w:color w:val="auto"/>
          <w:sz w:val="22"/>
          <w:szCs w:val="22"/>
          <w:lang w:eastAsia="en-AU"/>
        </w:rPr>
        <w:tab/>
        <w:t>Control</w:t>
      </w:r>
      <w:r w:rsidRPr="00560C6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noProof/>
          <w:color w:val="auto"/>
          <w:sz w:val="22"/>
          <w:szCs w:val="22"/>
          <w:lang w:eastAsia="en-AU"/>
        </w:rPr>
        <w:tab/>
      </w:r>
    </w:p>
    <w:p w14:paraId="57B06EC8" w14:textId="77777777" w:rsidR="007D0DC1" w:rsidRPr="00560C64" w:rsidRDefault="007D0DC1" w:rsidP="007D0DC1">
      <w:pPr>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noProof/>
          <w:color w:val="auto"/>
          <w:sz w:val="22"/>
          <w:szCs w:val="22"/>
          <w:lang w:eastAsia="en-AU"/>
        </w:rPr>
        <w:t>Chapter III.</w:t>
      </w:r>
      <w:r w:rsidRPr="00560C64">
        <w:rPr>
          <w:rFonts w:asciiTheme="minorHAnsi" w:eastAsiaTheme="minorEastAsia" w:hAnsiTheme="minorHAnsi" w:cstheme="minorHAnsi"/>
          <w:noProof/>
          <w:color w:val="auto"/>
          <w:sz w:val="22"/>
          <w:szCs w:val="22"/>
          <w:lang w:eastAsia="en-AU"/>
        </w:rPr>
        <w:tab/>
        <w:t>Use of electronic transferable records</w:t>
      </w:r>
      <w:r w:rsidRPr="00560C6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noProof/>
          <w:color w:val="auto"/>
          <w:sz w:val="22"/>
          <w:szCs w:val="22"/>
          <w:lang w:eastAsia="en-AU"/>
        </w:rPr>
        <w:tab/>
      </w:r>
    </w:p>
    <w:p w14:paraId="2696D922" w14:textId="77777777" w:rsidR="007D0DC1" w:rsidRPr="00560C64" w:rsidRDefault="007D0DC1" w:rsidP="00560C64">
      <w:pPr>
        <w:ind w:left="1440"/>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noProof/>
          <w:color w:val="auto"/>
          <w:sz w:val="22"/>
          <w:szCs w:val="22"/>
          <w:lang w:eastAsia="en-AU"/>
        </w:rPr>
        <w:t>Article 12.</w:t>
      </w:r>
      <w:r w:rsidRPr="00560C64">
        <w:rPr>
          <w:rFonts w:asciiTheme="minorHAnsi" w:eastAsiaTheme="minorEastAsia" w:hAnsiTheme="minorHAnsi" w:cstheme="minorHAnsi"/>
          <w:noProof/>
          <w:color w:val="auto"/>
          <w:sz w:val="22"/>
          <w:szCs w:val="22"/>
          <w:lang w:eastAsia="en-AU"/>
        </w:rPr>
        <w:tab/>
        <w:t>General reliability standard</w:t>
      </w:r>
      <w:r w:rsidRPr="00560C6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noProof/>
          <w:color w:val="auto"/>
          <w:sz w:val="22"/>
          <w:szCs w:val="22"/>
          <w:lang w:eastAsia="en-AU"/>
        </w:rPr>
        <w:tab/>
      </w:r>
    </w:p>
    <w:p w14:paraId="0414A51A" w14:textId="77777777" w:rsidR="007D0DC1" w:rsidRPr="00560C64" w:rsidRDefault="007D0DC1" w:rsidP="00560C64">
      <w:pPr>
        <w:ind w:left="1440"/>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noProof/>
          <w:color w:val="auto"/>
          <w:sz w:val="22"/>
          <w:szCs w:val="22"/>
          <w:lang w:eastAsia="en-AU"/>
        </w:rPr>
        <w:t>Article 13.</w:t>
      </w:r>
      <w:r w:rsidRPr="00560C64">
        <w:rPr>
          <w:rFonts w:asciiTheme="minorHAnsi" w:eastAsiaTheme="minorEastAsia" w:hAnsiTheme="minorHAnsi" w:cstheme="minorHAnsi"/>
          <w:noProof/>
          <w:color w:val="auto"/>
          <w:sz w:val="22"/>
          <w:szCs w:val="22"/>
          <w:lang w:eastAsia="en-AU"/>
        </w:rPr>
        <w:tab/>
        <w:t>Indication of time and place in electronic transferable records</w:t>
      </w:r>
      <w:r w:rsidRPr="00560C64">
        <w:rPr>
          <w:rFonts w:asciiTheme="minorHAnsi" w:eastAsiaTheme="minorEastAsia" w:hAnsiTheme="minorHAnsi" w:cstheme="minorHAnsi"/>
          <w:noProof/>
          <w:color w:val="auto"/>
          <w:sz w:val="22"/>
          <w:szCs w:val="22"/>
          <w:lang w:eastAsia="en-AU"/>
        </w:rPr>
        <w:tab/>
      </w:r>
    </w:p>
    <w:p w14:paraId="270E8F51" w14:textId="77777777" w:rsidR="007D0DC1" w:rsidRPr="00560C64" w:rsidRDefault="007D0DC1" w:rsidP="00560C64">
      <w:pPr>
        <w:ind w:left="1440"/>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noProof/>
          <w:color w:val="auto"/>
          <w:sz w:val="22"/>
          <w:szCs w:val="22"/>
          <w:lang w:eastAsia="en-AU"/>
        </w:rPr>
        <w:t>Article 14.</w:t>
      </w:r>
      <w:r w:rsidRPr="00560C64">
        <w:rPr>
          <w:rFonts w:asciiTheme="minorHAnsi" w:eastAsiaTheme="minorEastAsia" w:hAnsiTheme="minorHAnsi" w:cstheme="minorHAnsi"/>
          <w:noProof/>
          <w:color w:val="auto"/>
          <w:sz w:val="22"/>
          <w:szCs w:val="22"/>
          <w:lang w:eastAsia="en-AU"/>
        </w:rPr>
        <w:tab/>
        <w:t>Place of business</w:t>
      </w:r>
      <w:r w:rsidRPr="00560C6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noProof/>
          <w:color w:val="auto"/>
          <w:sz w:val="22"/>
          <w:szCs w:val="22"/>
          <w:lang w:eastAsia="en-AU"/>
        </w:rPr>
        <w:tab/>
      </w:r>
    </w:p>
    <w:p w14:paraId="749CEB18" w14:textId="77777777" w:rsidR="007D0DC1" w:rsidRPr="00560C64" w:rsidRDefault="007D0DC1" w:rsidP="00560C64">
      <w:pPr>
        <w:ind w:left="1440"/>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noProof/>
          <w:color w:val="auto"/>
          <w:sz w:val="22"/>
          <w:szCs w:val="22"/>
          <w:lang w:eastAsia="en-AU"/>
        </w:rPr>
        <w:t>Article 15.</w:t>
      </w:r>
      <w:r w:rsidRPr="00560C64">
        <w:rPr>
          <w:rFonts w:asciiTheme="minorHAnsi" w:eastAsiaTheme="minorEastAsia" w:hAnsiTheme="minorHAnsi" w:cstheme="minorHAnsi"/>
          <w:noProof/>
          <w:color w:val="auto"/>
          <w:sz w:val="22"/>
          <w:szCs w:val="22"/>
          <w:lang w:eastAsia="en-AU"/>
        </w:rPr>
        <w:tab/>
        <w:t>Endorsement</w:t>
      </w:r>
      <w:r w:rsidRPr="00560C6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noProof/>
          <w:color w:val="auto"/>
          <w:sz w:val="22"/>
          <w:szCs w:val="22"/>
          <w:lang w:eastAsia="en-AU"/>
        </w:rPr>
        <w:tab/>
      </w:r>
    </w:p>
    <w:p w14:paraId="42F3DB4C" w14:textId="77777777" w:rsidR="007D0DC1" w:rsidRPr="00560C64" w:rsidRDefault="007D0DC1" w:rsidP="00560C64">
      <w:pPr>
        <w:ind w:left="1440"/>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noProof/>
          <w:color w:val="auto"/>
          <w:sz w:val="22"/>
          <w:szCs w:val="22"/>
          <w:lang w:eastAsia="en-AU"/>
        </w:rPr>
        <w:lastRenderedPageBreak/>
        <w:t>Article 16.</w:t>
      </w:r>
      <w:r w:rsidRPr="00560C64">
        <w:rPr>
          <w:rFonts w:asciiTheme="minorHAnsi" w:eastAsiaTheme="minorEastAsia" w:hAnsiTheme="minorHAnsi" w:cstheme="minorHAnsi"/>
          <w:noProof/>
          <w:color w:val="auto"/>
          <w:sz w:val="22"/>
          <w:szCs w:val="22"/>
          <w:lang w:eastAsia="en-AU"/>
        </w:rPr>
        <w:tab/>
        <w:t>Amendment</w:t>
      </w:r>
      <w:r w:rsidRPr="00560C6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noProof/>
          <w:color w:val="auto"/>
          <w:sz w:val="22"/>
          <w:szCs w:val="22"/>
          <w:lang w:eastAsia="en-AU"/>
        </w:rPr>
        <w:tab/>
      </w:r>
    </w:p>
    <w:p w14:paraId="2030DBE3" w14:textId="77777777" w:rsidR="007D0DC1" w:rsidRPr="00560C64" w:rsidRDefault="007D0DC1" w:rsidP="00560C64">
      <w:pPr>
        <w:ind w:left="2880" w:hanging="1440"/>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noProof/>
          <w:color w:val="auto"/>
          <w:sz w:val="22"/>
          <w:szCs w:val="22"/>
          <w:lang w:eastAsia="en-AU"/>
        </w:rPr>
        <w:t>Article 17.</w:t>
      </w:r>
      <w:r w:rsidRPr="00560C64">
        <w:rPr>
          <w:rFonts w:asciiTheme="minorHAnsi" w:eastAsiaTheme="minorEastAsia" w:hAnsiTheme="minorHAnsi" w:cstheme="minorHAnsi"/>
          <w:noProof/>
          <w:color w:val="auto"/>
          <w:sz w:val="22"/>
          <w:szCs w:val="22"/>
          <w:lang w:eastAsia="en-AU"/>
        </w:rPr>
        <w:tab/>
        <w:t>Replacement of a transferable document or instrument with an electronic transferable record</w:t>
      </w:r>
      <w:r w:rsidRPr="00560C6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noProof/>
          <w:color w:val="auto"/>
          <w:sz w:val="22"/>
          <w:szCs w:val="22"/>
          <w:lang w:eastAsia="en-AU"/>
        </w:rPr>
        <w:tab/>
      </w:r>
    </w:p>
    <w:p w14:paraId="0D704ED0" w14:textId="77777777" w:rsidR="007D0DC1" w:rsidRPr="00560C64" w:rsidRDefault="007D0DC1" w:rsidP="00560C64">
      <w:pPr>
        <w:ind w:left="2880" w:hanging="1440"/>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noProof/>
          <w:color w:val="auto"/>
          <w:sz w:val="22"/>
          <w:szCs w:val="22"/>
          <w:lang w:eastAsia="en-AU"/>
        </w:rPr>
        <w:t>Article 18.</w:t>
      </w:r>
      <w:r w:rsidRPr="00560C64">
        <w:rPr>
          <w:rFonts w:asciiTheme="minorHAnsi" w:eastAsiaTheme="minorEastAsia" w:hAnsiTheme="minorHAnsi" w:cstheme="minorHAnsi"/>
          <w:noProof/>
          <w:color w:val="auto"/>
          <w:sz w:val="22"/>
          <w:szCs w:val="22"/>
          <w:lang w:eastAsia="en-AU"/>
        </w:rPr>
        <w:tab/>
        <w:t xml:space="preserve">Replacement of an electronic transferable record with a </w:t>
      </w:r>
      <w:r w:rsidR="00560C64" w:rsidRPr="00560C64">
        <w:rPr>
          <w:rFonts w:asciiTheme="minorHAnsi" w:eastAsiaTheme="minorEastAsia" w:hAnsiTheme="minorHAnsi" w:cstheme="minorHAnsi"/>
          <w:noProof/>
          <w:color w:val="auto"/>
          <w:sz w:val="22"/>
          <w:szCs w:val="22"/>
          <w:lang w:eastAsia="en-AU"/>
        </w:rPr>
        <w:t>t</w:t>
      </w:r>
      <w:r w:rsidRPr="00560C64">
        <w:rPr>
          <w:rFonts w:asciiTheme="minorHAnsi" w:eastAsiaTheme="minorEastAsia" w:hAnsiTheme="minorHAnsi" w:cstheme="minorHAnsi"/>
          <w:noProof/>
          <w:color w:val="auto"/>
          <w:sz w:val="22"/>
          <w:szCs w:val="22"/>
          <w:lang w:eastAsia="en-AU"/>
        </w:rPr>
        <w:t>ransferable document or instrument</w:t>
      </w:r>
      <w:r w:rsidRPr="00560C6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noProof/>
          <w:color w:val="auto"/>
          <w:sz w:val="22"/>
          <w:szCs w:val="22"/>
          <w:lang w:eastAsia="en-AU"/>
        </w:rPr>
        <w:tab/>
      </w:r>
    </w:p>
    <w:p w14:paraId="288C2FA5" w14:textId="77777777" w:rsidR="007D0DC1" w:rsidRPr="00560C64" w:rsidRDefault="007D0DC1" w:rsidP="007D0DC1">
      <w:pPr>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noProof/>
          <w:color w:val="auto"/>
          <w:sz w:val="22"/>
          <w:szCs w:val="22"/>
          <w:lang w:eastAsia="en-AU"/>
        </w:rPr>
        <w:t>Chapter IV.</w:t>
      </w:r>
      <w:r w:rsidRPr="00560C64">
        <w:rPr>
          <w:rFonts w:asciiTheme="minorHAnsi" w:eastAsiaTheme="minorEastAsia" w:hAnsiTheme="minorHAnsi" w:cstheme="minorHAnsi"/>
          <w:noProof/>
          <w:color w:val="auto"/>
          <w:sz w:val="22"/>
          <w:szCs w:val="22"/>
          <w:lang w:eastAsia="en-AU"/>
        </w:rPr>
        <w:tab/>
        <w:t>Cross-border recognition of electronic transferable records</w:t>
      </w:r>
      <w:r w:rsidRPr="00560C6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noProof/>
          <w:color w:val="auto"/>
          <w:sz w:val="22"/>
          <w:szCs w:val="22"/>
          <w:lang w:eastAsia="en-AU"/>
        </w:rPr>
        <w:tab/>
      </w:r>
    </w:p>
    <w:p w14:paraId="7955B65F" w14:textId="77777777" w:rsidR="00626914" w:rsidRDefault="007D0DC1" w:rsidP="00626914">
      <w:pPr>
        <w:ind w:left="720" w:firstLine="720"/>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noProof/>
          <w:color w:val="auto"/>
          <w:sz w:val="22"/>
          <w:szCs w:val="22"/>
          <w:lang w:eastAsia="en-AU"/>
        </w:rPr>
        <w:t>Article 19.</w:t>
      </w:r>
      <w:r w:rsidRPr="00560C64">
        <w:rPr>
          <w:rFonts w:asciiTheme="minorHAnsi" w:eastAsiaTheme="minorEastAsia" w:hAnsiTheme="minorHAnsi" w:cstheme="minorHAnsi"/>
          <w:noProof/>
          <w:color w:val="auto"/>
          <w:sz w:val="22"/>
          <w:szCs w:val="22"/>
          <w:lang w:eastAsia="en-AU"/>
        </w:rPr>
        <w:tab/>
        <w:t>Non-discrimination of foreign electronic transferable record</w:t>
      </w:r>
      <w:r w:rsidR="00626914">
        <w:rPr>
          <w:rFonts w:asciiTheme="minorHAnsi" w:eastAsiaTheme="minorEastAsia" w:hAnsiTheme="minorHAnsi" w:cstheme="minorHAnsi"/>
          <w:noProof/>
          <w:color w:val="auto"/>
          <w:sz w:val="22"/>
          <w:szCs w:val="22"/>
          <w:lang w:eastAsia="en-AU"/>
        </w:rPr>
        <w:t>s</w:t>
      </w:r>
    </w:p>
    <w:p w14:paraId="5443A154" w14:textId="5867B8CA" w:rsidR="00626914" w:rsidRPr="00931DE4" w:rsidRDefault="00626914" w:rsidP="00931DE4">
      <w:pPr>
        <w:rPr>
          <w:rFonts w:asciiTheme="minorHAnsi" w:eastAsiaTheme="minorEastAsia" w:hAnsiTheme="minorHAnsi" w:cstheme="minorHAnsi"/>
          <w:noProof/>
          <w:color w:val="auto"/>
          <w:sz w:val="22"/>
          <w:szCs w:val="22"/>
          <w:lang w:eastAsia="en-AU"/>
        </w:rPr>
      </w:pPr>
      <w:r w:rsidRPr="00931DE4">
        <w:rPr>
          <w:rFonts w:asciiTheme="minorHAnsi" w:eastAsiaTheme="minorEastAsia" w:hAnsiTheme="minorHAnsi" w:cstheme="minorHAnsi"/>
          <w:noProof/>
          <w:color w:val="auto"/>
          <w:sz w:val="22"/>
          <w:szCs w:val="22"/>
          <w:lang w:eastAsia="en-AU"/>
        </w:rPr>
        <w:t xml:space="preserve">     </w:t>
      </w:r>
    </w:p>
    <w:p w14:paraId="5D260F4B" w14:textId="77777777" w:rsidR="007D0DC1" w:rsidRPr="00967D34" w:rsidRDefault="007D0DC1" w:rsidP="00967D34">
      <w:pPr>
        <w:jc w:val="center"/>
        <w:rPr>
          <w:rFonts w:asciiTheme="minorHAnsi" w:eastAsiaTheme="minorEastAsia" w:hAnsiTheme="minorHAnsi" w:cstheme="minorHAnsi"/>
          <w:b/>
          <w:noProof/>
          <w:color w:val="auto"/>
          <w:sz w:val="32"/>
          <w:szCs w:val="22"/>
          <w:lang w:eastAsia="en-AU"/>
        </w:rPr>
      </w:pPr>
      <w:r w:rsidRPr="00967D34">
        <w:rPr>
          <w:rFonts w:asciiTheme="minorHAnsi" w:eastAsiaTheme="minorEastAsia" w:hAnsiTheme="minorHAnsi" w:cstheme="minorHAnsi"/>
          <w:b/>
          <w:noProof/>
          <w:color w:val="auto"/>
          <w:sz w:val="32"/>
          <w:szCs w:val="22"/>
          <w:lang w:eastAsia="en-AU"/>
        </w:rPr>
        <w:t xml:space="preserve">Resolution adopted by the General </w:t>
      </w:r>
      <w:r w:rsidRPr="00967D34">
        <w:rPr>
          <w:rFonts w:asciiTheme="minorHAnsi" w:eastAsiaTheme="minorEastAsia" w:hAnsiTheme="minorHAnsi" w:cstheme="minorHAnsi"/>
          <w:b/>
          <w:noProof/>
          <w:color w:val="auto"/>
          <w:sz w:val="32"/>
          <w:szCs w:val="32"/>
          <w:lang w:eastAsia="en-AU"/>
        </w:rPr>
        <w:t>Assembly</w:t>
      </w:r>
      <w:r w:rsidR="00967D34" w:rsidRPr="00967D34">
        <w:rPr>
          <w:rFonts w:asciiTheme="minorHAnsi" w:eastAsiaTheme="minorEastAsia" w:hAnsiTheme="minorHAnsi" w:cstheme="minorHAnsi"/>
          <w:b/>
          <w:noProof/>
          <w:color w:val="auto"/>
          <w:sz w:val="32"/>
          <w:szCs w:val="32"/>
          <w:lang w:eastAsia="en-AU"/>
        </w:rPr>
        <w:t xml:space="preserve"> </w:t>
      </w:r>
      <w:r w:rsidRPr="00967D34">
        <w:rPr>
          <w:rFonts w:asciiTheme="minorHAnsi" w:eastAsiaTheme="minorEastAsia" w:hAnsiTheme="minorHAnsi" w:cstheme="minorHAnsi"/>
          <w:b/>
          <w:noProof/>
          <w:color w:val="auto"/>
          <w:sz w:val="32"/>
          <w:szCs w:val="32"/>
          <w:lang w:eastAsia="en-AU"/>
        </w:rPr>
        <w:t>on 7 December 2017</w:t>
      </w:r>
    </w:p>
    <w:p w14:paraId="18259614" w14:textId="65094752" w:rsidR="007D0DC1" w:rsidRPr="00060D23" w:rsidRDefault="007D0DC1" w:rsidP="00967D34">
      <w:pPr>
        <w:jc w:val="both"/>
        <w:rPr>
          <w:rFonts w:asciiTheme="minorHAnsi" w:eastAsiaTheme="minorEastAsia" w:hAnsiTheme="minorHAnsi" w:cstheme="minorHAnsi"/>
          <w:i/>
          <w:noProof/>
          <w:color w:val="auto"/>
          <w:sz w:val="22"/>
          <w:szCs w:val="22"/>
          <w:lang w:eastAsia="en-AU"/>
        </w:rPr>
      </w:pPr>
      <w:r w:rsidRPr="00967D34">
        <w:rPr>
          <w:rFonts w:asciiTheme="minorHAnsi" w:eastAsiaTheme="minorEastAsia" w:hAnsiTheme="minorHAnsi" w:cstheme="minorHAnsi"/>
          <w:i/>
          <w:noProof/>
          <w:color w:val="auto"/>
          <w:sz w:val="22"/>
          <w:szCs w:val="22"/>
          <w:lang w:eastAsia="en-AU"/>
        </w:rPr>
        <w:t xml:space="preserve">[on the report of the </w:t>
      </w:r>
      <w:r w:rsidRPr="00060D23">
        <w:rPr>
          <w:rFonts w:asciiTheme="minorHAnsi" w:eastAsiaTheme="minorEastAsia" w:hAnsiTheme="minorHAnsi" w:cstheme="minorHAnsi"/>
          <w:i/>
          <w:noProof/>
          <w:color w:val="auto"/>
          <w:sz w:val="22"/>
          <w:szCs w:val="22"/>
          <w:lang w:eastAsia="en-AU"/>
        </w:rPr>
        <w:t>Sixth Committee (</w:t>
      </w:r>
      <w:hyperlink r:id="rId17" w:history="1">
        <w:r w:rsidR="003D1B2E" w:rsidRPr="00656238">
          <w:rPr>
            <w:rFonts w:asciiTheme="minorHAnsi" w:hAnsiTheme="minorHAnsi" w:cstheme="minorHAnsi"/>
            <w:i/>
            <w:color w:val="0000BF" w:themeColor="hyperlink"/>
            <w:spacing w:val="3"/>
            <w:sz w:val="22"/>
            <w:szCs w:val="22"/>
          </w:rPr>
          <w:t>A/72/458</w:t>
        </w:r>
      </w:hyperlink>
      <w:r w:rsidRPr="00060D23">
        <w:rPr>
          <w:rFonts w:asciiTheme="minorHAnsi" w:eastAsiaTheme="minorEastAsia" w:hAnsiTheme="minorHAnsi" w:cstheme="minorHAnsi"/>
          <w:i/>
          <w:noProof/>
          <w:color w:val="auto"/>
          <w:sz w:val="22"/>
          <w:szCs w:val="22"/>
          <w:lang w:eastAsia="en-AU"/>
        </w:rPr>
        <w:t>)]</w:t>
      </w:r>
    </w:p>
    <w:p w14:paraId="74FB2AF8" w14:textId="77777777" w:rsidR="007D0DC1" w:rsidRPr="00967D34" w:rsidRDefault="007D0DC1" w:rsidP="00967D34">
      <w:pPr>
        <w:ind w:left="851" w:hanging="851"/>
        <w:jc w:val="both"/>
        <w:rPr>
          <w:rFonts w:asciiTheme="minorHAnsi" w:eastAsiaTheme="minorEastAsia" w:hAnsiTheme="minorHAnsi" w:cstheme="minorHAnsi"/>
          <w:b/>
          <w:noProof/>
          <w:color w:val="auto"/>
          <w:sz w:val="24"/>
          <w:szCs w:val="22"/>
          <w:lang w:eastAsia="en-AU"/>
        </w:rPr>
      </w:pPr>
      <w:r w:rsidRPr="00967D34">
        <w:rPr>
          <w:rFonts w:asciiTheme="minorHAnsi" w:eastAsiaTheme="minorEastAsia" w:hAnsiTheme="minorHAnsi" w:cstheme="minorHAnsi"/>
          <w:b/>
          <w:noProof/>
          <w:color w:val="auto"/>
          <w:sz w:val="24"/>
          <w:szCs w:val="22"/>
          <w:lang w:eastAsia="en-AU"/>
        </w:rPr>
        <w:t>72/114.</w:t>
      </w:r>
      <w:r w:rsidRPr="00967D34">
        <w:rPr>
          <w:rFonts w:asciiTheme="minorHAnsi" w:eastAsiaTheme="minorEastAsia" w:hAnsiTheme="minorHAnsi" w:cstheme="minorHAnsi"/>
          <w:b/>
          <w:noProof/>
          <w:color w:val="auto"/>
          <w:sz w:val="24"/>
          <w:szCs w:val="22"/>
          <w:lang w:eastAsia="en-AU"/>
        </w:rPr>
        <w:tab/>
        <w:t>Model Law on Electronic Transferable Records of the United Nations Commission on International Trade Law</w:t>
      </w:r>
    </w:p>
    <w:p w14:paraId="62AC64A7" w14:textId="77777777" w:rsidR="007D0DC1" w:rsidRPr="00967D34" w:rsidRDefault="007D0DC1" w:rsidP="00967D34">
      <w:pPr>
        <w:jc w:val="both"/>
        <w:rPr>
          <w:rFonts w:asciiTheme="minorHAnsi" w:eastAsiaTheme="minorEastAsia" w:hAnsiTheme="minorHAnsi" w:cstheme="minorHAnsi"/>
          <w: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ab/>
      </w:r>
      <w:r w:rsidRPr="00967D34">
        <w:rPr>
          <w:rFonts w:asciiTheme="minorHAnsi" w:eastAsiaTheme="minorEastAsia" w:hAnsiTheme="minorHAnsi" w:cstheme="minorHAnsi"/>
          <w:i/>
          <w:noProof/>
          <w:color w:val="auto"/>
          <w:sz w:val="22"/>
          <w:szCs w:val="22"/>
          <w:lang w:eastAsia="en-AU"/>
        </w:rPr>
        <w:t>The General Assembly,</w:t>
      </w:r>
    </w:p>
    <w:p w14:paraId="0A9E3E8D" w14:textId="77777777"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ab/>
      </w:r>
      <w:r w:rsidRPr="00967D34">
        <w:rPr>
          <w:rFonts w:asciiTheme="minorHAnsi" w:eastAsiaTheme="minorEastAsia" w:hAnsiTheme="minorHAnsi" w:cstheme="minorHAnsi"/>
          <w:i/>
          <w:noProof/>
          <w:color w:val="auto"/>
          <w:sz w:val="22"/>
          <w:szCs w:val="22"/>
          <w:lang w:eastAsia="en-AU"/>
        </w:rPr>
        <w:t>Recalling</w:t>
      </w:r>
      <w:r w:rsidRPr="00967D34">
        <w:rPr>
          <w:rFonts w:asciiTheme="minorHAnsi" w:eastAsiaTheme="minorEastAsia" w:hAnsiTheme="minorHAnsi" w:cstheme="minorHAnsi"/>
          <w:noProof/>
          <w:color w:val="auto"/>
          <w:sz w:val="22"/>
          <w:szCs w:val="22"/>
          <w:lang w:eastAsia="en-AU"/>
        </w:rPr>
        <w:t xml:space="preserve"> its resolution 2205 (XXI) of 17 December 1966, by which it established the United Nations Commission on International Trade Law with a mandate to further the progressive harmonization and unification of the law of international trade and in that respect to bear in mind the interests of all peoples, in particular those of developing countries, in the extensive development of international trade, </w:t>
      </w:r>
    </w:p>
    <w:p w14:paraId="73D25F91" w14:textId="02D604C7"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ab/>
      </w:r>
      <w:r w:rsidRPr="00967D34">
        <w:rPr>
          <w:rFonts w:asciiTheme="minorHAnsi" w:eastAsiaTheme="minorEastAsia" w:hAnsiTheme="minorHAnsi" w:cstheme="minorHAnsi"/>
          <w:i/>
          <w:noProof/>
          <w:color w:val="auto"/>
          <w:sz w:val="22"/>
          <w:szCs w:val="22"/>
          <w:lang w:eastAsia="en-AU"/>
        </w:rPr>
        <w:t>Recalling</w:t>
      </w:r>
      <w:r w:rsidRPr="00967D34">
        <w:rPr>
          <w:rFonts w:asciiTheme="minorHAnsi" w:eastAsiaTheme="minorEastAsia" w:hAnsiTheme="minorHAnsi" w:cstheme="minorHAnsi"/>
          <w:noProof/>
          <w:color w:val="auto"/>
          <w:sz w:val="22"/>
          <w:szCs w:val="22"/>
          <w:lang w:eastAsia="en-AU"/>
        </w:rPr>
        <w:t xml:space="preserve"> also its </w:t>
      </w:r>
      <w:r w:rsidRPr="00060D23">
        <w:rPr>
          <w:rFonts w:asciiTheme="minorHAnsi" w:eastAsiaTheme="minorEastAsia" w:hAnsiTheme="minorHAnsi" w:cstheme="minorHAnsi"/>
          <w:noProof/>
          <w:color w:val="auto"/>
          <w:sz w:val="22"/>
          <w:szCs w:val="22"/>
          <w:lang w:eastAsia="en-AU"/>
        </w:rPr>
        <w:t xml:space="preserve">resolution </w:t>
      </w:r>
      <w:hyperlink r:id="rId18" w:history="1">
        <w:r w:rsidR="003D1B2E" w:rsidRPr="00A10DE8">
          <w:rPr>
            <w:rFonts w:asciiTheme="minorHAnsi" w:hAnsiTheme="minorHAnsi" w:cstheme="minorHAnsi"/>
            <w:color w:val="0000BF" w:themeColor="hyperlink"/>
            <w:sz w:val="22"/>
            <w:szCs w:val="22"/>
          </w:rPr>
          <w:t>60/21</w:t>
        </w:r>
      </w:hyperlink>
      <w:r w:rsidR="003D1B2E" w:rsidRPr="00A10DE8">
        <w:rPr>
          <w:rFonts w:asciiTheme="minorHAnsi" w:hAnsiTheme="minorHAnsi" w:cstheme="minorHAnsi"/>
          <w:color w:val="0000BF" w:themeColor="hyperlink"/>
          <w:sz w:val="22"/>
          <w:szCs w:val="22"/>
        </w:rPr>
        <w:t xml:space="preserve"> </w:t>
      </w:r>
      <w:r w:rsidRPr="00060D23">
        <w:rPr>
          <w:rFonts w:asciiTheme="minorHAnsi" w:eastAsiaTheme="minorEastAsia" w:hAnsiTheme="minorHAnsi" w:cstheme="minorHAnsi"/>
          <w:noProof/>
          <w:color w:val="auto"/>
          <w:sz w:val="22"/>
          <w:szCs w:val="22"/>
          <w:lang w:eastAsia="en-AU"/>
        </w:rPr>
        <w:t xml:space="preserve">of 23 November 2005, by which it adopted the United Nations Convention on the Use of Electronic Communications in International Contracts and called upon all Governments to consider becoming party to the Convention, and its resolutions </w:t>
      </w:r>
      <w:hyperlink r:id="rId19" w:history="1">
        <w:r w:rsidR="003D1B2E" w:rsidRPr="00656238">
          <w:rPr>
            <w:rFonts w:asciiTheme="minorHAnsi" w:hAnsiTheme="minorHAnsi" w:cstheme="minorHAnsi"/>
            <w:color w:val="0000BF" w:themeColor="hyperlink"/>
            <w:sz w:val="22"/>
            <w:szCs w:val="22"/>
          </w:rPr>
          <w:t>56/80</w:t>
        </w:r>
      </w:hyperlink>
      <w:r w:rsidR="003D1B2E" w:rsidRPr="00656238">
        <w:rPr>
          <w:rFonts w:asciiTheme="minorHAnsi" w:hAnsiTheme="minorHAnsi" w:cstheme="minorHAnsi"/>
          <w:sz w:val="22"/>
          <w:szCs w:val="22"/>
        </w:rPr>
        <w:t xml:space="preserve"> </w:t>
      </w:r>
      <w:r w:rsidRPr="00060D23">
        <w:rPr>
          <w:rFonts w:asciiTheme="minorHAnsi" w:eastAsiaTheme="minorEastAsia" w:hAnsiTheme="minorHAnsi" w:cstheme="minorHAnsi"/>
          <w:noProof/>
          <w:color w:val="auto"/>
          <w:sz w:val="22"/>
          <w:szCs w:val="22"/>
          <w:lang w:eastAsia="en-AU"/>
        </w:rPr>
        <w:t xml:space="preserve">of 16 December 1996 and </w:t>
      </w:r>
      <w:hyperlink r:id="rId20" w:history="1">
        <w:r w:rsidR="003D1B2E" w:rsidRPr="00656238">
          <w:rPr>
            <w:rFonts w:asciiTheme="minorHAnsi" w:hAnsiTheme="minorHAnsi" w:cstheme="minorHAnsi"/>
            <w:color w:val="0000BF" w:themeColor="hyperlink"/>
            <w:sz w:val="22"/>
            <w:szCs w:val="22"/>
          </w:rPr>
          <w:t>51/162</w:t>
        </w:r>
      </w:hyperlink>
      <w:r w:rsidRPr="00060D23">
        <w:rPr>
          <w:rFonts w:asciiTheme="minorHAnsi" w:eastAsiaTheme="minorEastAsia" w:hAnsiTheme="minorHAnsi" w:cstheme="minorHAnsi"/>
          <w:noProof/>
          <w:color w:val="0000FF"/>
          <w:sz w:val="22"/>
          <w:szCs w:val="22"/>
          <w:lang w:eastAsia="en-AU"/>
        </w:rPr>
        <w:t xml:space="preserve"> </w:t>
      </w:r>
      <w:r w:rsidRPr="00060D23">
        <w:rPr>
          <w:rFonts w:asciiTheme="minorHAnsi" w:eastAsiaTheme="minorEastAsia" w:hAnsiTheme="minorHAnsi" w:cstheme="minorHAnsi"/>
          <w:noProof/>
          <w:color w:val="auto"/>
          <w:sz w:val="22"/>
          <w:szCs w:val="22"/>
          <w:lang w:eastAsia="en-AU"/>
        </w:rPr>
        <w:t>of</w:t>
      </w:r>
      <w:r w:rsidRPr="00967D34">
        <w:rPr>
          <w:rFonts w:asciiTheme="minorHAnsi" w:eastAsiaTheme="minorEastAsia" w:hAnsiTheme="minorHAnsi" w:cstheme="minorHAnsi"/>
          <w:noProof/>
          <w:color w:val="auto"/>
          <w:sz w:val="22"/>
          <w:szCs w:val="22"/>
          <w:lang w:eastAsia="en-AU"/>
        </w:rPr>
        <w:t xml:space="preserve"> 12 December 2001, in which it recommended that all States give favourable consideration to the Model Law on Electronic Commerce and the Model Law on Electronic Signatures of the Commission, respectively,</w:t>
      </w:r>
    </w:p>
    <w:p w14:paraId="68A92E4A" w14:textId="77777777"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ab/>
      </w:r>
      <w:r w:rsidRPr="00967D34">
        <w:rPr>
          <w:rFonts w:asciiTheme="minorHAnsi" w:eastAsiaTheme="minorEastAsia" w:hAnsiTheme="minorHAnsi" w:cstheme="minorHAnsi"/>
          <w:i/>
          <w:noProof/>
          <w:color w:val="auto"/>
          <w:sz w:val="22"/>
          <w:szCs w:val="22"/>
          <w:lang w:eastAsia="en-AU"/>
        </w:rPr>
        <w:t xml:space="preserve">Noting </w:t>
      </w:r>
      <w:r w:rsidRPr="00560C64">
        <w:rPr>
          <w:rFonts w:asciiTheme="minorHAnsi" w:eastAsiaTheme="minorEastAsia" w:hAnsiTheme="minorHAnsi" w:cstheme="minorHAnsi"/>
          <w:noProof/>
          <w:color w:val="auto"/>
          <w:sz w:val="22"/>
          <w:szCs w:val="22"/>
          <w:lang w:eastAsia="en-AU"/>
        </w:rPr>
        <w:t>that,</w:t>
      </w:r>
      <w:r w:rsidRPr="00967D34">
        <w:rPr>
          <w:rFonts w:asciiTheme="minorHAnsi" w:eastAsiaTheme="minorEastAsia" w:hAnsiTheme="minorHAnsi" w:cstheme="minorHAnsi"/>
          <w:noProof/>
          <w:color w:val="auto"/>
          <w:sz w:val="22"/>
          <w:szCs w:val="22"/>
          <w:lang w:eastAsia="en-AU"/>
        </w:rPr>
        <w:t xml:space="preserve"> while the Convention, the Model Law on Electronic Commerce and the Model Law on Electronic Signatures are of significant assistance to States in enabling and facilitating electronic commerce in international trade, they do not fully address issues arising from the use of electronic transferable records in international trade, </w:t>
      </w:r>
    </w:p>
    <w:p w14:paraId="3D61CD63" w14:textId="77777777"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i/>
          <w:noProof/>
          <w:color w:val="auto"/>
          <w:sz w:val="22"/>
          <w:szCs w:val="22"/>
          <w:lang w:eastAsia="en-AU"/>
        </w:rPr>
        <w:t xml:space="preserve">Considering </w:t>
      </w:r>
      <w:r w:rsidRPr="00967D34">
        <w:rPr>
          <w:rFonts w:asciiTheme="minorHAnsi" w:eastAsiaTheme="minorEastAsia" w:hAnsiTheme="minorHAnsi" w:cstheme="minorHAnsi"/>
          <w:noProof/>
          <w:color w:val="auto"/>
          <w:sz w:val="22"/>
          <w:szCs w:val="22"/>
          <w:lang w:eastAsia="en-AU"/>
        </w:rPr>
        <w:t xml:space="preserve">that uncertainties as to the legal value of electronic transferable records constitute an obstacle to international trade, </w:t>
      </w:r>
    </w:p>
    <w:p w14:paraId="6C111625" w14:textId="77777777"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i/>
          <w:noProof/>
          <w:color w:val="auto"/>
          <w:sz w:val="22"/>
          <w:szCs w:val="22"/>
          <w:lang w:eastAsia="en-AU"/>
        </w:rPr>
        <w:t xml:space="preserve">Convinced </w:t>
      </w:r>
      <w:r w:rsidRPr="00967D34">
        <w:rPr>
          <w:rFonts w:asciiTheme="minorHAnsi" w:eastAsiaTheme="minorEastAsia" w:hAnsiTheme="minorHAnsi" w:cstheme="minorHAnsi"/>
          <w:noProof/>
          <w:color w:val="auto"/>
          <w:sz w:val="22"/>
          <w:szCs w:val="22"/>
          <w:lang w:eastAsia="en-AU"/>
        </w:rPr>
        <w:t xml:space="preserve">that legal certainty and commercial predictability in electronic commerce will be enhanced by the harmonization of certain rules on the legal recognition of electronic transferable records on a technologically neutral basis and according to the functional equivalence approach, </w:t>
      </w:r>
    </w:p>
    <w:p w14:paraId="668B78B5" w14:textId="6212288E"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lastRenderedPageBreak/>
        <w:tab/>
      </w:r>
      <w:r w:rsidRPr="00560C64">
        <w:rPr>
          <w:rFonts w:asciiTheme="minorHAnsi" w:eastAsiaTheme="minorEastAsia" w:hAnsiTheme="minorHAnsi" w:cstheme="minorHAnsi"/>
          <w:i/>
          <w:noProof/>
          <w:color w:val="auto"/>
          <w:sz w:val="22"/>
          <w:szCs w:val="22"/>
          <w:lang w:eastAsia="en-AU"/>
        </w:rPr>
        <w:t>Recalling</w:t>
      </w:r>
      <w:r w:rsidRPr="00967D34">
        <w:rPr>
          <w:rFonts w:asciiTheme="minorHAnsi" w:eastAsiaTheme="minorEastAsia" w:hAnsiTheme="minorHAnsi" w:cstheme="minorHAnsi"/>
          <w:noProof/>
          <w:color w:val="auto"/>
          <w:sz w:val="22"/>
          <w:szCs w:val="22"/>
          <w:lang w:eastAsia="en-AU"/>
        </w:rPr>
        <w:t xml:space="preserve"> that, at its forty-fourth session, in 2011, the Commission mandated its Working Group IV (Electronic Commerce) to undertake work on electronic transferable records,</w:t>
      </w:r>
      <w:r w:rsidR="002A1C8D">
        <w:rPr>
          <w:rStyle w:val="FootnoteReference"/>
          <w:rFonts w:asciiTheme="minorHAnsi" w:eastAsiaTheme="minorEastAsia" w:hAnsiTheme="minorHAnsi" w:cstheme="minorHAnsi"/>
          <w:noProof/>
          <w:color w:val="auto"/>
          <w:sz w:val="22"/>
          <w:szCs w:val="22"/>
          <w:lang w:eastAsia="en-AU"/>
        </w:rPr>
        <w:footnoteReference w:id="99"/>
      </w:r>
    </w:p>
    <w:p w14:paraId="0FA2ADEB" w14:textId="58374B49"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i/>
          <w:noProof/>
          <w:color w:val="auto"/>
          <w:sz w:val="22"/>
          <w:szCs w:val="22"/>
          <w:lang w:eastAsia="en-AU"/>
        </w:rPr>
        <w:t xml:space="preserve">Noting </w:t>
      </w:r>
      <w:r w:rsidRPr="00967D34">
        <w:rPr>
          <w:rFonts w:asciiTheme="minorHAnsi" w:eastAsiaTheme="minorEastAsia" w:hAnsiTheme="minorHAnsi" w:cstheme="minorHAnsi"/>
          <w:noProof/>
          <w:color w:val="auto"/>
          <w:sz w:val="22"/>
          <w:szCs w:val="22"/>
          <w:lang w:eastAsia="en-AU"/>
        </w:rPr>
        <w:t xml:space="preserve">that the Working Group devoted 10 sessions, from 2011 to 2016, to that work, and that the Commission considered at its fiftieth session, in 2017, a draft model law on electronic transferable records prepared by the Working Group, together with comments on the draft received from Governments and international organizations invited to sessions of the Working Group, </w:t>
      </w:r>
      <w:r w:rsidR="002A1C8D">
        <w:rPr>
          <w:rStyle w:val="FootnoteReference"/>
          <w:rFonts w:asciiTheme="minorHAnsi" w:eastAsiaTheme="minorEastAsia" w:hAnsiTheme="minorHAnsi" w:cstheme="minorHAnsi"/>
          <w:noProof/>
          <w:color w:val="auto"/>
          <w:sz w:val="22"/>
          <w:szCs w:val="22"/>
          <w:lang w:eastAsia="en-AU"/>
        </w:rPr>
        <w:footnoteReference w:id="100"/>
      </w:r>
    </w:p>
    <w:p w14:paraId="6EF6D501" w14:textId="77777777"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i/>
          <w:noProof/>
          <w:color w:val="auto"/>
          <w:sz w:val="22"/>
          <w:szCs w:val="22"/>
          <w:lang w:eastAsia="en-AU"/>
        </w:rPr>
        <w:t>Believing</w:t>
      </w:r>
      <w:r w:rsidRPr="00967D34">
        <w:rPr>
          <w:rFonts w:asciiTheme="minorHAnsi" w:eastAsiaTheme="minorEastAsia" w:hAnsiTheme="minorHAnsi" w:cstheme="minorHAnsi"/>
          <w:noProof/>
          <w:color w:val="auto"/>
          <w:sz w:val="22"/>
          <w:szCs w:val="22"/>
          <w:lang w:eastAsia="en-AU"/>
        </w:rPr>
        <w:t xml:space="preserve"> that a model law on electronic transferable records will constitute a useful addition to existing Commission texts in the area of electronic commerce by significantly assisting States in enhancing their legislation on electronic commerce, in particular as it relates to the use of electronic transferable records, or in formulating such legislation where none exists, </w:t>
      </w:r>
    </w:p>
    <w:p w14:paraId="0E566FE4" w14:textId="35A03EF0"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ab/>
        <w:t>1.</w:t>
      </w:r>
      <w:r w:rsidRPr="00967D3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i/>
          <w:noProof/>
          <w:color w:val="auto"/>
          <w:sz w:val="22"/>
          <w:szCs w:val="22"/>
          <w:lang w:eastAsia="en-AU"/>
        </w:rPr>
        <w:t>Expresses its appreciation</w:t>
      </w:r>
      <w:r w:rsidRPr="00967D34">
        <w:rPr>
          <w:rFonts w:asciiTheme="minorHAnsi" w:eastAsiaTheme="minorEastAsia" w:hAnsiTheme="minorHAnsi" w:cstheme="minorHAnsi"/>
          <w:noProof/>
          <w:color w:val="auto"/>
          <w:sz w:val="22"/>
          <w:szCs w:val="22"/>
          <w:lang w:eastAsia="en-AU"/>
        </w:rPr>
        <w:t xml:space="preserve"> to the United Nations Commission on International Trade Law for completing and adopting the Model Law on Electronic Transferable Records;</w:t>
      </w:r>
      <w:r w:rsidR="002A1C8D">
        <w:rPr>
          <w:rStyle w:val="FootnoteReference"/>
          <w:rFonts w:asciiTheme="minorHAnsi" w:eastAsiaTheme="minorEastAsia" w:hAnsiTheme="minorHAnsi" w:cstheme="minorHAnsi"/>
          <w:noProof/>
          <w:color w:val="auto"/>
          <w:sz w:val="22"/>
          <w:szCs w:val="22"/>
          <w:lang w:eastAsia="en-AU"/>
        </w:rPr>
        <w:footnoteReference w:id="101"/>
      </w:r>
      <w:r w:rsidRPr="00967D34">
        <w:rPr>
          <w:rFonts w:asciiTheme="minorHAnsi" w:eastAsiaTheme="minorEastAsia" w:hAnsiTheme="minorHAnsi" w:cstheme="minorHAnsi"/>
          <w:noProof/>
          <w:color w:val="auto"/>
          <w:sz w:val="22"/>
          <w:szCs w:val="22"/>
          <w:lang w:eastAsia="en-AU"/>
        </w:rPr>
        <w:t xml:space="preserve"> </w:t>
      </w:r>
    </w:p>
    <w:p w14:paraId="250F404B" w14:textId="77777777"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ab/>
        <w:t>2.</w:t>
      </w:r>
      <w:r w:rsidRPr="00967D3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i/>
          <w:noProof/>
          <w:color w:val="auto"/>
          <w:sz w:val="22"/>
          <w:szCs w:val="22"/>
          <w:lang w:eastAsia="en-AU"/>
        </w:rPr>
        <w:t xml:space="preserve">Requests </w:t>
      </w:r>
      <w:r w:rsidRPr="00967D34">
        <w:rPr>
          <w:rFonts w:asciiTheme="minorHAnsi" w:eastAsiaTheme="minorEastAsia" w:hAnsiTheme="minorHAnsi" w:cstheme="minorHAnsi"/>
          <w:noProof/>
          <w:color w:val="auto"/>
          <w:sz w:val="22"/>
          <w:szCs w:val="22"/>
          <w:lang w:eastAsia="en-AU"/>
        </w:rPr>
        <w:t>the Secretary-General to publish the Model Law together with an explanatory note, including electronically, in the six official languages of the United Nations, and to disseminate it broadly to Governments and other interested bodies;</w:t>
      </w:r>
    </w:p>
    <w:p w14:paraId="55223524" w14:textId="77777777"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ab/>
        <w:t>3.</w:t>
      </w:r>
      <w:r w:rsidRPr="00967D3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i/>
          <w:noProof/>
          <w:color w:val="auto"/>
          <w:sz w:val="22"/>
          <w:szCs w:val="22"/>
          <w:lang w:eastAsia="en-AU"/>
        </w:rPr>
        <w:t>Recommends</w:t>
      </w:r>
      <w:r w:rsidRPr="00967D34">
        <w:rPr>
          <w:rFonts w:asciiTheme="minorHAnsi" w:eastAsiaTheme="minorEastAsia" w:hAnsiTheme="minorHAnsi" w:cstheme="minorHAnsi"/>
          <w:noProof/>
          <w:color w:val="auto"/>
          <w:sz w:val="22"/>
          <w:szCs w:val="22"/>
          <w:lang w:eastAsia="en-AU"/>
        </w:rPr>
        <w:t xml:space="preserve"> that all States give favourable consideration to the Model Law when revising or adopting legislation relevant to electronic commerce, and invites States that have used the Model Law to advise the Commission accordingly; </w:t>
      </w:r>
    </w:p>
    <w:p w14:paraId="1C5D9340" w14:textId="6DAAAAD9"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ab/>
        <w:t>4.</w:t>
      </w:r>
      <w:r w:rsidRPr="00560C64">
        <w:rPr>
          <w:rFonts w:asciiTheme="minorHAnsi" w:eastAsiaTheme="minorEastAsia" w:hAnsiTheme="minorHAnsi" w:cstheme="minorHAnsi"/>
          <w:i/>
          <w:noProof/>
          <w:color w:val="auto"/>
          <w:sz w:val="22"/>
          <w:szCs w:val="22"/>
          <w:lang w:eastAsia="en-AU"/>
        </w:rPr>
        <w:tab/>
        <w:t>Also recommends</w:t>
      </w:r>
      <w:r w:rsidRPr="00967D34">
        <w:rPr>
          <w:rFonts w:asciiTheme="minorHAnsi" w:eastAsiaTheme="minorEastAsia" w:hAnsiTheme="minorHAnsi" w:cstheme="minorHAnsi"/>
          <w:noProof/>
          <w:color w:val="auto"/>
          <w:sz w:val="22"/>
          <w:szCs w:val="22"/>
          <w:lang w:eastAsia="en-AU"/>
        </w:rPr>
        <w:t xml:space="preserve"> that States continue to consider becoming parties to the United Nations Convention on the Use of Electronic Communications in International Contracts</w:t>
      </w:r>
      <w:r w:rsidR="002A1C8D">
        <w:rPr>
          <w:rStyle w:val="FootnoteReference"/>
          <w:rFonts w:asciiTheme="minorHAnsi" w:eastAsiaTheme="minorEastAsia" w:hAnsiTheme="minorHAnsi" w:cstheme="minorHAnsi"/>
          <w:noProof/>
          <w:color w:val="auto"/>
          <w:sz w:val="22"/>
          <w:szCs w:val="22"/>
          <w:lang w:eastAsia="en-AU"/>
        </w:rPr>
        <w:footnoteReference w:id="102"/>
      </w:r>
      <w:r w:rsidRPr="00967D34">
        <w:rPr>
          <w:rFonts w:asciiTheme="minorHAnsi" w:eastAsiaTheme="minorEastAsia" w:hAnsiTheme="minorHAnsi" w:cstheme="minorHAnsi"/>
          <w:noProof/>
          <w:color w:val="auto"/>
          <w:sz w:val="22"/>
          <w:szCs w:val="22"/>
          <w:lang w:eastAsia="en-AU"/>
        </w:rPr>
        <w:t xml:space="preserve">  and to give favourable consideration to the use of the Model Law on Electronic Commerce</w:t>
      </w:r>
      <w:r w:rsidR="002A1C8D">
        <w:rPr>
          <w:rStyle w:val="FootnoteReference"/>
          <w:rFonts w:asciiTheme="minorHAnsi" w:eastAsiaTheme="minorEastAsia" w:hAnsiTheme="minorHAnsi" w:cstheme="minorHAnsi"/>
          <w:noProof/>
          <w:color w:val="auto"/>
          <w:sz w:val="22"/>
          <w:szCs w:val="22"/>
          <w:lang w:eastAsia="en-AU"/>
        </w:rPr>
        <w:footnoteReference w:id="103"/>
      </w:r>
      <w:r w:rsidRPr="00967D34">
        <w:rPr>
          <w:rFonts w:asciiTheme="minorHAnsi" w:eastAsiaTheme="minorEastAsia" w:hAnsiTheme="minorHAnsi" w:cstheme="minorHAnsi"/>
          <w:noProof/>
          <w:color w:val="auto"/>
          <w:sz w:val="22"/>
          <w:szCs w:val="22"/>
          <w:lang w:eastAsia="en-AU"/>
        </w:rPr>
        <w:t xml:space="preserve">  and the Model Law on Electronic Signatures</w:t>
      </w:r>
      <w:r w:rsidR="002A1C8D">
        <w:rPr>
          <w:rStyle w:val="FootnoteReference"/>
          <w:rFonts w:asciiTheme="minorHAnsi" w:eastAsiaTheme="minorEastAsia" w:hAnsiTheme="minorHAnsi" w:cstheme="minorHAnsi"/>
          <w:noProof/>
          <w:color w:val="auto"/>
          <w:sz w:val="22"/>
          <w:szCs w:val="22"/>
          <w:lang w:eastAsia="en-AU"/>
        </w:rPr>
        <w:footnoteReference w:id="104"/>
      </w:r>
      <w:r w:rsidRPr="00967D34">
        <w:rPr>
          <w:rFonts w:asciiTheme="minorHAnsi" w:eastAsiaTheme="minorEastAsia" w:hAnsiTheme="minorHAnsi" w:cstheme="minorHAnsi"/>
          <w:noProof/>
          <w:color w:val="auto"/>
          <w:sz w:val="22"/>
          <w:szCs w:val="22"/>
          <w:lang w:eastAsia="en-AU"/>
        </w:rPr>
        <w:t xml:space="preserve">  when revising or adopting legislation on electronic commerce;</w:t>
      </w:r>
    </w:p>
    <w:p w14:paraId="4CE6CAAD" w14:textId="77777777"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ab/>
        <w:t>5.</w:t>
      </w:r>
      <w:r w:rsidRPr="00967D3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i/>
          <w:noProof/>
          <w:color w:val="auto"/>
          <w:sz w:val="22"/>
          <w:szCs w:val="22"/>
          <w:lang w:eastAsia="en-AU"/>
        </w:rPr>
        <w:t xml:space="preserve">Appeals </w:t>
      </w:r>
      <w:r w:rsidRPr="00967D34">
        <w:rPr>
          <w:rFonts w:asciiTheme="minorHAnsi" w:eastAsiaTheme="minorEastAsia" w:hAnsiTheme="minorHAnsi" w:cstheme="minorHAnsi"/>
          <w:noProof/>
          <w:color w:val="auto"/>
          <w:sz w:val="22"/>
          <w:szCs w:val="22"/>
          <w:lang w:eastAsia="en-AU"/>
        </w:rPr>
        <w:t>to the relevant bodies of the United Nations system and other relevant international and regional organizations to coordinate their legal activities in the area of electronic commerce, including paperless trade facilitation, with those of the Commission, to avoid duplication of efforts and to promote efficiency, consistency and coherence in the modernization and harmonization of legislation on electronic commerce.</w:t>
      </w:r>
    </w:p>
    <w:p w14:paraId="4CFA332D" w14:textId="77777777" w:rsidR="007D0DC1" w:rsidRPr="00967D34" w:rsidRDefault="007D0DC1" w:rsidP="00967D34">
      <w:pPr>
        <w:jc w:val="both"/>
        <w:rPr>
          <w:rFonts w:asciiTheme="minorHAnsi" w:eastAsiaTheme="minorEastAsia" w:hAnsiTheme="minorHAnsi" w:cstheme="minorHAnsi"/>
          <w:noProof/>
          <w:color w:val="auto"/>
          <w:sz w:val="22"/>
          <w:szCs w:val="22"/>
          <w:lang w:eastAsia="en-AU"/>
        </w:rPr>
      </w:pPr>
    </w:p>
    <w:p w14:paraId="358A2781" w14:textId="77777777" w:rsidR="007D0DC1" w:rsidRPr="00560C64" w:rsidRDefault="007D0DC1" w:rsidP="00560C64">
      <w:pPr>
        <w:ind w:left="6480"/>
        <w:rPr>
          <w:rFonts w:asciiTheme="minorHAnsi" w:eastAsiaTheme="minorEastAsia" w:hAnsiTheme="minorHAnsi" w:cstheme="minorHAnsi"/>
          <w:i/>
          <w:noProof/>
          <w:color w:val="auto"/>
          <w:sz w:val="22"/>
          <w:szCs w:val="22"/>
          <w:lang w:eastAsia="en-AU"/>
        </w:rPr>
      </w:pPr>
      <w:r w:rsidRPr="00560C64">
        <w:rPr>
          <w:rFonts w:asciiTheme="minorHAnsi" w:eastAsiaTheme="minorEastAsia" w:hAnsiTheme="minorHAnsi" w:cstheme="minorHAnsi"/>
          <w:i/>
          <w:noProof/>
          <w:color w:val="auto"/>
          <w:sz w:val="22"/>
          <w:szCs w:val="22"/>
          <w:lang w:eastAsia="en-AU"/>
        </w:rPr>
        <w:t xml:space="preserve">67th plenary meeting </w:t>
      </w:r>
      <w:r w:rsidR="00560C64" w:rsidRPr="00560C64">
        <w:rPr>
          <w:rFonts w:asciiTheme="minorHAnsi" w:eastAsiaTheme="minorEastAsia" w:hAnsiTheme="minorHAnsi" w:cstheme="minorHAnsi"/>
          <w:i/>
          <w:noProof/>
          <w:color w:val="auto"/>
          <w:sz w:val="22"/>
          <w:szCs w:val="22"/>
          <w:lang w:eastAsia="en-AU"/>
        </w:rPr>
        <w:br/>
      </w:r>
      <w:r w:rsidRPr="00560C64">
        <w:rPr>
          <w:rFonts w:asciiTheme="minorHAnsi" w:eastAsiaTheme="minorEastAsia" w:hAnsiTheme="minorHAnsi" w:cstheme="minorHAnsi"/>
          <w:i/>
          <w:noProof/>
          <w:color w:val="auto"/>
          <w:sz w:val="22"/>
          <w:szCs w:val="22"/>
          <w:lang w:eastAsia="en-AU"/>
        </w:rPr>
        <w:t>7 December 2017</w:t>
      </w:r>
    </w:p>
    <w:p w14:paraId="101A57C2" w14:textId="77777777" w:rsidR="007D0DC1" w:rsidRPr="00967D34" w:rsidRDefault="007D0DC1" w:rsidP="00967D34">
      <w:pPr>
        <w:jc w:val="both"/>
        <w:rPr>
          <w:rFonts w:asciiTheme="minorHAnsi" w:eastAsiaTheme="minorEastAsia" w:hAnsiTheme="minorHAnsi" w:cstheme="minorHAnsi"/>
          <w:noProof/>
          <w:color w:val="auto"/>
          <w:sz w:val="22"/>
          <w:szCs w:val="22"/>
          <w:lang w:eastAsia="en-AU"/>
        </w:rPr>
      </w:pPr>
    </w:p>
    <w:p w14:paraId="5DA5636C" w14:textId="77777777" w:rsidR="007D0DC1" w:rsidRPr="00967D34" w:rsidRDefault="007D0DC1" w:rsidP="00967D34">
      <w:pPr>
        <w:jc w:val="both"/>
        <w:rPr>
          <w:rFonts w:asciiTheme="minorHAnsi" w:eastAsiaTheme="minorEastAsia" w:hAnsiTheme="minorHAnsi" w:cstheme="minorHAnsi"/>
          <w:noProof/>
          <w:color w:val="auto"/>
          <w:sz w:val="22"/>
          <w:szCs w:val="22"/>
          <w:lang w:eastAsia="en-AU"/>
        </w:rPr>
      </w:pPr>
    </w:p>
    <w:p w14:paraId="718D37B4" w14:textId="77777777" w:rsidR="007D0DC1" w:rsidRPr="00A272C4" w:rsidRDefault="007D0DC1" w:rsidP="00560C64">
      <w:pPr>
        <w:jc w:val="center"/>
        <w:rPr>
          <w:rFonts w:asciiTheme="minorHAnsi" w:eastAsiaTheme="minorEastAsia" w:hAnsiTheme="minorHAnsi" w:cstheme="minorHAnsi"/>
          <w:b/>
          <w:noProof/>
          <w:color w:val="auto"/>
          <w:sz w:val="32"/>
          <w:szCs w:val="22"/>
          <w:lang w:eastAsia="en-AU"/>
        </w:rPr>
      </w:pPr>
      <w:r w:rsidRPr="00A272C4">
        <w:rPr>
          <w:rFonts w:asciiTheme="minorHAnsi" w:eastAsiaTheme="minorEastAsia" w:hAnsiTheme="minorHAnsi" w:cstheme="minorHAnsi"/>
          <w:b/>
          <w:noProof/>
          <w:color w:val="auto"/>
          <w:sz w:val="32"/>
          <w:szCs w:val="22"/>
          <w:lang w:eastAsia="en-AU"/>
        </w:rPr>
        <w:lastRenderedPageBreak/>
        <w:t>Decision of the United Nations Commission on International Trade Law (UNCITRAL)</w:t>
      </w:r>
    </w:p>
    <w:p w14:paraId="519EFB7C" w14:textId="77777777"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w:t>
      </w:r>
      <w:r w:rsidRPr="00560C64">
        <w:rPr>
          <w:rFonts w:asciiTheme="minorHAnsi" w:eastAsiaTheme="minorEastAsia" w:hAnsiTheme="minorHAnsi" w:cstheme="minorHAnsi"/>
          <w:i/>
          <w:noProof/>
          <w:color w:val="auto"/>
          <w:sz w:val="22"/>
          <w:szCs w:val="22"/>
          <w:lang w:eastAsia="en-AU"/>
        </w:rPr>
        <w:t>The United Nations Commission on International Trade Law,</w:t>
      </w:r>
    </w:p>
    <w:p w14:paraId="5B22B111" w14:textId="77777777"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i/>
          <w:noProof/>
          <w:color w:val="auto"/>
          <w:sz w:val="22"/>
          <w:szCs w:val="22"/>
          <w:lang w:eastAsia="en-AU"/>
        </w:rPr>
        <w:t>“Recalling</w:t>
      </w:r>
      <w:r w:rsidRPr="00967D34">
        <w:rPr>
          <w:rFonts w:asciiTheme="minorHAnsi" w:eastAsiaTheme="minorEastAsia" w:hAnsiTheme="minorHAnsi" w:cstheme="minorHAnsi"/>
          <w:noProof/>
          <w:color w:val="auto"/>
          <w:sz w:val="22"/>
          <w:szCs w:val="22"/>
          <w:lang w:eastAsia="en-AU"/>
        </w:rPr>
        <w:t xml:space="preserve"> General Assembly resolution 2205 (XXI) of 17 December 1966, which established the United Nations Commission on International Trade Law with the purpose of furthering the progressive harmonization and unification of the law of international trade in the interests of all peoples, in particular those of developing countries,</w:t>
      </w:r>
    </w:p>
    <w:p w14:paraId="5CEFBE07" w14:textId="5EDC1DC8"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i/>
          <w:noProof/>
          <w:color w:val="auto"/>
          <w:sz w:val="22"/>
          <w:szCs w:val="22"/>
          <w:lang w:eastAsia="en-AU"/>
        </w:rPr>
        <w:t>“Mindful</w:t>
      </w:r>
      <w:r w:rsidRPr="00967D34">
        <w:rPr>
          <w:rFonts w:asciiTheme="minorHAnsi" w:eastAsiaTheme="minorEastAsia" w:hAnsiTheme="minorHAnsi" w:cstheme="minorHAnsi"/>
          <w:noProof/>
          <w:color w:val="auto"/>
          <w:sz w:val="22"/>
          <w:szCs w:val="22"/>
          <w:lang w:eastAsia="en-AU"/>
        </w:rPr>
        <w:t xml:space="preserve"> that, while the United Nations Convention on the Use of Electronic Communications in International Contracts (New York, 2005)</w:t>
      </w:r>
      <w:r w:rsidR="002A1C8D">
        <w:rPr>
          <w:rFonts w:asciiTheme="minorHAnsi" w:eastAsiaTheme="minorEastAsia" w:hAnsiTheme="minorHAnsi" w:cstheme="minorHAnsi"/>
          <w:noProof/>
          <w:color w:val="auto"/>
          <w:sz w:val="22"/>
          <w:szCs w:val="22"/>
          <w:lang w:eastAsia="en-AU"/>
        </w:rPr>
        <w:t>,</w:t>
      </w:r>
      <w:r w:rsidR="00626914">
        <w:rPr>
          <w:rStyle w:val="FootnoteReference"/>
          <w:rFonts w:asciiTheme="minorHAnsi" w:eastAsiaTheme="minorEastAsia" w:hAnsiTheme="minorHAnsi" w:cstheme="minorHAnsi"/>
          <w:noProof/>
          <w:color w:val="auto"/>
          <w:sz w:val="22"/>
          <w:szCs w:val="22"/>
          <w:lang w:eastAsia="en-AU"/>
        </w:rPr>
        <w:footnoteReference w:id="105"/>
      </w:r>
      <w:r w:rsidRPr="00967D34">
        <w:rPr>
          <w:rFonts w:asciiTheme="minorHAnsi" w:eastAsiaTheme="minorEastAsia" w:hAnsiTheme="minorHAnsi" w:cstheme="minorHAnsi"/>
          <w:noProof/>
          <w:color w:val="auto"/>
          <w:sz w:val="22"/>
          <w:szCs w:val="22"/>
          <w:lang w:eastAsia="en-AU"/>
        </w:rPr>
        <w:t xml:space="preserve">  the UNCITRAL Model Law on Electronic Signatures (2001)</w:t>
      </w:r>
      <w:r w:rsidR="00626914">
        <w:rPr>
          <w:rStyle w:val="FootnoteReference"/>
          <w:rFonts w:asciiTheme="minorHAnsi" w:eastAsiaTheme="minorEastAsia" w:hAnsiTheme="minorHAnsi" w:cstheme="minorHAnsi"/>
          <w:noProof/>
          <w:color w:val="auto"/>
          <w:sz w:val="22"/>
          <w:szCs w:val="22"/>
          <w:lang w:eastAsia="en-AU"/>
        </w:rPr>
        <w:footnoteReference w:id="106"/>
      </w:r>
      <w:r w:rsidRPr="00967D34">
        <w:rPr>
          <w:rFonts w:asciiTheme="minorHAnsi" w:eastAsiaTheme="minorEastAsia" w:hAnsiTheme="minorHAnsi" w:cstheme="minorHAnsi"/>
          <w:noProof/>
          <w:color w:val="auto"/>
          <w:sz w:val="22"/>
          <w:szCs w:val="22"/>
          <w:lang w:eastAsia="en-AU"/>
        </w:rPr>
        <w:t xml:space="preserve">  and the UNCITRAL Model Law on Electronic Commerce (1996)</w:t>
      </w:r>
      <w:r w:rsidR="00626914">
        <w:rPr>
          <w:rStyle w:val="FootnoteReference"/>
          <w:rFonts w:asciiTheme="minorHAnsi" w:eastAsiaTheme="minorEastAsia" w:hAnsiTheme="minorHAnsi" w:cstheme="minorHAnsi"/>
          <w:noProof/>
          <w:color w:val="auto"/>
          <w:sz w:val="22"/>
          <w:szCs w:val="22"/>
          <w:lang w:eastAsia="en-AU"/>
        </w:rPr>
        <w:footnoteReference w:id="107"/>
      </w:r>
      <w:r w:rsidRPr="00967D34">
        <w:rPr>
          <w:rFonts w:asciiTheme="minorHAnsi" w:eastAsiaTheme="minorEastAsia" w:hAnsiTheme="minorHAnsi" w:cstheme="minorHAnsi"/>
          <w:noProof/>
          <w:color w:val="auto"/>
          <w:sz w:val="22"/>
          <w:szCs w:val="22"/>
          <w:lang w:eastAsia="en-AU"/>
        </w:rPr>
        <w:t xml:space="preserve">  are of significant assistance to States in enabling and facilitating electronic commerce in international trade, they do not deal or not sufficiently deal with issues arising from the use of electronic transferable records in international trade,</w:t>
      </w:r>
    </w:p>
    <w:p w14:paraId="7459FF1C" w14:textId="77777777"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i/>
          <w:noProof/>
          <w:color w:val="auto"/>
          <w:sz w:val="22"/>
          <w:szCs w:val="22"/>
          <w:lang w:eastAsia="en-AU"/>
        </w:rPr>
        <w:t>“Considering</w:t>
      </w:r>
      <w:r w:rsidRPr="00967D34">
        <w:rPr>
          <w:rFonts w:asciiTheme="minorHAnsi" w:eastAsiaTheme="minorEastAsia" w:hAnsiTheme="minorHAnsi" w:cstheme="minorHAnsi"/>
          <w:noProof/>
          <w:color w:val="auto"/>
          <w:sz w:val="22"/>
          <w:szCs w:val="22"/>
          <w:lang w:eastAsia="en-AU"/>
        </w:rPr>
        <w:t xml:space="preserve"> that uncertainties as to the legal value of electronic transferable records constitute an obstacle to international trade, </w:t>
      </w:r>
    </w:p>
    <w:p w14:paraId="3B9CDCF1" w14:textId="77777777"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i/>
          <w:noProof/>
          <w:color w:val="auto"/>
          <w:sz w:val="22"/>
          <w:szCs w:val="22"/>
          <w:lang w:eastAsia="en-AU"/>
        </w:rPr>
        <w:t>“Convinced</w:t>
      </w:r>
      <w:r w:rsidRPr="00967D34">
        <w:rPr>
          <w:rFonts w:asciiTheme="minorHAnsi" w:eastAsiaTheme="minorEastAsia" w:hAnsiTheme="minorHAnsi" w:cstheme="minorHAnsi"/>
          <w:noProof/>
          <w:color w:val="auto"/>
          <w:sz w:val="22"/>
          <w:szCs w:val="22"/>
          <w:lang w:eastAsia="en-AU"/>
        </w:rPr>
        <w:t xml:space="preserve"> that legal certainty and commercial predictability in electronic commerce will be enhanced by the harmonization of certain rules on the legal recognition of electronic transferable records on a technologically neutral basis and according to the functional equivalence approach, </w:t>
      </w:r>
    </w:p>
    <w:p w14:paraId="01E7BC36" w14:textId="3D6F7DD0"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i/>
          <w:noProof/>
          <w:color w:val="auto"/>
          <w:sz w:val="22"/>
          <w:szCs w:val="22"/>
          <w:lang w:eastAsia="en-AU"/>
        </w:rPr>
        <w:t>“Recalling</w:t>
      </w:r>
      <w:r w:rsidRPr="00967D34">
        <w:rPr>
          <w:rFonts w:asciiTheme="minorHAnsi" w:eastAsiaTheme="minorEastAsia" w:hAnsiTheme="minorHAnsi" w:cstheme="minorHAnsi"/>
          <w:noProof/>
          <w:color w:val="auto"/>
          <w:sz w:val="22"/>
          <w:szCs w:val="22"/>
          <w:lang w:eastAsia="en-AU"/>
        </w:rPr>
        <w:t xml:space="preserve"> that, at its forty-fourth session in 2011, it mandated Working Group IV (Electronic Commerce) to undertake work on electronic transferable records,</w:t>
      </w:r>
      <w:r w:rsidR="002A1C8D">
        <w:rPr>
          <w:rStyle w:val="FootnoteReference"/>
          <w:rFonts w:asciiTheme="minorHAnsi" w:eastAsiaTheme="minorEastAsia" w:hAnsiTheme="minorHAnsi" w:cstheme="minorHAnsi"/>
          <w:noProof/>
          <w:color w:val="auto"/>
          <w:sz w:val="22"/>
          <w:szCs w:val="22"/>
          <w:lang w:eastAsia="en-AU"/>
        </w:rPr>
        <w:footnoteReference w:id="108"/>
      </w:r>
      <w:r w:rsidRPr="00967D34">
        <w:rPr>
          <w:rFonts w:asciiTheme="minorHAnsi" w:eastAsiaTheme="minorEastAsia" w:hAnsiTheme="minorHAnsi" w:cstheme="minorHAnsi"/>
          <w:noProof/>
          <w:color w:val="auto"/>
          <w:sz w:val="22"/>
          <w:szCs w:val="22"/>
          <w:lang w:eastAsia="en-AU"/>
        </w:rPr>
        <w:t xml:space="preserve">  </w:t>
      </w:r>
    </w:p>
    <w:p w14:paraId="322C0AF5" w14:textId="0E7D54AC" w:rsidR="00560C64" w:rsidRDefault="007D0DC1" w:rsidP="00967D34">
      <w:pPr>
        <w:jc w:val="both"/>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i/>
          <w:noProof/>
          <w:color w:val="auto"/>
          <w:sz w:val="22"/>
          <w:szCs w:val="22"/>
          <w:lang w:eastAsia="en-AU"/>
        </w:rPr>
        <w:t>“Having</w:t>
      </w:r>
      <w:r w:rsidRPr="00967D34">
        <w:rPr>
          <w:rFonts w:asciiTheme="minorHAnsi" w:eastAsiaTheme="minorEastAsia" w:hAnsiTheme="minorHAnsi" w:cstheme="minorHAnsi"/>
          <w:noProof/>
          <w:color w:val="auto"/>
          <w:sz w:val="22"/>
          <w:szCs w:val="22"/>
          <w:lang w:eastAsia="en-AU"/>
        </w:rPr>
        <w:t xml:space="preserve"> considered at its fiftieth session, in 2017, a draft model law on electronic transferable records prepared by the Working Group</w:t>
      </w:r>
      <w:r w:rsidR="00060D23">
        <w:rPr>
          <w:rFonts w:asciiTheme="minorHAnsi" w:eastAsiaTheme="minorEastAsia" w:hAnsiTheme="minorHAnsi" w:cstheme="minorHAnsi"/>
          <w:noProof/>
          <w:color w:val="auto"/>
          <w:sz w:val="22"/>
          <w:szCs w:val="22"/>
          <w:lang w:eastAsia="en-AU"/>
        </w:rPr>
        <w:t>,</w:t>
      </w:r>
      <w:r w:rsidR="000C546B">
        <w:rPr>
          <w:rStyle w:val="FootnoteReference"/>
          <w:rFonts w:asciiTheme="minorHAnsi" w:eastAsiaTheme="minorEastAsia" w:hAnsiTheme="minorHAnsi" w:cstheme="minorHAnsi"/>
          <w:noProof/>
          <w:color w:val="auto"/>
          <w:sz w:val="22"/>
          <w:szCs w:val="22"/>
          <w:lang w:eastAsia="en-AU"/>
        </w:rPr>
        <w:footnoteReference w:id="109"/>
      </w:r>
      <w:r w:rsidRPr="00967D34">
        <w:rPr>
          <w:rFonts w:asciiTheme="minorHAnsi" w:eastAsiaTheme="minorEastAsia" w:hAnsiTheme="minorHAnsi" w:cstheme="minorHAnsi"/>
          <w:noProof/>
          <w:color w:val="auto"/>
          <w:sz w:val="22"/>
          <w:szCs w:val="22"/>
          <w:lang w:eastAsia="en-AU"/>
        </w:rPr>
        <w:t xml:space="preserve">  together with comments on the draft received from Governments and international organizations invited to sessions of the Working Group</w:t>
      </w:r>
      <w:r w:rsidR="00060D23">
        <w:rPr>
          <w:rFonts w:asciiTheme="minorHAnsi" w:eastAsiaTheme="minorEastAsia" w:hAnsiTheme="minorHAnsi" w:cstheme="minorHAnsi"/>
          <w:noProof/>
          <w:color w:val="auto"/>
          <w:sz w:val="22"/>
          <w:szCs w:val="22"/>
          <w:lang w:eastAsia="en-AU"/>
        </w:rPr>
        <w:t>,</w:t>
      </w:r>
      <w:r w:rsidR="000C546B">
        <w:rPr>
          <w:rStyle w:val="FootnoteReference"/>
          <w:rFonts w:asciiTheme="minorHAnsi" w:eastAsiaTheme="minorEastAsia" w:hAnsiTheme="minorHAnsi" w:cstheme="minorHAnsi"/>
          <w:noProof/>
          <w:color w:val="auto"/>
          <w:sz w:val="22"/>
          <w:szCs w:val="22"/>
          <w:lang w:eastAsia="en-AU"/>
        </w:rPr>
        <w:footnoteReference w:id="110"/>
      </w:r>
    </w:p>
    <w:p w14:paraId="5EAD1A58" w14:textId="77777777" w:rsidR="00560C64" w:rsidRDefault="007D0DC1" w:rsidP="00967D34">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w:t>
      </w:r>
      <w:r w:rsidRPr="00560C64">
        <w:rPr>
          <w:rFonts w:asciiTheme="minorHAnsi" w:eastAsiaTheme="minorEastAsia" w:hAnsiTheme="minorHAnsi" w:cstheme="minorHAnsi"/>
          <w:i/>
          <w:noProof/>
          <w:color w:val="auto"/>
          <w:sz w:val="22"/>
          <w:szCs w:val="22"/>
          <w:lang w:eastAsia="en-AU"/>
        </w:rPr>
        <w:t>Noting</w:t>
      </w:r>
      <w:r w:rsidRPr="00967D34">
        <w:rPr>
          <w:rFonts w:asciiTheme="minorHAnsi" w:eastAsiaTheme="minorEastAsia" w:hAnsiTheme="minorHAnsi" w:cstheme="minorHAnsi"/>
          <w:noProof/>
          <w:color w:val="auto"/>
          <w:sz w:val="22"/>
          <w:szCs w:val="22"/>
          <w:lang w:eastAsia="en-AU"/>
        </w:rPr>
        <w:t xml:space="preserve"> that the draft model law prepared by the Working Group deals with the use of electronic transferable records equivalent to paper-based transferable documents or instruments and does not deal with the use of transferable records existing only in electronic form or transferable records, documents or instruments for which substantive law is medium neutral,</w:t>
      </w:r>
    </w:p>
    <w:p w14:paraId="31D87B6F" w14:textId="77777777"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w:t>
      </w:r>
      <w:r w:rsidRPr="00560C64">
        <w:rPr>
          <w:rFonts w:asciiTheme="minorHAnsi" w:eastAsiaTheme="minorEastAsia" w:hAnsiTheme="minorHAnsi" w:cstheme="minorHAnsi"/>
          <w:i/>
          <w:noProof/>
          <w:color w:val="auto"/>
          <w:sz w:val="22"/>
          <w:szCs w:val="22"/>
          <w:lang w:eastAsia="en-AU"/>
        </w:rPr>
        <w:t>Believing</w:t>
      </w:r>
      <w:r w:rsidRPr="00967D34">
        <w:rPr>
          <w:rFonts w:asciiTheme="minorHAnsi" w:eastAsiaTheme="minorEastAsia" w:hAnsiTheme="minorHAnsi" w:cstheme="minorHAnsi"/>
          <w:noProof/>
          <w:color w:val="auto"/>
          <w:sz w:val="22"/>
          <w:szCs w:val="22"/>
          <w:lang w:eastAsia="en-AU"/>
        </w:rPr>
        <w:t xml:space="preserve"> that an UNCITRAL model law on electronic transferable records will constitute a useful addition to existing UNCITRAL texts in the area of electronic commerce by significantly assisting States to enhance their legislation governing the use of electronic transferable records, or formulate such legislation where none currently exists, </w:t>
      </w:r>
    </w:p>
    <w:p w14:paraId="59042684" w14:textId="77777777"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lastRenderedPageBreak/>
        <w:t>“1.</w:t>
      </w:r>
      <w:r w:rsidRPr="00967D3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i/>
          <w:noProof/>
          <w:color w:val="auto"/>
          <w:sz w:val="22"/>
          <w:szCs w:val="22"/>
          <w:lang w:eastAsia="en-AU"/>
        </w:rPr>
        <w:t>Adopts</w:t>
      </w:r>
      <w:r w:rsidRPr="00967D34">
        <w:rPr>
          <w:rFonts w:asciiTheme="minorHAnsi" w:eastAsiaTheme="minorEastAsia" w:hAnsiTheme="minorHAnsi" w:cstheme="minorHAnsi"/>
          <w:noProof/>
          <w:color w:val="auto"/>
          <w:sz w:val="22"/>
          <w:szCs w:val="22"/>
          <w:lang w:eastAsia="en-AU"/>
        </w:rPr>
        <w:t xml:space="preserve"> the UNCITRAL Model Law on Electronic Transferable Records, annexed to the report of the fiftieth session of the Commission;</w:t>
      </w:r>
    </w:p>
    <w:p w14:paraId="0F4683F3" w14:textId="1899371A"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“2.</w:t>
      </w:r>
      <w:r w:rsidRPr="00967D3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i/>
          <w:noProof/>
          <w:color w:val="auto"/>
          <w:sz w:val="22"/>
          <w:szCs w:val="22"/>
          <w:lang w:eastAsia="en-AU"/>
        </w:rPr>
        <w:t>Requests</w:t>
      </w:r>
      <w:r w:rsidRPr="00967D34">
        <w:rPr>
          <w:rFonts w:asciiTheme="minorHAnsi" w:eastAsiaTheme="minorEastAsia" w:hAnsiTheme="minorHAnsi" w:cstheme="minorHAnsi"/>
          <w:noProof/>
          <w:color w:val="auto"/>
          <w:sz w:val="22"/>
          <w:szCs w:val="22"/>
          <w:lang w:eastAsia="en-AU"/>
        </w:rPr>
        <w:t xml:space="preserve"> the Secretariat to finalize an explanatory note that will accompany the UNCITRAL Model Law on Electronic Transferable Records by reflecting deliberations and decisions at the Commission’s fiftieth session as regards draft explanatory notes contained in </w:t>
      </w:r>
      <w:r w:rsidRPr="00656238">
        <w:rPr>
          <w:rFonts w:asciiTheme="minorHAnsi" w:eastAsiaTheme="minorEastAsia" w:hAnsiTheme="minorHAnsi" w:cstheme="minorHAnsi"/>
          <w:noProof/>
          <w:color w:val="auto"/>
          <w:sz w:val="22"/>
          <w:szCs w:val="22"/>
          <w:lang w:eastAsia="en-AU"/>
        </w:rPr>
        <w:t xml:space="preserve">documents </w:t>
      </w:r>
      <w:hyperlink r:id="rId21" w:history="1">
        <w:r w:rsidR="00060D23" w:rsidRPr="00656238">
          <w:rPr>
            <w:rFonts w:asciiTheme="minorHAnsi" w:hAnsiTheme="minorHAnsi" w:cstheme="minorHAnsi"/>
            <w:color w:val="0000BF" w:themeColor="hyperlink"/>
          </w:rPr>
          <w:t>A/CN.9/920</w:t>
        </w:r>
      </w:hyperlink>
      <w:r w:rsidR="00060D23">
        <w:rPr>
          <w:color w:val="0000BF" w:themeColor="hyperlink"/>
        </w:rPr>
        <w:t xml:space="preserve"> </w:t>
      </w:r>
      <w:r w:rsidRPr="00967D34">
        <w:rPr>
          <w:rFonts w:asciiTheme="minorHAnsi" w:eastAsiaTheme="minorEastAsia" w:hAnsiTheme="minorHAnsi" w:cstheme="minorHAnsi"/>
          <w:noProof/>
          <w:color w:val="auto"/>
          <w:sz w:val="22"/>
          <w:szCs w:val="22"/>
          <w:lang w:eastAsia="en-AU"/>
        </w:rPr>
        <w:t xml:space="preserve">and </w:t>
      </w:r>
      <w:r w:rsidRPr="00A10DE8">
        <w:rPr>
          <w:rFonts w:asciiTheme="minorHAnsi" w:eastAsiaTheme="minorEastAsia" w:hAnsiTheme="minorHAnsi" w:cstheme="minorHAnsi"/>
          <w:noProof/>
          <w:color w:val="auto"/>
          <w:sz w:val="22"/>
          <w:szCs w:val="22"/>
          <w:lang w:eastAsia="en-AU"/>
        </w:rPr>
        <w:t>A/CN.9/922;</w:t>
      </w:r>
    </w:p>
    <w:p w14:paraId="1F40CDA2" w14:textId="77777777"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“3.</w:t>
      </w:r>
      <w:r w:rsidRPr="00967D3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i/>
          <w:noProof/>
          <w:color w:val="auto"/>
          <w:sz w:val="22"/>
          <w:szCs w:val="22"/>
          <w:lang w:eastAsia="en-AU"/>
        </w:rPr>
        <w:t xml:space="preserve">Requests </w:t>
      </w:r>
      <w:r w:rsidRPr="00967D34">
        <w:rPr>
          <w:rFonts w:asciiTheme="minorHAnsi" w:eastAsiaTheme="minorEastAsia" w:hAnsiTheme="minorHAnsi" w:cstheme="minorHAnsi"/>
          <w:noProof/>
          <w:color w:val="auto"/>
          <w:sz w:val="22"/>
          <w:szCs w:val="22"/>
          <w:lang w:eastAsia="en-AU"/>
        </w:rPr>
        <w:t xml:space="preserve">the Secretary-General to publish the UNCITRAL Model Law on Electronic Transferable Records together with an explanatory note, including electronically and in the six official languages of the United Nations, and to disseminate it broadly to Governments and other interested bodies; </w:t>
      </w:r>
    </w:p>
    <w:p w14:paraId="141D76DA" w14:textId="7194329B"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“4.</w:t>
      </w:r>
      <w:r w:rsidRPr="00967D34">
        <w:rPr>
          <w:rFonts w:asciiTheme="minorHAnsi" w:eastAsiaTheme="minorEastAsia" w:hAnsiTheme="minorHAnsi" w:cstheme="minorHAnsi"/>
          <w:noProof/>
          <w:color w:val="auto"/>
          <w:sz w:val="22"/>
          <w:szCs w:val="22"/>
          <w:lang w:eastAsia="en-AU"/>
        </w:rPr>
        <w:tab/>
      </w:r>
      <w:r w:rsidRPr="00560C64">
        <w:rPr>
          <w:rFonts w:asciiTheme="minorHAnsi" w:eastAsiaTheme="minorEastAsia" w:hAnsiTheme="minorHAnsi" w:cstheme="minorHAnsi"/>
          <w:i/>
          <w:noProof/>
          <w:color w:val="auto"/>
          <w:sz w:val="22"/>
          <w:szCs w:val="22"/>
          <w:lang w:eastAsia="en-AU"/>
        </w:rPr>
        <w:t xml:space="preserve">Recommends </w:t>
      </w:r>
      <w:r w:rsidRPr="00967D34">
        <w:rPr>
          <w:rFonts w:asciiTheme="minorHAnsi" w:eastAsiaTheme="minorEastAsia" w:hAnsiTheme="minorHAnsi" w:cstheme="minorHAnsi"/>
          <w:noProof/>
          <w:color w:val="auto"/>
          <w:sz w:val="22"/>
          <w:szCs w:val="22"/>
          <w:lang w:eastAsia="en-AU"/>
        </w:rPr>
        <w:t>that all States give favourable consideration to the UNCITRAL Model Law on Electronic Transferable Records when revising or adopting legislation relevant to electronic transferable records, and invites States that have used the Model Law to advise the Commission accordingly.”</w:t>
      </w:r>
    </w:p>
    <w:p w14:paraId="4965491C" w14:textId="77777777" w:rsidR="007D0DC1" w:rsidRPr="00967D34" w:rsidRDefault="007D0DC1" w:rsidP="00967D34">
      <w:pPr>
        <w:jc w:val="both"/>
        <w:rPr>
          <w:rFonts w:asciiTheme="minorHAnsi" w:eastAsiaTheme="minorEastAsia" w:hAnsiTheme="minorHAnsi" w:cstheme="minorHAnsi"/>
          <w:noProof/>
          <w:color w:val="auto"/>
          <w:sz w:val="22"/>
          <w:szCs w:val="22"/>
          <w:lang w:eastAsia="en-AU"/>
        </w:rPr>
      </w:pPr>
    </w:p>
    <w:p w14:paraId="4DB28EB0" w14:textId="77777777" w:rsidR="007D0DC1" w:rsidRPr="00560C64" w:rsidRDefault="007D0DC1" w:rsidP="00560C64">
      <w:pPr>
        <w:ind w:left="7200"/>
        <w:jc w:val="both"/>
        <w:rPr>
          <w:rFonts w:asciiTheme="minorHAnsi" w:eastAsiaTheme="minorEastAsia" w:hAnsiTheme="minorHAnsi" w:cstheme="minorHAnsi"/>
          <w:i/>
          <w:noProof/>
          <w:color w:val="auto"/>
          <w:sz w:val="22"/>
          <w:szCs w:val="22"/>
          <w:lang w:eastAsia="en-AU"/>
        </w:rPr>
      </w:pPr>
      <w:r w:rsidRPr="00560C64">
        <w:rPr>
          <w:rFonts w:asciiTheme="minorHAnsi" w:eastAsiaTheme="minorEastAsia" w:hAnsiTheme="minorHAnsi" w:cstheme="minorHAnsi"/>
          <w:i/>
          <w:noProof/>
          <w:color w:val="auto"/>
          <w:sz w:val="22"/>
          <w:szCs w:val="22"/>
          <w:lang w:eastAsia="en-AU"/>
        </w:rPr>
        <w:t>1057th meeting</w:t>
      </w:r>
    </w:p>
    <w:p w14:paraId="5618D5C5" w14:textId="77777777" w:rsidR="007D0DC1" w:rsidRPr="00560C64" w:rsidRDefault="007D0DC1" w:rsidP="00560C64">
      <w:pPr>
        <w:ind w:left="7200"/>
        <w:jc w:val="both"/>
        <w:rPr>
          <w:rFonts w:asciiTheme="minorHAnsi" w:eastAsiaTheme="minorEastAsia" w:hAnsiTheme="minorHAnsi" w:cstheme="minorHAnsi"/>
          <w:i/>
          <w:noProof/>
          <w:color w:val="auto"/>
          <w:sz w:val="22"/>
          <w:szCs w:val="22"/>
          <w:lang w:eastAsia="en-AU"/>
        </w:rPr>
      </w:pPr>
      <w:r w:rsidRPr="00560C64">
        <w:rPr>
          <w:rFonts w:asciiTheme="minorHAnsi" w:eastAsiaTheme="minorEastAsia" w:hAnsiTheme="minorHAnsi" w:cstheme="minorHAnsi"/>
          <w:i/>
          <w:noProof/>
          <w:color w:val="auto"/>
          <w:sz w:val="22"/>
          <w:szCs w:val="22"/>
          <w:lang w:eastAsia="en-AU"/>
        </w:rPr>
        <w:t>13 July 2017</w:t>
      </w:r>
    </w:p>
    <w:p w14:paraId="11CDCC9F" w14:textId="77777777"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 xml:space="preserve"> </w:t>
      </w:r>
    </w:p>
    <w:p w14:paraId="1F2FB260" w14:textId="77777777"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 </w:t>
      </w:r>
    </w:p>
    <w:p w14:paraId="192ABEE0" w14:textId="77777777" w:rsidR="00060D23" w:rsidRDefault="00060D23" w:rsidP="00560C64">
      <w:pPr>
        <w:jc w:val="center"/>
        <w:rPr>
          <w:rFonts w:asciiTheme="minorHAnsi" w:eastAsiaTheme="minorEastAsia" w:hAnsiTheme="minorHAnsi" w:cstheme="minorHAnsi"/>
          <w:b/>
          <w:noProof/>
          <w:color w:val="auto"/>
          <w:sz w:val="32"/>
          <w:szCs w:val="22"/>
          <w:lang w:eastAsia="en-AU"/>
        </w:rPr>
        <w:sectPr w:rsidR="00060D23" w:rsidSect="00144642">
          <w:footnotePr>
            <w:numRestart w:val="eachSect"/>
          </w:footnotePr>
          <w:pgSz w:w="11906" w:h="16838" w:code="9"/>
          <w:pgMar w:top="1701" w:right="1418" w:bottom="1134" w:left="1418" w:header="709" w:footer="953" w:gutter="0"/>
          <w:cols w:space="708"/>
          <w:docGrid w:linePitch="360"/>
        </w:sectPr>
      </w:pPr>
    </w:p>
    <w:p w14:paraId="03DAD2B6" w14:textId="52D38F3B" w:rsidR="007D0DC1" w:rsidRPr="00560C64" w:rsidRDefault="007D0DC1" w:rsidP="00560C64">
      <w:pPr>
        <w:jc w:val="center"/>
        <w:rPr>
          <w:rFonts w:asciiTheme="minorHAnsi" w:eastAsiaTheme="minorEastAsia" w:hAnsiTheme="minorHAnsi" w:cstheme="minorHAnsi"/>
          <w:b/>
          <w:noProof/>
          <w:color w:val="auto"/>
          <w:sz w:val="32"/>
          <w:szCs w:val="22"/>
          <w:lang w:eastAsia="en-AU"/>
        </w:rPr>
      </w:pPr>
      <w:r w:rsidRPr="00560C64">
        <w:rPr>
          <w:rFonts w:asciiTheme="minorHAnsi" w:eastAsiaTheme="minorEastAsia" w:hAnsiTheme="minorHAnsi" w:cstheme="minorHAnsi"/>
          <w:b/>
          <w:noProof/>
          <w:color w:val="auto"/>
          <w:sz w:val="32"/>
          <w:szCs w:val="22"/>
          <w:lang w:eastAsia="en-AU"/>
        </w:rPr>
        <w:t>UNCITRAL Model Law on Electronic Transferable Records</w:t>
      </w:r>
    </w:p>
    <w:p w14:paraId="7CD24EAE" w14:textId="77777777" w:rsidR="007D0DC1" w:rsidRPr="00626914" w:rsidRDefault="007D0DC1" w:rsidP="00560C64">
      <w:pPr>
        <w:jc w:val="center"/>
        <w:rPr>
          <w:rFonts w:asciiTheme="minorHAnsi" w:eastAsiaTheme="minorEastAsia" w:hAnsiTheme="minorHAnsi" w:cstheme="minorHAnsi"/>
          <w:b/>
          <w:noProof/>
          <w:color w:val="auto"/>
          <w:sz w:val="32"/>
          <w:szCs w:val="22"/>
          <w:lang w:eastAsia="en-AU"/>
        </w:rPr>
      </w:pPr>
      <w:r w:rsidRPr="00626914">
        <w:rPr>
          <w:rFonts w:asciiTheme="minorHAnsi" w:eastAsiaTheme="minorEastAsia" w:hAnsiTheme="minorHAnsi" w:cstheme="minorHAnsi"/>
          <w:b/>
          <w:noProof/>
          <w:color w:val="auto"/>
          <w:sz w:val="32"/>
          <w:szCs w:val="22"/>
          <w:lang w:eastAsia="en-AU"/>
        </w:rPr>
        <w:t>CHAPTER I. GENERAL PROVISIONS</w:t>
      </w:r>
    </w:p>
    <w:p w14:paraId="39F00F30" w14:textId="69F3F926" w:rsidR="007D0DC1" w:rsidRPr="00A272C4" w:rsidRDefault="007D0DC1" w:rsidP="00A272C4">
      <w:pPr>
        <w:jc w:val="center"/>
        <w:rPr>
          <w:rFonts w:asciiTheme="minorHAnsi" w:eastAsiaTheme="minorEastAsia" w:hAnsiTheme="minorHAnsi" w:cstheme="minorHAnsi"/>
          <w:b/>
          <w:noProof/>
          <w:color w:val="auto"/>
          <w:sz w:val="22"/>
          <w:szCs w:val="22"/>
          <w:lang w:eastAsia="en-AU"/>
        </w:rPr>
      </w:pPr>
      <w:r w:rsidRPr="00560C64">
        <w:rPr>
          <w:rFonts w:asciiTheme="minorHAnsi" w:eastAsiaTheme="minorEastAsia" w:hAnsiTheme="minorHAnsi" w:cstheme="minorHAnsi"/>
          <w:b/>
          <w:noProof/>
          <w:color w:val="auto"/>
          <w:sz w:val="22"/>
          <w:szCs w:val="22"/>
          <w:lang w:eastAsia="en-AU"/>
        </w:rPr>
        <w:t>Article 1. Scope of application</w:t>
      </w:r>
    </w:p>
    <w:p w14:paraId="49836B52" w14:textId="77777777"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1.</w:t>
      </w:r>
      <w:r w:rsidRPr="00967D34">
        <w:rPr>
          <w:rFonts w:asciiTheme="minorHAnsi" w:eastAsiaTheme="minorEastAsia" w:hAnsiTheme="minorHAnsi" w:cstheme="minorHAnsi"/>
          <w:noProof/>
          <w:color w:val="auto"/>
          <w:sz w:val="22"/>
          <w:szCs w:val="22"/>
          <w:lang w:eastAsia="en-AU"/>
        </w:rPr>
        <w:tab/>
        <w:t xml:space="preserve">This Law applies to electronic transferable records. </w:t>
      </w:r>
    </w:p>
    <w:p w14:paraId="51B8FC2F" w14:textId="77777777"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2.</w:t>
      </w:r>
      <w:r w:rsidRPr="00967D34">
        <w:rPr>
          <w:rFonts w:asciiTheme="minorHAnsi" w:eastAsiaTheme="minorEastAsia" w:hAnsiTheme="minorHAnsi" w:cstheme="minorHAnsi"/>
          <w:noProof/>
          <w:color w:val="auto"/>
          <w:sz w:val="22"/>
          <w:szCs w:val="22"/>
          <w:lang w:eastAsia="en-AU"/>
        </w:rPr>
        <w:tab/>
        <w:t>Other than as provided for in this Law, nothing in this Law affects the application to an electronic transferable record of any rule of law governing a transferable document or instrument including any rule of law applicable to consumer protection.</w:t>
      </w:r>
    </w:p>
    <w:p w14:paraId="267FE7B0" w14:textId="142847A2"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3.</w:t>
      </w:r>
      <w:r w:rsidRPr="00967D34">
        <w:rPr>
          <w:rFonts w:asciiTheme="minorHAnsi" w:eastAsiaTheme="minorEastAsia" w:hAnsiTheme="minorHAnsi" w:cstheme="minorHAnsi"/>
          <w:noProof/>
          <w:color w:val="auto"/>
          <w:sz w:val="22"/>
          <w:szCs w:val="22"/>
          <w:lang w:eastAsia="en-AU"/>
        </w:rPr>
        <w:tab/>
        <w:t>This Law does not apply to securities, such as shares and bonds, and other investment instruments, and to […]</w:t>
      </w:r>
      <w:r w:rsidR="00060D23">
        <w:rPr>
          <w:rFonts w:asciiTheme="minorHAnsi" w:eastAsiaTheme="minorEastAsia" w:hAnsiTheme="minorHAnsi" w:cstheme="minorHAnsi"/>
          <w:noProof/>
          <w:color w:val="auto"/>
          <w:sz w:val="22"/>
          <w:szCs w:val="22"/>
          <w:lang w:eastAsia="en-AU"/>
        </w:rPr>
        <w:t>.</w:t>
      </w:r>
      <w:r w:rsidR="00626914">
        <w:rPr>
          <w:rStyle w:val="FootnoteReference"/>
          <w:rFonts w:asciiTheme="minorHAnsi" w:eastAsiaTheme="minorEastAsia" w:hAnsiTheme="minorHAnsi" w:cstheme="minorHAnsi"/>
          <w:noProof/>
          <w:color w:val="auto"/>
          <w:sz w:val="22"/>
          <w:szCs w:val="22"/>
          <w:lang w:eastAsia="en-AU"/>
        </w:rPr>
        <w:footnoteReference w:id="111"/>
      </w:r>
      <w:r w:rsidRPr="00967D34">
        <w:rPr>
          <w:rFonts w:asciiTheme="minorHAnsi" w:eastAsiaTheme="minorEastAsia" w:hAnsiTheme="minorHAnsi" w:cstheme="minorHAnsi"/>
          <w:noProof/>
          <w:color w:val="auto"/>
          <w:sz w:val="22"/>
          <w:szCs w:val="22"/>
          <w:lang w:eastAsia="en-AU"/>
        </w:rPr>
        <w:t xml:space="preserve">  </w:t>
      </w:r>
    </w:p>
    <w:p w14:paraId="13E81F4F" w14:textId="77777777" w:rsidR="007D0DC1" w:rsidRPr="00560C64" w:rsidRDefault="007D0DC1" w:rsidP="00560C64">
      <w:pPr>
        <w:jc w:val="center"/>
        <w:rPr>
          <w:rFonts w:asciiTheme="minorHAnsi" w:eastAsiaTheme="minorEastAsia" w:hAnsiTheme="minorHAnsi" w:cstheme="minorHAnsi"/>
          <w:b/>
          <w:noProof/>
          <w:color w:val="auto"/>
          <w:sz w:val="22"/>
          <w:szCs w:val="22"/>
          <w:lang w:eastAsia="en-AU"/>
        </w:rPr>
      </w:pPr>
      <w:r w:rsidRPr="00560C64">
        <w:rPr>
          <w:rFonts w:asciiTheme="minorHAnsi" w:eastAsiaTheme="minorEastAsia" w:hAnsiTheme="minorHAnsi" w:cstheme="minorHAnsi"/>
          <w:b/>
          <w:noProof/>
          <w:color w:val="auto"/>
          <w:sz w:val="22"/>
          <w:szCs w:val="22"/>
          <w:lang w:eastAsia="en-AU"/>
        </w:rPr>
        <w:t>Article 2. Definitions</w:t>
      </w:r>
    </w:p>
    <w:p w14:paraId="4B05E168" w14:textId="77777777"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 xml:space="preserve">For the purposes of this Law: </w:t>
      </w:r>
    </w:p>
    <w:p w14:paraId="3BA5261A" w14:textId="77777777"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i/>
          <w:noProof/>
          <w:color w:val="auto"/>
          <w:sz w:val="22"/>
          <w:szCs w:val="22"/>
          <w:lang w:eastAsia="en-AU"/>
        </w:rPr>
        <w:lastRenderedPageBreak/>
        <w:t>“Electronic record”</w:t>
      </w:r>
      <w:r w:rsidRPr="00967D34">
        <w:rPr>
          <w:rFonts w:asciiTheme="minorHAnsi" w:eastAsiaTheme="minorEastAsia" w:hAnsiTheme="minorHAnsi" w:cstheme="minorHAnsi"/>
          <w:noProof/>
          <w:color w:val="auto"/>
          <w:sz w:val="22"/>
          <w:szCs w:val="22"/>
          <w:lang w:eastAsia="en-AU"/>
        </w:rPr>
        <w:t xml:space="preserve"> means information generated, communicated, received or stored by electronic means, including, where appropriate, all information logically associated with or otherwise linked together so as to become part of the record, whether generated contemporaneously or not;</w:t>
      </w:r>
    </w:p>
    <w:p w14:paraId="49B38CAF" w14:textId="77777777"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i/>
          <w:noProof/>
          <w:color w:val="auto"/>
          <w:sz w:val="22"/>
          <w:szCs w:val="22"/>
          <w:lang w:eastAsia="en-AU"/>
        </w:rPr>
        <w:t>“Electronic transferable record”</w:t>
      </w:r>
      <w:r w:rsidRPr="00967D34">
        <w:rPr>
          <w:rFonts w:asciiTheme="minorHAnsi" w:eastAsiaTheme="minorEastAsia" w:hAnsiTheme="minorHAnsi" w:cstheme="minorHAnsi"/>
          <w:noProof/>
          <w:color w:val="auto"/>
          <w:sz w:val="22"/>
          <w:szCs w:val="22"/>
          <w:lang w:eastAsia="en-AU"/>
        </w:rPr>
        <w:t xml:space="preserve"> is an electronic record that complies with the requirements of article 10;</w:t>
      </w:r>
    </w:p>
    <w:p w14:paraId="27611111" w14:textId="4D3A0E50"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560C64">
        <w:rPr>
          <w:rFonts w:asciiTheme="minorHAnsi" w:eastAsiaTheme="minorEastAsia" w:hAnsiTheme="minorHAnsi" w:cstheme="minorHAnsi"/>
          <w:i/>
          <w:noProof/>
          <w:color w:val="auto"/>
          <w:sz w:val="22"/>
          <w:szCs w:val="22"/>
          <w:lang w:eastAsia="en-AU"/>
        </w:rPr>
        <w:t>“Transferable document or instrument”</w:t>
      </w:r>
      <w:r w:rsidRPr="00967D34">
        <w:rPr>
          <w:rFonts w:asciiTheme="minorHAnsi" w:eastAsiaTheme="minorEastAsia" w:hAnsiTheme="minorHAnsi" w:cstheme="minorHAnsi"/>
          <w:noProof/>
          <w:color w:val="auto"/>
          <w:sz w:val="22"/>
          <w:szCs w:val="22"/>
          <w:lang w:eastAsia="en-AU"/>
        </w:rPr>
        <w:t xml:space="preserve"> means a document or instrument issued on paper that entitles the holder to claim the performance of the obligation indicated in the document or instrument and to transfer the right to performance of the obligation indicated in the document or instrument through the transfer of that document or instrument. </w:t>
      </w:r>
    </w:p>
    <w:p w14:paraId="7A5C4B57" w14:textId="4743EF99" w:rsidR="007D0DC1" w:rsidRPr="00A272C4" w:rsidRDefault="007D0DC1" w:rsidP="00A272C4">
      <w:pPr>
        <w:jc w:val="center"/>
        <w:rPr>
          <w:rFonts w:asciiTheme="minorHAnsi" w:eastAsiaTheme="minorEastAsia" w:hAnsiTheme="minorHAnsi" w:cstheme="minorHAnsi"/>
          <w:b/>
          <w:noProof/>
          <w:color w:val="auto"/>
          <w:sz w:val="22"/>
          <w:szCs w:val="22"/>
          <w:lang w:eastAsia="en-AU"/>
        </w:rPr>
      </w:pPr>
      <w:r w:rsidRPr="00560C64">
        <w:rPr>
          <w:rFonts w:asciiTheme="minorHAnsi" w:eastAsiaTheme="minorEastAsia" w:hAnsiTheme="minorHAnsi" w:cstheme="minorHAnsi"/>
          <w:b/>
          <w:noProof/>
          <w:color w:val="auto"/>
          <w:sz w:val="22"/>
          <w:szCs w:val="22"/>
          <w:lang w:eastAsia="en-AU"/>
        </w:rPr>
        <w:t>Article 3. Interpretation</w:t>
      </w:r>
    </w:p>
    <w:p w14:paraId="41C34656" w14:textId="77777777"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1.</w:t>
      </w:r>
      <w:r w:rsidRPr="00967D34">
        <w:rPr>
          <w:rFonts w:asciiTheme="minorHAnsi" w:eastAsiaTheme="minorEastAsia" w:hAnsiTheme="minorHAnsi" w:cstheme="minorHAnsi"/>
          <w:noProof/>
          <w:color w:val="auto"/>
          <w:sz w:val="22"/>
          <w:szCs w:val="22"/>
          <w:lang w:eastAsia="en-AU"/>
        </w:rPr>
        <w:tab/>
        <w:t>This Law is derived from a model law of international origin. In the interpretation of this Law, regard is to be had to the international origin and to the need to promote uniformity in its application.</w:t>
      </w:r>
    </w:p>
    <w:p w14:paraId="7B6E2349" w14:textId="77777777"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2.</w:t>
      </w:r>
      <w:r w:rsidRPr="00967D34">
        <w:rPr>
          <w:rFonts w:asciiTheme="minorHAnsi" w:eastAsiaTheme="minorEastAsia" w:hAnsiTheme="minorHAnsi" w:cstheme="minorHAnsi"/>
          <w:noProof/>
          <w:color w:val="auto"/>
          <w:sz w:val="22"/>
          <w:szCs w:val="22"/>
          <w:lang w:eastAsia="en-AU"/>
        </w:rPr>
        <w:tab/>
        <w:t>Questions concerning matters governed by this Law which are not expressly settled in it are to be settled in conformity with the general principles on which this Law is based.</w:t>
      </w:r>
    </w:p>
    <w:p w14:paraId="5632DCE2" w14:textId="77777777" w:rsidR="007D0DC1" w:rsidRPr="00B35847" w:rsidRDefault="007D0DC1" w:rsidP="00B35847">
      <w:pPr>
        <w:jc w:val="center"/>
        <w:rPr>
          <w:rFonts w:asciiTheme="minorHAnsi" w:eastAsiaTheme="minorEastAsia" w:hAnsiTheme="minorHAnsi" w:cstheme="minorHAnsi"/>
          <w:b/>
          <w:noProof/>
          <w:color w:val="auto"/>
          <w:sz w:val="22"/>
          <w:szCs w:val="22"/>
          <w:lang w:eastAsia="en-AU"/>
        </w:rPr>
      </w:pPr>
      <w:r w:rsidRPr="00B35847">
        <w:rPr>
          <w:rFonts w:asciiTheme="minorHAnsi" w:eastAsiaTheme="minorEastAsia" w:hAnsiTheme="minorHAnsi" w:cstheme="minorHAnsi"/>
          <w:b/>
          <w:noProof/>
          <w:color w:val="auto"/>
          <w:sz w:val="22"/>
          <w:szCs w:val="22"/>
          <w:lang w:eastAsia="en-AU"/>
        </w:rPr>
        <w:t>Article 4. Party autonomy and privity of contract</w:t>
      </w:r>
    </w:p>
    <w:p w14:paraId="7850A5A9" w14:textId="3C6C36D6"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1.</w:t>
      </w:r>
      <w:r w:rsidRPr="00967D34">
        <w:rPr>
          <w:rFonts w:asciiTheme="minorHAnsi" w:eastAsiaTheme="minorEastAsia" w:hAnsiTheme="minorHAnsi" w:cstheme="minorHAnsi"/>
          <w:noProof/>
          <w:color w:val="auto"/>
          <w:sz w:val="22"/>
          <w:szCs w:val="22"/>
          <w:lang w:eastAsia="en-AU"/>
        </w:rPr>
        <w:tab/>
        <w:t>The parties may derogate from or vary by agreement the following provisions of this Law: […]</w:t>
      </w:r>
      <w:r w:rsidR="002A1C8D">
        <w:rPr>
          <w:rFonts w:asciiTheme="minorHAnsi" w:eastAsiaTheme="minorEastAsia" w:hAnsiTheme="minorHAnsi" w:cstheme="minorHAnsi"/>
          <w:noProof/>
          <w:color w:val="auto"/>
          <w:sz w:val="22"/>
          <w:szCs w:val="22"/>
          <w:lang w:eastAsia="en-AU"/>
        </w:rPr>
        <w:t>.</w:t>
      </w:r>
      <w:r w:rsidR="00626914">
        <w:rPr>
          <w:rStyle w:val="FootnoteReference"/>
          <w:rFonts w:asciiTheme="minorHAnsi" w:eastAsiaTheme="minorEastAsia" w:hAnsiTheme="minorHAnsi" w:cstheme="minorHAnsi"/>
          <w:noProof/>
          <w:color w:val="auto"/>
          <w:sz w:val="22"/>
          <w:szCs w:val="22"/>
          <w:lang w:eastAsia="en-AU"/>
        </w:rPr>
        <w:footnoteReference w:id="112"/>
      </w:r>
      <w:r w:rsidRPr="00967D34">
        <w:rPr>
          <w:rFonts w:asciiTheme="minorHAnsi" w:eastAsiaTheme="minorEastAsia" w:hAnsiTheme="minorHAnsi" w:cstheme="minorHAnsi"/>
          <w:noProof/>
          <w:color w:val="auto"/>
          <w:sz w:val="22"/>
          <w:szCs w:val="22"/>
          <w:lang w:eastAsia="en-AU"/>
        </w:rPr>
        <w:t xml:space="preserve">  </w:t>
      </w:r>
    </w:p>
    <w:p w14:paraId="48F0433F" w14:textId="77777777"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2.</w:t>
      </w:r>
      <w:r w:rsidRPr="00967D34">
        <w:rPr>
          <w:rFonts w:asciiTheme="minorHAnsi" w:eastAsiaTheme="minorEastAsia" w:hAnsiTheme="minorHAnsi" w:cstheme="minorHAnsi"/>
          <w:noProof/>
          <w:color w:val="auto"/>
          <w:sz w:val="22"/>
          <w:szCs w:val="22"/>
          <w:lang w:eastAsia="en-AU"/>
        </w:rPr>
        <w:tab/>
        <w:t>Such an agreement does not affect the rights of any person that is not a party to that agreement.</w:t>
      </w:r>
    </w:p>
    <w:p w14:paraId="4450B5A8" w14:textId="77777777" w:rsidR="007D0DC1" w:rsidRPr="00B35847" w:rsidRDefault="007D0DC1" w:rsidP="00B35847">
      <w:pPr>
        <w:jc w:val="center"/>
        <w:rPr>
          <w:rFonts w:asciiTheme="minorHAnsi" w:eastAsiaTheme="minorEastAsia" w:hAnsiTheme="minorHAnsi" w:cstheme="minorHAnsi"/>
          <w:b/>
          <w:noProof/>
          <w:color w:val="auto"/>
          <w:sz w:val="22"/>
          <w:szCs w:val="22"/>
          <w:lang w:eastAsia="en-AU"/>
        </w:rPr>
      </w:pPr>
      <w:r w:rsidRPr="00B35847">
        <w:rPr>
          <w:rFonts w:asciiTheme="minorHAnsi" w:eastAsiaTheme="minorEastAsia" w:hAnsiTheme="minorHAnsi" w:cstheme="minorHAnsi"/>
          <w:b/>
          <w:noProof/>
          <w:color w:val="auto"/>
          <w:sz w:val="22"/>
          <w:szCs w:val="22"/>
          <w:lang w:eastAsia="en-AU"/>
        </w:rPr>
        <w:t>Article 5. Information requirements</w:t>
      </w:r>
    </w:p>
    <w:p w14:paraId="6179E0D4" w14:textId="3E862B36"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Nothing in this Law affects the application of any rule of law that may require a person to disclose its identity, place of business or other information, or relieves a person from the legal consequences of making inaccurate, incomplete or false statements in that regard.</w:t>
      </w:r>
    </w:p>
    <w:p w14:paraId="1BB30A2C" w14:textId="77777777" w:rsidR="007D0DC1" w:rsidRPr="00B35847" w:rsidRDefault="007D0DC1" w:rsidP="00B35847">
      <w:pPr>
        <w:jc w:val="center"/>
        <w:rPr>
          <w:rFonts w:asciiTheme="minorHAnsi" w:eastAsiaTheme="minorEastAsia" w:hAnsiTheme="minorHAnsi" w:cstheme="minorHAnsi"/>
          <w:b/>
          <w:noProof/>
          <w:color w:val="auto"/>
          <w:sz w:val="22"/>
          <w:szCs w:val="22"/>
          <w:lang w:eastAsia="en-AU"/>
        </w:rPr>
      </w:pPr>
      <w:r w:rsidRPr="00B35847">
        <w:rPr>
          <w:rFonts w:asciiTheme="minorHAnsi" w:eastAsiaTheme="minorEastAsia" w:hAnsiTheme="minorHAnsi" w:cstheme="minorHAnsi"/>
          <w:b/>
          <w:noProof/>
          <w:color w:val="auto"/>
          <w:sz w:val="22"/>
          <w:szCs w:val="22"/>
          <w:lang w:eastAsia="en-AU"/>
        </w:rPr>
        <w:t>Article 6. Additional information in electronic transferable records</w:t>
      </w:r>
    </w:p>
    <w:p w14:paraId="3373CB50" w14:textId="3C34855E"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 xml:space="preserve">Nothing in this Law precludes the inclusion of information in an electronic transferable record in addition to that contained in a transferable document or instrument. </w:t>
      </w:r>
    </w:p>
    <w:p w14:paraId="7C4B9C7E" w14:textId="77777777" w:rsidR="007D0DC1" w:rsidRPr="00B35847" w:rsidRDefault="007D0DC1" w:rsidP="00B35847">
      <w:pPr>
        <w:jc w:val="center"/>
        <w:rPr>
          <w:rFonts w:asciiTheme="minorHAnsi" w:eastAsiaTheme="minorEastAsia" w:hAnsiTheme="minorHAnsi" w:cstheme="minorHAnsi"/>
          <w:b/>
          <w:noProof/>
          <w:color w:val="auto"/>
          <w:sz w:val="22"/>
          <w:szCs w:val="22"/>
          <w:lang w:eastAsia="en-AU"/>
        </w:rPr>
      </w:pPr>
      <w:r w:rsidRPr="00B35847">
        <w:rPr>
          <w:rFonts w:asciiTheme="minorHAnsi" w:eastAsiaTheme="minorEastAsia" w:hAnsiTheme="minorHAnsi" w:cstheme="minorHAnsi"/>
          <w:b/>
          <w:noProof/>
          <w:color w:val="auto"/>
          <w:sz w:val="22"/>
          <w:szCs w:val="22"/>
          <w:lang w:eastAsia="en-AU"/>
        </w:rPr>
        <w:t>Article 7. Legal recognition of an electronic transferable record</w:t>
      </w:r>
    </w:p>
    <w:p w14:paraId="7BBF8535" w14:textId="77777777"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1.</w:t>
      </w:r>
      <w:r w:rsidRPr="00967D34">
        <w:rPr>
          <w:rFonts w:asciiTheme="minorHAnsi" w:eastAsiaTheme="minorEastAsia" w:hAnsiTheme="minorHAnsi" w:cstheme="minorHAnsi"/>
          <w:noProof/>
          <w:color w:val="auto"/>
          <w:sz w:val="22"/>
          <w:szCs w:val="22"/>
          <w:lang w:eastAsia="en-AU"/>
        </w:rPr>
        <w:tab/>
        <w:t>An electronic transferable record shall not be denied legal effect, validity or enforceability on the sole ground that it is in electronic form.</w:t>
      </w:r>
    </w:p>
    <w:p w14:paraId="7D6630C5" w14:textId="77777777"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2.</w:t>
      </w:r>
      <w:r w:rsidRPr="00967D34">
        <w:rPr>
          <w:rFonts w:asciiTheme="minorHAnsi" w:eastAsiaTheme="minorEastAsia" w:hAnsiTheme="minorHAnsi" w:cstheme="minorHAnsi"/>
          <w:noProof/>
          <w:color w:val="auto"/>
          <w:sz w:val="22"/>
          <w:szCs w:val="22"/>
          <w:lang w:eastAsia="en-AU"/>
        </w:rPr>
        <w:tab/>
        <w:t xml:space="preserve">Nothing in this Law requires a person to use an electronic transferable record without that person’s consent. </w:t>
      </w:r>
    </w:p>
    <w:p w14:paraId="537649CB" w14:textId="3A7C734C"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3.</w:t>
      </w:r>
      <w:r w:rsidRPr="00967D34">
        <w:rPr>
          <w:rFonts w:asciiTheme="minorHAnsi" w:eastAsiaTheme="minorEastAsia" w:hAnsiTheme="minorHAnsi" w:cstheme="minorHAnsi"/>
          <w:noProof/>
          <w:color w:val="auto"/>
          <w:sz w:val="22"/>
          <w:szCs w:val="22"/>
          <w:lang w:eastAsia="en-AU"/>
        </w:rPr>
        <w:tab/>
        <w:t>The consent of a person to use an electronic transferable record may be inferred from the person’s conduct.</w:t>
      </w:r>
    </w:p>
    <w:p w14:paraId="7BF9D260" w14:textId="297AFC54" w:rsidR="007D0DC1" w:rsidRPr="00626914" w:rsidRDefault="007D0DC1" w:rsidP="00656238">
      <w:pPr>
        <w:rPr>
          <w:rFonts w:asciiTheme="minorHAnsi" w:eastAsiaTheme="minorEastAsia" w:hAnsiTheme="minorHAnsi" w:cstheme="minorHAnsi"/>
          <w:b/>
          <w:noProof/>
          <w:color w:val="auto"/>
          <w:sz w:val="24"/>
          <w:szCs w:val="22"/>
          <w:lang w:eastAsia="en-AU"/>
        </w:rPr>
      </w:pPr>
      <w:r w:rsidRPr="00626914">
        <w:rPr>
          <w:rFonts w:asciiTheme="minorHAnsi" w:eastAsiaTheme="minorEastAsia" w:hAnsiTheme="minorHAnsi" w:cstheme="minorHAnsi"/>
          <w:b/>
          <w:noProof/>
          <w:color w:val="auto"/>
          <w:sz w:val="32"/>
          <w:szCs w:val="22"/>
          <w:lang w:eastAsia="en-AU"/>
        </w:rPr>
        <w:lastRenderedPageBreak/>
        <w:t>CHAPTER II. PROVISIONS ON FUNCTIONAL EQUIVALENCE</w:t>
      </w:r>
    </w:p>
    <w:p w14:paraId="3A08A0B7" w14:textId="77777777" w:rsidR="007D0DC1" w:rsidRPr="00B35847" w:rsidRDefault="007D0DC1" w:rsidP="00B35847">
      <w:pPr>
        <w:jc w:val="center"/>
        <w:rPr>
          <w:rFonts w:asciiTheme="minorHAnsi" w:eastAsiaTheme="minorEastAsia" w:hAnsiTheme="minorHAnsi" w:cstheme="minorHAnsi"/>
          <w:b/>
          <w:noProof/>
          <w:color w:val="auto"/>
          <w:sz w:val="22"/>
          <w:szCs w:val="22"/>
          <w:lang w:eastAsia="en-AU"/>
        </w:rPr>
      </w:pPr>
      <w:r w:rsidRPr="00B35847">
        <w:rPr>
          <w:rFonts w:asciiTheme="minorHAnsi" w:eastAsiaTheme="minorEastAsia" w:hAnsiTheme="minorHAnsi" w:cstheme="minorHAnsi"/>
          <w:b/>
          <w:noProof/>
          <w:color w:val="auto"/>
          <w:sz w:val="22"/>
          <w:szCs w:val="22"/>
          <w:lang w:eastAsia="en-AU"/>
        </w:rPr>
        <w:t>Article 8. Writing</w:t>
      </w:r>
    </w:p>
    <w:p w14:paraId="40FBB55C" w14:textId="535FFCE1"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Where the law requires that information should be in writing, that requirement is met with respect to an electronic transferable record if the information contained therein is accessible so as to be usable for subsequent reference.</w:t>
      </w:r>
    </w:p>
    <w:p w14:paraId="13695F78" w14:textId="77777777" w:rsidR="007D0DC1" w:rsidRPr="00B35847" w:rsidRDefault="007D0DC1" w:rsidP="00B35847">
      <w:pPr>
        <w:jc w:val="center"/>
        <w:rPr>
          <w:rFonts w:asciiTheme="minorHAnsi" w:eastAsiaTheme="minorEastAsia" w:hAnsiTheme="minorHAnsi" w:cstheme="minorHAnsi"/>
          <w:b/>
          <w:noProof/>
          <w:color w:val="auto"/>
          <w:sz w:val="22"/>
          <w:szCs w:val="22"/>
          <w:lang w:eastAsia="en-AU"/>
        </w:rPr>
      </w:pPr>
      <w:r w:rsidRPr="00B35847">
        <w:rPr>
          <w:rFonts w:asciiTheme="minorHAnsi" w:eastAsiaTheme="minorEastAsia" w:hAnsiTheme="minorHAnsi" w:cstheme="minorHAnsi"/>
          <w:b/>
          <w:noProof/>
          <w:color w:val="auto"/>
          <w:sz w:val="22"/>
          <w:szCs w:val="22"/>
          <w:lang w:eastAsia="en-AU"/>
        </w:rPr>
        <w:t>Article 9. Signature</w:t>
      </w:r>
    </w:p>
    <w:p w14:paraId="6DFC4379" w14:textId="24752E83"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Where the law requires or permits a signature of a person, that requirement is met by an electronic transferable record if a reliable method is used to identify that person and to indicate that person’s intention in respect of the information contained in the electronic transferable record.</w:t>
      </w:r>
    </w:p>
    <w:p w14:paraId="01B57BF0" w14:textId="77777777" w:rsidR="007D0DC1" w:rsidRPr="00B35847" w:rsidRDefault="007D0DC1" w:rsidP="00B35847">
      <w:pPr>
        <w:jc w:val="center"/>
        <w:rPr>
          <w:rFonts w:asciiTheme="minorHAnsi" w:eastAsiaTheme="minorEastAsia" w:hAnsiTheme="minorHAnsi" w:cstheme="minorHAnsi"/>
          <w:b/>
          <w:noProof/>
          <w:color w:val="auto"/>
          <w:sz w:val="22"/>
          <w:szCs w:val="22"/>
          <w:lang w:eastAsia="en-AU"/>
        </w:rPr>
      </w:pPr>
      <w:r w:rsidRPr="00B35847">
        <w:rPr>
          <w:rFonts w:asciiTheme="minorHAnsi" w:eastAsiaTheme="minorEastAsia" w:hAnsiTheme="minorHAnsi" w:cstheme="minorHAnsi"/>
          <w:b/>
          <w:noProof/>
          <w:color w:val="auto"/>
          <w:sz w:val="22"/>
          <w:szCs w:val="22"/>
          <w:lang w:eastAsia="en-AU"/>
        </w:rPr>
        <w:t>Article 10. Transferable documents or instruments</w:t>
      </w:r>
    </w:p>
    <w:p w14:paraId="2A6046C8" w14:textId="77777777"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1.</w:t>
      </w:r>
      <w:r w:rsidRPr="00967D34">
        <w:rPr>
          <w:rFonts w:asciiTheme="minorHAnsi" w:eastAsiaTheme="minorEastAsia" w:hAnsiTheme="minorHAnsi" w:cstheme="minorHAnsi"/>
          <w:noProof/>
          <w:color w:val="auto"/>
          <w:sz w:val="22"/>
          <w:szCs w:val="22"/>
          <w:lang w:eastAsia="en-AU"/>
        </w:rPr>
        <w:tab/>
        <w:t>Where the law requires a transferable document or instrument, that requirement is met by an electronic record if:</w:t>
      </w:r>
    </w:p>
    <w:p w14:paraId="4A884106" w14:textId="2497C4F5" w:rsidR="007D0DC1" w:rsidRPr="00967D34" w:rsidRDefault="007D0DC1" w:rsidP="00707E76">
      <w:pPr>
        <w:ind w:left="1440" w:hanging="720"/>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a)</w:t>
      </w:r>
      <w:r w:rsidRPr="00967D34">
        <w:rPr>
          <w:rFonts w:asciiTheme="minorHAnsi" w:eastAsiaTheme="minorEastAsia" w:hAnsiTheme="minorHAnsi" w:cstheme="minorHAnsi"/>
          <w:noProof/>
          <w:color w:val="auto"/>
          <w:sz w:val="22"/>
          <w:szCs w:val="22"/>
          <w:lang w:eastAsia="en-AU"/>
        </w:rPr>
        <w:tab/>
        <w:t xml:space="preserve">The electronic record contains the information that would be required to be contained in a transferable document or instrument; and </w:t>
      </w:r>
    </w:p>
    <w:p w14:paraId="68334FE7" w14:textId="77777777"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ab/>
        <w:t>(b)</w:t>
      </w:r>
      <w:r w:rsidRPr="00967D34">
        <w:rPr>
          <w:rFonts w:asciiTheme="minorHAnsi" w:eastAsiaTheme="minorEastAsia" w:hAnsiTheme="minorHAnsi" w:cstheme="minorHAnsi"/>
          <w:noProof/>
          <w:color w:val="auto"/>
          <w:sz w:val="22"/>
          <w:szCs w:val="22"/>
          <w:lang w:eastAsia="en-AU"/>
        </w:rPr>
        <w:tab/>
        <w:t xml:space="preserve">A reliable method is used: </w:t>
      </w:r>
    </w:p>
    <w:p w14:paraId="138D5120" w14:textId="77777777" w:rsidR="007D0DC1" w:rsidRPr="00967D34" w:rsidRDefault="007D0DC1" w:rsidP="00B35847">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ab/>
      </w:r>
      <w:r w:rsidR="00B35847">
        <w:rPr>
          <w:rFonts w:asciiTheme="minorHAnsi" w:eastAsiaTheme="minorEastAsia" w:hAnsiTheme="minorHAnsi" w:cstheme="minorHAnsi"/>
          <w:noProof/>
          <w:color w:val="auto"/>
          <w:sz w:val="22"/>
          <w:szCs w:val="22"/>
          <w:lang w:eastAsia="en-AU"/>
        </w:rPr>
        <w:tab/>
      </w:r>
      <w:r w:rsidRPr="00967D34">
        <w:rPr>
          <w:rFonts w:asciiTheme="minorHAnsi" w:eastAsiaTheme="minorEastAsia" w:hAnsiTheme="minorHAnsi" w:cstheme="minorHAnsi"/>
          <w:noProof/>
          <w:color w:val="auto"/>
          <w:sz w:val="22"/>
          <w:szCs w:val="22"/>
          <w:lang w:eastAsia="en-AU"/>
        </w:rPr>
        <w:t>(i)</w:t>
      </w:r>
      <w:r w:rsidRPr="00967D34">
        <w:rPr>
          <w:rFonts w:asciiTheme="minorHAnsi" w:eastAsiaTheme="minorEastAsia" w:hAnsiTheme="minorHAnsi" w:cstheme="minorHAnsi"/>
          <w:noProof/>
          <w:color w:val="auto"/>
          <w:sz w:val="22"/>
          <w:szCs w:val="22"/>
          <w:lang w:eastAsia="en-AU"/>
        </w:rPr>
        <w:tab/>
        <w:t>To identify that electronic record as the electronic transferable record;</w:t>
      </w:r>
    </w:p>
    <w:p w14:paraId="2F6DE3EF" w14:textId="77777777" w:rsidR="007D0DC1" w:rsidRPr="00967D34" w:rsidRDefault="007D0DC1" w:rsidP="00B35847">
      <w:pPr>
        <w:ind w:left="1440" w:hanging="1440"/>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ab/>
        <w:t>(ii)</w:t>
      </w:r>
      <w:r w:rsidRPr="00967D34">
        <w:rPr>
          <w:rFonts w:asciiTheme="minorHAnsi" w:eastAsiaTheme="minorEastAsia" w:hAnsiTheme="minorHAnsi" w:cstheme="minorHAnsi"/>
          <w:noProof/>
          <w:color w:val="auto"/>
          <w:sz w:val="22"/>
          <w:szCs w:val="22"/>
          <w:lang w:eastAsia="en-AU"/>
        </w:rPr>
        <w:tab/>
        <w:t>To render that electronic record capable of being subject to control from its creation until it ceases to have any effect or validity; and</w:t>
      </w:r>
    </w:p>
    <w:p w14:paraId="25CE2137" w14:textId="77777777" w:rsidR="007D0DC1" w:rsidRPr="00967D34" w:rsidRDefault="007D0DC1" w:rsidP="00B35847">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ab/>
      </w:r>
      <w:r w:rsidRPr="00967D34">
        <w:rPr>
          <w:rFonts w:asciiTheme="minorHAnsi" w:eastAsiaTheme="minorEastAsia" w:hAnsiTheme="minorHAnsi" w:cstheme="minorHAnsi"/>
          <w:noProof/>
          <w:color w:val="auto"/>
          <w:sz w:val="22"/>
          <w:szCs w:val="22"/>
          <w:lang w:eastAsia="en-AU"/>
        </w:rPr>
        <w:tab/>
        <w:t>(iii)</w:t>
      </w:r>
      <w:r w:rsidRPr="00967D34">
        <w:rPr>
          <w:rFonts w:asciiTheme="minorHAnsi" w:eastAsiaTheme="minorEastAsia" w:hAnsiTheme="minorHAnsi" w:cstheme="minorHAnsi"/>
          <w:noProof/>
          <w:color w:val="auto"/>
          <w:sz w:val="22"/>
          <w:szCs w:val="22"/>
          <w:lang w:eastAsia="en-AU"/>
        </w:rPr>
        <w:tab/>
        <w:t>To retain the integrity of that electronic record.</w:t>
      </w:r>
    </w:p>
    <w:p w14:paraId="0DB70203" w14:textId="6600C058" w:rsidR="007D0DC1" w:rsidRPr="00967D34" w:rsidRDefault="007D0DC1" w:rsidP="00707E76">
      <w:pPr>
        <w:ind w:left="720" w:hanging="578"/>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2.</w:t>
      </w:r>
      <w:r w:rsidRPr="00967D34">
        <w:rPr>
          <w:rFonts w:asciiTheme="minorHAnsi" w:eastAsiaTheme="minorEastAsia" w:hAnsiTheme="minorHAnsi" w:cstheme="minorHAnsi"/>
          <w:noProof/>
          <w:color w:val="auto"/>
          <w:sz w:val="22"/>
          <w:szCs w:val="22"/>
          <w:lang w:eastAsia="en-AU"/>
        </w:rPr>
        <w:tab/>
        <w:t>The criterion for assessing integrity shall be whether information contained in the electronic transferable record, including any authorized change that arises from its creation until it ceases to have any effect or validity, has remained complete and unaltered apart from any change which arises in the normal course of communication, storage and display.</w:t>
      </w:r>
    </w:p>
    <w:p w14:paraId="40D4D2C7" w14:textId="77777777" w:rsidR="007D0DC1" w:rsidRPr="00B35847" w:rsidRDefault="007D0DC1" w:rsidP="00B35847">
      <w:pPr>
        <w:jc w:val="center"/>
        <w:rPr>
          <w:rFonts w:asciiTheme="minorHAnsi" w:eastAsiaTheme="minorEastAsia" w:hAnsiTheme="minorHAnsi" w:cstheme="minorHAnsi"/>
          <w:b/>
          <w:noProof/>
          <w:color w:val="auto"/>
          <w:sz w:val="22"/>
          <w:szCs w:val="22"/>
          <w:lang w:eastAsia="en-AU"/>
        </w:rPr>
      </w:pPr>
      <w:r w:rsidRPr="00B35847">
        <w:rPr>
          <w:rFonts w:asciiTheme="minorHAnsi" w:eastAsiaTheme="minorEastAsia" w:hAnsiTheme="minorHAnsi" w:cstheme="minorHAnsi"/>
          <w:b/>
          <w:noProof/>
          <w:color w:val="auto"/>
          <w:sz w:val="22"/>
          <w:szCs w:val="22"/>
          <w:lang w:eastAsia="en-AU"/>
        </w:rPr>
        <w:t>Article 11. Control</w:t>
      </w:r>
    </w:p>
    <w:p w14:paraId="3FA70425" w14:textId="77777777" w:rsidR="007D0DC1" w:rsidRPr="00967D34" w:rsidRDefault="007D0DC1" w:rsidP="00707E76">
      <w:pPr>
        <w:ind w:left="720" w:hanging="720"/>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1.</w:t>
      </w:r>
      <w:r w:rsidRPr="00967D34">
        <w:rPr>
          <w:rFonts w:asciiTheme="minorHAnsi" w:eastAsiaTheme="minorEastAsia" w:hAnsiTheme="minorHAnsi" w:cstheme="minorHAnsi"/>
          <w:noProof/>
          <w:color w:val="auto"/>
          <w:sz w:val="22"/>
          <w:szCs w:val="22"/>
          <w:lang w:eastAsia="en-AU"/>
        </w:rPr>
        <w:tab/>
        <w:t>Where the law requires or permits the possession of a transferable document or instrument, that requirement is met with respect to an electronic transferable record if a reliable method is used:</w:t>
      </w:r>
    </w:p>
    <w:p w14:paraId="0556CFD8" w14:textId="77777777" w:rsidR="007D0DC1" w:rsidRPr="00967D34" w:rsidRDefault="007D0DC1" w:rsidP="00B35847">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ab/>
        <w:t>(a)</w:t>
      </w:r>
      <w:r w:rsidRPr="00967D34">
        <w:rPr>
          <w:rFonts w:asciiTheme="minorHAnsi" w:eastAsiaTheme="minorEastAsia" w:hAnsiTheme="minorHAnsi" w:cstheme="minorHAnsi"/>
          <w:noProof/>
          <w:color w:val="auto"/>
          <w:sz w:val="22"/>
          <w:szCs w:val="22"/>
          <w:lang w:eastAsia="en-AU"/>
        </w:rPr>
        <w:tab/>
        <w:t xml:space="preserve">To establish exclusive control of that electronic transferable record by a person; and </w:t>
      </w:r>
    </w:p>
    <w:p w14:paraId="6E70411F" w14:textId="77777777" w:rsidR="007D0DC1" w:rsidRPr="00967D34" w:rsidRDefault="007D0DC1" w:rsidP="00B35847">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ab/>
        <w:t>(b)</w:t>
      </w:r>
      <w:r w:rsidRPr="00967D34">
        <w:rPr>
          <w:rFonts w:asciiTheme="minorHAnsi" w:eastAsiaTheme="minorEastAsia" w:hAnsiTheme="minorHAnsi" w:cstheme="minorHAnsi"/>
          <w:noProof/>
          <w:color w:val="auto"/>
          <w:sz w:val="22"/>
          <w:szCs w:val="22"/>
          <w:lang w:eastAsia="en-AU"/>
        </w:rPr>
        <w:tab/>
        <w:t>To identify that person as the person in control.</w:t>
      </w:r>
    </w:p>
    <w:p w14:paraId="7F5D8B86" w14:textId="77777777" w:rsidR="00707E76" w:rsidRDefault="007D0DC1" w:rsidP="00707E76">
      <w:pPr>
        <w:ind w:left="720" w:hanging="720"/>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2.</w:t>
      </w:r>
      <w:r w:rsidRPr="00967D34">
        <w:rPr>
          <w:rFonts w:asciiTheme="minorHAnsi" w:eastAsiaTheme="minorEastAsia" w:hAnsiTheme="minorHAnsi" w:cstheme="minorHAnsi"/>
          <w:noProof/>
          <w:color w:val="auto"/>
          <w:sz w:val="22"/>
          <w:szCs w:val="22"/>
          <w:lang w:eastAsia="en-AU"/>
        </w:rPr>
        <w:tab/>
        <w:t>Where the law requires or permits transfer of possession of a transferable document or instrument, that requirement is met with respect to an electronic transferable record through the transfer of control over the electronic transferable record.</w:t>
      </w:r>
    </w:p>
    <w:p w14:paraId="59357857" w14:textId="271F85D2" w:rsidR="007D0DC1" w:rsidRPr="00626914" w:rsidRDefault="007D0DC1" w:rsidP="00707E76">
      <w:pPr>
        <w:jc w:val="center"/>
        <w:rPr>
          <w:rFonts w:asciiTheme="minorHAnsi" w:eastAsiaTheme="minorEastAsia" w:hAnsiTheme="minorHAnsi" w:cstheme="minorHAnsi"/>
          <w:b/>
          <w:noProof/>
          <w:color w:val="auto"/>
          <w:sz w:val="32"/>
          <w:szCs w:val="22"/>
          <w:lang w:eastAsia="en-AU"/>
        </w:rPr>
      </w:pPr>
      <w:r w:rsidRPr="00626914">
        <w:rPr>
          <w:rFonts w:asciiTheme="minorHAnsi" w:eastAsiaTheme="minorEastAsia" w:hAnsiTheme="minorHAnsi" w:cstheme="minorHAnsi"/>
          <w:b/>
          <w:noProof/>
          <w:color w:val="auto"/>
          <w:sz w:val="32"/>
          <w:szCs w:val="22"/>
          <w:lang w:eastAsia="en-AU"/>
        </w:rPr>
        <w:t xml:space="preserve">CHAPTER III. USE OF </w:t>
      </w:r>
      <w:r w:rsidRPr="00626914">
        <w:rPr>
          <w:rFonts w:asciiTheme="minorHAnsi" w:eastAsiaTheme="minorEastAsia" w:hAnsiTheme="minorHAnsi" w:cstheme="minorHAnsi"/>
          <w:b/>
          <w:noProof/>
          <w:color w:val="auto"/>
          <w:sz w:val="32"/>
          <w:szCs w:val="28"/>
          <w:lang w:eastAsia="en-AU"/>
        </w:rPr>
        <w:t>ELECTRONIC</w:t>
      </w:r>
      <w:r w:rsidR="00B35847" w:rsidRPr="00626914">
        <w:rPr>
          <w:rFonts w:asciiTheme="minorHAnsi" w:eastAsiaTheme="minorEastAsia" w:hAnsiTheme="minorHAnsi" w:cstheme="minorHAnsi"/>
          <w:b/>
          <w:noProof/>
          <w:color w:val="auto"/>
          <w:sz w:val="32"/>
          <w:szCs w:val="28"/>
          <w:lang w:eastAsia="en-AU"/>
        </w:rPr>
        <w:t xml:space="preserve"> </w:t>
      </w:r>
      <w:r w:rsidRPr="00626914">
        <w:rPr>
          <w:rFonts w:asciiTheme="minorHAnsi" w:eastAsiaTheme="minorEastAsia" w:hAnsiTheme="minorHAnsi" w:cstheme="minorHAnsi"/>
          <w:b/>
          <w:noProof/>
          <w:color w:val="auto"/>
          <w:sz w:val="32"/>
          <w:szCs w:val="28"/>
          <w:lang w:eastAsia="en-AU"/>
        </w:rPr>
        <w:t>TRANSFERABLE RECORDS</w:t>
      </w:r>
    </w:p>
    <w:p w14:paraId="73567D04" w14:textId="77777777" w:rsidR="007D0DC1" w:rsidRPr="00B35847" w:rsidRDefault="007D0DC1" w:rsidP="00B35847">
      <w:pPr>
        <w:jc w:val="center"/>
        <w:rPr>
          <w:rFonts w:asciiTheme="minorHAnsi" w:eastAsiaTheme="minorEastAsia" w:hAnsiTheme="minorHAnsi" w:cstheme="minorHAnsi"/>
          <w:b/>
          <w:noProof/>
          <w:color w:val="auto"/>
          <w:sz w:val="22"/>
          <w:szCs w:val="22"/>
          <w:lang w:eastAsia="en-AU"/>
        </w:rPr>
      </w:pPr>
      <w:r w:rsidRPr="00B35847">
        <w:rPr>
          <w:rFonts w:asciiTheme="minorHAnsi" w:eastAsiaTheme="minorEastAsia" w:hAnsiTheme="minorHAnsi" w:cstheme="minorHAnsi"/>
          <w:b/>
          <w:noProof/>
          <w:color w:val="auto"/>
          <w:sz w:val="22"/>
          <w:szCs w:val="22"/>
          <w:lang w:eastAsia="en-AU"/>
        </w:rPr>
        <w:t>Article 12. General reliability standard</w:t>
      </w:r>
    </w:p>
    <w:p w14:paraId="5806F35E" w14:textId="77777777"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 xml:space="preserve">For the purposes of articles 9, 10, 11, 13, 16, 17 and 18, the method referred to shall be: </w:t>
      </w:r>
    </w:p>
    <w:p w14:paraId="1DB3532A" w14:textId="77777777" w:rsidR="007D0DC1" w:rsidRPr="00967D34" w:rsidRDefault="007D0DC1" w:rsidP="00B35847">
      <w:pPr>
        <w:ind w:left="2160" w:hanging="720"/>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lastRenderedPageBreak/>
        <w:t>(a)</w:t>
      </w:r>
      <w:r w:rsidRPr="00967D34">
        <w:rPr>
          <w:rFonts w:asciiTheme="minorHAnsi" w:eastAsiaTheme="minorEastAsia" w:hAnsiTheme="minorHAnsi" w:cstheme="minorHAnsi"/>
          <w:noProof/>
          <w:color w:val="auto"/>
          <w:sz w:val="22"/>
          <w:szCs w:val="22"/>
          <w:lang w:eastAsia="en-AU"/>
        </w:rPr>
        <w:tab/>
        <w:t>As reliable as appropriate for the fulfilment of the function for which the method is being used, in light of all relevant circumstances, which may include:</w:t>
      </w:r>
    </w:p>
    <w:p w14:paraId="038A28F6" w14:textId="77777777"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ab/>
      </w:r>
      <w:r w:rsidRPr="00967D34">
        <w:rPr>
          <w:rFonts w:asciiTheme="minorHAnsi" w:eastAsiaTheme="minorEastAsia" w:hAnsiTheme="minorHAnsi" w:cstheme="minorHAnsi"/>
          <w:noProof/>
          <w:color w:val="auto"/>
          <w:sz w:val="22"/>
          <w:szCs w:val="22"/>
          <w:lang w:eastAsia="en-AU"/>
        </w:rPr>
        <w:tab/>
        <w:t>(i)</w:t>
      </w:r>
      <w:r w:rsidRPr="00967D34">
        <w:rPr>
          <w:rFonts w:asciiTheme="minorHAnsi" w:eastAsiaTheme="minorEastAsia" w:hAnsiTheme="minorHAnsi" w:cstheme="minorHAnsi"/>
          <w:noProof/>
          <w:color w:val="auto"/>
          <w:sz w:val="22"/>
          <w:szCs w:val="22"/>
          <w:lang w:eastAsia="en-AU"/>
        </w:rPr>
        <w:tab/>
        <w:t>Any operational rules relevant to the assessment of reliability;</w:t>
      </w:r>
    </w:p>
    <w:p w14:paraId="66520968" w14:textId="77777777"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ab/>
      </w:r>
      <w:r w:rsidRPr="00967D34">
        <w:rPr>
          <w:rFonts w:asciiTheme="minorHAnsi" w:eastAsiaTheme="minorEastAsia" w:hAnsiTheme="minorHAnsi" w:cstheme="minorHAnsi"/>
          <w:noProof/>
          <w:color w:val="auto"/>
          <w:sz w:val="22"/>
          <w:szCs w:val="22"/>
          <w:lang w:eastAsia="en-AU"/>
        </w:rPr>
        <w:tab/>
        <w:t>(ii)</w:t>
      </w:r>
      <w:r w:rsidRPr="00967D34">
        <w:rPr>
          <w:rFonts w:asciiTheme="minorHAnsi" w:eastAsiaTheme="minorEastAsia" w:hAnsiTheme="minorHAnsi" w:cstheme="minorHAnsi"/>
          <w:noProof/>
          <w:color w:val="auto"/>
          <w:sz w:val="22"/>
          <w:szCs w:val="22"/>
          <w:lang w:eastAsia="en-AU"/>
        </w:rPr>
        <w:tab/>
        <w:t>The assurance of data integrity;</w:t>
      </w:r>
    </w:p>
    <w:p w14:paraId="743FC2C7" w14:textId="77777777"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ab/>
      </w:r>
      <w:r w:rsidRPr="00967D34">
        <w:rPr>
          <w:rFonts w:asciiTheme="minorHAnsi" w:eastAsiaTheme="minorEastAsia" w:hAnsiTheme="minorHAnsi" w:cstheme="minorHAnsi"/>
          <w:noProof/>
          <w:color w:val="auto"/>
          <w:sz w:val="22"/>
          <w:szCs w:val="22"/>
          <w:lang w:eastAsia="en-AU"/>
        </w:rPr>
        <w:tab/>
        <w:t>(iii)</w:t>
      </w:r>
      <w:r w:rsidRPr="00967D34">
        <w:rPr>
          <w:rFonts w:asciiTheme="minorHAnsi" w:eastAsiaTheme="minorEastAsia" w:hAnsiTheme="minorHAnsi" w:cstheme="minorHAnsi"/>
          <w:noProof/>
          <w:color w:val="auto"/>
          <w:sz w:val="22"/>
          <w:szCs w:val="22"/>
          <w:lang w:eastAsia="en-AU"/>
        </w:rPr>
        <w:tab/>
        <w:t>The ability to prevent unauthorized access to and use of the system;</w:t>
      </w:r>
    </w:p>
    <w:p w14:paraId="4D2050FE" w14:textId="77777777"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ab/>
      </w:r>
      <w:r w:rsidRPr="00967D34">
        <w:rPr>
          <w:rFonts w:asciiTheme="minorHAnsi" w:eastAsiaTheme="minorEastAsia" w:hAnsiTheme="minorHAnsi" w:cstheme="minorHAnsi"/>
          <w:noProof/>
          <w:color w:val="auto"/>
          <w:sz w:val="22"/>
          <w:szCs w:val="22"/>
          <w:lang w:eastAsia="en-AU"/>
        </w:rPr>
        <w:tab/>
        <w:t>(iv)</w:t>
      </w:r>
      <w:r w:rsidRPr="00967D34">
        <w:rPr>
          <w:rFonts w:asciiTheme="minorHAnsi" w:eastAsiaTheme="minorEastAsia" w:hAnsiTheme="minorHAnsi" w:cstheme="minorHAnsi"/>
          <w:noProof/>
          <w:color w:val="auto"/>
          <w:sz w:val="22"/>
          <w:szCs w:val="22"/>
          <w:lang w:eastAsia="en-AU"/>
        </w:rPr>
        <w:tab/>
        <w:t>The security of hardware and software;</w:t>
      </w:r>
    </w:p>
    <w:p w14:paraId="6BCFEE1F" w14:textId="77777777"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ab/>
      </w:r>
      <w:r w:rsidRPr="00967D34">
        <w:rPr>
          <w:rFonts w:asciiTheme="minorHAnsi" w:eastAsiaTheme="minorEastAsia" w:hAnsiTheme="minorHAnsi" w:cstheme="minorHAnsi"/>
          <w:noProof/>
          <w:color w:val="auto"/>
          <w:sz w:val="22"/>
          <w:szCs w:val="22"/>
          <w:lang w:eastAsia="en-AU"/>
        </w:rPr>
        <w:tab/>
        <w:t>(v)</w:t>
      </w:r>
      <w:r w:rsidRPr="00967D34">
        <w:rPr>
          <w:rFonts w:asciiTheme="minorHAnsi" w:eastAsiaTheme="minorEastAsia" w:hAnsiTheme="minorHAnsi" w:cstheme="minorHAnsi"/>
          <w:noProof/>
          <w:color w:val="auto"/>
          <w:sz w:val="22"/>
          <w:szCs w:val="22"/>
          <w:lang w:eastAsia="en-AU"/>
        </w:rPr>
        <w:tab/>
        <w:t>The regularity and extent of audit by an independent body;</w:t>
      </w:r>
    </w:p>
    <w:p w14:paraId="22EF10E7" w14:textId="77777777" w:rsidR="007D0DC1" w:rsidRPr="00967D34" w:rsidRDefault="007D0DC1" w:rsidP="00B35847">
      <w:pPr>
        <w:ind w:left="1440"/>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(vi)</w:t>
      </w:r>
      <w:r w:rsidRPr="00967D34">
        <w:rPr>
          <w:rFonts w:asciiTheme="minorHAnsi" w:eastAsiaTheme="minorEastAsia" w:hAnsiTheme="minorHAnsi" w:cstheme="minorHAnsi"/>
          <w:noProof/>
          <w:color w:val="auto"/>
          <w:sz w:val="22"/>
          <w:szCs w:val="22"/>
          <w:lang w:eastAsia="en-AU"/>
        </w:rPr>
        <w:tab/>
        <w:t>The existence of a declaration by a supervisory body, an accreditation body or a voluntary scheme regarding the reliability of the method;</w:t>
      </w:r>
    </w:p>
    <w:p w14:paraId="48682849" w14:textId="77777777"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ab/>
      </w:r>
      <w:r w:rsidRPr="00967D34">
        <w:rPr>
          <w:rFonts w:asciiTheme="minorHAnsi" w:eastAsiaTheme="minorEastAsia" w:hAnsiTheme="minorHAnsi" w:cstheme="minorHAnsi"/>
          <w:noProof/>
          <w:color w:val="auto"/>
          <w:sz w:val="22"/>
          <w:szCs w:val="22"/>
          <w:lang w:eastAsia="en-AU"/>
        </w:rPr>
        <w:tab/>
        <w:t>(vii)</w:t>
      </w:r>
      <w:r w:rsidRPr="00967D34">
        <w:rPr>
          <w:rFonts w:asciiTheme="minorHAnsi" w:eastAsiaTheme="minorEastAsia" w:hAnsiTheme="minorHAnsi" w:cstheme="minorHAnsi"/>
          <w:noProof/>
          <w:color w:val="auto"/>
          <w:sz w:val="22"/>
          <w:szCs w:val="22"/>
          <w:lang w:eastAsia="en-AU"/>
        </w:rPr>
        <w:tab/>
        <w:t>Any applicable industry standard; or</w:t>
      </w:r>
    </w:p>
    <w:p w14:paraId="14E7641E" w14:textId="4A4502FC" w:rsidR="007D0DC1" w:rsidRPr="00967D34" w:rsidRDefault="007D0DC1" w:rsidP="00A272C4">
      <w:pPr>
        <w:ind w:left="1440" w:hanging="1440"/>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ab/>
        <w:t>(b)</w:t>
      </w:r>
      <w:r w:rsidRPr="00967D34">
        <w:rPr>
          <w:rFonts w:asciiTheme="minorHAnsi" w:eastAsiaTheme="minorEastAsia" w:hAnsiTheme="minorHAnsi" w:cstheme="minorHAnsi"/>
          <w:noProof/>
          <w:color w:val="auto"/>
          <w:sz w:val="22"/>
          <w:szCs w:val="22"/>
          <w:lang w:eastAsia="en-AU"/>
        </w:rPr>
        <w:tab/>
        <w:t>Proven in fact to have fulfilled the function by itself or together with further evidence.</w:t>
      </w:r>
    </w:p>
    <w:p w14:paraId="0BF89D3B" w14:textId="77777777" w:rsidR="007D0DC1" w:rsidRPr="00B35847" w:rsidRDefault="007D0DC1" w:rsidP="00B35847">
      <w:pPr>
        <w:jc w:val="center"/>
        <w:rPr>
          <w:rFonts w:asciiTheme="minorHAnsi" w:eastAsiaTheme="minorEastAsia" w:hAnsiTheme="minorHAnsi" w:cstheme="minorHAnsi"/>
          <w:b/>
          <w:noProof/>
          <w:color w:val="auto"/>
          <w:sz w:val="22"/>
          <w:szCs w:val="22"/>
          <w:lang w:eastAsia="en-AU"/>
        </w:rPr>
      </w:pPr>
      <w:r w:rsidRPr="00B35847">
        <w:rPr>
          <w:rFonts w:asciiTheme="minorHAnsi" w:eastAsiaTheme="minorEastAsia" w:hAnsiTheme="minorHAnsi" w:cstheme="minorHAnsi"/>
          <w:b/>
          <w:noProof/>
          <w:color w:val="auto"/>
          <w:sz w:val="22"/>
          <w:szCs w:val="22"/>
          <w:lang w:eastAsia="en-AU"/>
        </w:rPr>
        <w:t>Article 13. Indication of time and place in electronic transferable records</w:t>
      </w:r>
    </w:p>
    <w:p w14:paraId="3AAF16E7" w14:textId="739C325D"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Where the law requires or permits the indication of time or place with respect to a transferable document or instrument, that requirement is met if a reliable method is used to indicate that time or place with respect to an electronic transferable record.</w:t>
      </w:r>
    </w:p>
    <w:p w14:paraId="6A0E6951" w14:textId="77777777" w:rsidR="007D0DC1" w:rsidRPr="00B35847" w:rsidRDefault="007D0DC1" w:rsidP="00B35847">
      <w:pPr>
        <w:jc w:val="center"/>
        <w:rPr>
          <w:rFonts w:asciiTheme="minorHAnsi" w:eastAsiaTheme="minorEastAsia" w:hAnsiTheme="minorHAnsi" w:cstheme="minorHAnsi"/>
          <w:b/>
          <w:noProof/>
          <w:color w:val="auto"/>
          <w:sz w:val="22"/>
          <w:szCs w:val="22"/>
          <w:lang w:eastAsia="en-AU"/>
        </w:rPr>
      </w:pPr>
      <w:r w:rsidRPr="00B35847">
        <w:rPr>
          <w:rFonts w:asciiTheme="minorHAnsi" w:eastAsiaTheme="minorEastAsia" w:hAnsiTheme="minorHAnsi" w:cstheme="minorHAnsi"/>
          <w:b/>
          <w:noProof/>
          <w:color w:val="auto"/>
          <w:sz w:val="22"/>
          <w:szCs w:val="22"/>
          <w:lang w:eastAsia="en-AU"/>
        </w:rPr>
        <w:t>Article 14. Place of business</w:t>
      </w:r>
    </w:p>
    <w:p w14:paraId="45EB3A9E" w14:textId="17529F81"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1.</w:t>
      </w:r>
      <w:r w:rsidRPr="00967D34">
        <w:rPr>
          <w:rFonts w:asciiTheme="minorHAnsi" w:eastAsiaTheme="minorEastAsia" w:hAnsiTheme="minorHAnsi" w:cstheme="minorHAnsi"/>
          <w:noProof/>
          <w:color w:val="auto"/>
          <w:sz w:val="22"/>
          <w:szCs w:val="22"/>
          <w:lang w:eastAsia="en-AU"/>
        </w:rPr>
        <w:tab/>
        <w:t xml:space="preserve">A location is not a place of business merely because that is: </w:t>
      </w:r>
    </w:p>
    <w:p w14:paraId="6C349257" w14:textId="77777777" w:rsidR="007D0DC1" w:rsidRPr="00967D34" w:rsidRDefault="007D0DC1" w:rsidP="00B35847">
      <w:pPr>
        <w:ind w:left="1440"/>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(a)</w:t>
      </w:r>
      <w:r w:rsidRPr="00967D34">
        <w:rPr>
          <w:rFonts w:asciiTheme="minorHAnsi" w:eastAsiaTheme="minorEastAsia" w:hAnsiTheme="minorHAnsi" w:cstheme="minorHAnsi"/>
          <w:noProof/>
          <w:color w:val="auto"/>
          <w:sz w:val="22"/>
          <w:szCs w:val="22"/>
          <w:lang w:eastAsia="en-AU"/>
        </w:rPr>
        <w:tab/>
        <w:t xml:space="preserve">Where equipment and technology supporting an information system used by a party in connection with electronic transferable records are located; or </w:t>
      </w:r>
    </w:p>
    <w:p w14:paraId="37DF16BB" w14:textId="77777777"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ab/>
      </w:r>
      <w:r w:rsidRPr="00967D34">
        <w:rPr>
          <w:rFonts w:asciiTheme="minorHAnsi" w:eastAsiaTheme="minorEastAsia" w:hAnsiTheme="minorHAnsi" w:cstheme="minorHAnsi"/>
          <w:noProof/>
          <w:color w:val="auto"/>
          <w:sz w:val="22"/>
          <w:szCs w:val="22"/>
          <w:lang w:eastAsia="en-AU"/>
        </w:rPr>
        <w:tab/>
        <w:t>(b)</w:t>
      </w:r>
      <w:r w:rsidRPr="00967D34">
        <w:rPr>
          <w:rFonts w:asciiTheme="minorHAnsi" w:eastAsiaTheme="minorEastAsia" w:hAnsiTheme="minorHAnsi" w:cstheme="minorHAnsi"/>
          <w:noProof/>
          <w:color w:val="auto"/>
          <w:sz w:val="22"/>
          <w:szCs w:val="22"/>
          <w:lang w:eastAsia="en-AU"/>
        </w:rPr>
        <w:tab/>
        <w:t>Where the information system may be accessed by other parties.</w:t>
      </w:r>
    </w:p>
    <w:p w14:paraId="04CBCEE2" w14:textId="54905849" w:rsidR="007D0DC1" w:rsidRPr="00967D34" w:rsidRDefault="007D0DC1" w:rsidP="00707E76">
      <w:pPr>
        <w:ind w:left="720" w:hanging="720"/>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2.</w:t>
      </w:r>
      <w:r w:rsidRPr="00967D34">
        <w:rPr>
          <w:rFonts w:asciiTheme="minorHAnsi" w:eastAsiaTheme="minorEastAsia" w:hAnsiTheme="minorHAnsi" w:cstheme="minorHAnsi"/>
          <w:noProof/>
          <w:color w:val="auto"/>
          <w:sz w:val="22"/>
          <w:szCs w:val="22"/>
          <w:lang w:eastAsia="en-AU"/>
        </w:rPr>
        <w:tab/>
        <w:t xml:space="preserve">The sole fact that a party makes use of an electronic address or other element of an information system connected to a specific country does not create a presumption that its place of business is located in that country. </w:t>
      </w:r>
    </w:p>
    <w:p w14:paraId="19CC6256" w14:textId="77777777" w:rsidR="007D0DC1" w:rsidRPr="00B35847" w:rsidRDefault="007D0DC1" w:rsidP="00B35847">
      <w:pPr>
        <w:jc w:val="center"/>
        <w:rPr>
          <w:rFonts w:asciiTheme="minorHAnsi" w:eastAsiaTheme="minorEastAsia" w:hAnsiTheme="minorHAnsi" w:cstheme="minorHAnsi"/>
          <w:b/>
          <w:noProof/>
          <w:color w:val="auto"/>
          <w:sz w:val="22"/>
          <w:szCs w:val="22"/>
          <w:lang w:eastAsia="en-AU"/>
        </w:rPr>
      </w:pPr>
      <w:r w:rsidRPr="00B35847">
        <w:rPr>
          <w:rFonts w:asciiTheme="minorHAnsi" w:eastAsiaTheme="minorEastAsia" w:hAnsiTheme="minorHAnsi" w:cstheme="minorHAnsi"/>
          <w:b/>
          <w:noProof/>
          <w:color w:val="auto"/>
          <w:sz w:val="22"/>
          <w:szCs w:val="22"/>
          <w:lang w:eastAsia="en-AU"/>
        </w:rPr>
        <w:t>Article 15. Endorsement</w:t>
      </w:r>
    </w:p>
    <w:p w14:paraId="03F52FBC" w14:textId="18D7374C"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Where the law requires or permits the endorsement in any form of a transferable document or instrument, that requirement is met with respect to an electronic transferable record if the information required for the endorsement is included in the electronic transferable record and that information is compliant with the requirements set forth in articles 8 and 9.</w:t>
      </w:r>
    </w:p>
    <w:p w14:paraId="3A6686B2" w14:textId="4097C116" w:rsidR="007D0DC1" w:rsidRPr="00A272C4" w:rsidRDefault="007D0DC1" w:rsidP="00A272C4">
      <w:pPr>
        <w:jc w:val="center"/>
        <w:rPr>
          <w:rFonts w:asciiTheme="minorHAnsi" w:eastAsiaTheme="minorEastAsia" w:hAnsiTheme="minorHAnsi" w:cstheme="minorHAnsi"/>
          <w:b/>
          <w:noProof/>
          <w:color w:val="auto"/>
          <w:sz w:val="22"/>
          <w:szCs w:val="22"/>
          <w:lang w:eastAsia="en-AU"/>
        </w:rPr>
      </w:pPr>
      <w:r w:rsidRPr="00B35847">
        <w:rPr>
          <w:rFonts w:asciiTheme="minorHAnsi" w:eastAsiaTheme="minorEastAsia" w:hAnsiTheme="minorHAnsi" w:cstheme="minorHAnsi"/>
          <w:b/>
          <w:noProof/>
          <w:color w:val="auto"/>
          <w:sz w:val="22"/>
          <w:szCs w:val="22"/>
          <w:lang w:eastAsia="en-AU"/>
        </w:rPr>
        <w:t>Article 16. Amendment</w:t>
      </w:r>
    </w:p>
    <w:p w14:paraId="5D2BBAC2" w14:textId="13710AF8" w:rsidR="007D0DC1" w:rsidRPr="00967D34" w:rsidRDefault="007D0DC1" w:rsidP="00967D34">
      <w:pPr>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Where the law requires or permits the amendment of a transferable document or instrument, that requirement is met with respect to an electronic transferable record if a reliable method is used for amendment of information in the electronic transferable record so that the amended information is identified as such.</w:t>
      </w:r>
    </w:p>
    <w:p w14:paraId="71A879D1" w14:textId="77777777" w:rsidR="007D0DC1" w:rsidRPr="00B35847" w:rsidRDefault="007D0DC1" w:rsidP="00B35847">
      <w:pPr>
        <w:jc w:val="center"/>
        <w:rPr>
          <w:rFonts w:asciiTheme="minorHAnsi" w:eastAsiaTheme="minorEastAsia" w:hAnsiTheme="minorHAnsi" w:cstheme="minorHAnsi"/>
          <w:b/>
          <w:noProof/>
          <w:color w:val="auto"/>
          <w:sz w:val="22"/>
          <w:szCs w:val="22"/>
          <w:lang w:eastAsia="en-AU"/>
        </w:rPr>
      </w:pPr>
      <w:r w:rsidRPr="00B35847">
        <w:rPr>
          <w:rFonts w:asciiTheme="minorHAnsi" w:eastAsiaTheme="minorEastAsia" w:hAnsiTheme="minorHAnsi" w:cstheme="minorHAnsi"/>
          <w:b/>
          <w:noProof/>
          <w:color w:val="auto"/>
          <w:sz w:val="22"/>
          <w:szCs w:val="22"/>
          <w:lang w:eastAsia="en-AU"/>
        </w:rPr>
        <w:lastRenderedPageBreak/>
        <w:t>Article 17. Replacement of a transferable document or instrument with an electronic transferable record</w:t>
      </w:r>
    </w:p>
    <w:p w14:paraId="675642DB" w14:textId="77777777" w:rsidR="007D0DC1" w:rsidRPr="00967D34" w:rsidRDefault="007D0DC1" w:rsidP="00707E76">
      <w:pPr>
        <w:ind w:left="720" w:hanging="720"/>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1.</w:t>
      </w:r>
      <w:r w:rsidRPr="00967D34">
        <w:rPr>
          <w:rFonts w:asciiTheme="minorHAnsi" w:eastAsiaTheme="minorEastAsia" w:hAnsiTheme="minorHAnsi" w:cstheme="minorHAnsi"/>
          <w:noProof/>
          <w:color w:val="auto"/>
          <w:sz w:val="22"/>
          <w:szCs w:val="22"/>
          <w:lang w:eastAsia="en-AU"/>
        </w:rPr>
        <w:tab/>
        <w:t>An electronic transferable record may replace a transferable document or instrument if a reliable method for the change of medium is used.</w:t>
      </w:r>
    </w:p>
    <w:p w14:paraId="734FB62E" w14:textId="77777777" w:rsidR="007D0DC1" w:rsidRPr="00967D34" w:rsidRDefault="007D0DC1" w:rsidP="00707E76">
      <w:pPr>
        <w:ind w:left="720" w:hanging="720"/>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2.</w:t>
      </w:r>
      <w:r w:rsidRPr="00967D34">
        <w:rPr>
          <w:rFonts w:asciiTheme="minorHAnsi" w:eastAsiaTheme="minorEastAsia" w:hAnsiTheme="minorHAnsi" w:cstheme="minorHAnsi"/>
          <w:noProof/>
          <w:color w:val="auto"/>
          <w:sz w:val="22"/>
          <w:szCs w:val="22"/>
          <w:lang w:eastAsia="en-AU"/>
        </w:rPr>
        <w:tab/>
        <w:t>For the change of medium to take effect, a statement indicating a change of medium shall be inserted in the electronic transferable record.</w:t>
      </w:r>
    </w:p>
    <w:p w14:paraId="540CEEC2" w14:textId="77777777" w:rsidR="007D0DC1" w:rsidRPr="00967D34" w:rsidRDefault="007D0DC1" w:rsidP="00707E76">
      <w:pPr>
        <w:ind w:left="720" w:hanging="720"/>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3.</w:t>
      </w:r>
      <w:r w:rsidRPr="00967D34">
        <w:rPr>
          <w:rFonts w:asciiTheme="minorHAnsi" w:eastAsiaTheme="minorEastAsia" w:hAnsiTheme="minorHAnsi" w:cstheme="minorHAnsi"/>
          <w:noProof/>
          <w:color w:val="auto"/>
          <w:sz w:val="22"/>
          <w:szCs w:val="22"/>
          <w:lang w:eastAsia="en-AU"/>
        </w:rPr>
        <w:tab/>
        <w:t>Upon issuance of the electronic transferable record in accordance with paragraphs 1 and 2, the transferable document or instrument shall be made inoperative and ceases to have any effect or validity.</w:t>
      </w:r>
    </w:p>
    <w:p w14:paraId="4DD113C1" w14:textId="144BA6F0" w:rsidR="007D0DC1" w:rsidRPr="00967D34" w:rsidRDefault="007D0DC1" w:rsidP="00707E76">
      <w:pPr>
        <w:ind w:left="720" w:hanging="720"/>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4.</w:t>
      </w:r>
      <w:r w:rsidRPr="00967D34">
        <w:rPr>
          <w:rFonts w:asciiTheme="minorHAnsi" w:eastAsiaTheme="minorEastAsia" w:hAnsiTheme="minorHAnsi" w:cstheme="minorHAnsi"/>
          <w:noProof/>
          <w:color w:val="auto"/>
          <w:sz w:val="22"/>
          <w:szCs w:val="22"/>
          <w:lang w:eastAsia="en-AU"/>
        </w:rPr>
        <w:tab/>
        <w:t>A change of medium in accordance with paragraphs 1 and 2 shall not affect the rights and obligations of the parties.</w:t>
      </w:r>
    </w:p>
    <w:p w14:paraId="68EFA768" w14:textId="77777777" w:rsidR="007D0DC1" w:rsidRPr="00B35847" w:rsidRDefault="007D0DC1" w:rsidP="00B35847">
      <w:pPr>
        <w:jc w:val="center"/>
        <w:rPr>
          <w:rFonts w:asciiTheme="minorHAnsi" w:eastAsiaTheme="minorEastAsia" w:hAnsiTheme="minorHAnsi" w:cstheme="minorHAnsi"/>
          <w:b/>
          <w:noProof/>
          <w:color w:val="auto"/>
          <w:sz w:val="22"/>
          <w:szCs w:val="22"/>
          <w:lang w:eastAsia="en-AU"/>
        </w:rPr>
      </w:pPr>
      <w:r w:rsidRPr="00B35847">
        <w:rPr>
          <w:rFonts w:asciiTheme="minorHAnsi" w:eastAsiaTheme="minorEastAsia" w:hAnsiTheme="minorHAnsi" w:cstheme="minorHAnsi"/>
          <w:b/>
          <w:noProof/>
          <w:color w:val="auto"/>
          <w:sz w:val="22"/>
          <w:szCs w:val="22"/>
          <w:lang w:eastAsia="en-AU"/>
        </w:rPr>
        <w:t>Article 18. Replacement of an electronic transferable record with a transferable document or instrument</w:t>
      </w:r>
    </w:p>
    <w:p w14:paraId="4CF627E2" w14:textId="77777777" w:rsidR="007D0DC1" w:rsidRPr="00967D34" w:rsidRDefault="007D0DC1" w:rsidP="00707E76">
      <w:pPr>
        <w:ind w:left="720" w:hanging="720"/>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1.</w:t>
      </w:r>
      <w:r w:rsidRPr="00967D34">
        <w:rPr>
          <w:rFonts w:asciiTheme="minorHAnsi" w:eastAsiaTheme="minorEastAsia" w:hAnsiTheme="minorHAnsi" w:cstheme="minorHAnsi"/>
          <w:noProof/>
          <w:color w:val="auto"/>
          <w:sz w:val="22"/>
          <w:szCs w:val="22"/>
          <w:lang w:eastAsia="en-AU"/>
        </w:rPr>
        <w:tab/>
        <w:t>A transferable document or instrument may replace an electronic transferable record if a reliable method for the change of medium is used.</w:t>
      </w:r>
    </w:p>
    <w:p w14:paraId="1A64E08C" w14:textId="77777777" w:rsidR="007D0DC1" w:rsidRPr="00967D34" w:rsidRDefault="007D0DC1" w:rsidP="00707E76">
      <w:pPr>
        <w:ind w:left="720" w:hanging="720"/>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2.</w:t>
      </w:r>
      <w:r w:rsidRPr="00967D34">
        <w:rPr>
          <w:rFonts w:asciiTheme="minorHAnsi" w:eastAsiaTheme="minorEastAsia" w:hAnsiTheme="minorHAnsi" w:cstheme="minorHAnsi"/>
          <w:noProof/>
          <w:color w:val="auto"/>
          <w:sz w:val="22"/>
          <w:szCs w:val="22"/>
          <w:lang w:eastAsia="en-AU"/>
        </w:rPr>
        <w:tab/>
        <w:t>For the change of medium to take effect, a statement indicating a change of medium shall be inserted in the transferable document or instrument.</w:t>
      </w:r>
    </w:p>
    <w:p w14:paraId="2B070D5D" w14:textId="77777777" w:rsidR="007D0DC1" w:rsidRPr="00967D34" w:rsidRDefault="007D0DC1" w:rsidP="00707E76">
      <w:pPr>
        <w:ind w:left="720" w:hanging="720"/>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3.</w:t>
      </w:r>
      <w:r w:rsidRPr="00967D34">
        <w:rPr>
          <w:rFonts w:asciiTheme="minorHAnsi" w:eastAsiaTheme="minorEastAsia" w:hAnsiTheme="minorHAnsi" w:cstheme="minorHAnsi"/>
          <w:noProof/>
          <w:color w:val="auto"/>
          <w:sz w:val="22"/>
          <w:szCs w:val="22"/>
          <w:lang w:eastAsia="en-AU"/>
        </w:rPr>
        <w:tab/>
        <w:t>Upon issuance of the transferable document or instrument in accordance with paragraphs 1 and 2, the electronic transferable record shall be made inoperative and ceases to have any effect or validity.</w:t>
      </w:r>
    </w:p>
    <w:p w14:paraId="5E85A0A4" w14:textId="72BE93F2" w:rsidR="007D0DC1" w:rsidRPr="00967D34" w:rsidRDefault="007D0DC1" w:rsidP="00707E76">
      <w:pPr>
        <w:ind w:left="720" w:hanging="720"/>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4.</w:t>
      </w:r>
      <w:r w:rsidRPr="00967D34">
        <w:rPr>
          <w:rFonts w:asciiTheme="minorHAnsi" w:eastAsiaTheme="minorEastAsia" w:hAnsiTheme="minorHAnsi" w:cstheme="minorHAnsi"/>
          <w:noProof/>
          <w:color w:val="auto"/>
          <w:sz w:val="22"/>
          <w:szCs w:val="22"/>
          <w:lang w:eastAsia="en-AU"/>
        </w:rPr>
        <w:tab/>
        <w:t>A change of medium in accordance with paragraphs 1 and 2 shall not affect the rights and obligations of the parties.</w:t>
      </w:r>
    </w:p>
    <w:p w14:paraId="1CC0BF63" w14:textId="77777777" w:rsidR="00626914" w:rsidRDefault="00626914" w:rsidP="00626914">
      <w:pPr>
        <w:jc w:val="center"/>
        <w:rPr>
          <w:rFonts w:asciiTheme="minorHAnsi" w:eastAsiaTheme="minorEastAsia" w:hAnsiTheme="minorHAnsi" w:cstheme="minorHAnsi"/>
          <w:b/>
          <w:noProof/>
          <w:color w:val="auto"/>
          <w:sz w:val="32"/>
          <w:szCs w:val="22"/>
          <w:lang w:eastAsia="en-AU"/>
        </w:rPr>
      </w:pPr>
    </w:p>
    <w:p w14:paraId="4770AD1D" w14:textId="5615C8AF" w:rsidR="007D0DC1" w:rsidRPr="00626914" w:rsidRDefault="007D0DC1" w:rsidP="00626914">
      <w:pPr>
        <w:jc w:val="center"/>
        <w:rPr>
          <w:rFonts w:asciiTheme="minorHAnsi" w:eastAsiaTheme="minorEastAsia" w:hAnsiTheme="minorHAnsi" w:cstheme="minorHAnsi"/>
          <w:b/>
          <w:noProof/>
          <w:color w:val="auto"/>
          <w:sz w:val="32"/>
          <w:szCs w:val="22"/>
          <w:lang w:eastAsia="en-AU"/>
        </w:rPr>
      </w:pPr>
      <w:r w:rsidRPr="00626914">
        <w:rPr>
          <w:rFonts w:asciiTheme="minorHAnsi" w:eastAsiaTheme="minorEastAsia" w:hAnsiTheme="minorHAnsi" w:cstheme="minorHAnsi"/>
          <w:b/>
          <w:noProof/>
          <w:color w:val="auto"/>
          <w:sz w:val="32"/>
          <w:szCs w:val="22"/>
          <w:lang w:eastAsia="en-AU"/>
        </w:rPr>
        <w:t>CHAPTER IV. CROSS-BORDER RECOGNITION OF ELECTRONIC TRANSFERABLE RECORDS</w:t>
      </w:r>
    </w:p>
    <w:p w14:paraId="48ADFCD6" w14:textId="77777777" w:rsidR="007D0DC1" w:rsidRPr="00B35847" w:rsidRDefault="007D0DC1" w:rsidP="00B35847">
      <w:pPr>
        <w:jc w:val="center"/>
        <w:rPr>
          <w:rFonts w:asciiTheme="minorHAnsi" w:eastAsiaTheme="minorEastAsia" w:hAnsiTheme="minorHAnsi" w:cstheme="minorHAnsi"/>
          <w:b/>
          <w:noProof/>
          <w:color w:val="auto"/>
          <w:sz w:val="22"/>
          <w:szCs w:val="22"/>
          <w:lang w:eastAsia="en-AU"/>
        </w:rPr>
      </w:pPr>
      <w:r w:rsidRPr="00B35847">
        <w:rPr>
          <w:rFonts w:asciiTheme="minorHAnsi" w:eastAsiaTheme="minorEastAsia" w:hAnsiTheme="minorHAnsi" w:cstheme="minorHAnsi"/>
          <w:b/>
          <w:noProof/>
          <w:color w:val="auto"/>
          <w:sz w:val="22"/>
          <w:szCs w:val="22"/>
          <w:lang w:eastAsia="en-AU"/>
        </w:rPr>
        <w:t>Article 19. Non-discrimination of foreign electronic transferable records</w:t>
      </w:r>
    </w:p>
    <w:p w14:paraId="55C98CA3" w14:textId="77777777" w:rsidR="007D0DC1" w:rsidRPr="00967D34" w:rsidRDefault="007D0DC1" w:rsidP="00707E76">
      <w:pPr>
        <w:ind w:left="720" w:hanging="720"/>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1.</w:t>
      </w:r>
      <w:r w:rsidRPr="00967D34">
        <w:rPr>
          <w:rFonts w:asciiTheme="minorHAnsi" w:eastAsiaTheme="minorEastAsia" w:hAnsiTheme="minorHAnsi" w:cstheme="minorHAnsi"/>
          <w:noProof/>
          <w:color w:val="auto"/>
          <w:sz w:val="22"/>
          <w:szCs w:val="22"/>
          <w:lang w:eastAsia="en-AU"/>
        </w:rPr>
        <w:tab/>
        <w:t>An electronic transferable record shall not be denied legal effect, validity or enforceability on the sole ground that it was issued or used abroad.</w:t>
      </w:r>
    </w:p>
    <w:p w14:paraId="1AC1AD24" w14:textId="143EB28A" w:rsidR="007D0DC1" w:rsidRPr="00967D34" w:rsidRDefault="007D0DC1" w:rsidP="00707E76">
      <w:pPr>
        <w:ind w:left="720" w:hanging="720"/>
        <w:jc w:val="both"/>
        <w:rPr>
          <w:rFonts w:asciiTheme="minorHAnsi" w:eastAsiaTheme="minorEastAsia" w:hAnsiTheme="minorHAnsi" w:cstheme="minorHAnsi"/>
          <w:noProof/>
          <w:color w:val="auto"/>
          <w:sz w:val="22"/>
          <w:szCs w:val="22"/>
          <w:lang w:eastAsia="en-AU"/>
        </w:rPr>
      </w:pPr>
      <w:r w:rsidRPr="00967D34">
        <w:rPr>
          <w:rFonts w:asciiTheme="minorHAnsi" w:eastAsiaTheme="minorEastAsia" w:hAnsiTheme="minorHAnsi" w:cstheme="minorHAnsi"/>
          <w:noProof/>
          <w:color w:val="auto"/>
          <w:sz w:val="22"/>
          <w:szCs w:val="22"/>
          <w:lang w:eastAsia="en-AU"/>
        </w:rPr>
        <w:t>2.</w:t>
      </w:r>
      <w:r w:rsidRPr="00967D34">
        <w:rPr>
          <w:rFonts w:asciiTheme="minorHAnsi" w:eastAsiaTheme="minorEastAsia" w:hAnsiTheme="minorHAnsi" w:cstheme="minorHAnsi"/>
          <w:noProof/>
          <w:color w:val="auto"/>
          <w:sz w:val="22"/>
          <w:szCs w:val="22"/>
          <w:lang w:eastAsia="en-AU"/>
        </w:rPr>
        <w:tab/>
        <w:t>Nothing in this Law affects the application to electronic transferable records of rules of private international law governing a transferable document or instrument.</w:t>
      </w:r>
    </w:p>
    <w:p w14:paraId="69C6AC52" w14:textId="68E98063" w:rsidR="00BE556B" w:rsidRDefault="00BE556B" w:rsidP="00843D0E">
      <w:pPr>
        <w:rPr>
          <w:rFonts w:asciiTheme="minorHAnsi" w:eastAsiaTheme="minorEastAsia" w:hAnsiTheme="minorHAnsi" w:cstheme="minorHAnsi"/>
          <w:b/>
          <w:noProof/>
          <w:color w:val="auto"/>
          <w:sz w:val="22"/>
          <w:szCs w:val="22"/>
          <w:lang w:eastAsia="en-AU"/>
        </w:rPr>
      </w:pPr>
    </w:p>
    <w:p w14:paraId="4D949609" w14:textId="77777777" w:rsidR="00B15EDD" w:rsidRPr="00780D76" w:rsidRDefault="00B15EDD" w:rsidP="00843D0E">
      <w:pPr>
        <w:pStyle w:val="Heading1"/>
        <w:rPr>
          <w:rFonts w:asciiTheme="minorHAnsi" w:hAnsiTheme="minorHAnsi" w:cstheme="minorHAnsi"/>
        </w:rPr>
      </w:pPr>
      <w:bookmarkStart w:id="153" w:name="_Toc176437898"/>
      <w:r w:rsidRPr="00780D76">
        <w:rPr>
          <w:rFonts w:asciiTheme="minorHAnsi" w:hAnsiTheme="minorHAnsi" w:cstheme="minorHAnsi"/>
        </w:rPr>
        <w:lastRenderedPageBreak/>
        <w:t>Annexure B - Consultation questions</w:t>
      </w:r>
      <w:bookmarkEnd w:id="153"/>
    </w:p>
    <w:p w14:paraId="584CA797" w14:textId="77777777" w:rsidR="00486988" w:rsidRPr="00780D76" w:rsidRDefault="00486988" w:rsidP="00323C37">
      <w:pPr>
        <w:pStyle w:val="Heading2"/>
        <w:rPr>
          <w:rFonts w:asciiTheme="minorHAnsi" w:hAnsiTheme="minorHAnsi" w:cstheme="minorHAnsi"/>
        </w:rPr>
      </w:pPr>
      <w:r w:rsidRPr="00780D76">
        <w:rPr>
          <w:rFonts w:asciiTheme="minorHAnsi" w:hAnsiTheme="minorHAnsi" w:cstheme="minorHAnsi"/>
        </w:rPr>
        <w:t>2</w:t>
      </w:r>
      <w:r w:rsidR="00843D0E" w:rsidRPr="00780D76">
        <w:rPr>
          <w:rFonts w:asciiTheme="minorHAnsi" w:hAnsiTheme="minorHAnsi" w:cstheme="minorHAnsi"/>
        </w:rPr>
        <w:t>.</w:t>
      </w:r>
      <w:r w:rsidRPr="00780D76">
        <w:rPr>
          <w:rFonts w:asciiTheme="minorHAnsi" w:hAnsiTheme="minorHAnsi" w:cstheme="minorHAnsi"/>
        </w:rPr>
        <w:t xml:space="preserve"> How transferable records are used in Australia </w:t>
      </w:r>
    </w:p>
    <w:p w14:paraId="0FC64145" w14:textId="77777777" w:rsidR="00486988" w:rsidRPr="00780D76" w:rsidRDefault="00486988" w:rsidP="00323C37">
      <w:pPr>
        <w:pStyle w:val="Heading3"/>
        <w:rPr>
          <w:rFonts w:asciiTheme="minorHAnsi" w:hAnsiTheme="minorHAnsi" w:cstheme="minorHAnsi"/>
        </w:rPr>
      </w:pPr>
      <w:r w:rsidRPr="00780D76">
        <w:rPr>
          <w:rFonts w:asciiTheme="minorHAnsi" w:hAnsiTheme="minorHAnsi" w:cstheme="minorHAnsi"/>
        </w:rPr>
        <w:t>2.1. What are transferable records?</w:t>
      </w:r>
    </w:p>
    <w:p w14:paraId="43C2BFBE" w14:textId="77777777" w:rsidR="00486988" w:rsidRPr="00780D76" w:rsidRDefault="00486988" w:rsidP="00843D0E">
      <w:pPr>
        <w:pStyle w:val="Boxheading"/>
        <w:spacing w:line="240" w:lineRule="auto"/>
        <w:ind w:left="0"/>
        <w:rPr>
          <w:rFonts w:asciiTheme="minorHAnsi" w:hAnsiTheme="minorHAnsi" w:cstheme="minorHAnsi"/>
          <w:b/>
          <w:caps w:val="0"/>
          <w:color w:val="auto"/>
          <w:sz w:val="28"/>
        </w:rPr>
      </w:pPr>
      <w:r w:rsidRPr="00780D76">
        <w:rPr>
          <w:rFonts w:asciiTheme="minorHAnsi" w:hAnsiTheme="minorHAnsi" w:cstheme="minorHAnsi"/>
          <w:b/>
          <w:caps w:val="0"/>
          <w:color w:val="auto"/>
          <w:sz w:val="28"/>
        </w:rPr>
        <w:t>Question 1</w:t>
      </w:r>
      <w:r w:rsidR="00323C37" w:rsidRPr="00780D76">
        <w:rPr>
          <w:rFonts w:asciiTheme="minorHAnsi" w:hAnsiTheme="minorHAnsi" w:cstheme="minorHAnsi"/>
          <w:b/>
          <w:caps w:val="0"/>
          <w:color w:val="auto"/>
          <w:sz w:val="28"/>
        </w:rPr>
        <w:t>.</w:t>
      </w:r>
    </w:p>
    <w:p w14:paraId="2142C766" w14:textId="77777777" w:rsidR="00486988" w:rsidRPr="00780D76" w:rsidRDefault="00486988" w:rsidP="00843D0E">
      <w:pPr>
        <w:pStyle w:val="Boxheading"/>
        <w:spacing w:line="240" w:lineRule="auto"/>
        <w:ind w:left="0"/>
        <w:rPr>
          <w:rFonts w:asciiTheme="minorHAnsi" w:hAnsiTheme="minorHAnsi" w:cstheme="minorHAnsi"/>
          <w:caps w:val="0"/>
          <w:color w:val="auto"/>
        </w:rPr>
      </w:pPr>
      <w:r w:rsidRPr="00780D76">
        <w:rPr>
          <w:rFonts w:asciiTheme="minorHAnsi" w:hAnsiTheme="minorHAnsi" w:cstheme="minorHAnsi"/>
          <w:caps w:val="0"/>
          <w:color w:val="auto"/>
        </w:rPr>
        <w:t xml:space="preserve">Please identify which of the below documents you most predominantly use in your business activities. You may select more than one. </w:t>
      </w:r>
    </w:p>
    <w:p w14:paraId="19E852B3" w14:textId="77777777" w:rsidR="00486988" w:rsidRPr="00780D76" w:rsidRDefault="00486988" w:rsidP="00843D0E">
      <w:pPr>
        <w:pStyle w:val="Boxheading"/>
        <w:spacing w:line="240" w:lineRule="auto"/>
        <w:ind w:left="0"/>
        <w:rPr>
          <w:rFonts w:asciiTheme="minorHAnsi" w:hAnsiTheme="minorHAnsi" w:cstheme="minorHAnsi"/>
          <w:caps w:val="0"/>
          <w:color w:val="auto"/>
        </w:rPr>
      </w:pPr>
      <w:r w:rsidRPr="00780D76">
        <w:rPr>
          <w:rFonts w:asciiTheme="minorHAnsi" w:hAnsiTheme="minorHAnsi" w:cstheme="minorHAnsi"/>
          <w:caps w:val="0"/>
          <w:color w:val="auto"/>
        </w:rPr>
        <w:t>Alternatively, if you do not use any of these documents yourselves, please select those with which you are most familiar, or with which others in your network most predominantly use.</w:t>
      </w:r>
    </w:p>
    <w:p w14:paraId="00B94AD0" w14:textId="5FB01532" w:rsidR="00486988" w:rsidRDefault="00486988" w:rsidP="00610159">
      <w:pPr>
        <w:pStyle w:val="Boxheading"/>
        <w:numPr>
          <w:ilvl w:val="0"/>
          <w:numId w:val="51"/>
        </w:numPr>
        <w:spacing w:line="240" w:lineRule="auto"/>
        <w:rPr>
          <w:rFonts w:asciiTheme="minorHAnsi" w:hAnsiTheme="minorHAnsi" w:cstheme="minorHAnsi"/>
          <w:b/>
          <w:caps w:val="0"/>
          <w:color w:val="auto"/>
        </w:rPr>
      </w:pPr>
      <w:r w:rsidRPr="00780D76">
        <w:rPr>
          <w:rFonts w:asciiTheme="minorHAnsi" w:hAnsiTheme="minorHAnsi" w:cstheme="minorHAnsi"/>
          <w:b/>
          <w:caps w:val="0"/>
          <w:color w:val="auto"/>
        </w:rPr>
        <w:t xml:space="preserve">bills of exchange </w:t>
      </w:r>
      <w:r w:rsidRPr="00780D76">
        <w:rPr>
          <w:rFonts w:asciiTheme="minorHAnsi" w:hAnsiTheme="minorHAnsi" w:cstheme="minorHAnsi"/>
          <w:b/>
          <w:caps w:val="0"/>
          <w:color w:val="auto"/>
        </w:rPr>
        <w:tab/>
      </w:r>
      <w:r w:rsidRPr="00780D76">
        <w:rPr>
          <w:rFonts w:asciiTheme="minorHAnsi" w:hAnsiTheme="minorHAnsi" w:cstheme="minorHAnsi"/>
          <w:b/>
          <w:caps w:val="0"/>
          <w:color w:val="auto"/>
        </w:rPr>
        <w:tab/>
      </w:r>
      <w:r w:rsidRPr="00780D76">
        <w:rPr>
          <w:rFonts w:asciiTheme="minorHAnsi" w:hAnsiTheme="minorHAnsi" w:cstheme="minorHAnsi"/>
          <w:b/>
          <w:caps w:val="0"/>
          <w:color w:val="auto"/>
        </w:rPr>
        <w:tab/>
      </w:r>
      <w:r w:rsidRPr="00780D76">
        <w:rPr>
          <w:rFonts w:asciiTheme="minorHAnsi" w:hAnsiTheme="minorHAnsi" w:cstheme="minorHAnsi"/>
          <w:b/>
          <w:caps w:val="0"/>
          <w:color w:val="auto"/>
        </w:rPr>
        <w:tab/>
      </w:r>
    </w:p>
    <w:p w14:paraId="6ABCA508" w14:textId="6917C4D7" w:rsidR="00610159" w:rsidRPr="00610159" w:rsidRDefault="00610159" w:rsidP="00610159">
      <w:pPr>
        <w:pStyle w:val="Boxheading"/>
        <w:numPr>
          <w:ilvl w:val="0"/>
          <w:numId w:val="51"/>
        </w:numPr>
        <w:spacing w:line="240" w:lineRule="auto"/>
        <w:rPr>
          <w:rFonts w:asciiTheme="minorHAnsi" w:hAnsiTheme="minorHAnsi" w:cstheme="minorHAnsi"/>
          <w:b/>
          <w:caps w:val="0"/>
          <w:color w:val="auto"/>
        </w:rPr>
      </w:pPr>
      <w:r w:rsidRPr="00610159">
        <w:rPr>
          <w:rFonts w:asciiTheme="minorHAnsi" w:hAnsiTheme="minorHAnsi" w:cstheme="minorHAnsi"/>
          <w:b/>
          <w:caps w:val="0"/>
          <w:color w:val="auto"/>
        </w:rPr>
        <w:t>cheques</w:t>
      </w:r>
      <w:r w:rsidRPr="00610159">
        <w:rPr>
          <w:rFonts w:asciiTheme="minorHAnsi" w:hAnsiTheme="minorHAnsi" w:cstheme="minorHAnsi"/>
          <w:b/>
          <w:caps w:val="0"/>
          <w:color w:val="auto"/>
        </w:rPr>
        <w:tab/>
      </w:r>
      <w:r w:rsidRPr="00610159">
        <w:rPr>
          <w:rFonts w:asciiTheme="minorHAnsi" w:hAnsiTheme="minorHAnsi" w:cstheme="minorHAnsi"/>
          <w:b/>
          <w:caps w:val="0"/>
          <w:color w:val="auto"/>
        </w:rPr>
        <w:tab/>
      </w:r>
      <w:r w:rsidRPr="00610159">
        <w:rPr>
          <w:rFonts w:asciiTheme="minorHAnsi" w:hAnsiTheme="minorHAnsi" w:cstheme="minorHAnsi"/>
          <w:b/>
          <w:caps w:val="0"/>
          <w:color w:val="auto"/>
        </w:rPr>
        <w:tab/>
      </w:r>
      <w:r w:rsidRPr="00610159">
        <w:rPr>
          <w:rFonts w:asciiTheme="minorHAnsi" w:hAnsiTheme="minorHAnsi" w:cstheme="minorHAnsi"/>
          <w:b/>
          <w:caps w:val="0"/>
          <w:color w:val="auto"/>
        </w:rPr>
        <w:tab/>
      </w:r>
      <w:r w:rsidRPr="00610159">
        <w:rPr>
          <w:rFonts w:asciiTheme="minorHAnsi" w:hAnsiTheme="minorHAnsi" w:cstheme="minorHAnsi"/>
          <w:b/>
          <w:caps w:val="0"/>
          <w:color w:val="auto"/>
        </w:rPr>
        <w:tab/>
      </w:r>
    </w:p>
    <w:p w14:paraId="62142083" w14:textId="6C9E6F7E" w:rsidR="00610159" w:rsidRPr="00610159" w:rsidRDefault="00610159" w:rsidP="00610159">
      <w:pPr>
        <w:pStyle w:val="Boxheading"/>
        <w:numPr>
          <w:ilvl w:val="0"/>
          <w:numId w:val="51"/>
        </w:numPr>
        <w:spacing w:line="240" w:lineRule="auto"/>
        <w:rPr>
          <w:rFonts w:asciiTheme="minorHAnsi" w:hAnsiTheme="minorHAnsi" w:cstheme="minorHAnsi"/>
          <w:b/>
          <w:caps w:val="0"/>
          <w:color w:val="auto"/>
        </w:rPr>
      </w:pPr>
      <w:r w:rsidRPr="00610159">
        <w:rPr>
          <w:rFonts w:asciiTheme="minorHAnsi" w:hAnsiTheme="minorHAnsi" w:cstheme="minorHAnsi"/>
          <w:b/>
          <w:caps w:val="0"/>
          <w:color w:val="auto"/>
        </w:rPr>
        <w:t>Promissory notes</w:t>
      </w:r>
      <w:r w:rsidRPr="00610159">
        <w:rPr>
          <w:rFonts w:asciiTheme="minorHAnsi" w:hAnsiTheme="minorHAnsi" w:cstheme="minorHAnsi"/>
          <w:b/>
          <w:caps w:val="0"/>
          <w:color w:val="auto"/>
        </w:rPr>
        <w:tab/>
      </w:r>
      <w:r w:rsidRPr="00610159">
        <w:rPr>
          <w:rFonts w:asciiTheme="minorHAnsi" w:hAnsiTheme="minorHAnsi" w:cstheme="minorHAnsi"/>
          <w:b/>
          <w:caps w:val="0"/>
          <w:color w:val="auto"/>
        </w:rPr>
        <w:tab/>
      </w:r>
      <w:r w:rsidRPr="00610159">
        <w:rPr>
          <w:rFonts w:asciiTheme="minorHAnsi" w:hAnsiTheme="minorHAnsi" w:cstheme="minorHAnsi"/>
          <w:b/>
          <w:caps w:val="0"/>
          <w:color w:val="auto"/>
        </w:rPr>
        <w:tab/>
      </w:r>
      <w:r w:rsidRPr="00610159">
        <w:rPr>
          <w:rFonts w:asciiTheme="minorHAnsi" w:hAnsiTheme="minorHAnsi" w:cstheme="minorHAnsi"/>
          <w:b/>
          <w:caps w:val="0"/>
          <w:color w:val="auto"/>
        </w:rPr>
        <w:tab/>
      </w:r>
    </w:p>
    <w:p w14:paraId="39301E0D" w14:textId="78FC4EFC" w:rsidR="00610159" w:rsidRPr="00610159" w:rsidRDefault="00610159" w:rsidP="00610159">
      <w:pPr>
        <w:pStyle w:val="Boxheading"/>
        <w:numPr>
          <w:ilvl w:val="0"/>
          <w:numId w:val="51"/>
        </w:numPr>
        <w:spacing w:line="240" w:lineRule="auto"/>
        <w:rPr>
          <w:rFonts w:asciiTheme="minorHAnsi" w:hAnsiTheme="minorHAnsi" w:cstheme="minorHAnsi"/>
          <w:b/>
          <w:caps w:val="0"/>
          <w:color w:val="auto"/>
        </w:rPr>
      </w:pPr>
      <w:r w:rsidRPr="00610159">
        <w:rPr>
          <w:rFonts w:asciiTheme="minorHAnsi" w:hAnsiTheme="minorHAnsi" w:cstheme="minorHAnsi"/>
          <w:b/>
          <w:caps w:val="0"/>
          <w:color w:val="auto"/>
        </w:rPr>
        <w:t>consignment notes</w:t>
      </w:r>
      <w:r w:rsidRPr="00610159">
        <w:rPr>
          <w:rFonts w:asciiTheme="minorHAnsi" w:hAnsiTheme="minorHAnsi" w:cstheme="minorHAnsi"/>
          <w:b/>
          <w:caps w:val="0"/>
          <w:color w:val="auto"/>
        </w:rPr>
        <w:tab/>
      </w:r>
      <w:r w:rsidRPr="00610159">
        <w:rPr>
          <w:rFonts w:asciiTheme="minorHAnsi" w:hAnsiTheme="minorHAnsi" w:cstheme="minorHAnsi"/>
          <w:b/>
          <w:caps w:val="0"/>
          <w:color w:val="auto"/>
        </w:rPr>
        <w:tab/>
      </w:r>
      <w:r w:rsidRPr="00610159">
        <w:rPr>
          <w:rFonts w:asciiTheme="minorHAnsi" w:hAnsiTheme="minorHAnsi" w:cstheme="minorHAnsi"/>
          <w:b/>
          <w:caps w:val="0"/>
          <w:color w:val="auto"/>
        </w:rPr>
        <w:tab/>
      </w:r>
    </w:p>
    <w:p w14:paraId="05FDB81C" w14:textId="0A88B42A" w:rsidR="00610159" w:rsidRPr="00610159" w:rsidRDefault="00610159" w:rsidP="00610159">
      <w:pPr>
        <w:pStyle w:val="Boxheading"/>
        <w:numPr>
          <w:ilvl w:val="0"/>
          <w:numId w:val="51"/>
        </w:numPr>
        <w:spacing w:line="240" w:lineRule="auto"/>
        <w:rPr>
          <w:rFonts w:asciiTheme="minorHAnsi" w:hAnsiTheme="minorHAnsi" w:cstheme="minorHAnsi"/>
          <w:b/>
          <w:caps w:val="0"/>
          <w:color w:val="auto"/>
        </w:rPr>
      </w:pPr>
      <w:r w:rsidRPr="00610159">
        <w:rPr>
          <w:rFonts w:asciiTheme="minorHAnsi" w:hAnsiTheme="minorHAnsi" w:cstheme="minorHAnsi"/>
          <w:b/>
          <w:caps w:val="0"/>
          <w:color w:val="auto"/>
        </w:rPr>
        <w:t>bills of lading</w:t>
      </w:r>
      <w:r w:rsidRPr="00610159">
        <w:rPr>
          <w:rFonts w:asciiTheme="minorHAnsi" w:hAnsiTheme="minorHAnsi" w:cstheme="minorHAnsi"/>
          <w:b/>
          <w:caps w:val="0"/>
          <w:color w:val="auto"/>
        </w:rPr>
        <w:tab/>
      </w:r>
      <w:r w:rsidRPr="00610159">
        <w:rPr>
          <w:rFonts w:asciiTheme="minorHAnsi" w:hAnsiTheme="minorHAnsi" w:cstheme="minorHAnsi"/>
          <w:b/>
          <w:caps w:val="0"/>
          <w:color w:val="auto"/>
        </w:rPr>
        <w:tab/>
      </w:r>
      <w:r w:rsidRPr="00610159">
        <w:rPr>
          <w:rFonts w:asciiTheme="minorHAnsi" w:hAnsiTheme="minorHAnsi" w:cstheme="minorHAnsi"/>
          <w:b/>
          <w:caps w:val="0"/>
          <w:color w:val="auto"/>
        </w:rPr>
        <w:tab/>
      </w:r>
      <w:r w:rsidRPr="00610159">
        <w:rPr>
          <w:rFonts w:asciiTheme="minorHAnsi" w:hAnsiTheme="minorHAnsi" w:cstheme="minorHAnsi"/>
          <w:b/>
          <w:caps w:val="0"/>
          <w:color w:val="auto"/>
        </w:rPr>
        <w:tab/>
        <w:t xml:space="preserve"> </w:t>
      </w:r>
    </w:p>
    <w:p w14:paraId="718CC669" w14:textId="596E62EC" w:rsidR="00610159" w:rsidRPr="00610159" w:rsidRDefault="00610159" w:rsidP="00610159">
      <w:pPr>
        <w:pStyle w:val="Boxheading"/>
        <w:numPr>
          <w:ilvl w:val="0"/>
          <w:numId w:val="51"/>
        </w:numPr>
        <w:spacing w:line="240" w:lineRule="auto"/>
        <w:rPr>
          <w:rFonts w:asciiTheme="minorHAnsi" w:hAnsiTheme="minorHAnsi" w:cstheme="minorHAnsi"/>
          <w:b/>
          <w:caps w:val="0"/>
          <w:color w:val="auto"/>
        </w:rPr>
      </w:pPr>
      <w:r w:rsidRPr="00610159">
        <w:rPr>
          <w:rFonts w:asciiTheme="minorHAnsi" w:hAnsiTheme="minorHAnsi" w:cstheme="minorHAnsi"/>
          <w:b/>
          <w:caps w:val="0"/>
          <w:color w:val="auto"/>
        </w:rPr>
        <w:t>warehouse receipts</w:t>
      </w:r>
      <w:r w:rsidRPr="00610159">
        <w:rPr>
          <w:rFonts w:asciiTheme="minorHAnsi" w:hAnsiTheme="minorHAnsi" w:cstheme="minorHAnsi"/>
          <w:b/>
          <w:caps w:val="0"/>
          <w:color w:val="auto"/>
        </w:rPr>
        <w:tab/>
      </w:r>
      <w:r w:rsidRPr="00610159">
        <w:rPr>
          <w:rFonts w:asciiTheme="minorHAnsi" w:hAnsiTheme="minorHAnsi" w:cstheme="minorHAnsi"/>
          <w:b/>
          <w:caps w:val="0"/>
          <w:color w:val="auto"/>
        </w:rPr>
        <w:tab/>
      </w:r>
      <w:r w:rsidRPr="00610159">
        <w:rPr>
          <w:rFonts w:asciiTheme="minorHAnsi" w:hAnsiTheme="minorHAnsi" w:cstheme="minorHAnsi"/>
          <w:b/>
          <w:caps w:val="0"/>
          <w:color w:val="auto"/>
        </w:rPr>
        <w:tab/>
      </w:r>
    </w:p>
    <w:p w14:paraId="73950A7A" w14:textId="012A17CE" w:rsidR="00610159" w:rsidRDefault="00610159" w:rsidP="00E12657">
      <w:pPr>
        <w:pStyle w:val="Boxheading"/>
        <w:numPr>
          <w:ilvl w:val="0"/>
          <w:numId w:val="51"/>
        </w:numPr>
        <w:spacing w:line="240" w:lineRule="auto"/>
        <w:rPr>
          <w:rFonts w:asciiTheme="minorHAnsi" w:hAnsiTheme="minorHAnsi" w:cstheme="minorHAnsi"/>
          <w:b/>
          <w:caps w:val="0"/>
          <w:color w:val="auto"/>
        </w:rPr>
      </w:pPr>
      <w:r w:rsidRPr="00610159">
        <w:rPr>
          <w:rFonts w:asciiTheme="minorHAnsi" w:hAnsiTheme="minorHAnsi" w:cstheme="minorHAnsi"/>
          <w:b/>
          <w:caps w:val="0"/>
          <w:color w:val="auto"/>
        </w:rPr>
        <w:t xml:space="preserve">transferable insurance certificates, </w:t>
      </w:r>
      <w:r w:rsidRPr="00E12657">
        <w:rPr>
          <w:rFonts w:asciiTheme="minorHAnsi" w:hAnsiTheme="minorHAnsi" w:cstheme="minorHAnsi"/>
          <w:b/>
          <w:caps w:val="0"/>
          <w:color w:val="auto"/>
        </w:rPr>
        <w:t>like marine insurance policies and cargo insurance certificates</w:t>
      </w:r>
      <w:r w:rsidRPr="00E12657">
        <w:rPr>
          <w:rFonts w:asciiTheme="minorHAnsi" w:hAnsiTheme="minorHAnsi" w:cstheme="minorHAnsi"/>
          <w:b/>
          <w:caps w:val="0"/>
          <w:color w:val="auto"/>
        </w:rPr>
        <w:tab/>
      </w:r>
      <w:r w:rsidRPr="00E12657">
        <w:rPr>
          <w:rFonts w:asciiTheme="minorHAnsi" w:hAnsiTheme="minorHAnsi" w:cstheme="minorHAnsi"/>
          <w:b/>
          <w:caps w:val="0"/>
          <w:color w:val="auto"/>
        </w:rPr>
        <w:tab/>
      </w:r>
    </w:p>
    <w:p w14:paraId="46DFD7E2" w14:textId="6E17CBC8" w:rsidR="00E12657" w:rsidRDefault="00E12657" w:rsidP="00E12657">
      <w:pPr>
        <w:pStyle w:val="Boxheading"/>
        <w:numPr>
          <w:ilvl w:val="0"/>
          <w:numId w:val="51"/>
        </w:numPr>
        <w:spacing w:line="240" w:lineRule="auto"/>
        <w:rPr>
          <w:rFonts w:asciiTheme="minorHAnsi" w:hAnsiTheme="minorHAnsi" w:cstheme="minorHAnsi"/>
          <w:b/>
          <w:caps w:val="0"/>
          <w:color w:val="auto"/>
        </w:rPr>
      </w:pPr>
      <w:r w:rsidRPr="00780D76">
        <w:rPr>
          <w:rFonts w:asciiTheme="minorHAnsi" w:hAnsiTheme="minorHAnsi" w:cstheme="minorHAnsi"/>
          <w:b/>
          <w:caps w:val="0"/>
          <w:color w:val="auto"/>
        </w:rPr>
        <w:t>air waybills</w:t>
      </w:r>
    </w:p>
    <w:p w14:paraId="55599062" w14:textId="51946784" w:rsidR="00E12657" w:rsidRDefault="00E12657" w:rsidP="00E12657">
      <w:pPr>
        <w:pStyle w:val="Boxheading"/>
        <w:numPr>
          <w:ilvl w:val="0"/>
          <w:numId w:val="51"/>
        </w:numPr>
        <w:spacing w:line="240" w:lineRule="auto"/>
        <w:rPr>
          <w:rFonts w:asciiTheme="minorHAnsi" w:hAnsiTheme="minorHAnsi" w:cstheme="minorHAnsi"/>
          <w:b/>
          <w:caps w:val="0"/>
          <w:color w:val="auto"/>
        </w:rPr>
      </w:pPr>
      <w:r w:rsidRPr="00610159">
        <w:rPr>
          <w:rFonts w:asciiTheme="minorHAnsi" w:hAnsiTheme="minorHAnsi" w:cstheme="minorHAnsi"/>
          <w:b/>
          <w:caps w:val="0"/>
          <w:color w:val="auto"/>
        </w:rPr>
        <w:t>letters of credit</w:t>
      </w:r>
    </w:p>
    <w:p w14:paraId="45542119" w14:textId="57DFED38" w:rsidR="00E12657" w:rsidRDefault="00E12657" w:rsidP="00E12657">
      <w:pPr>
        <w:pStyle w:val="Boxheading"/>
        <w:numPr>
          <w:ilvl w:val="0"/>
          <w:numId w:val="51"/>
        </w:numPr>
        <w:spacing w:line="240" w:lineRule="auto"/>
        <w:rPr>
          <w:rFonts w:asciiTheme="minorHAnsi" w:hAnsiTheme="minorHAnsi" w:cstheme="minorHAnsi"/>
          <w:b/>
          <w:caps w:val="0"/>
          <w:color w:val="auto"/>
        </w:rPr>
      </w:pPr>
      <w:r w:rsidRPr="00610159">
        <w:rPr>
          <w:rFonts w:asciiTheme="minorHAnsi" w:hAnsiTheme="minorHAnsi" w:cstheme="minorHAnsi"/>
          <w:b/>
          <w:caps w:val="0"/>
          <w:color w:val="auto"/>
        </w:rPr>
        <w:t>dock warrants</w:t>
      </w:r>
    </w:p>
    <w:p w14:paraId="449C5B61" w14:textId="376ADDA7" w:rsidR="00E12657" w:rsidRDefault="00E12657" w:rsidP="00E12657">
      <w:pPr>
        <w:pStyle w:val="Boxheading"/>
        <w:numPr>
          <w:ilvl w:val="0"/>
          <w:numId w:val="51"/>
        </w:numPr>
        <w:spacing w:line="240" w:lineRule="auto"/>
        <w:rPr>
          <w:rFonts w:asciiTheme="minorHAnsi" w:hAnsiTheme="minorHAnsi" w:cstheme="minorHAnsi"/>
          <w:b/>
          <w:caps w:val="0"/>
          <w:color w:val="auto"/>
        </w:rPr>
      </w:pPr>
      <w:r w:rsidRPr="00610159">
        <w:rPr>
          <w:rFonts w:asciiTheme="minorHAnsi" w:hAnsiTheme="minorHAnsi" w:cstheme="minorHAnsi"/>
          <w:b/>
          <w:caps w:val="0"/>
          <w:color w:val="auto"/>
        </w:rPr>
        <w:t>dock receipts</w:t>
      </w:r>
    </w:p>
    <w:p w14:paraId="19C632E0" w14:textId="683EC3FC" w:rsidR="00E12657" w:rsidRDefault="00E12657" w:rsidP="00E12657">
      <w:pPr>
        <w:pStyle w:val="Boxheading"/>
        <w:numPr>
          <w:ilvl w:val="0"/>
          <w:numId w:val="51"/>
        </w:numPr>
        <w:spacing w:line="240" w:lineRule="auto"/>
        <w:rPr>
          <w:rFonts w:asciiTheme="minorHAnsi" w:hAnsiTheme="minorHAnsi" w:cstheme="minorHAnsi"/>
          <w:b/>
          <w:caps w:val="0"/>
          <w:color w:val="auto"/>
        </w:rPr>
      </w:pPr>
      <w:r w:rsidRPr="00610159">
        <w:rPr>
          <w:rFonts w:asciiTheme="minorHAnsi" w:hAnsiTheme="minorHAnsi" w:cstheme="minorHAnsi"/>
          <w:b/>
          <w:caps w:val="0"/>
          <w:color w:val="auto"/>
        </w:rPr>
        <w:t>ships delivery orders</w:t>
      </w:r>
    </w:p>
    <w:p w14:paraId="4AF18073" w14:textId="0F7B9E01" w:rsidR="00E12657" w:rsidRDefault="00E12657" w:rsidP="00E12657">
      <w:pPr>
        <w:pStyle w:val="Boxheading"/>
        <w:numPr>
          <w:ilvl w:val="0"/>
          <w:numId w:val="51"/>
        </w:numPr>
        <w:spacing w:line="240" w:lineRule="auto"/>
        <w:rPr>
          <w:rFonts w:asciiTheme="minorHAnsi" w:hAnsiTheme="minorHAnsi" w:cstheme="minorHAnsi"/>
          <w:b/>
          <w:caps w:val="0"/>
          <w:color w:val="auto"/>
        </w:rPr>
      </w:pPr>
      <w:r w:rsidRPr="00610159">
        <w:rPr>
          <w:rFonts w:asciiTheme="minorHAnsi" w:hAnsiTheme="minorHAnsi" w:cstheme="minorHAnsi"/>
          <w:b/>
          <w:caps w:val="0"/>
          <w:color w:val="auto"/>
        </w:rPr>
        <w:t>mate’s receipts</w:t>
      </w:r>
    </w:p>
    <w:p w14:paraId="14694A2F" w14:textId="0FF00437" w:rsidR="00E12657" w:rsidRDefault="00E12657" w:rsidP="00E12657">
      <w:pPr>
        <w:pStyle w:val="Boxheading"/>
        <w:numPr>
          <w:ilvl w:val="0"/>
          <w:numId w:val="51"/>
        </w:numPr>
        <w:spacing w:line="240" w:lineRule="auto"/>
        <w:rPr>
          <w:rFonts w:asciiTheme="minorHAnsi" w:hAnsiTheme="minorHAnsi" w:cstheme="minorHAnsi"/>
          <w:b/>
          <w:caps w:val="0"/>
          <w:color w:val="auto"/>
        </w:rPr>
      </w:pPr>
      <w:r w:rsidRPr="00610159">
        <w:rPr>
          <w:rFonts w:asciiTheme="minorHAnsi" w:hAnsiTheme="minorHAnsi" w:cstheme="minorHAnsi"/>
          <w:b/>
          <w:caps w:val="0"/>
          <w:color w:val="auto"/>
        </w:rPr>
        <w:t>wharfinger’s certificates</w:t>
      </w:r>
    </w:p>
    <w:p w14:paraId="392473CB" w14:textId="70A84184" w:rsidR="00610159" w:rsidRPr="00E12657" w:rsidRDefault="00E12657" w:rsidP="00E12657">
      <w:pPr>
        <w:pStyle w:val="Boxheading"/>
        <w:numPr>
          <w:ilvl w:val="0"/>
          <w:numId w:val="51"/>
        </w:numPr>
        <w:spacing w:line="240" w:lineRule="auto"/>
        <w:rPr>
          <w:rFonts w:asciiTheme="minorHAnsi" w:hAnsiTheme="minorHAnsi" w:cstheme="minorHAnsi"/>
          <w:b/>
          <w:caps w:val="0"/>
          <w:color w:val="auto"/>
        </w:rPr>
      </w:pPr>
      <w:r w:rsidRPr="00610159">
        <w:rPr>
          <w:rFonts w:asciiTheme="minorHAnsi" w:hAnsiTheme="minorHAnsi" w:cstheme="minorHAnsi"/>
          <w:b/>
          <w:caps w:val="0"/>
          <w:color w:val="auto"/>
        </w:rPr>
        <w:t>warehouse-keeper’s certificates</w:t>
      </w:r>
      <w:r w:rsidRPr="00E12657">
        <w:rPr>
          <w:rFonts w:asciiTheme="minorHAnsi" w:hAnsiTheme="minorHAnsi" w:cstheme="minorHAnsi"/>
          <w:b/>
          <w:caps w:val="0"/>
          <w:color w:val="auto"/>
        </w:rPr>
        <w:t xml:space="preserve"> </w:t>
      </w:r>
    </w:p>
    <w:p w14:paraId="2FF4F84B" w14:textId="77777777" w:rsidR="00486988" w:rsidRPr="00780D76" w:rsidRDefault="00486988" w:rsidP="00B15EDD">
      <w:pPr>
        <w:rPr>
          <w:rFonts w:asciiTheme="minorHAnsi" w:hAnsiTheme="minorHAnsi" w:cstheme="minorHAnsi"/>
          <w:highlight w:val="yellow"/>
          <w:lang w:val="en"/>
        </w:rPr>
      </w:pPr>
    </w:p>
    <w:p w14:paraId="3D36C100" w14:textId="77777777" w:rsidR="00E15393" w:rsidRDefault="00E15393">
      <w:pPr>
        <w:spacing w:before="0" w:after="0" w:line="240" w:lineRule="auto"/>
        <w:rPr>
          <w:rFonts w:asciiTheme="minorHAnsi" w:hAnsiTheme="minorHAnsi" w:cstheme="minorHAnsi"/>
          <w:b/>
          <w:bCs/>
          <w:color w:val="auto"/>
          <w:sz w:val="28"/>
          <w:szCs w:val="20"/>
          <w:lang w:val="en"/>
        </w:rPr>
      </w:pPr>
      <w:r>
        <w:rPr>
          <w:rFonts w:asciiTheme="minorHAnsi" w:hAnsiTheme="minorHAnsi" w:cstheme="minorHAnsi"/>
          <w:b/>
          <w:caps/>
          <w:color w:val="auto"/>
          <w:sz w:val="28"/>
        </w:rPr>
        <w:br w:type="page"/>
      </w:r>
    </w:p>
    <w:p w14:paraId="63E6189B" w14:textId="54B19F3D" w:rsidR="00486988" w:rsidRPr="00780D76" w:rsidRDefault="00486988" w:rsidP="00843D0E">
      <w:pPr>
        <w:pStyle w:val="Boxheading"/>
        <w:spacing w:line="240" w:lineRule="auto"/>
        <w:ind w:left="0"/>
        <w:jc w:val="both"/>
        <w:rPr>
          <w:rFonts w:asciiTheme="minorHAnsi" w:hAnsiTheme="minorHAnsi" w:cstheme="minorHAnsi"/>
          <w:b/>
          <w:caps w:val="0"/>
          <w:color w:val="auto"/>
          <w:sz w:val="28"/>
        </w:rPr>
      </w:pPr>
      <w:r w:rsidRPr="00780D76">
        <w:rPr>
          <w:rFonts w:asciiTheme="minorHAnsi" w:hAnsiTheme="minorHAnsi" w:cstheme="minorHAnsi"/>
          <w:b/>
          <w:caps w:val="0"/>
          <w:color w:val="auto"/>
          <w:sz w:val="28"/>
        </w:rPr>
        <w:lastRenderedPageBreak/>
        <w:t>Question 2</w:t>
      </w:r>
      <w:r w:rsidR="00323C37" w:rsidRPr="00780D76">
        <w:rPr>
          <w:rFonts w:asciiTheme="minorHAnsi" w:hAnsiTheme="minorHAnsi" w:cstheme="minorHAnsi"/>
          <w:b/>
          <w:caps w:val="0"/>
          <w:color w:val="auto"/>
          <w:sz w:val="28"/>
        </w:rPr>
        <w:t>.</w:t>
      </w:r>
    </w:p>
    <w:p w14:paraId="0D4AD777" w14:textId="77777777" w:rsidR="00486988" w:rsidRPr="00780D76" w:rsidRDefault="00486988" w:rsidP="00843D0E">
      <w:pPr>
        <w:pStyle w:val="Boxheading"/>
        <w:spacing w:line="240" w:lineRule="auto"/>
        <w:ind w:left="0"/>
        <w:jc w:val="both"/>
        <w:rPr>
          <w:rFonts w:asciiTheme="minorHAnsi" w:hAnsiTheme="minorHAnsi" w:cstheme="minorHAnsi"/>
          <w:caps w:val="0"/>
          <w:color w:val="auto"/>
        </w:rPr>
      </w:pPr>
      <w:r w:rsidRPr="00780D76">
        <w:rPr>
          <w:rFonts w:asciiTheme="minorHAnsi" w:hAnsiTheme="minorHAnsi" w:cstheme="minorHAnsi"/>
          <w:caps w:val="0"/>
          <w:color w:val="auto"/>
        </w:rPr>
        <w:t xml:space="preserve">Can you identify any other document, used in Australia or by Australian entities, where a person needs to physically possess the document in order to claim the goods or money stated on the document? </w:t>
      </w:r>
    </w:p>
    <w:p w14:paraId="0B38ABF4" w14:textId="77777777" w:rsidR="00486988" w:rsidRPr="00780D76" w:rsidRDefault="00486988" w:rsidP="00843D0E">
      <w:pPr>
        <w:pStyle w:val="Boxheading"/>
        <w:spacing w:line="240" w:lineRule="auto"/>
        <w:ind w:left="0"/>
        <w:jc w:val="both"/>
        <w:rPr>
          <w:rFonts w:asciiTheme="minorHAnsi" w:hAnsiTheme="minorHAnsi" w:cstheme="minorHAnsi"/>
          <w:i/>
          <w:color w:val="auto"/>
          <w:highlight w:val="yellow"/>
        </w:rPr>
      </w:pPr>
      <w:r w:rsidRPr="00780D76">
        <w:rPr>
          <w:rFonts w:asciiTheme="minorHAnsi" w:hAnsiTheme="minorHAnsi" w:cstheme="minorHAnsi"/>
          <w:i/>
          <w:caps w:val="0"/>
          <w:color w:val="auto"/>
        </w:rPr>
        <w:t>Under the MLETR, a ‘transferable record’ is a type of document, issued on paper, which entitles the holder to claim performance of an obligation, and which can be transferred to another person along with the right to performance.</w:t>
      </w:r>
    </w:p>
    <w:p w14:paraId="18295A34" w14:textId="77777777" w:rsidR="00486988" w:rsidRPr="00780D76" w:rsidRDefault="00486988" w:rsidP="00323C37">
      <w:pPr>
        <w:pStyle w:val="Heading2"/>
        <w:rPr>
          <w:rFonts w:asciiTheme="minorHAnsi" w:hAnsiTheme="minorHAnsi" w:cstheme="minorHAnsi"/>
        </w:rPr>
      </w:pPr>
      <w:r w:rsidRPr="00780D76">
        <w:rPr>
          <w:rFonts w:asciiTheme="minorHAnsi" w:hAnsiTheme="minorHAnsi" w:cstheme="minorHAnsi"/>
        </w:rPr>
        <w:t>2.2. How are transferable records currently used in Australia?</w:t>
      </w:r>
    </w:p>
    <w:p w14:paraId="057636F7" w14:textId="77777777" w:rsidR="00323C37" w:rsidRPr="00780D76" w:rsidRDefault="00323C37" w:rsidP="00323C37">
      <w:pPr>
        <w:pStyle w:val="Boxheading"/>
        <w:spacing w:line="240" w:lineRule="auto"/>
        <w:ind w:left="0"/>
        <w:rPr>
          <w:rFonts w:asciiTheme="minorHAnsi" w:hAnsiTheme="minorHAnsi" w:cstheme="minorHAnsi"/>
          <w:b/>
          <w:caps w:val="0"/>
          <w:color w:val="auto"/>
          <w:sz w:val="28"/>
        </w:rPr>
      </w:pPr>
      <w:r w:rsidRPr="00780D76">
        <w:rPr>
          <w:rFonts w:asciiTheme="minorHAnsi" w:hAnsiTheme="minorHAnsi" w:cstheme="minorHAnsi"/>
          <w:b/>
          <w:caps w:val="0"/>
          <w:color w:val="auto"/>
          <w:sz w:val="28"/>
        </w:rPr>
        <w:t>Question 3.</w:t>
      </w:r>
    </w:p>
    <w:p w14:paraId="23274C71" w14:textId="77777777" w:rsidR="00323C37" w:rsidRPr="00780D76" w:rsidRDefault="00323C37" w:rsidP="00323C37">
      <w:pPr>
        <w:pStyle w:val="Boxheading"/>
        <w:spacing w:line="240" w:lineRule="auto"/>
        <w:ind w:left="0"/>
        <w:jc w:val="both"/>
        <w:rPr>
          <w:rFonts w:asciiTheme="minorHAnsi" w:hAnsiTheme="minorHAnsi" w:cstheme="minorHAnsi"/>
          <w:caps w:val="0"/>
          <w:color w:val="auto"/>
        </w:rPr>
      </w:pPr>
      <w:r w:rsidRPr="00780D76">
        <w:rPr>
          <w:rFonts w:asciiTheme="minorHAnsi" w:hAnsiTheme="minorHAnsi" w:cstheme="minorHAnsi"/>
          <w:caps w:val="0"/>
          <w:color w:val="auto"/>
        </w:rPr>
        <w:t xml:space="preserve">Please describe how you (or your business) use transferable records in your day-to-day business practices. Please reference any records you identified in </w:t>
      </w:r>
      <w:r w:rsidR="006F1DCC" w:rsidRPr="00780D76">
        <w:rPr>
          <w:rFonts w:asciiTheme="minorHAnsi" w:hAnsiTheme="minorHAnsi" w:cstheme="minorHAnsi"/>
          <w:b/>
          <w:caps w:val="0"/>
          <w:color w:val="0000FF"/>
          <w:u w:val="single"/>
        </w:rPr>
        <w:fldChar w:fldCharType="begin"/>
      </w:r>
      <w:r w:rsidR="006F1DCC" w:rsidRPr="00780D76">
        <w:rPr>
          <w:rFonts w:asciiTheme="minorHAnsi" w:hAnsiTheme="minorHAnsi" w:cstheme="minorHAnsi"/>
          <w:b/>
          <w:caps w:val="0"/>
          <w:color w:val="0000FF"/>
          <w:u w:val="single"/>
        </w:rPr>
        <w:instrText xml:space="preserve"> REF _Ref176445241 \r \h  \* MERGEFORMAT </w:instrText>
      </w:r>
      <w:r w:rsidR="006F1DCC" w:rsidRPr="00780D76">
        <w:rPr>
          <w:rFonts w:asciiTheme="minorHAnsi" w:hAnsiTheme="minorHAnsi" w:cstheme="minorHAnsi"/>
          <w:b/>
          <w:caps w:val="0"/>
          <w:color w:val="0000FF"/>
          <w:u w:val="single"/>
        </w:rPr>
      </w:r>
      <w:r w:rsidR="006F1DCC" w:rsidRPr="00780D76">
        <w:rPr>
          <w:rFonts w:asciiTheme="minorHAnsi" w:hAnsiTheme="minorHAnsi" w:cstheme="minorHAnsi"/>
          <w:b/>
          <w:caps w:val="0"/>
          <w:color w:val="0000FF"/>
          <w:u w:val="single"/>
        </w:rPr>
        <w:fldChar w:fldCharType="separate"/>
      </w:r>
      <w:r w:rsidR="006F1DCC" w:rsidRPr="00780D76">
        <w:rPr>
          <w:rFonts w:asciiTheme="minorHAnsi" w:hAnsiTheme="minorHAnsi" w:cstheme="minorHAnsi"/>
          <w:b/>
          <w:caps w:val="0"/>
          <w:color w:val="0000FF"/>
          <w:u w:val="single"/>
        </w:rPr>
        <w:t>Question 1</w:t>
      </w:r>
      <w:r w:rsidR="006F1DCC" w:rsidRPr="00780D76">
        <w:rPr>
          <w:rFonts w:asciiTheme="minorHAnsi" w:hAnsiTheme="minorHAnsi" w:cstheme="minorHAnsi"/>
          <w:b/>
          <w:caps w:val="0"/>
          <w:color w:val="0000FF"/>
          <w:u w:val="single"/>
        </w:rPr>
        <w:fldChar w:fldCharType="end"/>
      </w:r>
      <w:r w:rsidRPr="00780D76">
        <w:rPr>
          <w:rFonts w:asciiTheme="minorHAnsi" w:hAnsiTheme="minorHAnsi" w:cstheme="minorHAnsi"/>
          <w:b/>
          <w:caps w:val="0"/>
          <w:color w:val="0000FF"/>
        </w:rPr>
        <w:t xml:space="preserve"> </w:t>
      </w:r>
      <w:r w:rsidRPr="00780D76">
        <w:rPr>
          <w:rFonts w:asciiTheme="minorHAnsi" w:hAnsiTheme="minorHAnsi" w:cstheme="minorHAnsi"/>
          <w:caps w:val="0"/>
          <w:color w:val="auto"/>
        </w:rPr>
        <w:t>and</w:t>
      </w:r>
      <w:r w:rsidRPr="00780D76">
        <w:rPr>
          <w:rFonts w:asciiTheme="minorHAnsi" w:hAnsiTheme="minorHAnsi" w:cstheme="minorHAnsi"/>
          <w:b/>
          <w:caps w:val="0"/>
          <w:color w:val="0000FF"/>
        </w:rPr>
        <w:t xml:space="preserve"> </w:t>
      </w:r>
      <w:r w:rsidR="006F1DCC" w:rsidRPr="00780D76">
        <w:rPr>
          <w:rFonts w:asciiTheme="minorHAnsi" w:hAnsiTheme="minorHAnsi" w:cstheme="minorHAnsi"/>
          <w:b/>
          <w:caps w:val="0"/>
          <w:color w:val="0000FF"/>
          <w:u w:val="single"/>
        </w:rPr>
        <w:fldChar w:fldCharType="begin"/>
      </w:r>
      <w:r w:rsidR="006F1DCC" w:rsidRPr="00780D76">
        <w:rPr>
          <w:rFonts w:asciiTheme="minorHAnsi" w:hAnsiTheme="minorHAnsi" w:cstheme="minorHAnsi"/>
          <w:b/>
          <w:caps w:val="0"/>
          <w:color w:val="0000FF"/>
          <w:u w:val="single"/>
        </w:rPr>
        <w:instrText xml:space="preserve"> REF _Ref176445262 \r \h  \* MERGEFORMAT </w:instrText>
      </w:r>
      <w:r w:rsidR="006F1DCC" w:rsidRPr="00780D76">
        <w:rPr>
          <w:rFonts w:asciiTheme="minorHAnsi" w:hAnsiTheme="minorHAnsi" w:cstheme="minorHAnsi"/>
          <w:b/>
          <w:caps w:val="0"/>
          <w:color w:val="0000FF"/>
          <w:u w:val="single"/>
        </w:rPr>
      </w:r>
      <w:r w:rsidR="006F1DCC" w:rsidRPr="00780D76">
        <w:rPr>
          <w:rFonts w:asciiTheme="minorHAnsi" w:hAnsiTheme="minorHAnsi" w:cstheme="minorHAnsi"/>
          <w:b/>
          <w:caps w:val="0"/>
          <w:color w:val="0000FF"/>
          <w:u w:val="single"/>
        </w:rPr>
        <w:fldChar w:fldCharType="separate"/>
      </w:r>
      <w:r w:rsidR="006F1DCC" w:rsidRPr="00780D76">
        <w:rPr>
          <w:rFonts w:asciiTheme="minorHAnsi" w:hAnsiTheme="minorHAnsi" w:cstheme="minorHAnsi"/>
          <w:b/>
          <w:caps w:val="0"/>
          <w:color w:val="0000FF"/>
          <w:u w:val="single"/>
        </w:rPr>
        <w:t>Question 2</w:t>
      </w:r>
      <w:r w:rsidR="006F1DCC" w:rsidRPr="00780D76">
        <w:rPr>
          <w:rFonts w:asciiTheme="minorHAnsi" w:hAnsiTheme="minorHAnsi" w:cstheme="minorHAnsi"/>
          <w:b/>
          <w:caps w:val="0"/>
          <w:color w:val="0000FF"/>
          <w:u w:val="single"/>
        </w:rPr>
        <w:fldChar w:fldCharType="end"/>
      </w:r>
      <w:r w:rsidRPr="00780D76">
        <w:rPr>
          <w:rFonts w:asciiTheme="minorHAnsi" w:hAnsiTheme="minorHAnsi" w:cstheme="minorHAnsi"/>
          <w:b/>
          <w:caps w:val="0"/>
          <w:color w:val="0000FF"/>
          <w:u w:val="single"/>
        </w:rPr>
        <w:t>.</w:t>
      </w:r>
      <w:r w:rsidRPr="00780D76">
        <w:rPr>
          <w:rFonts w:asciiTheme="minorHAnsi" w:hAnsiTheme="minorHAnsi" w:cstheme="minorHAnsi"/>
          <w:caps w:val="0"/>
          <w:color w:val="0000FF"/>
        </w:rPr>
        <w:t xml:space="preserve"> </w:t>
      </w:r>
    </w:p>
    <w:p w14:paraId="35AC530F" w14:textId="77777777" w:rsidR="00323C37" w:rsidRPr="00780D76" w:rsidRDefault="00323C37" w:rsidP="00323C37">
      <w:pPr>
        <w:pStyle w:val="Boxheading"/>
        <w:spacing w:line="240" w:lineRule="auto"/>
        <w:ind w:left="0"/>
        <w:jc w:val="both"/>
        <w:rPr>
          <w:rFonts w:asciiTheme="minorHAnsi" w:hAnsiTheme="minorHAnsi" w:cstheme="minorHAnsi"/>
          <w:caps w:val="0"/>
          <w:color w:val="auto"/>
        </w:rPr>
      </w:pPr>
      <w:r w:rsidRPr="00780D76">
        <w:rPr>
          <w:rFonts w:asciiTheme="minorHAnsi" w:hAnsiTheme="minorHAnsi" w:cstheme="minorHAnsi"/>
          <w:caps w:val="0"/>
          <w:color w:val="auto"/>
        </w:rPr>
        <w:t xml:space="preserve">Alternatively, if you do not use these records yourself, please describe broadly the ways in which you understand these records are most commonly used. </w:t>
      </w:r>
    </w:p>
    <w:p w14:paraId="2EFB2F48" w14:textId="77777777" w:rsidR="00323C37" w:rsidRPr="00780D76" w:rsidRDefault="00323C37" w:rsidP="00323C37">
      <w:pPr>
        <w:pStyle w:val="Boxheading"/>
        <w:spacing w:line="240" w:lineRule="auto"/>
        <w:ind w:left="0"/>
        <w:jc w:val="both"/>
        <w:rPr>
          <w:rFonts w:asciiTheme="minorHAnsi" w:hAnsiTheme="minorHAnsi" w:cstheme="minorHAnsi"/>
          <w:caps w:val="0"/>
          <w:color w:val="auto"/>
        </w:rPr>
      </w:pPr>
      <w:r w:rsidRPr="00780D76">
        <w:rPr>
          <w:rFonts w:asciiTheme="minorHAnsi" w:hAnsiTheme="minorHAnsi" w:cstheme="minorHAnsi"/>
          <w:caps w:val="0"/>
          <w:color w:val="auto"/>
        </w:rPr>
        <w:t>For each of these uses, please describe:</w:t>
      </w:r>
    </w:p>
    <w:p w14:paraId="7551A5E9" w14:textId="77777777" w:rsidR="00323C37" w:rsidRPr="00780D76" w:rsidRDefault="00323C37" w:rsidP="008B382E">
      <w:pPr>
        <w:pStyle w:val="Boxheading"/>
        <w:numPr>
          <w:ilvl w:val="0"/>
          <w:numId w:val="33"/>
        </w:numPr>
        <w:spacing w:line="240" w:lineRule="auto"/>
        <w:jc w:val="both"/>
        <w:rPr>
          <w:rFonts w:asciiTheme="minorHAnsi" w:hAnsiTheme="minorHAnsi" w:cstheme="minorHAnsi"/>
          <w:i/>
          <w:caps w:val="0"/>
          <w:color w:val="auto"/>
        </w:rPr>
      </w:pPr>
      <w:r w:rsidRPr="00780D76">
        <w:rPr>
          <w:rFonts w:asciiTheme="minorHAnsi" w:hAnsiTheme="minorHAnsi" w:cstheme="minorHAnsi"/>
          <w:i/>
          <w:caps w:val="0"/>
          <w:color w:val="auto"/>
        </w:rPr>
        <w:t>the commercial settings in which you use these records</w:t>
      </w:r>
    </w:p>
    <w:p w14:paraId="5856C3CB" w14:textId="77777777" w:rsidR="00323C37" w:rsidRPr="00780D76" w:rsidRDefault="00323C37" w:rsidP="008B382E">
      <w:pPr>
        <w:pStyle w:val="Boxheading"/>
        <w:numPr>
          <w:ilvl w:val="0"/>
          <w:numId w:val="33"/>
        </w:numPr>
        <w:spacing w:line="240" w:lineRule="auto"/>
        <w:jc w:val="both"/>
        <w:rPr>
          <w:rFonts w:asciiTheme="minorHAnsi" w:hAnsiTheme="minorHAnsi" w:cstheme="minorHAnsi"/>
          <w:i/>
          <w:caps w:val="0"/>
          <w:color w:val="auto"/>
        </w:rPr>
      </w:pPr>
      <w:r w:rsidRPr="00780D76">
        <w:rPr>
          <w:rFonts w:asciiTheme="minorHAnsi" w:hAnsiTheme="minorHAnsi" w:cstheme="minorHAnsi"/>
          <w:i/>
          <w:caps w:val="0"/>
          <w:color w:val="auto"/>
        </w:rPr>
        <w:t xml:space="preserve">the entities or people from </w:t>
      </w:r>
      <w:r w:rsidR="00DA1531" w:rsidRPr="00780D76">
        <w:rPr>
          <w:rFonts w:asciiTheme="minorHAnsi" w:hAnsiTheme="minorHAnsi" w:cstheme="minorHAnsi"/>
          <w:i/>
          <w:caps w:val="0"/>
          <w:color w:val="auto"/>
        </w:rPr>
        <w:t xml:space="preserve">whom </w:t>
      </w:r>
      <w:r w:rsidRPr="00780D76">
        <w:rPr>
          <w:rFonts w:asciiTheme="minorHAnsi" w:hAnsiTheme="minorHAnsi" w:cstheme="minorHAnsi"/>
          <w:i/>
          <w:caps w:val="0"/>
          <w:color w:val="auto"/>
        </w:rPr>
        <w:t>you ordinarily receive these records, and in what circumstances</w:t>
      </w:r>
    </w:p>
    <w:p w14:paraId="13A22F2C" w14:textId="77777777" w:rsidR="00323C37" w:rsidRPr="00780D76" w:rsidRDefault="00323C37" w:rsidP="008B382E">
      <w:pPr>
        <w:pStyle w:val="Boxheading"/>
        <w:numPr>
          <w:ilvl w:val="0"/>
          <w:numId w:val="33"/>
        </w:numPr>
        <w:spacing w:line="240" w:lineRule="auto"/>
        <w:jc w:val="both"/>
        <w:rPr>
          <w:rFonts w:asciiTheme="minorHAnsi" w:hAnsiTheme="minorHAnsi" w:cstheme="minorHAnsi"/>
          <w:i/>
          <w:caps w:val="0"/>
          <w:color w:val="auto"/>
        </w:rPr>
      </w:pPr>
      <w:r w:rsidRPr="00780D76">
        <w:rPr>
          <w:rFonts w:asciiTheme="minorHAnsi" w:hAnsiTheme="minorHAnsi" w:cstheme="minorHAnsi"/>
          <w:i/>
          <w:caps w:val="0"/>
          <w:color w:val="auto"/>
        </w:rPr>
        <w:t xml:space="preserve">the entities or people you would give or transfer these records to, including why </w:t>
      </w:r>
    </w:p>
    <w:p w14:paraId="4FF85817" w14:textId="77777777" w:rsidR="00323C37" w:rsidRPr="00780D76" w:rsidRDefault="00323C37" w:rsidP="008B382E">
      <w:pPr>
        <w:pStyle w:val="Boxheading"/>
        <w:numPr>
          <w:ilvl w:val="0"/>
          <w:numId w:val="33"/>
        </w:numPr>
        <w:spacing w:line="240" w:lineRule="auto"/>
        <w:jc w:val="both"/>
        <w:rPr>
          <w:rFonts w:asciiTheme="minorHAnsi" w:hAnsiTheme="minorHAnsi" w:cstheme="minorHAnsi"/>
          <w:i/>
          <w:caps w:val="0"/>
          <w:color w:val="auto"/>
        </w:rPr>
      </w:pPr>
      <w:r w:rsidRPr="00780D76">
        <w:rPr>
          <w:rFonts w:asciiTheme="minorHAnsi" w:hAnsiTheme="minorHAnsi" w:cstheme="minorHAnsi"/>
          <w:i/>
          <w:caps w:val="0"/>
          <w:color w:val="auto"/>
        </w:rPr>
        <w:t>the reasons why physical possession or transfer of the paper record is necessary, if relevant</w:t>
      </w:r>
    </w:p>
    <w:p w14:paraId="05585189" w14:textId="77777777" w:rsidR="00486988" w:rsidRPr="00780D76" w:rsidRDefault="00323C37" w:rsidP="008B382E">
      <w:pPr>
        <w:pStyle w:val="Boxheading"/>
        <w:numPr>
          <w:ilvl w:val="0"/>
          <w:numId w:val="33"/>
        </w:numPr>
        <w:spacing w:line="240" w:lineRule="auto"/>
        <w:jc w:val="both"/>
        <w:rPr>
          <w:rFonts w:asciiTheme="minorHAnsi" w:hAnsiTheme="minorHAnsi" w:cstheme="minorHAnsi"/>
          <w:i/>
          <w:caps w:val="0"/>
          <w:color w:val="auto"/>
        </w:rPr>
      </w:pPr>
      <w:r w:rsidRPr="00780D76">
        <w:rPr>
          <w:rFonts w:asciiTheme="minorHAnsi" w:hAnsiTheme="minorHAnsi" w:cstheme="minorHAnsi"/>
          <w:i/>
          <w:caps w:val="0"/>
          <w:color w:val="auto"/>
        </w:rPr>
        <w:t>the commercial benefits which come from your use of these records (for example, whether it minimises a particular risk).</w:t>
      </w:r>
    </w:p>
    <w:p w14:paraId="283CACD1" w14:textId="77777777" w:rsidR="00486988" w:rsidRPr="00780D76" w:rsidRDefault="00486988" w:rsidP="00486988">
      <w:pPr>
        <w:rPr>
          <w:rFonts w:asciiTheme="minorHAnsi" w:hAnsiTheme="minorHAnsi" w:cstheme="minorHAnsi"/>
          <w:highlight w:val="yellow"/>
          <w:lang w:val="en"/>
        </w:rPr>
      </w:pPr>
    </w:p>
    <w:p w14:paraId="3ABEA2AC" w14:textId="77777777" w:rsidR="00323C37" w:rsidRPr="00780D76" w:rsidRDefault="00323C37" w:rsidP="00323C37">
      <w:pPr>
        <w:pStyle w:val="Boxheading"/>
        <w:spacing w:line="240" w:lineRule="auto"/>
        <w:ind w:left="0"/>
        <w:jc w:val="both"/>
        <w:rPr>
          <w:rFonts w:asciiTheme="minorHAnsi" w:hAnsiTheme="minorHAnsi" w:cstheme="minorHAnsi"/>
          <w:b/>
          <w:caps w:val="0"/>
          <w:color w:val="auto"/>
          <w:sz w:val="28"/>
        </w:rPr>
      </w:pPr>
      <w:r w:rsidRPr="00780D76">
        <w:rPr>
          <w:rFonts w:asciiTheme="minorHAnsi" w:hAnsiTheme="minorHAnsi" w:cstheme="minorHAnsi"/>
          <w:b/>
          <w:caps w:val="0"/>
          <w:color w:val="auto"/>
          <w:sz w:val="28"/>
        </w:rPr>
        <w:t>Question 4.</w:t>
      </w:r>
    </w:p>
    <w:p w14:paraId="3E7364AB" w14:textId="77777777" w:rsidR="00323C37" w:rsidRPr="00780D76" w:rsidRDefault="00323C37" w:rsidP="00323C37">
      <w:pPr>
        <w:pStyle w:val="Boxheading"/>
        <w:spacing w:line="240" w:lineRule="auto"/>
        <w:ind w:left="0"/>
        <w:jc w:val="both"/>
        <w:rPr>
          <w:rFonts w:asciiTheme="minorHAnsi" w:hAnsiTheme="minorHAnsi" w:cstheme="minorHAnsi"/>
          <w:color w:val="auto"/>
        </w:rPr>
      </w:pPr>
      <w:r w:rsidRPr="00780D76">
        <w:rPr>
          <w:rFonts w:asciiTheme="minorHAnsi" w:hAnsiTheme="minorHAnsi" w:cstheme="minorHAnsi"/>
          <w:caps w:val="0"/>
          <w:color w:val="auto"/>
        </w:rPr>
        <w:t>If you or your business use transferable records in the context of trade, do you use these records in the context of international, inter-state or intra-state trade?</w:t>
      </w:r>
    </w:p>
    <w:p w14:paraId="6BE9D932" w14:textId="77777777" w:rsidR="00323C37" w:rsidRPr="00780D76" w:rsidRDefault="00323C37" w:rsidP="00323C37">
      <w:pPr>
        <w:pStyle w:val="Boxheading"/>
        <w:spacing w:line="240" w:lineRule="auto"/>
        <w:ind w:left="0"/>
        <w:jc w:val="both"/>
        <w:rPr>
          <w:rFonts w:asciiTheme="minorHAnsi" w:hAnsiTheme="minorHAnsi" w:cstheme="minorHAnsi"/>
          <w:color w:val="auto"/>
        </w:rPr>
      </w:pPr>
      <w:r w:rsidRPr="00780D76">
        <w:rPr>
          <w:rFonts w:asciiTheme="minorHAnsi" w:hAnsiTheme="minorHAnsi" w:cstheme="minorHAnsi"/>
          <w:caps w:val="0"/>
          <w:color w:val="auto"/>
        </w:rPr>
        <w:t xml:space="preserve">Please tick all that apply. You can select more than one. </w:t>
      </w:r>
    </w:p>
    <w:p w14:paraId="053E54A5" w14:textId="77777777" w:rsidR="00323C37" w:rsidRPr="00780D76" w:rsidRDefault="00843D0E" w:rsidP="008B382E">
      <w:pPr>
        <w:pStyle w:val="Boxheading"/>
        <w:numPr>
          <w:ilvl w:val="0"/>
          <w:numId w:val="34"/>
        </w:numPr>
        <w:spacing w:line="240" w:lineRule="auto"/>
        <w:jc w:val="both"/>
        <w:rPr>
          <w:rFonts w:asciiTheme="minorHAnsi" w:hAnsiTheme="minorHAnsi" w:cstheme="minorHAnsi"/>
          <w:b/>
          <w:color w:val="auto"/>
        </w:rPr>
      </w:pPr>
      <w:r w:rsidRPr="00780D76">
        <w:rPr>
          <w:rFonts w:asciiTheme="minorHAnsi" w:hAnsiTheme="minorHAnsi" w:cstheme="minorHAnsi"/>
          <w:b/>
          <w:caps w:val="0"/>
          <w:color w:val="auto"/>
        </w:rPr>
        <w:t>I</w:t>
      </w:r>
      <w:r w:rsidR="00323C37" w:rsidRPr="00780D76">
        <w:rPr>
          <w:rFonts w:asciiTheme="minorHAnsi" w:hAnsiTheme="minorHAnsi" w:cstheme="minorHAnsi"/>
          <w:b/>
          <w:caps w:val="0"/>
          <w:color w:val="auto"/>
        </w:rPr>
        <w:t>nternational trade (goods imported into, or exported from, Australia)</w:t>
      </w:r>
    </w:p>
    <w:p w14:paraId="4341EC9F" w14:textId="77777777" w:rsidR="00323C37" w:rsidRPr="00780D76" w:rsidRDefault="00843D0E" w:rsidP="008B382E">
      <w:pPr>
        <w:pStyle w:val="Boxheading"/>
        <w:numPr>
          <w:ilvl w:val="0"/>
          <w:numId w:val="34"/>
        </w:numPr>
        <w:spacing w:line="240" w:lineRule="auto"/>
        <w:jc w:val="both"/>
        <w:rPr>
          <w:rFonts w:asciiTheme="minorHAnsi" w:hAnsiTheme="minorHAnsi" w:cstheme="minorHAnsi"/>
          <w:b/>
          <w:color w:val="auto"/>
        </w:rPr>
      </w:pPr>
      <w:r w:rsidRPr="00780D76">
        <w:rPr>
          <w:rFonts w:asciiTheme="minorHAnsi" w:hAnsiTheme="minorHAnsi" w:cstheme="minorHAnsi"/>
          <w:b/>
          <w:caps w:val="0"/>
          <w:color w:val="auto"/>
        </w:rPr>
        <w:t>I</w:t>
      </w:r>
      <w:r w:rsidR="00323C37" w:rsidRPr="00780D76">
        <w:rPr>
          <w:rFonts w:asciiTheme="minorHAnsi" w:hAnsiTheme="minorHAnsi" w:cstheme="minorHAnsi"/>
          <w:b/>
          <w:caps w:val="0"/>
          <w:color w:val="auto"/>
        </w:rPr>
        <w:t>nter-state domestic trade (goods produced in one state for use in a different state)</w:t>
      </w:r>
    </w:p>
    <w:p w14:paraId="531F6FD2" w14:textId="77777777" w:rsidR="00323C37" w:rsidRPr="00780D76" w:rsidRDefault="00843D0E" w:rsidP="008B382E">
      <w:pPr>
        <w:pStyle w:val="Boxheading"/>
        <w:numPr>
          <w:ilvl w:val="0"/>
          <w:numId w:val="34"/>
        </w:numPr>
        <w:spacing w:line="240" w:lineRule="auto"/>
        <w:jc w:val="both"/>
        <w:rPr>
          <w:rFonts w:asciiTheme="minorHAnsi" w:hAnsiTheme="minorHAnsi" w:cstheme="minorHAnsi"/>
          <w:b/>
          <w:color w:val="auto"/>
        </w:rPr>
        <w:sectPr w:rsidR="00323C37" w:rsidRPr="00780D76" w:rsidSect="00060D23">
          <w:footnotePr>
            <w:numRestart w:val="eachSect"/>
          </w:footnotePr>
          <w:type w:val="continuous"/>
          <w:pgSz w:w="11906" w:h="16838" w:code="9"/>
          <w:pgMar w:top="1701" w:right="1418" w:bottom="1134" w:left="1418" w:header="709" w:footer="953" w:gutter="0"/>
          <w:cols w:space="708"/>
          <w:docGrid w:linePitch="360"/>
        </w:sectPr>
      </w:pPr>
      <w:r w:rsidRPr="00780D76">
        <w:rPr>
          <w:rFonts w:asciiTheme="minorHAnsi" w:hAnsiTheme="minorHAnsi" w:cstheme="minorHAnsi"/>
          <w:b/>
          <w:caps w:val="0"/>
          <w:color w:val="auto"/>
        </w:rPr>
        <w:t>I</w:t>
      </w:r>
      <w:r w:rsidR="00323C37" w:rsidRPr="00780D76">
        <w:rPr>
          <w:rFonts w:asciiTheme="minorHAnsi" w:hAnsiTheme="minorHAnsi" w:cstheme="minorHAnsi"/>
          <w:b/>
          <w:caps w:val="0"/>
          <w:color w:val="auto"/>
        </w:rPr>
        <w:t>ntra-state domestic trade (goods produced in one state for use in that same state)</w:t>
      </w:r>
    </w:p>
    <w:p w14:paraId="78119FE1" w14:textId="77777777" w:rsidR="00323C37" w:rsidRPr="00780D76" w:rsidRDefault="00323C37" w:rsidP="00323C37">
      <w:pPr>
        <w:pStyle w:val="Heading2"/>
        <w:rPr>
          <w:rFonts w:asciiTheme="minorHAnsi" w:hAnsiTheme="minorHAnsi" w:cstheme="minorHAnsi"/>
        </w:rPr>
      </w:pPr>
      <w:r w:rsidRPr="00780D76">
        <w:rPr>
          <w:rFonts w:asciiTheme="minorHAnsi" w:hAnsiTheme="minorHAnsi" w:cstheme="minorHAnsi"/>
        </w:rPr>
        <w:lastRenderedPageBreak/>
        <w:t>2.3. Current experiences using paper-based transferable records</w:t>
      </w:r>
    </w:p>
    <w:p w14:paraId="572F7DB6" w14:textId="77777777" w:rsidR="00323C37" w:rsidRPr="00780D76" w:rsidRDefault="00323C37" w:rsidP="00843D0E">
      <w:pPr>
        <w:pStyle w:val="Boxheading"/>
        <w:spacing w:line="240" w:lineRule="auto"/>
        <w:ind w:left="0"/>
        <w:rPr>
          <w:rFonts w:asciiTheme="minorHAnsi" w:hAnsiTheme="minorHAnsi" w:cstheme="minorHAnsi"/>
          <w:b/>
          <w:color w:val="auto"/>
          <w:sz w:val="28"/>
        </w:rPr>
      </w:pPr>
      <w:r w:rsidRPr="00780D76">
        <w:rPr>
          <w:rFonts w:asciiTheme="minorHAnsi" w:hAnsiTheme="minorHAnsi" w:cstheme="minorHAnsi"/>
          <w:b/>
          <w:color w:val="auto"/>
          <w:sz w:val="28"/>
        </w:rPr>
        <w:t>Q</w:t>
      </w:r>
      <w:r w:rsidRPr="00780D76">
        <w:rPr>
          <w:rFonts w:asciiTheme="minorHAnsi" w:hAnsiTheme="minorHAnsi" w:cstheme="minorHAnsi"/>
          <w:b/>
          <w:caps w:val="0"/>
          <w:color w:val="auto"/>
          <w:sz w:val="28"/>
        </w:rPr>
        <w:t>uestion 5.</w:t>
      </w:r>
    </w:p>
    <w:p w14:paraId="53F69C70" w14:textId="77777777" w:rsidR="00323C37" w:rsidRPr="00780D76" w:rsidRDefault="00323C37" w:rsidP="00843D0E">
      <w:pPr>
        <w:pStyle w:val="Boxheading"/>
        <w:spacing w:line="240" w:lineRule="auto"/>
        <w:ind w:left="0"/>
        <w:jc w:val="both"/>
        <w:rPr>
          <w:rFonts w:asciiTheme="minorHAnsi" w:hAnsiTheme="minorHAnsi" w:cstheme="minorHAnsi"/>
          <w:caps w:val="0"/>
          <w:color w:val="auto"/>
        </w:rPr>
      </w:pPr>
      <w:r w:rsidRPr="00780D76">
        <w:rPr>
          <w:rFonts w:asciiTheme="minorHAnsi" w:hAnsiTheme="minorHAnsi" w:cstheme="minorHAnsi"/>
          <w:caps w:val="0"/>
          <w:color w:val="auto"/>
        </w:rPr>
        <w:t xml:space="preserve">How many hours per year do you estimate you, or your business, spend in processing paper-based transferable records? </w:t>
      </w:r>
    </w:p>
    <w:p w14:paraId="36DC4F0D" w14:textId="77777777" w:rsidR="00323C37" w:rsidRPr="00780D76" w:rsidRDefault="00323C37" w:rsidP="00843D0E">
      <w:pPr>
        <w:pStyle w:val="Boxheading"/>
        <w:spacing w:line="240" w:lineRule="auto"/>
        <w:ind w:left="0"/>
        <w:jc w:val="both"/>
        <w:rPr>
          <w:rFonts w:asciiTheme="minorHAnsi" w:hAnsiTheme="minorHAnsi" w:cstheme="minorHAnsi"/>
          <w:caps w:val="0"/>
          <w:color w:val="auto"/>
        </w:rPr>
      </w:pPr>
      <w:r w:rsidRPr="00780D76">
        <w:rPr>
          <w:rFonts w:asciiTheme="minorHAnsi" w:hAnsiTheme="minorHAnsi" w:cstheme="minorHAnsi"/>
          <w:caps w:val="0"/>
          <w:color w:val="auto"/>
        </w:rPr>
        <w:t xml:space="preserve">(Please refer to the records which you identified in </w:t>
      </w:r>
      <w:r w:rsidR="006F1DCC" w:rsidRPr="00780D76">
        <w:rPr>
          <w:rFonts w:asciiTheme="minorHAnsi" w:hAnsiTheme="minorHAnsi" w:cstheme="minorHAnsi"/>
          <w:b/>
          <w:caps w:val="0"/>
          <w:color w:val="0000FF"/>
          <w:u w:val="single"/>
        </w:rPr>
        <w:fldChar w:fldCharType="begin"/>
      </w:r>
      <w:r w:rsidR="006F1DCC" w:rsidRPr="00780D76">
        <w:rPr>
          <w:rFonts w:asciiTheme="minorHAnsi" w:hAnsiTheme="minorHAnsi" w:cstheme="minorHAnsi"/>
          <w:b/>
          <w:caps w:val="0"/>
          <w:color w:val="0000FF"/>
          <w:u w:val="single"/>
        </w:rPr>
        <w:instrText xml:space="preserve"> REF _Ref176445241 \r \h  \* MERGEFORMAT </w:instrText>
      </w:r>
      <w:r w:rsidR="006F1DCC" w:rsidRPr="00780D76">
        <w:rPr>
          <w:rFonts w:asciiTheme="minorHAnsi" w:hAnsiTheme="minorHAnsi" w:cstheme="minorHAnsi"/>
          <w:b/>
          <w:caps w:val="0"/>
          <w:color w:val="0000FF"/>
          <w:u w:val="single"/>
        </w:rPr>
      </w:r>
      <w:r w:rsidR="006F1DCC" w:rsidRPr="00780D76">
        <w:rPr>
          <w:rFonts w:asciiTheme="minorHAnsi" w:hAnsiTheme="minorHAnsi" w:cstheme="minorHAnsi"/>
          <w:b/>
          <w:caps w:val="0"/>
          <w:color w:val="0000FF"/>
          <w:u w:val="single"/>
        </w:rPr>
        <w:fldChar w:fldCharType="separate"/>
      </w:r>
      <w:r w:rsidR="006F1DCC" w:rsidRPr="00780D76">
        <w:rPr>
          <w:rFonts w:asciiTheme="minorHAnsi" w:hAnsiTheme="minorHAnsi" w:cstheme="minorHAnsi"/>
          <w:b/>
          <w:caps w:val="0"/>
          <w:color w:val="0000FF"/>
          <w:u w:val="single"/>
        </w:rPr>
        <w:t>Question 1</w:t>
      </w:r>
      <w:r w:rsidR="006F1DCC" w:rsidRPr="00780D76">
        <w:rPr>
          <w:rFonts w:asciiTheme="minorHAnsi" w:hAnsiTheme="minorHAnsi" w:cstheme="minorHAnsi"/>
          <w:b/>
          <w:caps w:val="0"/>
          <w:color w:val="0000FF"/>
          <w:u w:val="single"/>
        </w:rPr>
        <w:fldChar w:fldCharType="end"/>
      </w:r>
      <w:r w:rsidRPr="00780D76">
        <w:rPr>
          <w:rFonts w:asciiTheme="minorHAnsi" w:hAnsiTheme="minorHAnsi" w:cstheme="minorHAnsi"/>
          <w:b/>
          <w:caps w:val="0"/>
          <w:color w:val="0000FF"/>
        </w:rPr>
        <w:t xml:space="preserve"> </w:t>
      </w:r>
      <w:r w:rsidRPr="00780D76">
        <w:rPr>
          <w:rFonts w:asciiTheme="minorHAnsi" w:hAnsiTheme="minorHAnsi" w:cstheme="minorHAnsi"/>
          <w:caps w:val="0"/>
          <w:color w:val="auto"/>
        </w:rPr>
        <w:t>and</w:t>
      </w:r>
      <w:r w:rsidRPr="00780D76">
        <w:rPr>
          <w:rFonts w:asciiTheme="minorHAnsi" w:hAnsiTheme="minorHAnsi" w:cstheme="minorHAnsi"/>
          <w:b/>
          <w:caps w:val="0"/>
          <w:color w:val="FF0000"/>
        </w:rPr>
        <w:t xml:space="preserve"> </w:t>
      </w:r>
      <w:r w:rsidR="006F1DCC" w:rsidRPr="00780D76">
        <w:rPr>
          <w:rFonts w:asciiTheme="minorHAnsi" w:hAnsiTheme="minorHAnsi" w:cstheme="minorHAnsi"/>
          <w:b/>
          <w:caps w:val="0"/>
          <w:color w:val="0000FF"/>
          <w:u w:val="single"/>
        </w:rPr>
        <w:fldChar w:fldCharType="begin"/>
      </w:r>
      <w:r w:rsidR="006F1DCC" w:rsidRPr="00780D76">
        <w:rPr>
          <w:rFonts w:asciiTheme="minorHAnsi" w:hAnsiTheme="minorHAnsi" w:cstheme="minorHAnsi"/>
          <w:b/>
          <w:caps w:val="0"/>
          <w:color w:val="0000FF"/>
          <w:u w:val="single"/>
        </w:rPr>
        <w:instrText xml:space="preserve"> REF _Ref176445262 \r \h  \* MERGEFORMAT </w:instrText>
      </w:r>
      <w:r w:rsidR="006F1DCC" w:rsidRPr="00780D76">
        <w:rPr>
          <w:rFonts w:asciiTheme="minorHAnsi" w:hAnsiTheme="minorHAnsi" w:cstheme="minorHAnsi"/>
          <w:b/>
          <w:caps w:val="0"/>
          <w:color w:val="0000FF"/>
          <w:u w:val="single"/>
        </w:rPr>
      </w:r>
      <w:r w:rsidR="006F1DCC" w:rsidRPr="00780D76">
        <w:rPr>
          <w:rFonts w:asciiTheme="minorHAnsi" w:hAnsiTheme="minorHAnsi" w:cstheme="minorHAnsi"/>
          <w:b/>
          <w:caps w:val="0"/>
          <w:color w:val="0000FF"/>
          <w:u w:val="single"/>
        </w:rPr>
        <w:fldChar w:fldCharType="separate"/>
      </w:r>
      <w:r w:rsidR="006F1DCC" w:rsidRPr="00780D76">
        <w:rPr>
          <w:rFonts w:asciiTheme="minorHAnsi" w:hAnsiTheme="minorHAnsi" w:cstheme="minorHAnsi"/>
          <w:b/>
          <w:caps w:val="0"/>
          <w:color w:val="0000FF"/>
          <w:u w:val="single"/>
        </w:rPr>
        <w:t>Question 2</w:t>
      </w:r>
      <w:r w:rsidR="006F1DCC" w:rsidRPr="00780D76">
        <w:rPr>
          <w:rFonts w:asciiTheme="minorHAnsi" w:hAnsiTheme="minorHAnsi" w:cstheme="minorHAnsi"/>
          <w:b/>
          <w:caps w:val="0"/>
          <w:color w:val="0000FF"/>
          <w:u w:val="single"/>
        </w:rPr>
        <w:fldChar w:fldCharType="end"/>
      </w:r>
      <w:r w:rsidRPr="00780D76">
        <w:rPr>
          <w:rFonts w:asciiTheme="minorHAnsi" w:hAnsiTheme="minorHAnsi" w:cstheme="minorHAnsi"/>
          <w:caps w:val="0"/>
          <w:color w:val="auto"/>
        </w:rPr>
        <w:t xml:space="preserve">). </w:t>
      </w:r>
    </w:p>
    <w:p w14:paraId="3CD181CF" w14:textId="77777777" w:rsidR="00323C37" w:rsidRPr="00780D76" w:rsidRDefault="00323C37" w:rsidP="00843D0E">
      <w:pPr>
        <w:pStyle w:val="Boxheading"/>
        <w:spacing w:line="240" w:lineRule="auto"/>
        <w:ind w:left="0"/>
        <w:jc w:val="both"/>
        <w:rPr>
          <w:rFonts w:asciiTheme="minorHAnsi" w:hAnsiTheme="minorHAnsi" w:cstheme="minorHAnsi"/>
          <w:i/>
          <w:caps w:val="0"/>
          <w:color w:val="auto"/>
        </w:rPr>
      </w:pPr>
      <w:r w:rsidRPr="00780D76">
        <w:rPr>
          <w:rFonts w:asciiTheme="minorHAnsi" w:hAnsiTheme="minorHAnsi" w:cstheme="minorHAnsi"/>
          <w:i/>
          <w:caps w:val="0"/>
          <w:color w:val="auto"/>
        </w:rPr>
        <w:t xml:space="preserve">Please provide an estimated or approximate number, for an aggregate of the transferable records you most frequently process, based on available data. </w:t>
      </w:r>
    </w:p>
    <w:p w14:paraId="4C6DC51B" w14:textId="77777777" w:rsidR="00323C37" w:rsidRPr="00780D76" w:rsidRDefault="00323C37" w:rsidP="00843D0E">
      <w:pPr>
        <w:pStyle w:val="Boxheading"/>
        <w:spacing w:line="240" w:lineRule="auto"/>
        <w:ind w:left="0"/>
        <w:jc w:val="both"/>
        <w:rPr>
          <w:rFonts w:asciiTheme="minorHAnsi" w:hAnsiTheme="minorHAnsi" w:cstheme="minorHAnsi"/>
          <w:i/>
          <w:caps w:val="0"/>
          <w:color w:val="auto"/>
        </w:rPr>
      </w:pPr>
      <w:r w:rsidRPr="00780D76">
        <w:rPr>
          <w:rFonts w:asciiTheme="minorHAnsi" w:hAnsiTheme="minorHAnsi" w:cstheme="minorHAnsi"/>
          <w:i/>
          <w:caps w:val="0"/>
          <w:color w:val="auto"/>
        </w:rPr>
        <w:t>‘</w:t>
      </w:r>
      <w:r w:rsidRPr="00780D76">
        <w:rPr>
          <w:rFonts w:asciiTheme="minorHAnsi" w:hAnsiTheme="minorHAnsi" w:cstheme="minorHAnsi"/>
          <w:caps w:val="0"/>
          <w:color w:val="auto"/>
        </w:rPr>
        <w:t>Processing’</w:t>
      </w:r>
      <w:r w:rsidRPr="00780D76">
        <w:rPr>
          <w:rFonts w:asciiTheme="minorHAnsi" w:hAnsiTheme="minorHAnsi" w:cstheme="minorHAnsi"/>
          <w:i/>
          <w:caps w:val="0"/>
          <w:color w:val="auto"/>
        </w:rPr>
        <w:t xml:space="preserve"> for these purposes includes arranging couriers, posting, reviewing, completing, amending, accounting for unexpected changes or errors, filing, and other similar actions</w:t>
      </w:r>
    </w:p>
    <w:p w14:paraId="2A2F6DA8" w14:textId="77777777" w:rsidR="00323C37" w:rsidRPr="00780D76" w:rsidRDefault="00323C37" w:rsidP="00323C37">
      <w:pPr>
        <w:pStyle w:val="Heading3"/>
        <w:rPr>
          <w:rFonts w:asciiTheme="minorHAnsi" w:hAnsiTheme="minorHAnsi" w:cstheme="minorHAnsi"/>
        </w:rPr>
      </w:pPr>
    </w:p>
    <w:p w14:paraId="788E9F7E" w14:textId="77777777" w:rsidR="00323C37" w:rsidRPr="00780D76" w:rsidRDefault="00323C37" w:rsidP="00323C37">
      <w:pPr>
        <w:pStyle w:val="Boxheading"/>
        <w:spacing w:line="240" w:lineRule="auto"/>
        <w:ind w:left="0"/>
        <w:rPr>
          <w:rFonts w:asciiTheme="minorHAnsi" w:hAnsiTheme="minorHAnsi" w:cstheme="minorHAnsi"/>
          <w:b/>
          <w:caps w:val="0"/>
          <w:color w:val="auto"/>
          <w:sz w:val="28"/>
        </w:rPr>
      </w:pPr>
      <w:r w:rsidRPr="00780D76">
        <w:rPr>
          <w:rFonts w:asciiTheme="minorHAnsi" w:hAnsiTheme="minorHAnsi" w:cstheme="minorHAnsi"/>
          <w:b/>
          <w:caps w:val="0"/>
          <w:color w:val="auto"/>
          <w:sz w:val="28"/>
        </w:rPr>
        <w:t xml:space="preserve">Question 6. </w:t>
      </w:r>
    </w:p>
    <w:p w14:paraId="1289A055" w14:textId="77777777" w:rsidR="00323C37" w:rsidRPr="00780D76" w:rsidRDefault="00323C37" w:rsidP="00323C37">
      <w:pPr>
        <w:pStyle w:val="Boxheading"/>
        <w:spacing w:line="240" w:lineRule="auto"/>
        <w:ind w:left="0"/>
        <w:jc w:val="both"/>
        <w:rPr>
          <w:rFonts w:asciiTheme="minorHAnsi" w:hAnsiTheme="minorHAnsi" w:cstheme="minorHAnsi"/>
          <w:caps w:val="0"/>
          <w:color w:val="auto"/>
        </w:rPr>
      </w:pPr>
      <w:r w:rsidRPr="00780D76">
        <w:rPr>
          <w:rFonts w:asciiTheme="minorHAnsi" w:hAnsiTheme="minorHAnsi" w:cstheme="minorHAnsi"/>
          <w:caps w:val="0"/>
          <w:color w:val="auto"/>
        </w:rPr>
        <w:t xml:space="preserve">What would you estimate to be the average annual financial cost to you, or your business, in processing paper-based transferable records? </w:t>
      </w:r>
    </w:p>
    <w:p w14:paraId="44D8A496" w14:textId="77777777" w:rsidR="00323C37" w:rsidRPr="00780D76" w:rsidRDefault="00323C37" w:rsidP="00323C37">
      <w:pPr>
        <w:pStyle w:val="Boxheading"/>
        <w:spacing w:line="240" w:lineRule="auto"/>
        <w:ind w:left="0"/>
        <w:jc w:val="both"/>
        <w:rPr>
          <w:rFonts w:asciiTheme="minorHAnsi" w:hAnsiTheme="minorHAnsi" w:cstheme="minorHAnsi"/>
          <w:caps w:val="0"/>
          <w:color w:val="auto"/>
        </w:rPr>
      </w:pPr>
      <w:r w:rsidRPr="00780D76">
        <w:rPr>
          <w:rFonts w:asciiTheme="minorHAnsi" w:hAnsiTheme="minorHAnsi" w:cstheme="minorHAnsi"/>
          <w:caps w:val="0"/>
          <w:color w:val="auto"/>
        </w:rPr>
        <w:t xml:space="preserve">(Please refer to the records which you identified in </w:t>
      </w:r>
      <w:r w:rsidR="006F1DCC" w:rsidRPr="00780D76">
        <w:rPr>
          <w:rFonts w:asciiTheme="minorHAnsi" w:hAnsiTheme="minorHAnsi" w:cstheme="minorHAnsi"/>
          <w:b/>
          <w:caps w:val="0"/>
          <w:color w:val="0000FF"/>
          <w:u w:val="single"/>
        </w:rPr>
        <w:fldChar w:fldCharType="begin"/>
      </w:r>
      <w:r w:rsidR="006F1DCC" w:rsidRPr="00780D76">
        <w:rPr>
          <w:rFonts w:asciiTheme="minorHAnsi" w:hAnsiTheme="minorHAnsi" w:cstheme="minorHAnsi"/>
          <w:b/>
          <w:caps w:val="0"/>
          <w:color w:val="0000FF"/>
          <w:u w:val="single"/>
        </w:rPr>
        <w:instrText xml:space="preserve"> REF _Ref176445241 \r \h  \* MERGEFORMAT </w:instrText>
      </w:r>
      <w:r w:rsidR="006F1DCC" w:rsidRPr="00780D76">
        <w:rPr>
          <w:rFonts w:asciiTheme="minorHAnsi" w:hAnsiTheme="minorHAnsi" w:cstheme="minorHAnsi"/>
          <w:b/>
          <w:caps w:val="0"/>
          <w:color w:val="0000FF"/>
          <w:u w:val="single"/>
        </w:rPr>
      </w:r>
      <w:r w:rsidR="006F1DCC" w:rsidRPr="00780D76">
        <w:rPr>
          <w:rFonts w:asciiTheme="minorHAnsi" w:hAnsiTheme="minorHAnsi" w:cstheme="minorHAnsi"/>
          <w:b/>
          <w:caps w:val="0"/>
          <w:color w:val="0000FF"/>
          <w:u w:val="single"/>
        </w:rPr>
        <w:fldChar w:fldCharType="separate"/>
      </w:r>
      <w:r w:rsidR="006F1DCC" w:rsidRPr="00780D76">
        <w:rPr>
          <w:rFonts w:asciiTheme="minorHAnsi" w:hAnsiTheme="minorHAnsi" w:cstheme="minorHAnsi"/>
          <w:b/>
          <w:caps w:val="0"/>
          <w:color w:val="0000FF"/>
          <w:u w:val="single"/>
        </w:rPr>
        <w:t>Question 1</w:t>
      </w:r>
      <w:r w:rsidR="006F1DCC" w:rsidRPr="00780D76">
        <w:rPr>
          <w:rFonts w:asciiTheme="minorHAnsi" w:hAnsiTheme="minorHAnsi" w:cstheme="minorHAnsi"/>
          <w:b/>
          <w:caps w:val="0"/>
          <w:color w:val="0000FF"/>
          <w:u w:val="single"/>
        </w:rPr>
        <w:fldChar w:fldCharType="end"/>
      </w:r>
      <w:r w:rsidR="006F1DCC" w:rsidRPr="00780D76">
        <w:rPr>
          <w:rFonts w:asciiTheme="minorHAnsi" w:hAnsiTheme="minorHAnsi" w:cstheme="minorHAnsi"/>
          <w:b/>
          <w:caps w:val="0"/>
          <w:color w:val="0000FF"/>
          <w:u w:val="single"/>
        </w:rPr>
        <w:t xml:space="preserve"> </w:t>
      </w:r>
      <w:r w:rsidRPr="00780D76">
        <w:rPr>
          <w:rFonts w:asciiTheme="minorHAnsi" w:hAnsiTheme="minorHAnsi" w:cstheme="minorHAnsi"/>
          <w:caps w:val="0"/>
          <w:color w:val="auto"/>
        </w:rPr>
        <w:t>and</w:t>
      </w:r>
      <w:r w:rsidR="006F1DCC" w:rsidRPr="00780D76">
        <w:rPr>
          <w:rFonts w:asciiTheme="minorHAnsi" w:hAnsiTheme="minorHAnsi" w:cstheme="minorHAnsi"/>
          <w:b/>
          <w:caps w:val="0"/>
          <w:color w:val="FF0000"/>
        </w:rPr>
        <w:t xml:space="preserve"> </w:t>
      </w:r>
      <w:r w:rsidR="006F1DCC" w:rsidRPr="00780D76">
        <w:rPr>
          <w:rFonts w:asciiTheme="minorHAnsi" w:hAnsiTheme="minorHAnsi" w:cstheme="minorHAnsi"/>
          <w:b/>
          <w:caps w:val="0"/>
          <w:color w:val="0000FF"/>
          <w:u w:val="single"/>
        </w:rPr>
        <w:fldChar w:fldCharType="begin"/>
      </w:r>
      <w:r w:rsidR="006F1DCC" w:rsidRPr="00780D76">
        <w:rPr>
          <w:rFonts w:asciiTheme="minorHAnsi" w:hAnsiTheme="minorHAnsi" w:cstheme="minorHAnsi"/>
          <w:b/>
          <w:caps w:val="0"/>
          <w:color w:val="0000FF"/>
          <w:u w:val="single"/>
        </w:rPr>
        <w:instrText xml:space="preserve"> REF _Ref176445262 \r \h  \* MERGEFORMAT </w:instrText>
      </w:r>
      <w:r w:rsidR="006F1DCC" w:rsidRPr="00780D76">
        <w:rPr>
          <w:rFonts w:asciiTheme="minorHAnsi" w:hAnsiTheme="minorHAnsi" w:cstheme="minorHAnsi"/>
          <w:b/>
          <w:caps w:val="0"/>
          <w:color w:val="0000FF"/>
          <w:u w:val="single"/>
        </w:rPr>
      </w:r>
      <w:r w:rsidR="006F1DCC" w:rsidRPr="00780D76">
        <w:rPr>
          <w:rFonts w:asciiTheme="minorHAnsi" w:hAnsiTheme="minorHAnsi" w:cstheme="minorHAnsi"/>
          <w:b/>
          <w:caps w:val="0"/>
          <w:color w:val="0000FF"/>
          <w:u w:val="single"/>
        </w:rPr>
        <w:fldChar w:fldCharType="separate"/>
      </w:r>
      <w:r w:rsidR="006F1DCC" w:rsidRPr="00780D76">
        <w:rPr>
          <w:rFonts w:asciiTheme="minorHAnsi" w:hAnsiTheme="minorHAnsi" w:cstheme="minorHAnsi"/>
          <w:b/>
          <w:caps w:val="0"/>
          <w:color w:val="0000FF"/>
          <w:u w:val="single"/>
        </w:rPr>
        <w:t>Question 2</w:t>
      </w:r>
      <w:r w:rsidR="006F1DCC" w:rsidRPr="00780D76">
        <w:rPr>
          <w:rFonts w:asciiTheme="minorHAnsi" w:hAnsiTheme="minorHAnsi" w:cstheme="minorHAnsi"/>
          <w:b/>
          <w:caps w:val="0"/>
          <w:color w:val="0000FF"/>
          <w:u w:val="single"/>
        </w:rPr>
        <w:fldChar w:fldCharType="end"/>
      </w:r>
      <w:r w:rsidRPr="00780D76">
        <w:rPr>
          <w:rFonts w:asciiTheme="minorHAnsi" w:hAnsiTheme="minorHAnsi" w:cstheme="minorHAnsi"/>
          <w:b/>
          <w:caps w:val="0"/>
          <w:color w:val="0000FF"/>
          <w:u w:val="single"/>
        </w:rPr>
        <w:t>).</w:t>
      </w:r>
      <w:r w:rsidRPr="00780D76">
        <w:rPr>
          <w:rFonts w:asciiTheme="minorHAnsi" w:hAnsiTheme="minorHAnsi" w:cstheme="minorHAnsi"/>
          <w:caps w:val="0"/>
          <w:color w:val="0000FF"/>
        </w:rPr>
        <w:t xml:space="preserve"> </w:t>
      </w:r>
    </w:p>
    <w:p w14:paraId="462EE1D0" w14:textId="77777777" w:rsidR="00323C37" w:rsidRPr="00780D76" w:rsidRDefault="00323C37" w:rsidP="00323C37">
      <w:pPr>
        <w:pStyle w:val="Boxheading"/>
        <w:spacing w:line="240" w:lineRule="auto"/>
        <w:ind w:left="0"/>
        <w:jc w:val="both"/>
        <w:rPr>
          <w:rFonts w:asciiTheme="minorHAnsi" w:hAnsiTheme="minorHAnsi" w:cstheme="minorHAnsi"/>
          <w:i/>
          <w:color w:val="auto"/>
          <w:highlight w:val="yellow"/>
        </w:rPr>
      </w:pPr>
      <w:r w:rsidRPr="00780D76">
        <w:rPr>
          <w:rFonts w:asciiTheme="minorHAnsi" w:hAnsiTheme="minorHAnsi" w:cstheme="minorHAnsi"/>
          <w:i/>
          <w:caps w:val="0"/>
          <w:color w:val="auto"/>
        </w:rPr>
        <w:t>Please provide an estimated or approximate amount based on available data. Please account for employee or contractor hourly rates, legal fees, posting or printing, and other similar expenses.</w:t>
      </w:r>
    </w:p>
    <w:p w14:paraId="0F99C1CE" w14:textId="77777777" w:rsidR="00323C37" w:rsidRPr="00780D76" w:rsidRDefault="00323C37" w:rsidP="00323C37">
      <w:pPr>
        <w:tabs>
          <w:tab w:val="left" w:pos="1916"/>
        </w:tabs>
        <w:rPr>
          <w:rFonts w:asciiTheme="minorHAnsi" w:hAnsiTheme="minorHAnsi" w:cstheme="minorHAnsi"/>
          <w:highlight w:val="yellow"/>
          <w:lang w:val="en"/>
        </w:rPr>
      </w:pPr>
    </w:p>
    <w:p w14:paraId="18ACBC21" w14:textId="77777777" w:rsidR="00323C37" w:rsidRPr="00780D76" w:rsidRDefault="00323C37" w:rsidP="00323C37">
      <w:pPr>
        <w:pStyle w:val="Boxheading"/>
        <w:ind w:left="0"/>
        <w:rPr>
          <w:rFonts w:asciiTheme="minorHAnsi" w:hAnsiTheme="minorHAnsi" w:cstheme="minorHAnsi"/>
          <w:b/>
          <w:color w:val="auto"/>
          <w:sz w:val="24"/>
        </w:rPr>
      </w:pPr>
      <w:r w:rsidRPr="00780D76">
        <w:rPr>
          <w:rFonts w:asciiTheme="minorHAnsi" w:hAnsiTheme="minorHAnsi" w:cstheme="minorHAnsi"/>
          <w:b/>
          <w:caps w:val="0"/>
          <w:color w:val="auto"/>
          <w:sz w:val="24"/>
        </w:rPr>
        <w:t>Question 7.</w:t>
      </w:r>
    </w:p>
    <w:p w14:paraId="35B9EB9F" w14:textId="77777777" w:rsidR="00843D0E" w:rsidRPr="00780D76" w:rsidRDefault="00323C37" w:rsidP="00323C37">
      <w:pPr>
        <w:pStyle w:val="Boxheading"/>
        <w:ind w:left="0"/>
        <w:rPr>
          <w:rFonts w:asciiTheme="minorHAnsi" w:hAnsiTheme="minorHAnsi" w:cstheme="minorHAnsi"/>
          <w:caps w:val="0"/>
          <w:color w:val="auto"/>
          <w:szCs w:val="21"/>
        </w:rPr>
      </w:pPr>
      <w:r w:rsidRPr="00780D76">
        <w:rPr>
          <w:rFonts w:asciiTheme="minorHAnsi" w:hAnsiTheme="minorHAnsi" w:cstheme="minorHAnsi"/>
          <w:caps w:val="0"/>
          <w:color w:val="auto"/>
          <w:szCs w:val="21"/>
        </w:rPr>
        <w:t xml:space="preserve">If possible, please provide an estimate of how many hours you (or your business) might expect to save per year processing electronic transferable records, compared to paper versions. </w:t>
      </w:r>
    </w:p>
    <w:p w14:paraId="3890FDFE" w14:textId="77777777" w:rsidR="00323C37" w:rsidRPr="00780D76" w:rsidRDefault="00323C37" w:rsidP="00323C37">
      <w:pPr>
        <w:pStyle w:val="Boxheading"/>
        <w:ind w:left="0"/>
        <w:rPr>
          <w:rFonts w:asciiTheme="minorHAnsi" w:hAnsiTheme="minorHAnsi" w:cstheme="minorHAnsi"/>
          <w:i/>
          <w:color w:val="auto"/>
          <w:szCs w:val="21"/>
        </w:rPr>
      </w:pPr>
      <w:r w:rsidRPr="00780D76">
        <w:rPr>
          <w:rFonts w:asciiTheme="minorHAnsi" w:hAnsiTheme="minorHAnsi" w:cstheme="minorHAnsi"/>
          <w:i/>
          <w:caps w:val="0"/>
          <w:color w:val="auto"/>
          <w:szCs w:val="21"/>
        </w:rPr>
        <w:t>If applicable, please also provide a brief description of the basis on which you made this estimate</w:t>
      </w:r>
      <w:r w:rsidR="00843D0E" w:rsidRPr="00780D76">
        <w:rPr>
          <w:rFonts w:asciiTheme="minorHAnsi" w:hAnsiTheme="minorHAnsi" w:cstheme="minorHAnsi"/>
          <w:i/>
          <w:caps w:val="0"/>
          <w:color w:val="auto"/>
          <w:szCs w:val="21"/>
        </w:rPr>
        <w:t>.</w:t>
      </w:r>
    </w:p>
    <w:p w14:paraId="2D6CBAD6" w14:textId="77777777" w:rsidR="00323C37" w:rsidRPr="00780D76" w:rsidRDefault="00323C37" w:rsidP="00323C37">
      <w:pPr>
        <w:rPr>
          <w:rFonts w:asciiTheme="minorHAnsi" w:hAnsiTheme="minorHAnsi" w:cstheme="minorHAnsi"/>
          <w:lang w:val="en"/>
        </w:rPr>
      </w:pPr>
    </w:p>
    <w:p w14:paraId="45BB36CA" w14:textId="77777777" w:rsidR="00E15393" w:rsidRDefault="00E15393">
      <w:pPr>
        <w:spacing w:before="0" w:after="0" w:line="240" w:lineRule="auto"/>
        <w:rPr>
          <w:rFonts w:asciiTheme="minorHAnsi" w:hAnsiTheme="minorHAnsi" w:cstheme="minorHAnsi"/>
          <w:b/>
          <w:bCs/>
          <w:color w:val="auto"/>
          <w:sz w:val="28"/>
          <w:szCs w:val="20"/>
          <w:lang w:val="en"/>
        </w:rPr>
      </w:pPr>
      <w:r>
        <w:rPr>
          <w:rFonts w:asciiTheme="minorHAnsi" w:hAnsiTheme="minorHAnsi" w:cstheme="minorHAnsi"/>
          <w:b/>
          <w:caps/>
          <w:color w:val="auto"/>
          <w:sz w:val="28"/>
        </w:rPr>
        <w:br w:type="page"/>
      </w:r>
    </w:p>
    <w:p w14:paraId="3F487B1C" w14:textId="214741FC" w:rsidR="00330C78" w:rsidRPr="00780D76" w:rsidRDefault="00330C78" w:rsidP="00843D0E">
      <w:pPr>
        <w:pStyle w:val="Boxheading"/>
        <w:ind w:left="0"/>
        <w:jc w:val="both"/>
        <w:rPr>
          <w:rFonts w:asciiTheme="minorHAnsi" w:hAnsiTheme="minorHAnsi" w:cstheme="minorHAnsi"/>
          <w:b/>
          <w:caps w:val="0"/>
          <w:color w:val="auto"/>
          <w:sz w:val="28"/>
        </w:rPr>
      </w:pPr>
      <w:r w:rsidRPr="00780D76">
        <w:rPr>
          <w:rFonts w:asciiTheme="minorHAnsi" w:hAnsiTheme="minorHAnsi" w:cstheme="minorHAnsi"/>
          <w:b/>
          <w:caps w:val="0"/>
          <w:color w:val="auto"/>
          <w:sz w:val="28"/>
        </w:rPr>
        <w:lastRenderedPageBreak/>
        <w:t>Question 8.</w:t>
      </w:r>
    </w:p>
    <w:p w14:paraId="5AA7B311" w14:textId="77777777" w:rsidR="00843D0E" w:rsidRPr="00780D76" w:rsidRDefault="00843D0E" w:rsidP="00843D0E">
      <w:pPr>
        <w:pStyle w:val="Boxheading"/>
        <w:ind w:left="0"/>
        <w:jc w:val="both"/>
        <w:rPr>
          <w:rFonts w:asciiTheme="minorHAnsi" w:hAnsiTheme="minorHAnsi" w:cstheme="minorHAnsi"/>
          <w:caps w:val="0"/>
          <w:color w:val="auto"/>
        </w:rPr>
      </w:pPr>
      <w:r w:rsidRPr="00780D76">
        <w:rPr>
          <w:rFonts w:asciiTheme="minorHAnsi" w:hAnsiTheme="minorHAnsi" w:cstheme="minorHAnsi"/>
          <w:caps w:val="0"/>
          <w:color w:val="auto"/>
        </w:rPr>
        <w:t>I</w:t>
      </w:r>
      <w:r w:rsidR="00330C78" w:rsidRPr="00780D76">
        <w:rPr>
          <w:rFonts w:asciiTheme="minorHAnsi" w:hAnsiTheme="minorHAnsi" w:cstheme="minorHAnsi"/>
          <w:caps w:val="0"/>
          <w:color w:val="auto"/>
        </w:rPr>
        <w:t xml:space="preserve">f possible, please provide an estimate of the financial savings you (or your business) might expect per year processing electronic transferable records, compared to paper versions. </w:t>
      </w:r>
    </w:p>
    <w:p w14:paraId="6E8D8178" w14:textId="77777777" w:rsidR="00323C37" w:rsidRPr="00780D76" w:rsidRDefault="00330C78" w:rsidP="00843D0E">
      <w:pPr>
        <w:pStyle w:val="Boxheading"/>
        <w:ind w:left="0"/>
        <w:jc w:val="both"/>
        <w:rPr>
          <w:rFonts w:asciiTheme="minorHAnsi" w:hAnsiTheme="minorHAnsi" w:cstheme="minorHAnsi"/>
          <w:i/>
          <w:color w:val="auto"/>
        </w:rPr>
      </w:pPr>
      <w:r w:rsidRPr="00780D76">
        <w:rPr>
          <w:rFonts w:asciiTheme="minorHAnsi" w:hAnsiTheme="minorHAnsi" w:cstheme="minorHAnsi"/>
          <w:i/>
          <w:caps w:val="0"/>
          <w:color w:val="auto"/>
        </w:rPr>
        <w:t>If applicable, please also provide a brief description of the basis on which you made this estimate.</w:t>
      </w:r>
    </w:p>
    <w:p w14:paraId="45ACC0D2" w14:textId="77777777" w:rsidR="00323C37" w:rsidRPr="00780D76" w:rsidRDefault="00323C37" w:rsidP="00843D0E">
      <w:pPr>
        <w:tabs>
          <w:tab w:val="left" w:pos="1077"/>
        </w:tabs>
        <w:spacing w:line="276" w:lineRule="auto"/>
        <w:jc w:val="both"/>
        <w:rPr>
          <w:rFonts w:asciiTheme="minorHAnsi" w:hAnsiTheme="minorHAnsi" w:cstheme="minorHAnsi"/>
          <w:color w:val="auto"/>
          <w:lang w:val="en"/>
        </w:rPr>
      </w:pPr>
    </w:p>
    <w:p w14:paraId="0F6E053E" w14:textId="77777777" w:rsidR="00330C78" w:rsidRPr="00780D76" w:rsidRDefault="00330C78" w:rsidP="00330C78">
      <w:pPr>
        <w:pStyle w:val="Boxheading"/>
        <w:ind w:left="0"/>
        <w:jc w:val="both"/>
        <w:rPr>
          <w:rFonts w:asciiTheme="minorHAnsi" w:hAnsiTheme="minorHAnsi" w:cstheme="minorHAnsi"/>
          <w:b/>
          <w:caps w:val="0"/>
          <w:color w:val="auto"/>
          <w:sz w:val="28"/>
        </w:rPr>
      </w:pPr>
      <w:r w:rsidRPr="00780D76">
        <w:rPr>
          <w:rFonts w:asciiTheme="minorHAnsi" w:hAnsiTheme="minorHAnsi" w:cstheme="minorHAnsi"/>
          <w:b/>
          <w:caps w:val="0"/>
          <w:color w:val="auto"/>
          <w:sz w:val="28"/>
        </w:rPr>
        <w:t>Question 9.</w:t>
      </w:r>
    </w:p>
    <w:p w14:paraId="0ACBE3E8" w14:textId="77777777" w:rsidR="00330C78" w:rsidRPr="00780D76" w:rsidRDefault="00330C78" w:rsidP="00330C78">
      <w:pPr>
        <w:pStyle w:val="Boxheading"/>
        <w:ind w:left="0"/>
        <w:jc w:val="both"/>
        <w:rPr>
          <w:rFonts w:asciiTheme="minorHAnsi" w:hAnsiTheme="minorHAnsi" w:cstheme="minorHAnsi"/>
          <w:caps w:val="0"/>
          <w:color w:val="auto"/>
        </w:rPr>
      </w:pPr>
      <w:r w:rsidRPr="00780D76">
        <w:rPr>
          <w:rFonts w:asciiTheme="minorHAnsi" w:hAnsiTheme="minorHAnsi" w:cstheme="minorHAnsi"/>
          <w:caps w:val="0"/>
          <w:color w:val="auto"/>
        </w:rPr>
        <w:t xml:space="preserve">How would you assess the impact of using electronic transferable record processes upon your or your business’ customers and consumers? </w:t>
      </w:r>
    </w:p>
    <w:p w14:paraId="4AF30097" w14:textId="77777777" w:rsidR="00330C78" w:rsidRPr="00780D76" w:rsidRDefault="00330C78" w:rsidP="008B382E">
      <w:pPr>
        <w:pStyle w:val="Boxheading"/>
        <w:numPr>
          <w:ilvl w:val="0"/>
          <w:numId w:val="43"/>
        </w:numPr>
        <w:jc w:val="both"/>
        <w:rPr>
          <w:rFonts w:asciiTheme="minorHAnsi" w:hAnsiTheme="minorHAnsi" w:cstheme="minorHAnsi"/>
          <w:b/>
          <w:color w:val="auto"/>
        </w:rPr>
      </w:pPr>
      <w:r w:rsidRPr="00780D76">
        <w:rPr>
          <w:rFonts w:asciiTheme="minorHAnsi" w:hAnsiTheme="minorHAnsi" w:cstheme="minorHAnsi"/>
          <w:b/>
          <w:caps w:val="0"/>
          <w:color w:val="auto"/>
        </w:rPr>
        <w:t xml:space="preserve">It would likely result in lowered costs for my customers and consumers </w:t>
      </w:r>
    </w:p>
    <w:p w14:paraId="676A7B5E" w14:textId="77777777" w:rsidR="00330C78" w:rsidRPr="00780D76" w:rsidRDefault="00330C78" w:rsidP="008B382E">
      <w:pPr>
        <w:pStyle w:val="Boxheading"/>
        <w:numPr>
          <w:ilvl w:val="0"/>
          <w:numId w:val="43"/>
        </w:numPr>
        <w:jc w:val="both"/>
        <w:rPr>
          <w:rFonts w:asciiTheme="minorHAnsi" w:hAnsiTheme="minorHAnsi" w:cstheme="minorHAnsi"/>
          <w:b/>
          <w:color w:val="auto"/>
        </w:rPr>
      </w:pPr>
      <w:r w:rsidRPr="00780D76">
        <w:rPr>
          <w:rFonts w:asciiTheme="minorHAnsi" w:hAnsiTheme="minorHAnsi" w:cstheme="minorHAnsi"/>
          <w:b/>
          <w:caps w:val="0"/>
          <w:color w:val="auto"/>
        </w:rPr>
        <w:t xml:space="preserve">It would likely result in higher costs for my customers and consumers </w:t>
      </w:r>
    </w:p>
    <w:p w14:paraId="7B0BAF2B" w14:textId="77777777" w:rsidR="00330C78" w:rsidRPr="00780D76" w:rsidRDefault="00330C78" w:rsidP="008B382E">
      <w:pPr>
        <w:pStyle w:val="Boxheading"/>
        <w:numPr>
          <w:ilvl w:val="0"/>
          <w:numId w:val="43"/>
        </w:numPr>
        <w:jc w:val="both"/>
        <w:rPr>
          <w:rFonts w:asciiTheme="minorHAnsi" w:hAnsiTheme="minorHAnsi" w:cstheme="minorHAnsi"/>
          <w:b/>
          <w:color w:val="auto"/>
        </w:rPr>
      </w:pPr>
      <w:r w:rsidRPr="00780D76">
        <w:rPr>
          <w:rFonts w:asciiTheme="minorHAnsi" w:hAnsiTheme="minorHAnsi" w:cstheme="minorHAnsi"/>
          <w:b/>
          <w:caps w:val="0"/>
          <w:color w:val="auto"/>
        </w:rPr>
        <w:t xml:space="preserve">It would likely not have any effect on costs for my customers and consumers </w:t>
      </w:r>
    </w:p>
    <w:p w14:paraId="0A4C05A7" w14:textId="21E820F8" w:rsidR="00323C37" w:rsidRPr="00780D76" w:rsidRDefault="00330C78" w:rsidP="00330C78">
      <w:pPr>
        <w:pStyle w:val="Boxheading"/>
        <w:ind w:left="0"/>
        <w:jc w:val="both"/>
        <w:rPr>
          <w:rFonts w:asciiTheme="minorHAnsi" w:hAnsiTheme="minorHAnsi" w:cstheme="minorHAnsi"/>
          <w:i/>
          <w:color w:val="auto"/>
        </w:rPr>
      </w:pPr>
      <w:r w:rsidRPr="00780D76">
        <w:rPr>
          <w:rFonts w:asciiTheme="minorHAnsi" w:hAnsiTheme="minorHAnsi" w:cstheme="minorHAnsi"/>
          <w:i/>
          <w:caps w:val="0"/>
          <w:color w:val="auto"/>
        </w:rPr>
        <w:t>Please expand on your answer – including, if applicable, a description of the basis on which you made this assessment</w:t>
      </w:r>
      <w:r w:rsidR="00707A50">
        <w:rPr>
          <w:rFonts w:asciiTheme="minorHAnsi" w:hAnsiTheme="minorHAnsi" w:cstheme="minorHAnsi"/>
          <w:i/>
          <w:caps w:val="0"/>
          <w:color w:val="auto"/>
        </w:rPr>
        <w:t>.</w:t>
      </w:r>
    </w:p>
    <w:p w14:paraId="2181830E" w14:textId="77777777" w:rsidR="00323C37" w:rsidRPr="00780D76" w:rsidRDefault="00323C37" w:rsidP="00323C37">
      <w:pPr>
        <w:pStyle w:val="Heading2"/>
        <w:rPr>
          <w:rFonts w:asciiTheme="minorHAnsi" w:hAnsiTheme="minorHAnsi" w:cstheme="minorHAnsi"/>
        </w:rPr>
      </w:pPr>
      <w:r w:rsidRPr="00780D76">
        <w:rPr>
          <w:rFonts w:asciiTheme="minorHAnsi" w:hAnsiTheme="minorHAnsi" w:cstheme="minorHAnsi"/>
        </w:rPr>
        <w:t>2.4. Paper-based t</w:t>
      </w:r>
      <w:r w:rsidR="00330C78" w:rsidRPr="00780D76">
        <w:rPr>
          <w:rFonts w:asciiTheme="minorHAnsi" w:hAnsiTheme="minorHAnsi" w:cstheme="minorHAnsi"/>
        </w:rPr>
        <w:t>r</w:t>
      </w:r>
      <w:r w:rsidRPr="00780D76">
        <w:rPr>
          <w:rFonts w:asciiTheme="minorHAnsi" w:hAnsiTheme="minorHAnsi" w:cstheme="minorHAnsi"/>
        </w:rPr>
        <w:t>ansferable record requirements and paperless trade</w:t>
      </w:r>
    </w:p>
    <w:p w14:paraId="008D6A16" w14:textId="77777777" w:rsidR="00330C78" w:rsidRPr="00780D76" w:rsidRDefault="00330C78" w:rsidP="00330C78">
      <w:pPr>
        <w:pStyle w:val="Boxheading"/>
        <w:ind w:left="0"/>
        <w:rPr>
          <w:rFonts w:asciiTheme="minorHAnsi" w:hAnsiTheme="minorHAnsi" w:cstheme="minorHAnsi"/>
          <w:b/>
          <w:caps w:val="0"/>
          <w:color w:val="auto"/>
          <w:sz w:val="28"/>
        </w:rPr>
      </w:pPr>
      <w:r w:rsidRPr="00780D76">
        <w:rPr>
          <w:rFonts w:asciiTheme="minorHAnsi" w:hAnsiTheme="minorHAnsi" w:cstheme="minorHAnsi"/>
          <w:b/>
          <w:caps w:val="0"/>
          <w:color w:val="auto"/>
          <w:sz w:val="28"/>
        </w:rPr>
        <w:t>Question 10.</w:t>
      </w:r>
    </w:p>
    <w:p w14:paraId="4C2B71BC" w14:textId="77777777" w:rsidR="00330C78" w:rsidRPr="00780D76" w:rsidRDefault="00330C78" w:rsidP="00330C78">
      <w:pPr>
        <w:pStyle w:val="Boxheading"/>
        <w:ind w:left="0"/>
        <w:jc w:val="both"/>
        <w:rPr>
          <w:rFonts w:asciiTheme="minorHAnsi" w:hAnsiTheme="minorHAnsi" w:cstheme="minorHAnsi"/>
          <w:caps w:val="0"/>
          <w:color w:val="auto"/>
        </w:rPr>
      </w:pPr>
      <w:r w:rsidRPr="00780D76">
        <w:rPr>
          <w:rFonts w:asciiTheme="minorHAnsi" w:hAnsiTheme="minorHAnsi" w:cstheme="minorHAnsi"/>
          <w:caps w:val="0"/>
          <w:color w:val="auto"/>
        </w:rPr>
        <w:t xml:space="preserve">To what extent are your (or your business’) trade documentation processes generally affected by the specific issue of uncertainty about the legal validity of electronic transferable records? </w:t>
      </w:r>
    </w:p>
    <w:p w14:paraId="39B7056D" w14:textId="77777777" w:rsidR="00330C78" w:rsidRPr="00780D76" w:rsidRDefault="00330C78" w:rsidP="008B382E">
      <w:pPr>
        <w:pStyle w:val="Boxheading"/>
        <w:numPr>
          <w:ilvl w:val="0"/>
          <w:numId w:val="27"/>
        </w:numPr>
        <w:ind w:left="360"/>
        <w:jc w:val="both"/>
        <w:rPr>
          <w:rFonts w:asciiTheme="minorHAnsi" w:hAnsiTheme="minorHAnsi" w:cstheme="minorHAnsi"/>
          <w:b/>
          <w:color w:val="auto"/>
        </w:rPr>
      </w:pPr>
      <w:r w:rsidRPr="00780D76">
        <w:rPr>
          <w:rFonts w:asciiTheme="minorHAnsi" w:hAnsiTheme="minorHAnsi" w:cstheme="minorHAnsi"/>
          <w:b/>
          <w:caps w:val="0"/>
          <w:color w:val="auto"/>
        </w:rPr>
        <w:t xml:space="preserve">Paper transferable record requirements do not affect our processes </w:t>
      </w:r>
    </w:p>
    <w:p w14:paraId="3D57FA85" w14:textId="77777777" w:rsidR="00330C78" w:rsidRPr="00780D76" w:rsidRDefault="00330C78" w:rsidP="008B382E">
      <w:pPr>
        <w:pStyle w:val="Boxheading"/>
        <w:numPr>
          <w:ilvl w:val="0"/>
          <w:numId w:val="27"/>
        </w:numPr>
        <w:ind w:left="360"/>
        <w:jc w:val="both"/>
        <w:rPr>
          <w:rFonts w:asciiTheme="minorHAnsi" w:hAnsiTheme="minorHAnsi" w:cstheme="minorHAnsi"/>
          <w:b/>
          <w:color w:val="auto"/>
        </w:rPr>
      </w:pPr>
      <w:r w:rsidRPr="00780D76">
        <w:rPr>
          <w:rFonts w:asciiTheme="minorHAnsi" w:hAnsiTheme="minorHAnsi" w:cstheme="minorHAnsi"/>
          <w:b/>
          <w:caps w:val="0"/>
          <w:color w:val="auto"/>
        </w:rPr>
        <w:t xml:space="preserve">We use paper trade documents for several reasons, including paper transferable record requirements </w:t>
      </w:r>
    </w:p>
    <w:p w14:paraId="73328493" w14:textId="77777777" w:rsidR="00330C78" w:rsidRPr="00780D76" w:rsidRDefault="00330C78" w:rsidP="008B382E">
      <w:pPr>
        <w:pStyle w:val="Boxheading"/>
        <w:numPr>
          <w:ilvl w:val="0"/>
          <w:numId w:val="27"/>
        </w:numPr>
        <w:ind w:left="360"/>
        <w:jc w:val="both"/>
        <w:rPr>
          <w:rFonts w:asciiTheme="minorHAnsi" w:hAnsiTheme="minorHAnsi" w:cstheme="minorHAnsi"/>
          <w:b/>
          <w:color w:val="auto"/>
        </w:rPr>
      </w:pPr>
      <w:r w:rsidRPr="00780D76">
        <w:rPr>
          <w:rFonts w:asciiTheme="minorHAnsi" w:hAnsiTheme="minorHAnsi" w:cstheme="minorHAnsi"/>
          <w:b/>
          <w:caps w:val="0"/>
          <w:color w:val="auto"/>
        </w:rPr>
        <w:t>The primary reason we use paper trade documents is paper transferable record requirements.</w:t>
      </w:r>
    </w:p>
    <w:p w14:paraId="7414E772" w14:textId="77777777" w:rsidR="00323C37" w:rsidRPr="00780D76" w:rsidRDefault="00330C78" w:rsidP="00330C78">
      <w:pPr>
        <w:pStyle w:val="Boxheading"/>
        <w:ind w:left="0"/>
        <w:jc w:val="both"/>
        <w:rPr>
          <w:rFonts w:asciiTheme="minorHAnsi" w:hAnsiTheme="minorHAnsi" w:cstheme="minorHAnsi"/>
          <w:b/>
          <w:color w:val="auto"/>
        </w:rPr>
      </w:pPr>
      <w:r w:rsidRPr="00780D76">
        <w:rPr>
          <w:rFonts w:asciiTheme="minorHAnsi" w:hAnsiTheme="minorHAnsi" w:cstheme="minorHAnsi"/>
          <w:caps w:val="0"/>
          <w:color w:val="auto"/>
        </w:rPr>
        <w:t>Please expand on your answer. For example, if applicable, please expand on which barriers prevent you from using electronic trade documentation generally.</w:t>
      </w:r>
    </w:p>
    <w:p w14:paraId="60FFFDEB" w14:textId="77777777" w:rsidR="00323C37" w:rsidRPr="00780D76" w:rsidRDefault="00323C37" w:rsidP="00323C37">
      <w:pPr>
        <w:pStyle w:val="Heading1"/>
        <w:jc w:val="both"/>
        <w:rPr>
          <w:rFonts w:asciiTheme="minorHAnsi" w:hAnsiTheme="minorHAnsi" w:cstheme="minorHAnsi"/>
        </w:rPr>
      </w:pPr>
      <w:r w:rsidRPr="00780D76">
        <w:rPr>
          <w:rFonts w:asciiTheme="minorHAnsi" w:hAnsiTheme="minorHAnsi" w:cstheme="minorHAnsi"/>
        </w:rPr>
        <w:lastRenderedPageBreak/>
        <w:t xml:space="preserve">3. Australian law applying to transferable records </w:t>
      </w:r>
    </w:p>
    <w:p w14:paraId="57BD03CD" w14:textId="77777777" w:rsidR="00323C37" w:rsidRPr="00780D76" w:rsidRDefault="00323C37" w:rsidP="00323C37">
      <w:pPr>
        <w:pStyle w:val="Heading2"/>
        <w:jc w:val="both"/>
        <w:rPr>
          <w:rFonts w:asciiTheme="minorHAnsi" w:hAnsiTheme="minorHAnsi" w:cstheme="minorHAnsi"/>
        </w:rPr>
      </w:pPr>
      <w:r w:rsidRPr="00780D76">
        <w:rPr>
          <w:rFonts w:asciiTheme="minorHAnsi" w:hAnsiTheme="minorHAnsi" w:cstheme="minorHAnsi"/>
        </w:rPr>
        <w:t>3.1. Possession, transfer and use of transferable records under Australian law</w:t>
      </w:r>
    </w:p>
    <w:p w14:paraId="0947AABD" w14:textId="77777777" w:rsidR="00330C78" w:rsidRPr="00780D76" w:rsidRDefault="00330C78" w:rsidP="00330C78">
      <w:pPr>
        <w:pStyle w:val="Boxheading"/>
        <w:spacing w:line="240" w:lineRule="auto"/>
        <w:ind w:left="0"/>
        <w:rPr>
          <w:rFonts w:asciiTheme="minorHAnsi" w:hAnsiTheme="minorHAnsi" w:cstheme="minorHAnsi"/>
          <w:b/>
          <w:caps w:val="0"/>
          <w:color w:val="auto"/>
          <w:sz w:val="28"/>
        </w:rPr>
      </w:pPr>
      <w:r w:rsidRPr="00780D76">
        <w:rPr>
          <w:rFonts w:asciiTheme="minorHAnsi" w:hAnsiTheme="minorHAnsi" w:cstheme="minorHAnsi"/>
          <w:b/>
          <w:caps w:val="0"/>
          <w:color w:val="auto"/>
          <w:sz w:val="28"/>
        </w:rPr>
        <w:t>Question 11.</w:t>
      </w:r>
    </w:p>
    <w:p w14:paraId="1D6DD148" w14:textId="77777777" w:rsidR="00330C78" w:rsidRPr="00780D76" w:rsidRDefault="00330C78" w:rsidP="00330C78">
      <w:pPr>
        <w:pStyle w:val="Boxheading"/>
        <w:ind w:left="0"/>
        <w:jc w:val="both"/>
        <w:rPr>
          <w:rFonts w:asciiTheme="minorHAnsi" w:hAnsiTheme="minorHAnsi" w:cstheme="minorHAnsi"/>
          <w:caps w:val="0"/>
          <w:color w:val="auto"/>
        </w:rPr>
      </w:pPr>
      <w:r w:rsidRPr="00780D76">
        <w:rPr>
          <w:rFonts w:asciiTheme="minorHAnsi" w:hAnsiTheme="minorHAnsi" w:cstheme="minorHAnsi"/>
          <w:caps w:val="0"/>
          <w:color w:val="auto"/>
        </w:rPr>
        <w:t xml:space="preserve">Can you identify any Australian laws – whether in legislation, the terms of a contract, or common law – which concern or require the possession or transfer or use of a paper transferable record? </w:t>
      </w:r>
    </w:p>
    <w:p w14:paraId="1902689D" w14:textId="77777777" w:rsidR="00323C37" w:rsidRPr="00780D76" w:rsidRDefault="00330C78" w:rsidP="00330C78">
      <w:pPr>
        <w:pStyle w:val="Boxheading"/>
        <w:ind w:left="0"/>
        <w:jc w:val="both"/>
        <w:rPr>
          <w:rFonts w:asciiTheme="minorHAnsi" w:hAnsiTheme="minorHAnsi" w:cstheme="minorHAnsi"/>
          <w:i/>
          <w:color w:val="auto"/>
        </w:rPr>
      </w:pPr>
      <w:r w:rsidRPr="00780D76">
        <w:rPr>
          <w:rFonts w:asciiTheme="minorHAnsi" w:hAnsiTheme="minorHAnsi" w:cstheme="minorHAnsi"/>
          <w:i/>
          <w:caps w:val="0"/>
          <w:color w:val="auto"/>
        </w:rPr>
        <w:t>Please provide examples, references or extracts from contracts if possible.</w:t>
      </w:r>
    </w:p>
    <w:p w14:paraId="0C73FE05" w14:textId="77777777" w:rsidR="00323C37" w:rsidRPr="00780D76" w:rsidRDefault="00323C37" w:rsidP="00323C37">
      <w:pPr>
        <w:rPr>
          <w:rFonts w:asciiTheme="minorHAnsi" w:hAnsiTheme="minorHAnsi" w:cstheme="minorHAnsi"/>
          <w:lang w:val="en"/>
        </w:rPr>
      </w:pPr>
    </w:p>
    <w:p w14:paraId="58E4B505" w14:textId="77777777" w:rsidR="00330C78" w:rsidRPr="00780D76" w:rsidRDefault="00330C78" w:rsidP="00330C78">
      <w:pPr>
        <w:pStyle w:val="Boxheading"/>
        <w:spacing w:line="240" w:lineRule="auto"/>
        <w:ind w:left="0"/>
        <w:jc w:val="both"/>
        <w:rPr>
          <w:rFonts w:asciiTheme="minorHAnsi" w:hAnsiTheme="minorHAnsi" w:cstheme="minorHAnsi"/>
          <w:b/>
          <w:caps w:val="0"/>
          <w:color w:val="auto"/>
          <w:sz w:val="28"/>
        </w:rPr>
      </w:pPr>
      <w:r w:rsidRPr="00780D76">
        <w:rPr>
          <w:rFonts w:asciiTheme="minorHAnsi" w:hAnsiTheme="minorHAnsi" w:cstheme="minorHAnsi"/>
          <w:b/>
          <w:caps w:val="0"/>
          <w:color w:val="auto"/>
          <w:sz w:val="28"/>
        </w:rPr>
        <w:t>Question 12.</w:t>
      </w:r>
    </w:p>
    <w:p w14:paraId="59016B4A" w14:textId="4B15ECBD" w:rsidR="00323C37" w:rsidRPr="00780D76" w:rsidRDefault="00330C78" w:rsidP="00330C78">
      <w:pPr>
        <w:pStyle w:val="Boxheading"/>
        <w:ind w:left="0"/>
        <w:jc w:val="both"/>
        <w:rPr>
          <w:rFonts w:asciiTheme="minorHAnsi" w:hAnsiTheme="minorHAnsi" w:cstheme="minorHAnsi"/>
          <w:color w:val="auto"/>
        </w:rPr>
      </w:pPr>
      <w:r w:rsidRPr="00780D76">
        <w:rPr>
          <w:rFonts w:asciiTheme="minorHAnsi" w:hAnsiTheme="minorHAnsi" w:cstheme="minorHAnsi"/>
          <w:caps w:val="0"/>
          <w:color w:val="auto"/>
        </w:rPr>
        <w:t xml:space="preserve">If the MLETR was implemented, what issues (if any) do you anticipate in its application to any of the laws referenced under this section (including any laws identified by yourself in </w:t>
      </w:r>
      <w:r w:rsidR="009B0C3B">
        <w:rPr>
          <w:rFonts w:asciiTheme="minorHAnsi" w:hAnsiTheme="minorHAnsi" w:cstheme="minorHAnsi"/>
          <w:caps w:val="0"/>
          <w:color w:val="auto"/>
        </w:rPr>
        <w:t>Q</w:t>
      </w:r>
      <w:r w:rsidRPr="00780D76">
        <w:rPr>
          <w:rFonts w:asciiTheme="minorHAnsi" w:hAnsiTheme="minorHAnsi" w:cstheme="minorHAnsi"/>
          <w:caps w:val="0"/>
          <w:color w:val="auto"/>
        </w:rPr>
        <w:t>uestion 11)?</w:t>
      </w:r>
    </w:p>
    <w:p w14:paraId="267DD3FF" w14:textId="77777777" w:rsidR="00323C37" w:rsidRPr="00780D76" w:rsidRDefault="00323C37" w:rsidP="00323C37">
      <w:pPr>
        <w:pStyle w:val="Heading2"/>
        <w:jc w:val="both"/>
        <w:rPr>
          <w:rFonts w:asciiTheme="minorHAnsi" w:hAnsiTheme="minorHAnsi" w:cstheme="minorHAnsi"/>
        </w:rPr>
      </w:pPr>
      <w:r w:rsidRPr="00780D76">
        <w:rPr>
          <w:rFonts w:asciiTheme="minorHAnsi" w:hAnsiTheme="minorHAnsi" w:cstheme="minorHAnsi"/>
        </w:rPr>
        <w:t>3.2. Transferable records as property, including under the PPSA</w:t>
      </w:r>
    </w:p>
    <w:p w14:paraId="443A9682" w14:textId="77777777" w:rsidR="00330C78" w:rsidRPr="00780D76" w:rsidRDefault="00330C78" w:rsidP="00330C78">
      <w:pPr>
        <w:pStyle w:val="Boxheading"/>
        <w:ind w:left="0"/>
        <w:jc w:val="both"/>
        <w:rPr>
          <w:rFonts w:asciiTheme="minorHAnsi" w:hAnsiTheme="minorHAnsi" w:cstheme="minorHAnsi"/>
          <w:b/>
          <w:caps w:val="0"/>
          <w:color w:val="auto"/>
          <w:sz w:val="28"/>
        </w:rPr>
      </w:pPr>
      <w:r w:rsidRPr="00780D76">
        <w:rPr>
          <w:rFonts w:asciiTheme="minorHAnsi" w:hAnsiTheme="minorHAnsi" w:cstheme="minorHAnsi"/>
          <w:b/>
          <w:caps w:val="0"/>
          <w:color w:val="auto"/>
          <w:sz w:val="28"/>
        </w:rPr>
        <w:t>Question 13.</w:t>
      </w:r>
    </w:p>
    <w:p w14:paraId="16ACCDE6" w14:textId="77777777" w:rsidR="00330C78" w:rsidRPr="00780D76" w:rsidRDefault="00330C78" w:rsidP="00330C78">
      <w:pPr>
        <w:pStyle w:val="Boxheading"/>
        <w:ind w:left="0"/>
        <w:jc w:val="both"/>
        <w:rPr>
          <w:rFonts w:asciiTheme="minorHAnsi" w:hAnsiTheme="minorHAnsi" w:cstheme="minorHAnsi"/>
          <w:caps w:val="0"/>
          <w:color w:val="auto"/>
        </w:rPr>
      </w:pPr>
      <w:r w:rsidRPr="00780D76">
        <w:rPr>
          <w:rFonts w:asciiTheme="minorHAnsi" w:hAnsiTheme="minorHAnsi" w:cstheme="minorHAnsi"/>
          <w:caps w:val="0"/>
          <w:color w:val="auto"/>
        </w:rPr>
        <w:t xml:space="preserve">Please describe any views, suggestions or issues which the department should consider, to ensure that electronic transferable records are an identifiable form of possessable property under Australian law, including under the PPSA. </w:t>
      </w:r>
    </w:p>
    <w:p w14:paraId="7E63ADC5" w14:textId="77777777" w:rsidR="00323C37" w:rsidRPr="00780D76" w:rsidRDefault="00330C78" w:rsidP="00330C78">
      <w:pPr>
        <w:pStyle w:val="Boxheading"/>
        <w:ind w:left="0"/>
        <w:jc w:val="both"/>
        <w:rPr>
          <w:rFonts w:asciiTheme="minorHAnsi" w:hAnsiTheme="minorHAnsi" w:cstheme="minorHAnsi"/>
          <w:b/>
          <w:i/>
          <w:caps w:val="0"/>
          <w:color w:val="auto"/>
          <w:sz w:val="28"/>
        </w:rPr>
      </w:pPr>
      <w:r w:rsidRPr="00780D76">
        <w:rPr>
          <w:rFonts w:asciiTheme="minorHAnsi" w:hAnsiTheme="minorHAnsi" w:cstheme="minorHAnsi"/>
          <w:i/>
          <w:caps w:val="0"/>
          <w:color w:val="auto"/>
        </w:rPr>
        <w:t>If possible, please also elaborate on the extent to which you consider the MLETR would provide sufficient confirmation of the property status of electronic transferable records.</w:t>
      </w:r>
    </w:p>
    <w:p w14:paraId="510E47C4" w14:textId="77777777" w:rsidR="00323C37" w:rsidRPr="00780D76" w:rsidRDefault="00323C37" w:rsidP="00323C37">
      <w:pPr>
        <w:pStyle w:val="Heading2"/>
        <w:jc w:val="both"/>
        <w:rPr>
          <w:rFonts w:asciiTheme="minorHAnsi" w:hAnsiTheme="minorHAnsi" w:cstheme="minorHAnsi"/>
        </w:rPr>
      </w:pPr>
      <w:r w:rsidRPr="00780D76">
        <w:rPr>
          <w:rFonts w:asciiTheme="minorHAnsi" w:hAnsiTheme="minorHAnsi" w:cstheme="minorHAnsi"/>
        </w:rPr>
        <w:t>3.3 Evidence and regulatory requirements</w:t>
      </w:r>
    </w:p>
    <w:p w14:paraId="2BE404F1" w14:textId="77777777" w:rsidR="00330C78" w:rsidRPr="00780D76" w:rsidRDefault="00330C78" w:rsidP="00330C78">
      <w:pPr>
        <w:pStyle w:val="Boxheading"/>
        <w:ind w:left="0"/>
        <w:jc w:val="both"/>
        <w:rPr>
          <w:rFonts w:asciiTheme="minorHAnsi" w:hAnsiTheme="minorHAnsi" w:cstheme="minorHAnsi"/>
          <w:b/>
          <w:caps w:val="0"/>
          <w:color w:val="auto"/>
          <w:sz w:val="28"/>
        </w:rPr>
      </w:pPr>
      <w:r w:rsidRPr="00780D76">
        <w:rPr>
          <w:rFonts w:asciiTheme="minorHAnsi" w:hAnsiTheme="minorHAnsi" w:cstheme="minorHAnsi"/>
          <w:b/>
          <w:caps w:val="0"/>
          <w:color w:val="auto"/>
          <w:sz w:val="28"/>
        </w:rPr>
        <w:t>Question 14.</w:t>
      </w:r>
    </w:p>
    <w:p w14:paraId="659E6A1D" w14:textId="77777777" w:rsidR="00323C37" w:rsidRPr="00780D76" w:rsidRDefault="00330C78" w:rsidP="00330C78">
      <w:pPr>
        <w:pStyle w:val="Boxheading"/>
        <w:ind w:left="0"/>
        <w:jc w:val="both"/>
        <w:rPr>
          <w:rFonts w:asciiTheme="minorHAnsi" w:hAnsiTheme="minorHAnsi" w:cstheme="minorHAnsi"/>
          <w:color w:val="auto"/>
        </w:rPr>
      </w:pPr>
      <w:r w:rsidRPr="00780D76">
        <w:rPr>
          <w:rFonts w:asciiTheme="minorHAnsi" w:hAnsiTheme="minorHAnsi" w:cstheme="minorHAnsi"/>
          <w:caps w:val="0"/>
          <w:color w:val="auto"/>
        </w:rPr>
        <w:t>What other evidence or regulatory requirements relating to transferable records are you aware of, under Australian law?</w:t>
      </w:r>
    </w:p>
    <w:p w14:paraId="0959CF34" w14:textId="77777777" w:rsidR="00323C37" w:rsidRPr="00780D76" w:rsidRDefault="00323C37" w:rsidP="00323C37">
      <w:pPr>
        <w:pStyle w:val="Heading2"/>
        <w:jc w:val="both"/>
        <w:rPr>
          <w:rFonts w:asciiTheme="minorHAnsi" w:hAnsiTheme="minorHAnsi" w:cstheme="minorHAnsi"/>
        </w:rPr>
      </w:pPr>
      <w:r w:rsidRPr="00780D76">
        <w:rPr>
          <w:rFonts w:asciiTheme="minorHAnsi" w:hAnsiTheme="minorHAnsi" w:cstheme="minorHAnsi"/>
        </w:rPr>
        <w:lastRenderedPageBreak/>
        <w:t>3.5. Application of the Uniform Australian ETAs</w:t>
      </w:r>
    </w:p>
    <w:p w14:paraId="556EAA3F" w14:textId="77777777" w:rsidR="00330C78" w:rsidRPr="00780D76" w:rsidRDefault="00330C78" w:rsidP="00330C78">
      <w:pPr>
        <w:pStyle w:val="Boxheading"/>
        <w:spacing w:line="240" w:lineRule="auto"/>
        <w:ind w:left="0"/>
        <w:rPr>
          <w:rFonts w:asciiTheme="minorHAnsi" w:hAnsiTheme="minorHAnsi" w:cstheme="minorHAnsi"/>
          <w:b/>
          <w:caps w:val="0"/>
          <w:color w:val="auto"/>
          <w:sz w:val="28"/>
        </w:rPr>
      </w:pPr>
      <w:r w:rsidRPr="00780D76">
        <w:rPr>
          <w:rFonts w:asciiTheme="minorHAnsi" w:hAnsiTheme="minorHAnsi" w:cstheme="minorHAnsi"/>
          <w:b/>
          <w:caps w:val="0"/>
          <w:color w:val="auto"/>
          <w:sz w:val="28"/>
        </w:rPr>
        <w:t>Question 15.</w:t>
      </w:r>
    </w:p>
    <w:p w14:paraId="1186211C" w14:textId="15281B6E" w:rsidR="00330C78" w:rsidRPr="00780D76" w:rsidRDefault="00330C78" w:rsidP="00330C78">
      <w:pPr>
        <w:pStyle w:val="Boxheading"/>
        <w:ind w:left="0"/>
        <w:jc w:val="both"/>
        <w:rPr>
          <w:rFonts w:asciiTheme="minorHAnsi" w:hAnsiTheme="minorHAnsi" w:cstheme="minorHAnsi"/>
          <w:caps w:val="0"/>
          <w:color w:val="auto"/>
        </w:rPr>
      </w:pPr>
      <w:r w:rsidRPr="00780D76">
        <w:rPr>
          <w:rFonts w:asciiTheme="minorHAnsi" w:hAnsiTheme="minorHAnsi" w:cstheme="minorHAnsi"/>
          <w:caps w:val="0"/>
          <w:color w:val="auto"/>
        </w:rPr>
        <w:t>W</w:t>
      </w:r>
      <w:r w:rsidR="00E12657">
        <w:rPr>
          <w:rFonts w:asciiTheme="minorHAnsi" w:hAnsiTheme="minorHAnsi" w:cstheme="minorHAnsi"/>
          <w:caps w:val="0"/>
          <w:color w:val="auto"/>
        </w:rPr>
        <w:t>e</w:t>
      </w:r>
      <w:r w:rsidRPr="00780D76">
        <w:rPr>
          <w:rFonts w:asciiTheme="minorHAnsi" w:hAnsiTheme="minorHAnsi" w:cstheme="minorHAnsi"/>
          <w:caps w:val="0"/>
          <w:color w:val="auto"/>
        </w:rPr>
        <w:t xml:space="preserve"> would welcome any preliminary comments from stakeholders regarding the applicability of the uniform Australian ETAs towards electronic transferable records. </w:t>
      </w:r>
    </w:p>
    <w:p w14:paraId="61B0EA10" w14:textId="77777777" w:rsidR="00323C37" w:rsidRPr="00780D76" w:rsidRDefault="00330C78" w:rsidP="00330C78">
      <w:pPr>
        <w:pStyle w:val="Boxheading"/>
        <w:ind w:left="0"/>
        <w:jc w:val="both"/>
        <w:rPr>
          <w:rFonts w:asciiTheme="minorHAnsi" w:hAnsiTheme="minorHAnsi" w:cstheme="minorHAnsi"/>
          <w:i/>
          <w:color w:val="auto"/>
        </w:rPr>
      </w:pPr>
      <w:r w:rsidRPr="00780D76">
        <w:rPr>
          <w:rFonts w:asciiTheme="minorHAnsi" w:hAnsiTheme="minorHAnsi" w:cstheme="minorHAnsi"/>
          <w:i/>
          <w:caps w:val="0"/>
          <w:color w:val="auto"/>
        </w:rPr>
        <w:t>For example, we would be interested in views about the consequences of any potential overlap or inconsistency between the MLETR and the ETA.</w:t>
      </w:r>
    </w:p>
    <w:p w14:paraId="5B105F2C" w14:textId="77777777" w:rsidR="00323C37" w:rsidRPr="00780D76" w:rsidRDefault="00323C37" w:rsidP="00323C37">
      <w:pPr>
        <w:pStyle w:val="Heading2"/>
        <w:jc w:val="both"/>
        <w:rPr>
          <w:rFonts w:asciiTheme="minorHAnsi" w:hAnsiTheme="minorHAnsi" w:cstheme="minorHAnsi"/>
        </w:rPr>
      </w:pPr>
      <w:r w:rsidRPr="00780D76">
        <w:rPr>
          <w:rFonts w:asciiTheme="minorHAnsi" w:hAnsiTheme="minorHAnsi" w:cstheme="minorHAnsi"/>
        </w:rPr>
        <w:t>3.6. Electronic bills of lading under current Australian law</w:t>
      </w:r>
    </w:p>
    <w:p w14:paraId="1E200263" w14:textId="77777777" w:rsidR="00330C78" w:rsidRPr="00780D76" w:rsidRDefault="00330C78" w:rsidP="00330C78">
      <w:pPr>
        <w:pStyle w:val="Boxheading"/>
        <w:spacing w:line="240" w:lineRule="auto"/>
        <w:ind w:left="0"/>
        <w:rPr>
          <w:rFonts w:asciiTheme="minorHAnsi" w:hAnsiTheme="minorHAnsi" w:cstheme="minorHAnsi"/>
          <w:b/>
          <w:caps w:val="0"/>
          <w:color w:val="auto"/>
          <w:sz w:val="28"/>
        </w:rPr>
      </w:pPr>
      <w:r w:rsidRPr="00780D76">
        <w:rPr>
          <w:rFonts w:asciiTheme="minorHAnsi" w:hAnsiTheme="minorHAnsi" w:cstheme="minorHAnsi"/>
          <w:b/>
          <w:caps w:val="0"/>
          <w:color w:val="auto"/>
          <w:sz w:val="28"/>
        </w:rPr>
        <w:t>Question 16.</w:t>
      </w:r>
    </w:p>
    <w:p w14:paraId="4D085CEA" w14:textId="77777777" w:rsidR="00330C78" w:rsidRPr="00780D76" w:rsidRDefault="00330C78" w:rsidP="00330C78">
      <w:pPr>
        <w:pStyle w:val="Boxheading"/>
        <w:ind w:left="0"/>
        <w:jc w:val="both"/>
        <w:rPr>
          <w:rFonts w:asciiTheme="minorHAnsi" w:hAnsiTheme="minorHAnsi" w:cstheme="minorHAnsi"/>
          <w:caps w:val="0"/>
          <w:color w:val="auto"/>
        </w:rPr>
      </w:pPr>
      <w:r w:rsidRPr="00780D76">
        <w:rPr>
          <w:rFonts w:asciiTheme="minorHAnsi" w:hAnsiTheme="minorHAnsi" w:cstheme="minorHAnsi"/>
          <w:caps w:val="0"/>
          <w:color w:val="auto"/>
        </w:rPr>
        <w:t xml:space="preserve">Have you (or your business) used, or do you currently use, electronic bills of lading through existing private contractual frameworks? </w:t>
      </w:r>
    </w:p>
    <w:p w14:paraId="54E16BC0" w14:textId="77777777" w:rsidR="00330C78" w:rsidRPr="00780D76" w:rsidRDefault="00330C78" w:rsidP="008B382E">
      <w:pPr>
        <w:pStyle w:val="Boxheading"/>
        <w:numPr>
          <w:ilvl w:val="0"/>
          <w:numId w:val="42"/>
        </w:numPr>
        <w:jc w:val="both"/>
        <w:rPr>
          <w:rFonts w:asciiTheme="minorHAnsi" w:hAnsiTheme="minorHAnsi" w:cstheme="minorHAnsi"/>
          <w:b/>
          <w:caps w:val="0"/>
          <w:color w:val="auto"/>
        </w:rPr>
      </w:pPr>
      <w:r w:rsidRPr="00780D76">
        <w:rPr>
          <w:rFonts w:asciiTheme="minorHAnsi" w:hAnsiTheme="minorHAnsi" w:cstheme="minorHAnsi"/>
          <w:b/>
          <w:caps w:val="0"/>
          <w:color w:val="auto"/>
        </w:rPr>
        <w:t xml:space="preserve">Yes </w:t>
      </w:r>
    </w:p>
    <w:p w14:paraId="66EF906B" w14:textId="77777777" w:rsidR="00330C78" w:rsidRPr="00780D76" w:rsidRDefault="00330C78" w:rsidP="008B382E">
      <w:pPr>
        <w:pStyle w:val="Boxheading"/>
        <w:numPr>
          <w:ilvl w:val="0"/>
          <w:numId w:val="42"/>
        </w:numPr>
        <w:jc w:val="both"/>
        <w:rPr>
          <w:rFonts w:asciiTheme="minorHAnsi" w:hAnsiTheme="minorHAnsi" w:cstheme="minorHAnsi"/>
          <w:b/>
          <w:caps w:val="0"/>
          <w:color w:val="auto"/>
        </w:rPr>
      </w:pPr>
      <w:r w:rsidRPr="00780D76">
        <w:rPr>
          <w:rFonts w:asciiTheme="minorHAnsi" w:hAnsiTheme="minorHAnsi" w:cstheme="minorHAnsi"/>
          <w:b/>
          <w:caps w:val="0"/>
          <w:color w:val="auto"/>
        </w:rPr>
        <w:t>No</w:t>
      </w:r>
    </w:p>
    <w:p w14:paraId="0F8459C0" w14:textId="77777777" w:rsidR="00323C37" w:rsidRPr="00780D76" w:rsidRDefault="00330C78" w:rsidP="00330C78">
      <w:pPr>
        <w:pStyle w:val="Boxheading"/>
        <w:ind w:left="0"/>
        <w:jc w:val="both"/>
        <w:rPr>
          <w:rFonts w:asciiTheme="minorHAnsi" w:hAnsiTheme="minorHAnsi" w:cstheme="minorHAnsi"/>
          <w:color w:val="auto"/>
        </w:rPr>
      </w:pPr>
      <w:r w:rsidRPr="00780D76">
        <w:rPr>
          <w:rFonts w:asciiTheme="minorHAnsi" w:hAnsiTheme="minorHAnsi" w:cstheme="minorHAnsi"/>
          <w:caps w:val="0"/>
          <w:color w:val="auto"/>
        </w:rPr>
        <w:t>If you have, please describe what system you used, for what specific purposes, and what parties are typically parties to the underlying contract.</w:t>
      </w:r>
    </w:p>
    <w:p w14:paraId="6373DE69" w14:textId="77777777" w:rsidR="00323C37" w:rsidRPr="00780D76" w:rsidRDefault="00323C37" w:rsidP="00323C37">
      <w:pPr>
        <w:rPr>
          <w:rFonts w:asciiTheme="minorHAnsi" w:hAnsiTheme="minorHAnsi" w:cstheme="minorHAnsi"/>
          <w:lang w:val="en"/>
        </w:rPr>
      </w:pPr>
    </w:p>
    <w:p w14:paraId="6F283CCE" w14:textId="77777777" w:rsidR="00224DFC" w:rsidRPr="00780D76" w:rsidRDefault="00224DFC" w:rsidP="00C86FB6">
      <w:pPr>
        <w:pStyle w:val="Boxheading"/>
        <w:spacing w:line="240" w:lineRule="auto"/>
        <w:ind w:left="0"/>
        <w:rPr>
          <w:rFonts w:asciiTheme="minorHAnsi" w:hAnsiTheme="minorHAnsi" w:cstheme="minorHAnsi"/>
          <w:b/>
          <w:caps w:val="0"/>
          <w:color w:val="auto"/>
          <w:sz w:val="28"/>
        </w:rPr>
      </w:pPr>
      <w:r w:rsidRPr="00780D76">
        <w:rPr>
          <w:rFonts w:asciiTheme="minorHAnsi" w:hAnsiTheme="minorHAnsi" w:cstheme="minorHAnsi"/>
          <w:b/>
          <w:caps w:val="0"/>
          <w:color w:val="auto"/>
          <w:sz w:val="28"/>
        </w:rPr>
        <w:t xml:space="preserve">Question </w:t>
      </w:r>
      <w:r w:rsidR="00C86FB6" w:rsidRPr="00780D76">
        <w:rPr>
          <w:rFonts w:asciiTheme="minorHAnsi" w:hAnsiTheme="minorHAnsi" w:cstheme="minorHAnsi"/>
          <w:b/>
          <w:caps w:val="0"/>
          <w:color w:val="auto"/>
          <w:sz w:val="28"/>
        </w:rPr>
        <w:t>17</w:t>
      </w:r>
      <w:r w:rsidRPr="00780D76">
        <w:rPr>
          <w:rFonts w:asciiTheme="minorHAnsi" w:hAnsiTheme="minorHAnsi" w:cstheme="minorHAnsi"/>
          <w:b/>
          <w:caps w:val="0"/>
          <w:color w:val="auto"/>
          <w:sz w:val="28"/>
        </w:rPr>
        <w:t>.</w:t>
      </w:r>
    </w:p>
    <w:p w14:paraId="75B1A2CB" w14:textId="77777777" w:rsidR="00C86FB6" w:rsidRPr="00780D76" w:rsidRDefault="00224DFC" w:rsidP="00C86FB6">
      <w:pPr>
        <w:pStyle w:val="Boxheading"/>
        <w:ind w:left="0"/>
        <w:jc w:val="both"/>
        <w:rPr>
          <w:rFonts w:asciiTheme="minorHAnsi" w:hAnsiTheme="minorHAnsi" w:cstheme="minorHAnsi"/>
          <w:caps w:val="0"/>
          <w:color w:val="auto"/>
        </w:rPr>
      </w:pPr>
      <w:r w:rsidRPr="00780D76">
        <w:rPr>
          <w:rFonts w:asciiTheme="minorHAnsi" w:hAnsiTheme="minorHAnsi" w:cstheme="minorHAnsi"/>
          <w:caps w:val="0"/>
          <w:color w:val="auto"/>
        </w:rPr>
        <w:t xml:space="preserve">What comparative advantages or disadvantages can you identify </w:t>
      </w:r>
      <w:r w:rsidR="00996430" w:rsidRPr="00780D76">
        <w:rPr>
          <w:rFonts w:asciiTheme="minorHAnsi" w:hAnsiTheme="minorHAnsi" w:cstheme="minorHAnsi"/>
          <w:caps w:val="0"/>
          <w:color w:val="auto"/>
        </w:rPr>
        <w:t>i</w:t>
      </w:r>
      <w:r w:rsidRPr="00780D76">
        <w:rPr>
          <w:rFonts w:asciiTheme="minorHAnsi" w:hAnsiTheme="minorHAnsi" w:cstheme="minorHAnsi"/>
          <w:caps w:val="0"/>
          <w:color w:val="auto"/>
        </w:rPr>
        <w:t xml:space="preserve">n the approach to legal validity between the </w:t>
      </w:r>
      <w:r w:rsidR="00DA1531" w:rsidRPr="00780D76">
        <w:rPr>
          <w:rFonts w:asciiTheme="minorHAnsi" w:hAnsiTheme="minorHAnsi" w:cstheme="minorHAnsi"/>
          <w:caps w:val="0"/>
          <w:color w:val="auto"/>
        </w:rPr>
        <w:t>MLETR</w:t>
      </w:r>
      <w:r w:rsidRPr="00780D76">
        <w:rPr>
          <w:rFonts w:asciiTheme="minorHAnsi" w:hAnsiTheme="minorHAnsi" w:cstheme="minorHAnsi"/>
          <w:caps w:val="0"/>
          <w:color w:val="auto"/>
        </w:rPr>
        <w:t xml:space="preserve">, and the approach enabled under the </w:t>
      </w:r>
      <w:r w:rsidR="00C86FB6" w:rsidRPr="00780D76">
        <w:rPr>
          <w:rFonts w:asciiTheme="minorHAnsi" w:hAnsiTheme="minorHAnsi" w:cstheme="minorHAnsi"/>
          <w:caps w:val="0"/>
          <w:color w:val="auto"/>
        </w:rPr>
        <w:t>SCDAs</w:t>
      </w:r>
      <w:r w:rsidRPr="00780D76">
        <w:rPr>
          <w:rFonts w:asciiTheme="minorHAnsi" w:hAnsiTheme="minorHAnsi" w:cstheme="minorHAnsi"/>
          <w:caps w:val="0"/>
          <w:color w:val="auto"/>
        </w:rPr>
        <w:t xml:space="preserve"> and the </w:t>
      </w:r>
      <w:r w:rsidR="00C86FB6" w:rsidRPr="00780D76">
        <w:rPr>
          <w:rFonts w:asciiTheme="minorHAnsi" w:hAnsiTheme="minorHAnsi" w:cstheme="minorHAnsi"/>
          <w:caps w:val="0"/>
          <w:color w:val="auto"/>
        </w:rPr>
        <w:t>COGSA</w:t>
      </w:r>
      <w:r w:rsidRPr="00780D76">
        <w:rPr>
          <w:rFonts w:asciiTheme="minorHAnsi" w:hAnsiTheme="minorHAnsi" w:cstheme="minorHAnsi"/>
          <w:caps w:val="0"/>
          <w:color w:val="auto"/>
        </w:rPr>
        <w:t xml:space="preserve">? </w:t>
      </w:r>
    </w:p>
    <w:p w14:paraId="3ABF3E9B" w14:textId="77777777" w:rsidR="00323C37" w:rsidRPr="00780D76" w:rsidRDefault="00224DFC" w:rsidP="00C86FB6">
      <w:pPr>
        <w:pStyle w:val="Boxheading"/>
        <w:ind w:left="0"/>
        <w:jc w:val="both"/>
        <w:rPr>
          <w:rFonts w:asciiTheme="minorHAnsi" w:hAnsiTheme="minorHAnsi" w:cstheme="minorHAnsi"/>
          <w:i/>
          <w:color w:val="auto"/>
        </w:rPr>
      </w:pPr>
      <w:r w:rsidRPr="00780D76">
        <w:rPr>
          <w:rFonts w:asciiTheme="minorHAnsi" w:hAnsiTheme="minorHAnsi" w:cstheme="minorHAnsi"/>
          <w:i/>
          <w:caps w:val="0"/>
          <w:color w:val="auto"/>
        </w:rPr>
        <w:t>Please refer to</w:t>
      </w:r>
      <w:r w:rsidRPr="00780D76">
        <w:rPr>
          <w:rFonts w:asciiTheme="minorHAnsi" w:hAnsiTheme="minorHAnsi" w:cstheme="minorHAnsi"/>
          <w:i/>
          <w:caps w:val="0"/>
          <w:color w:val="FF0000"/>
        </w:rPr>
        <w:t xml:space="preserve"> </w:t>
      </w:r>
      <w:r w:rsidR="00DA1531" w:rsidRPr="00780D76">
        <w:rPr>
          <w:rFonts w:asciiTheme="minorHAnsi" w:hAnsiTheme="minorHAnsi" w:cstheme="minorHAnsi"/>
          <w:b/>
          <w:i/>
          <w:caps w:val="0"/>
          <w:color w:val="0000FF"/>
          <w:u w:val="single"/>
        </w:rPr>
        <w:t xml:space="preserve">part </w:t>
      </w:r>
      <w:r w:rsidR="00DA1531" w:rsidRPr="00780D76">
        <w:rPr>
          <w:rFonts w:asciiTheme="minorHAnsi" w:hAnsiTheme="minorHAnsi" w:cstheme="minorHAnsi"/>
          <w:b/>
          <w:i/>
          <w:caps w:val="0"/>
          <w:color w:val="0000FF"/>
          <w:u w:val="single"/>
        </w:rPr>
        <w:fldChar w:fldCharType="begin"/>
      </w:r>
      <w:r w:rsidR="00DA1531" w:rsidRPr="00780D76">
        <w:rPr>
          <w:rFonts w:asciiTheme="minorHAnsi" w:hAnsiTheme="minorHAnsi" w:cstheme="minorHAnsi"/>
          <w:b/>
          <w:i/>
          <w:caps w:val="0"/>
          <w:color w:val="0000FF"/>
          <w:u w:val="single"/>
        </w:rPr>
        <w:instrText xml:space="preserve"> REF _Ref176437596 \r \h  \* MERGEFORMAT </w:instrText>
      </w:r>
      <w:r w:rsidR="00DA1531" w:rsidRPr="00780D76">
        <w:rPr>
          <w:rFonts w:asciiTheme="minorHAnsi" w:hAnsiTheme="minorHAnsi" w:cstheme="minorHAnsi"/>
          <w:b/>
          <w:i/>
          <w:caps w:val="0"/>
          <w:color w:val="0000FF"/>
          <w:u w:val="single"/>
        </w:rPr>
      </w:r>
      <w:r w:rsidR="00DA1531" w:rsidRPr="00780D76">
        <w:rPr>
          <w:rFonts w:asciiTheme="minorHAnsi" w:hAnsiTheme="minorHAnsi" w:cstheme="minorHAnsi"/>
          <w:b/>
          <w:i/>
          <w:caps w:val="0"/>
          <w:color w:val="0000FF"/>
          <w:u w:val="single"/>
        </w:rPr>
        <w:fldChar w:fldCharType="separate"/>
      </w:r>
      <w:r w:rsidR="00DA1531" w:rsidRPr="00780D76">
        <w:rPr>
          <w:rFonts w:asciiTheme="minorHAnsi" w:hAnsiTheme="minorHAnsi" w:cstheme="minorHAnsi"/>
          <w:b/>
          <w:i/>
          <w:caps w:val="0"/>
          <w:color w:val="0000FF"/>
          <w:u w:val="single"/>
        </w:rPr>
        <w:t>4</w:t>
      </w:r>
      <w:r w:rsidR="00DA1531" w:rsidRPr="00780D76">
        <w:rPr>
          <w:rFonts w:asciiTheme="minorHAnsi" w:hAnsiTheme="minorHAnsi" w:cstheme="minorHAnsi"/>
          <w:b/>
          <w:i/>
          <w:caps w:val="0"/>
          <w:color w:val="0000FF"/>
          <w:u w:val="single"/>
        </w:rPr>
        <w:fldChar w:fldCharType="end"/>
      </w:r>
      <w:r w:rsidR="00DA1531" w:rsidRPr="00780D76">
        <w:rPr>
          <w:rFonts w:asciiTheme="minorHAnsi" w:hAnsiTheme="minorHAnsi" w:cstheme="minorHAnsi"/>
          <w:b/>
          <w:i/>
          <w:caps w:val="0"/>
          <w:color w:val="FF0000"/>
        </w:rPr>
        <w:t xml:space="preserve"> </w:t>
      </w:r>
      <w:r w:rsidRPr="00780D76">
        <w:rPr>
          <w:rFonts w:asciiTheme="minorHAnsi" w:hAnsiTheme="minorHAnsi" w:cstheme="minorHAnsi"/>
          <w:i/>
          <w:caps w:val="0"/>
          <w:color w:val="auto"/>
        </w:rPr>
        <w:t>of</w:t>
      </w:r>
      <w:r w:rsidRPr="00780D76">
        <w:rPr>
          <w:rFonts w:asciiTheme="minorHAnsi" w:hAnsiTheme="minorHAnsi" w:cstheme="minorHAnsi"/>
          <w:i/>
          <w:caps w:val="0"/>
          <w:color w:val="FF0000"/>
        </w:rPr>
        <w:t xml:space="preserve"> </w:t>
      </w:r>
      <w:r w:rsidRPr="00780D76">
        <w:rPr>
          <w:rFonts w:asciiTheme="minorHAnsi" w:hAnsiTheme="minorHAnsi" w:cstheme="minorHAnsi"/>
          <w:i/>
          <w:caps w:val="0"/>
          <w:color w:val="auto"/>
        </w:rPr>
        <w:t xml:space="preserve">this paper for a discussion of the approach to functional equivalence under the </w:t>
      </w:r>
      <w:r w:rsidR="00C86FB6" w:rsidRPr="00780D76">
        <w:rPr>
          <w:rFonts w:asciiTheme="minorHAnsi" w:hAnsiTheme="minorHAnsi" w:cstheme="minorHAnsi"/>
          <w:i/>
          <w:caps w:val="0"/>
          <w:color w:val="auto"/>
        </w:rPr>
        <w:t>MLETR.</w:t>
      </w:r>
    </w:p>
    <w:p w14:paraId="55D199B2" w14:textId="77777777" w:rsidR="00323C37" w:rsidRPr="00780D76" w:rsidRDefault="00323C37" w:rsidP="00224DFC">
      <w:pPr>
        <w:spacing w:line="276" w:lineRule="auto"/>
        <w:jc w:val="both"/>
        <w:rPr>
          <w:rFonts w:asciiTheme="minorHAnsi" w:hAnsiTheme="minorHAnsi" w:cstheme="minorHAnsi"/>
          <w:color w:val="auto"/>
          <w:lang w:val="en"/>
        </w:rPr>
      </w:pPr>
    </w:p>
    <w:p w14:paraId="65023640" w14:textId="77777777" w:rsidR="00224DFC" w:rsidRPr="00780D76" w:rsidRDefault="00224DFC" w:rsidP="00C86FB6">
      <w:pPr>
        <w:pStyle w:val="Boxheading"/>
        <w:spacing w:line="240" w:lineRule="auto"/>
        <w:ind w:left="0"/>
        <w:rPr>
          <w:rFonts w:asciiTheme="minorHAnsi" w:hAnsiTheme="minorHAnsi" w:cstheme="minorHAnsi"/>
          <w:b/>
          <w:caps w:val="0"/>
          <w:color w:val="auto"/>
          <w:sz w:val="28"/>
        </w:rPr>
      </w:pPr>
      <w:r w:rsidRPr="00780D76">
        <w:rPr>
          <w:rFonts w:asciiTheme="minorHAnsi" w:hAnsiTheme="minorHAnsi" w:cstheme="minorHAnsi"/>
          <w:b/>
          <w:caps w:val="0"/>
          <w:color w:val="auto"/>
          <w:sz w:val="28"/>
        </w:rPr>
        <w:t>Question 18.</w:t>
      </w:r>
    </w:p>
    <w:p w14:paraId="20E8275E" w14:textId="77777777" w:rsidR="00323C37" w:rsidRPr="00780D76" w:rsidRDefault="00224DFC" w:rsidP="00C86FB6">
      <w:pPr>
        <w:pStyle w:val="Boxheading"/>
        <w:ind w:left="0"/>
        <w:jc w:val="both"/>
        <w:rPr>
          <w:rFonts w:asciiTheme="minorHAnsi" w:hAnsiTheme="minorHAnsi" w:cstheme="minorHAnsi"/>
          <w:color w:val="auto"/>
        </w:rPr>
      </w:pPr>
      <w:r w:rsidRPr="00780D76">
        <w:rPr>
          <w:rFonts w:asciiTheme="minorHAnsi" w:hAnsiTheme="minorHAnsi" w:cstheme="minorHAnsi"/>
          <w:caps w:val="0"/>
          <w:color w:val="auto"/>
        </w:rPr>
        <w:t>How should an Australian option for implementing MLETR-aligned legislation interact with existing, contractually-enabled eBOL</w:t>
      </w:r>
      <w:r w:rsidR="00DA1531" w:rsidRPr="00780D76">
        <w:rPr>
          <w:rFonts w:asciiTheme="minorHAnsi" w:hAnsiTheme="minorHAnsi" w:cstheme="minorHAnsi"/>
          <w:caps w:val="0"/>
          <w:color w:val="auto"/>
        </w:rPr>
        <w:t>s</w:t>
      </w:r>
      <w:r w:rsidRPr="00780D76">
        <w:rPr>
          <w:rFonts w:asciiTheme="minorHAnsi" w:hAnsiTheme="minorHAnsi" w:cstheme="minorHAnsi"/>
          <w:caps w:val="0"/>
          <w:color w:val="auto"/>
        </w:rPr>
        <w:t>?</w:t>
      </w:r>
    </w:p>
    <w:p w14:paraId="053B0D21" w14:textId="77777777" w:rsidR="00323C37" w:rsidRPr="00780D76" w:rsidRDefault="00323C37" w:rsidP="00224DFC">
      <w:pPr>
        <w:spacing w:line="276" w:lineRule="auto"/>
        <w:jc w:val="both"/>
        <w:rPr>
          <w:rFonts w:asciiTheme="minorHAnsi" w:hAnsiTheme="minorHAnsi" w:cstheme="minorHAnsi"/>
          <w:color w:val="auto"/>
          <w:lang w:val="en"/>
        </w:rPr>
      </w:pPr>
    </w:p>
    <w:p w14:paraId="45736582" w14:textId="77777777" w:rsidR="00224DFC" w:rsidRPr="00780D76" w:rsidRDefault="00224DFC" w:rsidP="00C86FB6">
      <w:pPr>
        <w:pStyle w:val="Boxheading"/>
        <w:spacing w:line="240" w:lineRule="auto"/>
        <w:ind w:left="0"/>
        <w:rPr>
          <w:rFonts w:asciiTheme="minorHAnsi" w:hAnsiTheme="minorHAnsi" w:cstheme="minorHAnsi"/>
          <w:b/>
          <w:caps w:val="0"/>
          <w:color w:val="auto"/>
          <w:sz w:val="28"/>
        </w:rPr>
      </w:pPr>
      <w:r w:rsidRPr="00780D76">
        <w:rPr>
          <w:rFonts w:asciiTheme="minorHAnsi" w:hAnsiTheme="minorHAnsi" w:cstheme="minorHAnsi"/>
          <w:b/>
          <w:caps w:val="0"/>
          <w:color w:val="auto"/>
          <w:sz w:val="28"/>
        </w:rPr>
        <w:lastRenderedPageBreak/>
        <w:t>Question 19.</w:t>
      </w:r>
    </w:p>
    <w:p w14:paraId="770A00BE" w14:textId="77777777" w:rsidR="00C86FB6" w:rsidRPr="00780D76" w:rsidRDefault="00224DFC" w:rsidP="00C86FB6">
      <w:pPr>
        <w:pStyle w:val="Boxheading"/>
        <w:ind w:left="0"/>
        <w:jc w:val="both"/>
        <w:rPr>
          <w:rFonts w:asciiTheme="minorHAnsi" w:hAnsiTheme="minorHAnsi" w:cstheme="minorHAnsi"/>
          <w:caps w:val="0"/>
          <w:color w:val="auto"/>
        </w:rPr>
      </w:pPr>
      <w:r w:rsidRPr="00780D76">
        <w:rPr>
          <w:rFonts w:asciiTheme="minorHAnsi" w:hAnsiTheme="minorHAnsi" w:cstheme="minorHAnsi"/>
          <w:caps w:val="0"/>
          <w:color w:val="auto"/>
        </w:rPr>
        <w:t xml:space="preserve">How do you assess the effectiveness of contractual frameworks to confirm the legal validity of electronic transferable records? </w:t>
      </w:r>
    </w:p>
    <w:p w14:paraId="55CB7507" w14:textId="77777777" w:rsidR="00C86FB6" w:rsidRPr="00780D76" w:rsidRDefault="00C86FB6" w:rsidP="008B382E">
      <w:pPr>
        <w:pStyle w:val="Boxheading"/>
        <w:numPr>
          <w:ilvl w:val="0"/>
          <w:numId w:val="41"/>
        </w:numPr>
        <w:jc w:val="both"/>
        <w:rPr>
          <w:rFonts w:asciiTheme="minorHAnsi" w:hAnsiTheme="minorHAnsi" w:cstheme="minorHAnsi"/>
          <w:b/>
          <w:color w:val="auto"/>
        </w:rPr>
      </w:pPr>
      <w:r w:rsidRPr="00780D76">
        <w:rPr>
          <w:rFonts w:asciiTheme="minorHAnsi" w:hAnsiTheme="minorHAnsi" w:cstheme="minorHAnsi"/>
          <w:b/>
          <w:caps w:val="0"/>
          <w:color w:val="auto"/>
        </w:rPr>
        <w:t>G</w:t>
      </w:r>
      <w:r w:rsidR="00224DFC" w:rsidRPr="00780D76">
        <w:rPr>
          <w:rFonts w:asciiTheme="minorHAnsi" w:hAnsiTheme="minorHAnsi" w:cstheme="minorHAnsi"/>
          <w:b/>
          <w:caps w:val="0"/>
          <w:color w:val="auto"/>
        </w:rPr>
        <w:t>enerally effective</w:t>
      </w:r>
    </w:p>
    <w:p w14:paraId="79557F0E" w14:textId="77777777" w:rsidR="00C86FB6" w:rsidRPr="00780D76" w:rsidRDefault="00C86FB6" w:rsidP="008B382E">
      <w:pPr>
        <w:pStyle w:val="Boxheading"/>
        <w:numPr>
          <w:ilvl w:val="0"/>
          <w:numId w:val="40"/>
        </w:numPr>
        <w:jc w:val="both"/>
        <w:rPr>
          <w:rFonts w:asciiTheme="minorHAnsi" w:hAnsiTheme="minorHAnsi" w:cstheme="minorHAnsi"/>
          <w:b/>
          <w:color w:val="auto"/>
        </w:rPr>
      </w:pPr>
      <w:r w:rsidRPr="00780D76">
        <w:rPr>
          <w:rFonts w:asciiTheme="minorHAnsi" w:hAnsiTheme="minorHAnsi" w:cstheme="minorHAnsi"/>
          <w:b/>
          <w:caps w:val="0"/>
          <w:color w:val="auto"/>
        </w:rPr>
        <w:t>G</w:t>
      </w:r>
      <w:r w:rsidR="00224DFC" w:rsidRPr="00780D76">
        <w:rPr>
          <w:rFonts w:asciiTheme="minorHAnsi" w:hAnsiTheme="minorHAnsi" w:cstheme="minorHAnsi"/>
          <w:b/>
          <w:caps w:val="0"/>
          <w:color w:val="auto"/>
        </w:rPr>
        <w:t>enerally not effective</w:t>
      </w:r>
    </w:p>
    <w:p w14:paraId="5FF84368" w14:textId="77777777" w:rsidR="00C86FB6" w:rsidRPr="00780D76" w:rsidRDefault="00C86FB6" w:rsidP="008B382E">
      <w:pPr>
        <w:pStyle w:val="Boxheading"/>
        <w:numPr>
          <w:ilvl w:val="0"/>
          <w:numId w:val="40"/>
        </w:numPr>
        <w:jc w:val="both"/>
        <w:rPr>
          <w:rFonts w:asciiTheme="minorHAnsi" w:hAnsiTheme="minorHAnsi" w:cstheme="minorHAnsi"/>
          <w:b/>
          <w:color w:val="auto"/>
        </w:rPr>
      </w:pPr>
      <w:r w:rsidRPr="00780D76">
        <w:rPr>
          <w:rFonts w:asciiTheme="minorHAnsi" w:hAnsiTheme="minorHAnsi" w:cstheme="minorHAnsi"/>
          <w:b/>
          <w:caps w:val="0"/>
          <w:color w:val="auto"/>
        </w:rPr>
        <w:t>T</w:t>
      </w:r>
      <w:r w:rsidR="00224DFC" w:rsidRPr="00780D76">
        <w:rPr>
          <w:rFonts w:asciiTheme="minorHAnsi" w:hAnsiTheme="minorHAnsi" w:cstheme="minorHAnsi"/>
          <w:b/>
          <w:caps w:val="0"/>
          <w:color w:val="auto"/>
        </w:rPr>
        <w:t>heir effectiveness depends on how they are used</w:t>
      </w:r>
    </w:p>
    <w:p w14:paraId="523EC86B" w14:textId="77777777" w:rsidR="00C86FB6" w:rsidRPr="00780D76" w:rsidRDefault="00C86FB6" w:rsidP="008B382E">
      <w:pPr>
        <w:pStyle w:val="Boxheading"/>
        <w:numPr>
          <w:ilvl w:val="0"/>
          <w:numId w:val="40"/>
        </w:numPr>
        <w:jc w:val="both"/>
        <w:rPr>
          <w:rFonts w:asciiTheme="minorHAnsi" w:hAnsiTheme="minorHAnsi" w:cstheme="minorHAnsi"/>
          <w:b/>
          <w:color w:val="auto"/>
        </w:rPr>
      </w:pPr>
      <w:r w:rsidRPr="00780D76">
        <w:rPr>
          <w:rFonts w:asciiTheme="minorHAnsi" w:hAnsiTheme="minorHAnsi" w:cstheme="minorHAnsi"/>
          <w:b/>
          <w:caps w:val="0"/>
          <w:color w:val="auto"/>
        </w:rPr>
        <w:t>U</w:t>
      </w:r>
      <w:r w:rsidR="00224DFC" w:rsidRPr="00780D76">
        <w:rPr>
          <w:rFonts w:asciiTheme="minorHAnsi" w:hAnsiTheme="minorHAnsi" w:cstheme="minorHAnsi"/>
          <w:b/>
          <w:caps w:val="0"/>
          <w:color w:val="auto"/>
        </w:rPr>
        <w:t xml:space="preserve">nsure please expand on your answer. </w:t>
      </w:r>
    </w:p>
    <w:p w14:paraId="4D9B9054" w14:textId="77777777" w:rsidR="00323C37" w:rsidRPr="00780D76" w:rsidRDefault="00224DFC" w:rsidP="00C86FB6">
      <w:pPr>
        <w:pStyle w:val="Boxheading"/>
        <w:ind w:left="0"/>
        <w:jc w:val="both"/>
        <w:rPr>
          <w:rFonts w:asciiTheme="minorHAnsi" w:hAnsiTheme="minorHAnsi" w:cstheme="minorHAnsi"/>
          <w:i/>
          <w:color w:val="auto"/>
        </w:rPr>
      </w:pPr>
      <w:r w:rsidRPr="00780D76">
        <w:rPr>
          <w:rFonts w:asciiTheme="minorHAnsi" w:hAnsiTheme="minorHAnsi" w:cstheme="minorHAnsi"/>
          <w:i/>
          <w:caps w:val="0"/>
          <w:color w:val="auto"/>
        </w:rPr>
        <w:t>For example, what benefits, barriers or risks do you identify, or have you experienced, with these frameworks</w:t>
      </w:r>
      <w:r w:rsidR="00330C78" w:rsidRPr="00780D76">
        <w:rPr>
          <w:rFonts w:asciiTheme="minorHAnsi" w:hAnsiTheme="minorHAnsi" w:cstheme="minorHAnsi"/>
          <w:i/>
          <w:caps w:val="0"/>
          <w:color w:val="auto"/>
        </w:rPr>
        <w:t>?</w:t>
      </w:r>
    </w:p>
    <w:p w14:paraId="63FCD016" w14:textId="77777777" w:rsidR="00323C37" w:rsidRPr="00780D76" w:rsidRDefault="00323C37" w:rsidP="00323C37">
      <w:pPr>
        <w:pStyle w:val="Heading1"/>
        <w:rPr>
          <w:rFonts w:asciiTheme="minorHAnsi" w:hAnsiTheme="minorHAnsi" w:cstheme="minorHAnsi"/>
        </w:rPr>
      </w:pPr>
      <w:r w:rsidRPr="00780D76">
        <w:rPr>
          <w:rFonts w:asciiTheme="minorHAnsi" w:hAnsiTheme="minorHAnsi" w:cstheme="minorHAnsi"/>
        </w:rPr>
        <w:t xml:space="preserve">4. The MLETR in an Australian context </w:t>
      </w:r>
    </w:p>
    <w:p w14:paraId="74C7D992" w14:textId="77777777" w:rsidR="00323C37" w:rsidRPr="00780D76" w:rsidRDefault="00323C37" w:rsidP="00323C37">
      <w:pPr>
        <w:pStyle w:val="Heading2"/>
        <w:rPr>
          <w:rFonts w:asciiTheme="minorHAnsi" w:hAnsiTheme="minorHAnsi" w:cstheme="minorHAnsi"/>
        </w:rPr>
      </w:pPr>
      <w:r w:rsidRPr="00780D76">
        <w:rPr>
          <w:rFonts w:asciiTheme="minorHAnsi" w:hAnsiTheme="minorHAnsi" w:cstheme="minorHAnsi"/>
        </w:rPr>
        <w:t>4.1. The MLETR – transferable records covered</w:t>
      </w:r>
    </w:p>
    <w:p w14:paraId="31F2A05D" w14:textId="77777777" w:rsidR="00224DFC" w:rsidRPr="00780D76" w:rsidRDefault="00224DFC" w:rsidP="00330C78">
      <w:pPr>
        <w:pStyle w:val="Boxheading"/>
        <w:spacing w:line="240" w:lineRule="auto"/>
        <w:ind w:left="0"/>
        <w:rPr>
          <w:rFonts w:asciiTheme="minorHAnsi" w:hAnsiTheme="minorHAnsi" w:cstheme="minorHAnsi"/>
          <w:b/>
          <w:caps w:val="0"/>
          <w:color w:val="auto"/>
          <w:sz w:val="28"/>
        </w:rPr>
      </w:pPr>
      <w:r w:rsidRPr="00780D76">
        <w:rPr>
          <w:rFonts w:asciiTheme="minorHAnsi" w:hAnsiTheme="minorHAnsi" w:cstheme="minorHAnsi"/>
          <w:b/>
          <w:caps w:val="0"/>
          <w:color w:val="auto"/>
          <w:sz w:val="28"/>
        </w:rPr>
        <w:t>Question 20.</w:t>
      </w:r>
    </w:p>
    <w:p w14:paraId="43FEE009" w14:textId="77777777" w:rsidR="00224DFC" w:rsidRPr="00780D76" w:rsidRDefault="00224DFC" w:rsidP="00330C78">
      <w:pPr>
        <w:pStyle w:val="Boxheading"/>
        <w:ind w:left="0"/>
        <w:jc w:val="both"/>
        <w:rPr>
          <w:rFonts w:asciiTheme="minorHAnsi" w:hAnsiTheme="minorHAnsi" w:cstheme="minorHAnsi"/>
          <w:caps w:val="0"/>
          <w:color w:val="auto"/>
        </w:rPr>
      </w:pPr>
      <w:r w:rsidRPr="00780D76">
        <w:rPr>
          <w:rFonts w:asciiTheme="minorHAnsi" w:hAnsiTheme="minorHAnsi" w:cstheme="minorHAnsi"/>
          <w:caps w:val="0"/>
          <w:color w:val="auto"/>
        </w:rPr>
        <w:t xml:space="preserve">In your view, should securities like shares and bonds, investment instruments, and letters of credit be excluded from any Australian implementation of MLETR? </w:t>
      </w:r>
    </w:p>
    <w:p w14:paraId="23E5815A" w14:textId="77777777" w:rsidR="00224DFC" w:rsidRPr="00780D76" w:rsidRDefault="00224DFC" w:rsidP="008B382E">
      <w:pPr>
        <w:pStyle w:val="Boxheading"/>
        <w:numPr>
          <w:ilvl w:val="0"/>
          <w:numId w:val="27"/>
        </w:numPr>
        <w:ind w:left="360"/>
        <w:jc w:val="both"/>
        <w:rPr>
          <w:rFonts w:asciiTheme="minorHAnsi" w:hAnsiTheme="minorHAnsi" w:cstheme="minorHAnsi"/>
          <w:b/>
          <w:caps w:val="0"/>
          <w:color w:val="auto"/>
        </w:rPr>
      </w:pPr>
      <w:r w:rsidRPr="00780D76">
        <w:rPr>
          <w:rFonts w:asciiTheme="minorHAnsi" w:hAnsiTheme="minorHAnsi" w:cstheme="minorHAnsi"/>
          <w:b/>
          <w:caps w:val="0"/>
          <w:color w:val="auto"/>
        </w:rPr>
        <w:t xml:space="preserve">Yes </w:t>
      </w:r>
    </w:p>
    <w:p w14:paraId="36A0297F" w14:textId="77777777" w:rsidR="00224DFC" w:rsidRPr="00780D76" w:rsidRDefault="00224DFC" w:rsidP="008B382E">
      <w:pPr>
        <w:pStyle w:val="Boxheading"/>
        <w:numPr>
          <w:ilvl w:val="0"/>
          <w:numId w:val="27"/>
        </w:numPr>
        <w:ind w:left="360"/>
        <w:jc w:val="both"/>
        <w:rPr>
          <w:rFonts w:asciiTheme="minorHAnsi" w:hAnsiTheme="minorHAnsi" w:cstheme="minorHAnsi"/>
          <w:b/>
          <w:caps w:val="0"/>
          <w:color w:val="auto"/>
        </w:rPr>
      </w:pPr>
      <w:r w:rsidRPr="00780D76">
        <w:rPr>
          <w:rFonts w:asciiTheme="minorHAnsi" w:hAnsiTheme="minorHAnsi" w:cstheme="minorHAnsi"/>
          <w:b/>
          <w:caps w:val="0"/>
          <w:color w:val="auto"/>
        </w:rPr>
        <w:t xml:space="preserve">No </w:t>
      </w:r>
    </w:p>
    <w:p w14:paraId="3964B1C6" w14:textId="77777777" w:rsidR="00F40EE8" w:rsidRPr="00780D76" w:rsidRDefault="00F40EE8" w:rsidP="008B382E">
      <w:pPr>
        <w:pStyle w:val="Boxheading"/>
        <w:numPr>
          <w:ilvl w:val="0"/>
          <w:numId w:val="27"/>
        </w:numPr>
        <w:ind w:left="360"/>
        <w:jc w:val="both"/>
        <w:rPr>
          <w:rFonts w:asciiTheme="minorHAnsi" w:hAnsiTheme="minorHAnsi" w:cstheme="minorHAnsi"/>
          <w:b/>
          <w:caps w:val="0"/>
          <w:color w:val="auto"/>
        </w:rPr>
      </w:pPr>
      <w:r w:rsidRPr="00780D76">
        <w:rPr>
          <w:rFonts w:asciiTheme="minorHAnsi" w:hAnsiTheme="minorHAnsi" w:cstheme="minorHAnsi"/>
          <w:b/>
          <w:caps w:val="0"/>
          <w:color w:val="auto"/>
        </w:rPr>
        <w:t>Unsure</w:t>
      </w:r>
    </w:p>
    <w:p w14:paraId="6704BB17" w14:textId="77777777" w:rsidR="00330C78" w:rsidRPr="00780D76" w:rsidRDefault="00224DFC" w:rsidP="00330C78">
      <w:pPr>
        <w:pStyle w:val="Boxheading"/>
        <w:ind w:left="0"/>
        <w:jc w:val="both"/>
        <w:rPr>
          <w:rFonts w:asciiTheme="minorHAnsi" w:hAnsiTheme="minorHAnsi" w:cstheme="minorHAnsi"/>
          <w:caps w:val="0"/>
          <w:color w:val="auto"/>
        </w:rPr>
      </w:pPr>
      <w:r w:rsidRPr="00780D76">
        <w:rPr>
          <w:rFonts w:asciiTheme="minorHAnsi" w:hAnsiTheme="minorHAnsi" w:cstheme="minorHAnsi"/>
          <w:caps w:val="0"/>
          <w:color w:val="auto"/>
        </w:rPr>
        <w:t xml:space="preserve">Please expand on your answer. </w:t>
      </w:r>
    </w:p>
    <w:p w14:paraId="3B8A4A1B" w14:textId="77777777" w:rsidR="00323C37" w:rsidRPr="00780D76" w:rsidRDefault="00224DFC" w:rsidP="00330C78">
      <w:pPr>
        <w:pStyle w:val="Boxheading"/>
        <w:ind w:left="0"/>
        <w:jc w:val="both"/>
        <w:rPr>
          <w:rFonts w:asciiTheme="minorHAnsi" w:hAnsiTheme="minorHAnsi" w:cstheme="minorHAnsi"/>
          <w:i/>
          <w:color w:val="auto"/>
        </w:rPr>
      </w:pPr>
      <w:r w:rsidRPr="00780D76">
        <w:rPr>
          <w:rFonts w:asciiTheme="minorHAnsi" w:hAnsiTheme="minorHAnsi" w:cstheme="minorHAnsi"/>
          <w:i/>
          <w:caps w:val="0"/>
          <w:color w:val="auto"/>
        </w:rPr>
        <w:t>For example, what particular issues do you foresee if these financial instruments were included or excluded</w:t>
      </w:r>
    </w:p>
    <w:p w14:paraId="4349C51A" w14:textId="77777777" w:rsidR="00323C37" w:rsidRPr="00780D76" w:rsidRDefault="00323C37" w:rsidP="00224DFC">
      <w:pPr>
        <w:spacing w:line="276" w:lineRule="auto"/>
        <w:jc w:val="both"/>
        <w:rPr>
          <w:rFonts w:asciiTheme="minorHAnsi" w:hAnsiTheme="minorHAnsi" w:cstheme="minorHAnsi"/>
          <w:color w:val="auto"/>
          <w:lang w:val="en"/>
        </w:rPr>
      </w:pPr>
    </w:p>
    <w:p w14:paraId="001B4161" w14:textId="77777777" w:rsidR="00224DFC" w:rsidRPr="00780D76" w:rsidRDefault="00224DFC" w:rsidP="00C86FB6">
      <w:pPr>
        <w:pStyle w:val="Boxheading"/>
        <w:pBdr>
          <w:bottom w:val="single" w:sz="6" w:space="1" w:color="50748A"/>
        </w:pBdr>
        <w:spacing w:line="240" w:lineRule="auto"/>
        <w:ind w:left="0"/>
        <w:rPr>
          <w:rFonts w:asciiTheme="minorHAnsi" w:hAnsiTheme="minorHAnsi" w:cstheme="minorHAnsi"/>
          <w:b/>
          <w:caps w:val="0"/>
          <w:color w:val="auto"/>
          <w:sz w:val="28"/>
        </w:rPr>
      </w:pPr>
      <w:r w:rsidRPr="00780D76">
        <w:rPr>
          <w:rFonts w:asciiTheme="minorHAnsi" w:hAnsiTheme="minorHAnsi" w:cstheme="minorHAnsi"/>
          <w:b/>
          <w:caps w:val="0"/>
          <w:color w:val="auto"/>
          <w:sz w:val="28"/>
        </w:rPr>
        <w:t>Question 21.</w:t>
      </w:r>
    </w:p>
    <w:p w14:paraId="30A7CBEE" w14:textId="77777777" w:rsidR="00323C37" w:rsidRPr="00780D76" w:rsidRDefault="00224DFC" w:rsidP="00C86FB6">
      <w:pPr>
        <w:pStyle w:val="Boxheading"/>
        <w:pBdr>
          <w:bottom w:val="single" w:sz="6" w:space="1" w:color="50748A"/>
        </w:pBdr>
        <w:ind w:left="0"/>
        <w:jc w:val="both"/>
        <w:rPr>
          <w:rFonts w:asciiTheme="minorHAnsi" w:hAnsiTheme="minorHAnsi" w:cstheme="minorHAnsi"/>
          <w:color w:val="auto"/>
        </w:rPr>
      </w:pPr>
      <w:r w:rsidRPr="00780D76">
        <w:rPr>
          <w:rFonts w:asciiTheme="minorHAnsi" w:hAnsiTheme="minorHAnsi" w:cstheme="minorHAnsi"/>
          <w:caps w:val="0"/>
          <w:color w:val="auto"/>
        </w:rPr>
        <w:t>Please share your views about whether any other records should be specifically included or excluded from Australia’s implementation of MLETR?</w:t>
      </w:r>
    </w:p>
    <w:p w14:paraId="30472AF3" w14:textId="77777777" w:rsidR="00323C37" w:rsidRPr="00780D76" w:rsidRDefault="00323C37" w:rsidP="00323C37">
      <w:pPr>
        <w:rPr>
          <w:rFonts w:asciiTheme="minorHAnsi" w:hAnsiTheme="minorHAnsi" w:cstheme="minorHAnsi"/>
          <w:lang w:val="en"/>
        </w:rPr>
      </w:pPr>
    </w:p>
    <w:p w14:paraId="35478B10" w14:textId="77777777" w:rsidR="00224DFC" w:rsidRPr="00780D76" w:rsidRDefault="00224DFC" w:rsidP="00C86FB6">
      <w:pPr>
        <w:pStyle w:val="Boxheading"/>
        <w:spacing w:line="240" w:lineRule="auto"/>
        <w:ind w:left="0"/>
        <w:rPr>
          <w:rFonts w:asciiTheme="minorHAnsi" w:hAnsiTheme="minorHAnsi" w:cstheme="minorHAnsi"/>
          <w:b/>
          <w:caps w:val="0"/>
          <w:color w:val="auto"/>
          <w:sz w:val="28"/>
        </w:rPr>
      </w:pPr>
      <w:r w:rsidRPr="00780D76">
        <w:rPr>
          <w:rFonts w:asciiTheme="minorHAnsi" w:hAnsiTheme="minorHAnsi" w:cstheme="minorHAnsi"/>
          <w:b/>
          <w:caps w:val="0"/>
          <w:color w:val="auto"/>
          <w:sz w:val="28"/>
        </w:rPr>
        <w:lastRenderedPageBreak/>
        <w:t>Question 22.</w:t>
      </w:r>
    </w:p>
    <w:p w14:paraId="14AEB60A" w14:textId="77777777" w:rsidR="00224DFC" w:rsidRPr="00780D76" w:rsidRDefault="00224DFC" w:rsidP="00C86FB6">
      <w:pPr>
        <w:pStyle w:val="Boxheading"/>
        <w:ind w:left="0"/>
        <w:jc w:val="both"/>
        <w:rPr>
          <w:rFonts w:asciiTheme="minorHAnsi" w:hAnsiTheme="minorHAnsi" w:cstheme="minorHAnsi"/>
          <w:caps w:val="0"/>
          <w:color w:val="auto"/>
        </w:rPr>
      </w:pPr>
      <w:r w:rsidRPr="00780D76">
        <w:rPr>
          <w:rFonts w:asciiTheme="minorHAnsi" w:hAnsiTheme="minorHAnsi" w:cstheme="minorHAnsi"/>
          <w:caps w:val="0"/>
          <w:color w:val="auto"/>
        </w:rPr>
        <w:t xml:space="preserve">Should an Australian option for MLETR extend to documents like straight bills of lading, or other documents which must generally be physically possessed, but need not be transferable? </w:t>
      </w:r>
    </w:p>
    <w:p w14:paraId="0D8A4D37" w14:textId="77777777" w:rsidR="00224DFC" w:rsidRPr="00780D76" w:rsidRDefault="00224DFC" w:rsidP="008B382E">
      <w:pPr>
        <w:pStyle w:val="Boxheading"/>
        <w:numPr>
          <w:ilvl w:val="0"/>
          <w:numId w:val="27"/>
        </w:numPr>
        <w:ind w:left="360"/>
        <w:jc w:val="both"/>
        <w:rPr>
          <w:rFonts w:asciiTheme="minorHAnsi" w:hAnsiTheme="minorHAnsi" w:cstheme="minorHAnsi"/>
          <w:b/>
          <w:caps w:val="0"/>
          <w:color w:val="auto"/>
        </w:rPr>
      </w:pPr>
      <w:r w:rsidRPr="00780D76">
        <w:rPr>
          <w:rFonts w:asciiTheme="minorHAnsi" w:hAnsiTheme="minorHAnsi" w:cstheme="minorHAnsi"/>
          <w:b/>
          <w:caps w:val="0"/>
          <w:color w:val="auto"/>
        </w:rPr>
        <w:t xml:space="preserve">Yes </w:t>
      </w:r>
    </w:p>
    <w:p w14:paraId="0DC0F792" w14:textId="77777777" w:rsidR="00224DFC" w:rsidRPr="00780D76" w:rsidRDefault="00224DFC" w:rsidP="008B382E">
      <w:pPr>
        <w:pStyle w:val="Boxheading"/>
        <w:numPr>
          <w:ilvl w:val="0"/>
          <w:numId w:val="27"/>
        </w:numPr>
        <w:ind w:left="360"/>
        <w:jc w:val="both"/>
        <w:rPr>
          <w:rFonts w:asciiTheme="minorHAnsi" w:hAnsiTheme="minorHAnsi" w:cstheme="minorHAnsi"/>
          <w:b/>
          <w:caps w:val="0"/>
          <w:color w:val="auto"/>
        </w:rPr>
      </w:pPr>
      <w:r w:rsidRPr="00780D76">
        <w:rPr>
          <w:rFonts w:asciiTheme="minorHAnsi" w:hAnsiTheme="minorHAnsi" w:cstheme="minorHAnsi"/>
          <w:b/>
          <w:caps w:val="0"/>
          <w:color w:val="auto"/>
        </w:rPr>
        <w:t xml:space="preserve">No </w:t>
      </w:r>
    </w:p>
    <w:p w14:paraId="3EE6658B" w14:textId="77777777" w:rsidR="00F40EE8" w:rsidRPr="00780D76" w:rsidRDefault="00F40EE8" w:rsidP="008B382E">
      <w:pPr>
        <w:pStyle w:val="Boxheading"/>
        <w:numPr>
          <w:ilvl w:val="0"/>
          <w:numId w:val="27"/>
        </w:numPr>
        <w:ind w:left="360"/>
        <w:jc w:val="both"/>
        <w:rPr>
          <w:rFonts w:asciiTheme="minorHAnsi" w:hAnsiTheme="minorHAnsi" w:cstheme="minorHAnsi"/>
          <w:b/>
          <w:caps w:val="0"/>
          <w:color w:val="auto"/>
        </w:rPr>
      </w:pPr>
      <w:r w:rsidRPr="00780D76">
        <w:rPr>
          <w:rFonts w:asciiTheme="minorHAnsi" w:hAnsiTheme="minorHAnsi" w:cstheme="minorHAnsi"/>
          <w:b/>
          <w:caps w:val="0"/>
          <w:color w:val="auto"/>
        </w:rPr>
        <w:t>Unsure</w:t>
      </w:r>
    </w:p>
    <w:p w14:paraId="27D2669B" w14:textId="77777777" w:rsidR="00330C78" w:rsidRPr="00780D76" w:rsidRDefault="00224DFC" w:rsidP="00C86FB6">
      <w:pPr>
        <w:pStyle w:val="Boxheading"/>
        <w:ind w:left="0"/>
        <w:jc w:val="both"/>
        <w:rPr>
          <w:rFonts w:asciiTheme="minorHAnsi" w:hAnsiTheme="minorHAnsi" w:cstheme="minorHAnsi"/>
          <w:caps w:val="0"/>
          <w:color w:val="auto"/>
        </w:rPr>
      </w:pPr>
      <w:r w:rsidRPr="00780D76">
        <w:rPr>
          <w:rFonts w:asciiTheme="minorHAnsi" w:hAnsiTheme="minorHAnsi" w:cstheme="minorHAnsi"/>
          <w:caps w:val="0"/>
          <w:color w:val="auto"/>
        </w:rPr>
        <w:t xml:space="preserve">Please expand on your answer. </w:t>
      </w:r>
    </w:p>
    <w:p w14:paraId="4DB70B5E" w14:textId="77777777" w:rsidR="00323C37" w:rsidRPr="00780D76" w:rsidRDefault="00224DFC" w:rsidP="00C86FB6">
      <w:pPr>
        <w:pStyle w:val="Boxheading"/>
        <w:ind w:left="0"/>
        <w:jc w:val="both"/>
        <w:rPr>
          <w:rFonts w:asciiTheme="minorHAnsi" w:hAnsiTheme="minorHAnsi" w:cstheme="minorHAnsi"/>
          <w:i/>
          <w:color w:val="auto"/>
        </w:rPr>
      </w:pPr>
      <w:r w:rsidRPr="00780D76">
        <w:rPr>
          <w:rFonts w:asciiTheme="minorHAnsi" w:hAnsiTheme="minorHAnsi" w:cstheme="minorHAnsi"/>
          <w:i/>
          <w:caps w:val="0"/>
          <w:color w:val="auto"/>
        </w:rPr>
        <w:t>For example, what other documents may be possessable but not transferable? Do you foresee any issues if these were included or excluded?</w:t>
      </w:r>
    </w:p>
    <w:p w14:paraId="023C04CC" w14:textId="77777777" w:rsidR="00323C37" w:rsidRPr="00780D76" w:rsidRDefault="00323C37" w:rsidP="00224DFC">
      <w:pPr>
        <w:spacing w:line="276" w:lineRule="auto"/>
        <w:jc w:val="both"/>
        <w:rPr>
          <w:rFonts w:asciiTheme="minorHAnsi" w:hAnsiTheme="minorHAnsi" w:cstheme="minorHAnsi"/>
          <w:color w:val="auto"/>
          <w:lang w:val="en"/>
        </w:rPr>
      </w:pPr>
    </w:p>
    <w:p w14:paraId="5390ABF3" w14:textId="77777777" w:rsidR="00224DFC" w:rsidRPr="00780D76" w:rsidRDefault="00224DFC" w:rsidP="00C86FB6">
      <w:pPr>
        <w:pStyle w:val="Boxheading"/>
        <w:spacing w:line="240" w:lineRule="auto"/>
        <w:ind w:left="0"/>
        <w:rPr>
          <w:rFonts w:asciiTheme="minorHAnsi" w:hAnsiTheme="minorHAnsi" w:cstheme="minorHAnsi"/>
          <w:b/>
          <w:caps w:val="0"/>
          <w:color w:val="auto"/>
          <w:sz w:val="28"/>
        </w:rPr>
      </w:pPr>
      <w:r w:rsidRPr="00780D76">
        <w:rPr>
          <w:rFonts w:asciiTheme="minorHAnsi" w:hAnsiTheme="minorHAnsi" w:cstheme="minorHAnsi"/>
          <w:b/>
          <w:caps w:val="0"/>
          <w:color w:val="auto"/>
          <w:sz w:val="28"/>
        </w:rPr>
        <w:t>Question 23.</w:t>
      </w:r>
    </w:p>
    <w:p w14:paraId="702158B3" w14:textId="77777777" w:rsidR="00224DFC" w:rsidRPr="00780D76" w:rsidRDefault="00224DFC" w:rsidP="00C86FB6">
      <w:pPr>
        <w:pStyle w:val="Boxheading"/>
        <w:ind w:left="0"/>
        <w:jc w:val="both"/>
        <w:rPr>
          <w:rFonts w:asciiTheme="minorHAnsi" w:hAnsiTheme="minorHAnsi" w:cstheme="minorHAnsi"/>
          <w:caps w:val="0"/>
          <w:color w:val="auto"/>
        </w:rPr>
      </w:pPr>
      <w:r w:rsidRPr="00780D76">
        <w:rPr>
          <w:rFonts w:asciiTheme="minorHAnsi" w:hAnsiTheme="minorHAnsi" w:cstheme="minorHAnsi"/>
          <w:caps w:val="0"/>
          <w:color w:val="auto"/>
        </w:rPr>
        <w:t xml:space="preserve">Should an Australian option for MLETR be limited to transferable records which are used specifically in the context of international trade? </w:t>
      </w:r>
    </w:p>
    <w:p w14:paraId="4A54D08D" w14:textId="77777777" w:rsidR="00224DFC" w:rsidRPr="00780D76" w:rsidRDefault="00224DFC" w:rsidP="008B382E">
      <w:pPr>
        <w:pStyle w:val="Boxheading"/>
        <w:numPr>
          <w:ilvl w:val="0"/>
          <w:numId w:val="27"/>
        </w:numPr>
        <w:ind w:left="360"/>
        <w:jc w:val="both"/>
        <w:rPr>
          <w:rFonts w:asciiTheme="minorHAnsi" w:hAnsiTheme="minorHAnsi" w:cstheme="minorHAnsi"/>
          <w:b/>
          <w:caps w:val="0"/>
          <w:color w:val="auto"/>
        </w:rPr>
      </w:pPr>
      <w:r w:rsidRPr="00780D76">
        <w:rPr>
          <w:rFonts w:asciiTheme="minorHAnsi" w:hAnsiTheme="minorHAnsi" w:cstheme="minorHAnsi"/>
          <w:b/>
          <w:caps w:val="0"/>
          <w:color w:val="auto"/>
        </w:rPr>
        <w:t xml:space="preserve">Yes </w:t>
      </w:r>
    </w:p>
    <w:p w14:paraId="32D17F13" w14:textId="77777777" w:rsidR="00224DFC" w:rsidRPr="00780D76" w:rsidRDefault="00224DFC" w:rsidP="008B382E">
      <w:pPr>
        <w:pStyle w:val="Boxheading"/>
        <w:numPr>
          <w:ilvl w:val="0"/>
          <w:numId w:val="27"/>
        </w:numPr>
        <w:ind w:left="360"/>
        <w:jc w:val="both"/>
        <w:rPr>
          <w:rFonts w:asciiTheme="minorHAnsi" w:hAnsiTheme="minorHAnsi" w:cstheme="minorHAnsi"/>
          <w:b/>
          <w:caps w:val="0"/>
          <w:color w:val="auto"/>
        </w:rPr>
      </w:pPr>
      <w:r w:rsidRPr="00780D76">
        <w:rPr>
          <w:rFonts w:asciiTheme="minorHAnsi" w:hAnsiTheme="minorHAnsi" w:cstheme="minorHAnsi"/>
          <w:b/>
          <w:caps w:val="0"/>
          <w:color w:val="auto"/>
        </w:rPr>
        <w:t xml:space="preserve">No </w:t>
      </w:r>
    </w:p>
    <w:p w14:paraId="2A04CB2E" w14:textId="77777777" w:rsidR="00224DFC" w:rsidRPr="00780D76" w:rsidRDefault="00224DFC" w:rsidP="008B382E">
      <w:pPr>
        <w:pStyle w:val="Boxheading"/>
        <w:numPr>
          <w:ilvl w:val="0"/>
          <w:numId w:val="27"/>
        </w:numPr>
        <w:ind w:left="360"/>
        <w:jc w:val="both"/>
        <w:rPr>
          <w:rFonts w:asciiTheme="minorHAnsi" w:hAnsiTheme="minorHAnsi" w:cstheme="minorHAnsi"/>
          <w:b/>
          <w:caps w:val="0"/>
          <w:color w:val="auto"/>
        </w:rPr>
      </w:pPr>
      <w:r w:rsidRPr="00780D76">
        <w:rPr>
          <w:rFonts w:asciiTheme="minorHAnsi" w:hAnsiTheme="minorHAnsi" w:cstheme="minorHAnsi"/>
          <w:b/>
          <w:caps w:val="0"/>
          <w:color w:val="auto"/>
        </w:rPr>
        <w:t xml:space="preserve">Unsure </w:t>
      </w:r>
    </w:p>
    <w:p w14:paraId="14F35DEF" w14:textId="77777777" w:rsidR="00330C78" w:rsidRPr="00780D76" w:rsidRDefault="00224DFC" w:rsidP="00C86FB6">
      <w:pPr>
        <w:pStyle w:val="Boxheading"/>
        <w:ind w:left="0"/>
        <w:jc w:val="both"/>
        <w:rPr>
          <w:rFonts w:asciiTheme="minorHAnsi" w:hAnsiTheme="minorHAnsi" w:cstheme="minorHAnsi"/>
          <w:caps w:val="0"/>
          <w:color w:val="auto"/>
        </w:rPr>
      </w:pPr>
      <w:r w:rsidRPr="00780D76">
        <w:rPr>
          <w:rFonts w:asciiTheme="minorHAnsi" w:hAnsiTheme="minorHAnsi" w:cstheme="minorHAnsi"/>
          <w:caps w:val="0"/>
          <w:color w:val="auto"/>
        </w:rPr>
        <w:t xml:space="preserve">Please expand on your answer. </w:t>
      </w:r>
    </w:p>
    <w:p w14:paraId="57675278" w14:textId="77777777" w:rsidR="00323C37" w:rsidRPr="00780D76" w:rsidRDefault="00224DFC" w:rsidP="00843D0E">
      <w:pPr>
        <w:pStyle w:val="Boxheading"/>
        <w:ind w:left="0"/>
        <w:jc w:val="both"/>
        <w:rPr>
          <w:rFonts w:asciiTheme="minorHAnsi" w:hAnsiTheme="minorHAnsi" w:cstheme="minorHAnsi"/>
          <w:i/>
          <w:color w:val="auto"/>
        </w:rPr>
      </w:pPr>
      <w:r w:rsidRPr="00780D76">
        <w:rPr>
          <w:rFonts w:asciiTheme="minorHAnsi" w:hAnsiTheme="minorHAnsi" w:cstheme="minorHAnsi"/>
          <w:i/>
          <w:caps w:val="0"/>
          <w:color w:val="auto"/>
        </w:rPr>
        <w:t>For example, do you foresee any particular issues if MLETR</w:t>
      </w:r>
      <w:r w:rsidR="00330C78" w:rsidRPr="00780D76">
        <w:rPr>
          <w:rFonts w:asciiTheme="minorHAnsi" w:hAnsiTheme="minorHAnsi" w:cstheme="minorHAnsi"/>
          <w:i/>
          <w:caps w:val="0"/>
          <w:color w:val="auto"/>
        </w:rPr>
        <w:t xml:space="preserve"> </w:t>
      </w:r>
      <w:r w:rsidRPr="00780D76">
        <w:rPr>
          <w:rFonts w:asciiTheme="minorHAnsi" w:hAnsiTheme="minorHAnsi" w:cstheme="minorHAnsi"/>
          <w:i/>
          <w:caps w:val="0"/>
          <w:color w:val="auto"/>
        </w:rPr>
        <w:t>was limited to international trade only?</w:t>
      </w:r>
    </w:p>
    <w:p w14:paraId="31D3ABB9" w14:textId="77777777" w:rsidR="00323C37" w:rsidRPr="00780D76" w:rsidRDefault="00323C37" w:rsidP="00224DFC">
      <w:pPr>
        <w:pStyle w:val="Heading2"/>
        <w:jc w:val="both"/>
        <w:rPr>
          <w:rFonts w:asciiTheme="minorHAnsi" w:hAnsiTheme="minorHAnsi" w:cstheme="minorHAnsi"/>
        </w:rPr>
      </w:pPr>
      <w:r w:rsidRPr="00780D76">
        <w:rPr>
          <w:rFonts w:asciiTheme="minorHAnsi" w:hAnsiTheme="minorHAnsi" w:cstheme="minorHAnsi"/>
        </w:rPr>
        <w:t>4.2. The MLETR – functional equivalence</w:t>
      </w:r>
    </w:p>
    <w:p w14:paraId="206FA1CA" w14:textId="77777777" w:rsidR="009F4F5B" w:rsidRPr="00780D76" w:rsidRDefault="009F4F5B" w:rsidP="00C86FB6">
      <w:pPr>
        <w:pStyle w:val="Boxheading"/>
        <w:spacing w:line="240" w:lineRule="auto"/>
        <w:ind w:left="0"/>
        <w:rPr>
          <w:rFonts w:asciiTheme="minorHAnsi" w:hAnsiTheme="minorHAnsi" w:cstheme="minorHAnsi"/>
          <w:b/>
          <w:caps w:val="0"/>
          <w:color w:val="auto"/>
          <w:sz w:val="28"/>
        </w:rPr>
      </w:pPr>
      <w:r w:rsidRPr="00780D76">
        <w:rPr>
          <w:rFonts w:asciiTheme="minorHAnsi" w:hAnsiTheme="minorHAnsi" w:cstheme="minorHAnsi"/>
          <w:b/>
          <w:caps w:val="0"/>
          <w:color w:val="auto"/>
          <w:sz w:val="28"/>
        </w:rPr>
        <w:t>Question 24.</w:t>
      </w:r>
    </w:p>
    <w:p w14:paraId="759E8418" w14:textId="77777777" w:rsidR="009F4F5B" w:rsidRPr="00780D76" w:rsidRDefault="009F4F5B" w:rsidP="00C86FB6">
      <w:pPr>
        <w:pStyle w:val="Boxheading"/>
        <w:ind w:left="0"/>
        <w:jc w:val="both"/>
        <w:rPr>
          <w:rFonts w:asciiTheme="minorHAnsi" w:hAnsiTheme="minorHAnsi" w:cstheme="minorHAnsi"/>
          <w:caps w:val="0"/>
          <w:color w:val="auto"/>
        </w:rPr>
      </w:pPr>
      <w:r w:rsidRPr="00780D76">
        <w:rPr>
          <w:rFonts w:asciiTheme="minorHAnsi" w:hAnsiTheme="minorHAnsi" w:cstheme="minorHAnsi"/>
          <w:caps w:val="0"/>
          <w:color w:val="auto"/>
        </w:rPr>
        <w:t xml:space="preserve">Would adoption of the MLETR in its current form provide you with confidence that electronic transferable records are just as legally valid as paper versions of those records for the purpose of Australian law? </w:t>
      </w:r>
    </w:p>
    <w:p w14:paraId="5D3E7205" w14:textId="77777777" w:rsidR="009F4F5B" w:rsidRPr="00780D76" w:rsidRDefault="009F4F5B" w:rsidP="00C86FB6">
      <w:pPr>
        <w:pStyle w:val="Boxheading"/>
        <w:ind w:left="0"/>
        <w:jc w:val="both"/>
        <w:rPr>
          <w:rFonts w:asciiTheme="minorHAnsi" w:hAnsiTheme="minorHAnsi" w:cstheme="minorHAnsi"/>
          <w:b/>
          <w:caps w:val="0"/>
          <w:color w:val="auto"/>
        </w:rPr>
      </w:pPr>
      <w:r w:rsidRPr="00780D76">
        <w:rPr>
          <w:rFonts w:asciiTheme="minorHAnsi" w:hAnsiTheme="minorHAnsi" w:cstheme="minorHAnsi"/>
          <w:b/>
          <w:caps w:val="0"/>
          <w:color w:val="auto"/>
        </w:rPr>
        <w:t xml:space="preserve">• Yes </w:t>
      </w:r>
    </w:p>
    <w:p w14:paraId="3FA919D6" w14:textId="77777777" w:rsidR="009F4F5B" w:rsidRPr="00780D76" w:rsidRDefault="009F4F5B" w:rsidP="00C86FB6">
      <w:pPr>
        <w:pStyle w:val="Boxheading"/>
        <w:ind w:left="0"/>
        <w:jc w:val="both"/>
        <w:rPr>
          <w:rFonts w:asciiTheme="minorHAnsi" w:hAnsiTheme="minorHAnsi" w:cstheme="minorHAnsi"/>
          <w:b/>
          <w:caps w:val="0"/>
          <w:color w:val="auto"/>
        </w:rPr>
      </w:pPr>
      <w:r w:rsidRPr="00780D76">
        <w:rPr>
          <w:rFonts w:asciiTheme="minorHAnsi" w:hAnsiTheme="minorHAnsi" w:cstheme="minorHAnsi"/>
          <w:b/>
          <w:caps w:val="0"/>
          <w:color w:val="auto"/>
        </w:rPr>
        <w:t xml:space="preserve">• No </w:t>
      </w:r>
    </w:p>
    <w:p w14:paraId="5550EF6C" w14:textId="77777777" w:rsidR="00843D0E" w:rsidRPr="00780D76" w:rsidRDefault="009F4F5B" w:rsidP="00C86FB6">
      <w:pPr>
        <w:pStyle w:val="Boxheading"/>
        <w:ind w:left="0"/>
        <w:jc w:val="both"/>
        <w:rPr>
          <w:rFonts w:asciiTheme="minorHAnsi" w:hAnsiTheme="minorHAnsi" w:cstheme="minorHAnsi"/>
          <w:b/>
          <w:caps w:val="0"/>
          <w:color w:val="auto"/>
        </w:rPr>
      </w:pPr>
      <w:r w:rsidRPr="00780D76">
        <w:rPr>
          <w:rFonts w:asciiTheme="minorHAnsi" w:hAnsiTheme="minorHAnsi" w:cstheme="minorHAnsi"/>
          <w:b/>
          <w:caps w:val="0"/>
          <w:color w:val="auto"/>
        </w:rPr>
        <w:t xml:space="preserve">• </w:t>
      </w:r>
      <w:r w:rsidR="00224DFC" w:rsidRPr="00780D76">
        <w:rPr>
          <w:rFonts w:asciiTheme="minorHAnsi" w:hAnsiTheme="minorHAnsi" w:cstheme="minorHAnsi"/>
          <w:b/>
          <w:caps w:val="0"/>
          <w:color w:val="auto"/>
        </w:rPr>
        <w:t>U</w:t>
      </w:r>
      <w:r w:rsidRPr="00780D76">
        <w:rPr>
          <w:rFonts w:asciiTheme="minorHAnsi" w:hAnsiTheme="minorHAnsi" w:cstheme="minorHAnsi"/>
          <w:b/>
          <w:caps w:val="0"/>
          <w:color w:val="auto"/>
        </w:rPr>
        <w:t xml:space="preserve">nsure at this stage </w:t>
      </w:r>
    </w:p>
    <w:p w14:paraId="1CFDE36B" w14:textId="77777777" w:rsidR="009F4F5B" w:rsidRPr="00780D76" w:rsidRDefault="00843D0E" w:rsidP="00C86FB6">
      <w:pPr>
        <w:pStyle w:val="Boxheading"/>
        <w:ind w:left="0"/>
        <w:jc w:val="both"/>
        <w:rPr>
          <w:rFonts w:asciiTheme="minorHAnsi" w:hAnsiTheme="minorHAnsi" w:cstheme="minorHAnsi"/>
          <w:caps w:val="0"/>
          <w:color w:val="auto"/>
        </w:rPr>
      </w:pPr>
      <w:r w:rsidRPr="00780D76">
        <w:rPr>
          <w:rFonts w:asciiTheme="minorHAnsi" w:hAnsiTheme="minorHAnsi" w:cstheme="minorHAnsi"/>
          <w:caps w:val="0"/>
          <w:color w:val="auto"/>
        </w:rPr>
        <w:lastRenderedPageBreak/>
        <w:t>P</w:t>
      </w:r>
      <w:r w:rsidR="009F4F5B" w:rsidRPr="00780D76">
        <w:rPr>
          <w:rFonts w:asciiTheme="minorHAnsi" w:hAnsiTheme="minorHAnsi" w:cstheme="minorHAnsi"/>
          <w:caps w:val="0"/>
          <w:color w:val="auto"/>
        </w:rPr>
        <w:t xml:space="preserve">lease expand on your answer. </w:t>
      </w:r>
    </w:p>
    <w:p w14:paraId="530A49E6" w14:textId="77777777" w:rsidR="00323C37" w:rsidRPr="00780D76" w:rsidRDefault="009F4F5B" w:rsidP="00C86FB6">
      <w:pPr>
        <w:pStyle w:val="Boxheading"/>
        <w:ind w:left="0"/>
        <w:jc w:val="both"/>
        <w:rPr>
          <w:rFonts w:asciiTheme="minorHAnsi" w:hAnsiTheme="minorHAnsi" w:cstheme="minorHAnsi"/>
          <w:i/>
          <w:caps w:val="0"/>
          <w:color w:val="auto"/>
        </w:rPr>
      </w:pPr>
      <w:r w:rsidRPr="00780D76">
        <w:rPr>
          <w:rFonts w:asciiTheme="minorHAnsi" w:hAnsiTheme="minorHAnsi" w:cstheme="minorHAnsi"/>
          <w:i/>
          <w:caps w:val="0"/>
          <w:color w:val="auto"/>
        </w:rPr>
        <w:t>For example: what, if any, modifications or clarifications would be necessary to provide you with confidence in the legal validity of electronic transferable records</w:t>
      </w:r>
      <w:r w:rsidR="00224DFC" w:rsidRPr="00780D76">
        <w:rPr>
          <w:rFonts w:asciiTheme="minorHAnsi" w:hAnsiTheme="minorHAnsi" w:cstheme="minorHAnsi"/>
          <w:i/>
          <w:caps w:val="0"/>
          <w:color w:val="auto"/>
        </w:rPr>
        <w:t>.</w:t>
      </w:r>
    </w:p>
    <w:p w14:paraId="4CC1E814" w14:textId="77777777" w:rsidR="00323C37" w:rsidRPr="00780D76" w:rsidRDefault="00323C37" w:rsidP="009F4F5B">
      <w:pPr>
        <w:spacing w:line="276" w:lineRule="auto"/>
        <w:jc w:val="both"/>
        <w:rPr>
          <w:rFonts w:asciiTheme="minorHAnsi" w:hAnsiTheme="minorHAnsi" w:cstheme="minorHAnsi"/>
          <w:color w:val="auto"/>
          <w:lang w:val="en"/>
        </w:rPr>
      </w:pPr>
    </w:p>
    <w:p w14:paraId="45F113D8" w14:textId="77777777" w:rsidR="009F4F5B" w:rsidRPr="00780D76" w:rsidRDefault="009F4F5B" w:rsidP="00C86FB6">
      <w:pPr>
        <w:pStyle w:val="Boxheading"/>
        <w:spacing w:line="240" w:lineRule="auto"/>
        <w:ind w:left="0"/>
        <w:rPr>
          <w:rFonts w:asciiTheme="minorHAnsi" w:hAnsiTheme="minorHAnsi" w:cstheme="minorHAnsi"/>
          <w:b/>
          <w:caps w:val="0"/>
          <w:color w:val="auto"/>
          <w:sz w:val="28"/>
        </w:rPr>
      </w:pPr>
      <w:r w:rsidRPr="00780D76">
        <w:rPr>
          <w:rFonts w:asciiTheme="minorHAnsi" w:hAnsiTheme="minorHAnsi" w:cstheme="minorHAnsi"/>
          <w:b/>
          <w:caps w:val="0"/>
          <w:color w:val="auto"/>
          <w:sz w:val="28"/>
        </w:rPr>
        <w:t>Question 25.</w:t>
      </w:r>
    </w:p>
    <w:p w14:paraId="4C93115F" w14:textId="1E290F5A" w:rsidR="00323C37" w:rsidRPr="00780D76" w:rsidRDefault="00931DE4" w:rsidP="00330C78">
      <w:pPr>
        <w:pStyle w:val="Boxheading"/>
        <w:ind w:left="0"/>
        <w:jc w:val="both"/>
        <w:rPr>
          <w:rFonts w:asciiTheme="minorHAnsi" w:hAnsiTheme="minorHAnsi" w:cstheme="minorHAnsi"/>
          <w:color w:val="auto"/>
        </w:rPr>
      </w:pPr>
      <w:r>
        <w:rPr>
          <w:rFonts w:asciiTheme="minorHAnsi" w:hAnsiTheme="minorHAnsi" w:cstheme="minorHAnsi"/>
          <w:caps w:val="0"/>
          <w:color w:val="auto"/>
        </w:rPr>
        <w:t>P</w:t>
      </w:r>
      <w:r w:rsidR="009F4F5B" w:rsidRPr="00780D76">
        <w:rPr>
          <w:rFonts w:asciiTheme="minorHAnsi" w:hAnsiTheme="minorHAnsi" w:cstheme="minorHAnsi"/>
          <w:caps w:val="0"/>
          <w:color w:val="auto"/>
        </w:rPr>
        <w:t>lease share your preliminary views about whether there is anything under Australian law which you think justifies a unique approach to confirming the functional equivalence of transferable records (that is, as distinct from the MLETR)?</w:t>
      </w:r>
    </w:p>
    <w:p w14:paraId="410E436D" w14:textId="77777777" w:rsidR="00323C37" w:rsidRPr="00780D76" w:rsidRDefault="00323C37" w:rsidP="009F4F5B">
      <w:pPr>
        <w:pStyle w:val="Heading2"/>
        <w:rPr>
          <w:rFonts w:asciiTheme="minorHAnsi" w:hAnsiTheme="minorHAnsi" w:cstheme="minorHAnsi"/>
          <w:lang w:val="en"/>
        </w:rPr>
      </w:pPr>
      <w:r w:rsidRPr="00780D76">
        <w:rPr>
          <w:rFonts w:asciiTheme="minorHAnsi" w:hAnsiTheme="minorHAnsi" w:cstheme="minorHAnsi"/>
        </w:rPr>
        <w:t>4.3. The MLETR – technology-neutrality</w:t>
      </w:r>
    </w:p>
    <w:p w14:paraId="5B3D853D" w14:textId="77777777" w:rsidR="009F4F5B" w:rsidRPr="00780D76" w:rsidRDefault="009F4F5B" w:rsidP="00C86FB6">
      <w:pPr>
        <w:pStyle w:val="Boxheading"/>
        <w:spacing w:line="240" w:lineRule="auto"/>
        <w:ind w:left="0"/>
        <w:rPr>
          <w:rFonts w:asciiTheme="minorHAnsi" w:hAnsiTheme="minorHAnsi" w:cstheme="minorHAnsi"/>
          <w:b/>
          <w:caps w:val="0"/>
          <w:color w:val="auto"/>
          <w:sz w:val="28"/>
        </w:rPr>
      </w:pPr>
      <w:r w:rsidRPr="00780D76">
        <w:rPr>
          <w:rFonts w:asciiTheme="minorHAnsi" w:hAnsiTheme="minorHAnsi" w:cstheme="minorHAnsi"/>
          <w:b/>
          <w:caps w:val="0"/>
          <w:color w:val="auto"/>
          <w:sz w:val="28"/>
        </w:rPr>
        <w:t>Question 26.</w:t>
      </w:r>
    </w:p>
    <w:p w14:paraId="622D4A6D" w14:textId="5662BC14" w:rsidR="009F4F5B" w:rsidRPr="00780D76" w:rsidRDefault="00E12657" w:rsidP="00C86FB6">
      <w:pPr>
        <w:pStyle w:val="Boxheading"/>
        <w:ind w:left="0"/>
        <w:jc w:val="both"/>
        <w:rPr>
          <w:rFonts w:asciiTheme="minorHAnsi" w:hAnsiTheme="minorHAnsi" w:cstheme="minorHAnsi"/>
          <w:caps w:val="0"/>
          <w:color w:val="auto"/>
        </w:rPr>
      </w:pPr>
      <w:r>
        <w:rPr>
          <w:rFonts w:asciiTheme="minorHAnsi" w:hAnsiTheme="minorHAnsi" w:cstheme="minorHAnsi"/>
          <w:caps w:val="0"/>
          <w:color w:val="auto"/>
        </w:rPr>
        <w:t>T</w:t>
      </w:r>
      <w:r w:rsidR="009F4F5B" w:rsidRPr="00780D76">
        <w:rPr>
          <w:rFonts w:asciiTheme="minorHAnsi" w:hAnsiTheme="minorHAnsi" w:cstheme="minorHAnsi"/>
          <w:caps w:val="0"/>
          <w:color w:val="auto"/>
        </w:rPr>
        <w:t xml:space="preserve">o what extent does the approach to reliability under article 12 of the MLETR appropriately balance stakeholder confidence (that is, confidence in the legal validity of a particular electronic method) and flexibility (that is, flexibility to use a technology or method of the stakeholder’s choice). </w:t>
      </w:r>
    </w:p>
    <w:p w14:paraId="7E8D2C8F" w14:textId="77777777" w:rsidR="009F4F5B" w:rsidRPr="00780D76" w:rsidRDefault="009F4F5B" w:rsidP="008B382E">
      <w:pPr>
        <w:pStyle w:val="Boxheading"/>
        <w:numPr>
          <w:ilvl w:val="0"/>
          <w:numId w:val="27"/>
        </w:numPr>
        <w:ind w:left="360"/>
        <w:jc w:val="both"/>
        <w:rPr>
          <w:rFonts w:asciiTheme="minorHAnsi" w:hAnsiTheme="minorHAnsi" w:cstheme="minorHAnsi"/>
          <w:b/>
          <w:caps w:val="0"/>
          <w:color w:val="auto"/>
        </w:rPr>
      </w:pPr>
      <w:r w:rsidRPr="00780D76">
        <w:rPr>
          <w:rFonts w:asciiTheme="minorHAnsi" w:hAnsiTheme="minorHAnsi" w:cstheme="minorHAnsi"/>
          <w:b/>
          <w:caps w:val="0"/>
          <w:color w:val="auto"/>
        </w:rPr>
        <w:t xml:space="preserve">Very well </w:t>
      </w:r>
    </w:p>
    <w:p w14:paraId="08F3588C" w14:textId="77777777" w:rsidR="009F4F5B" w:rsidRPr="00780D76" w:rsidRDefault="009F4F5B" w:rsidP="008B382E">
      <w:pPr>
        <w:pStyle w:val="Boxheading"/>
        <w:numPr>
          <w:ilvl w:val="0"/>
          <w:numId w:val="27"/>
        </w:numPr>
        <w:ind w:left="360"/>
        <w:jc w:val="both"/>
        <w:rPr>
          <w:rFonts w:asciiTheme="minorHAnsi" w:hAnsiTheme="minorHAnsi" w:cstheme="minorHAnsi"/>
          <w:b/>
          <w:caps w:val="0"/>
          <w:color w:val="auto"/>
        </w:rPr>
      </w:pPr>
      <w:r w:rsidRPr="00780D76">
        <w:rPr>
          <w:rFonts w:asciiTheme="minorHAnsi" w:hAnsiTheme="minorHAnsi" w:cstheme="minorHAnsi"/>
          <w:b/>
          <w:caps w:val="0"/>
          <w:color w:val="auto"/>
        </w:rPr>
        <w:t>Well</w:t>
      </w:r>
    </w:p>
    <w:p w14:paraId="7A98AA3A" w14:textId="77777777" w:rsidR="009F4F5B" w:rsidRPr="00780D76" w:rsidRDefault="009F4F5B" w:rsidP="008B382E">
      <w:pPr>
        <w:pStyle w:val="Boxheading"/>
        <w:numPr>
          <w:ilvl w:val="0"/>
          <w:numId w:val="38"/>
        </w:numPr>
        <w:ind w:left="360"/>
        <w:jc w:val="both"/>
        <w:rPr>
          <w:rFonts w:asciiTheme="minorHAnsi" w:hAnsiTheme="minorHAnsi" w:cstheme="minorHAnsi"/>
          <w:b/>
          <w:caps w:val="0"/>
          <w:color w:val="auto"/>
        </w:rPr>
      </w:pPr>
      <w:r w:rsidRPr="00780D76">
        <w:rPr>
          <w:rFonts w:asciiTheme="minorHAnsi" w:hAnsiTheme="minorHAnsi" w:cstheme="minorHAnsi"/>
          <w:b/>
          <w:caps w:val="0"/>
          <w:color w:val="auto"/>
        </w:rPr>
        <w:t xml:space="preserve">Somewhat </w:t>
      </w:r>
    </w:p>
    <w:p w14:paraId="4DC77C30" w14:textId="77777777" w:rsidR="009F4F5B" w:rsidRPr="00780D76" w:rsidRDefault="009F4F5B" w:rsidP="008B382E">
      <w:pPr>
        <w:pStyle w:val="Boxheading"/>
        <w:numPr>
          <w:ilvl w:val="0"/>
          <w:numId w:val="38"/>
        </w:numPr>
        <w:ind w:left="360"/>
        <w:jc w:val="both"/>
        <w:rPr>
          <w:rFonts w:asciiTheme="minorHAnsi" w:hAnsiTheme="minorHAnsi" w:cstheme="minorHAnsi"/>
          <w:b/>
          <w:caps w:val="0"/>
          <w:color w:val="auto"/>
        </w:rPr>
      </w:pPr>
      <w:r w:rsidRPr="00780D76">
        <w:rPr>
          <w:rFonts w:asciiTheme="minorHAnsi" w:hAnsiTheme="minorHAnsi" w:cstheme="minorHAnsi"/>
          <w:b/>
          <w:caps w:val="0"/>
          <w:color w:val="auto"/>
        </w:rPr>
        <w:t>Poorly</w:t>
      </w:r>
    </w:p>
    <w:p w14:paraId="78F426DC" w14:textId="77777777" w:rsidR="009F4F5B" w:rsidRPr="00780D76" w:rsidRDefault="009F4F5B" w:rsidP="008B382E">
      <w:pPr>
        <w:pStyle w:val="Boxheading"/>
        <w:numPr>
          <w:ilvl w:val="0"/>
          <w:numId w:val="38"/>
        </w:numPr>
        <w:ind w:left="360"/>
        <w:jc w:val="both"/>
        <w:rPr>
          <w:rFonts w:asciiTheme="minorHAnsi" w:hAnsiTheme="minorHAnsi" w:cstheme="minorHAnsi"/>
          <w:caps w:val="0"/>
          <w:color w:val="auto"/>
        </w:rPr>
      </w:pPr>
      <w:r w:rsidRPr="00780D76">
        <w:rPr>
          <w:rFonts w:asciiTheme="minorHAnsi" w:hAnsiTheme="minorHAnsi" w:cstheme="minorHAnsi"/>
          <w:b/>
          <w:caps w:val="0"/>
          <w:color w:val="auto"/>
        </w:rPr>
        <w:t>Very poorly</w:t>
      </w:r>
    </w:p>
    <w:p w14:paraId="4983B591" w14:textId="77777777" w:rsidR="009F4F5B" w:rsidRPr="00780D76" w:rsidRDefault="009F4F5B" w:rsidP="008B382E">
      <w:pPr>
        <w:pStyle w:val="Boxheading"/>
        <w:numPr>
          <w:ilvl w:val="0"/>
          <w:numId w:val="38"/>
        </w:numPr>
        <w:ind w:left="360"/>
        <w:jc w:val="both"/>
        <w:rPr>
          <w:rFonts w:asciiTheme="minorHAnsi" w:hAnsiTheme="minorHAnsi" w:cstheme="minorHAnsi"/>
          <w:b/>
          <w:caps w:val="0"/>
          <w:color w:val="auto"/>
        </w:rPr>
      </w:pPr>
      <w:r w:rsidRPr="00780D76">
        <w:rPr>
          <w:rFonts w:asciiTheme="minorHAnsi" w:hAnsiTheme="minorHAnsi" w:cstheme="minorHAnsi"/>
          <w:b/>
          <w:caps w:val="0"/>
          <w:color w:val="auto"/>
        </w:rPr>
        <w:t xml:space="preserve">Unsure </w:t>
      </w:r>
    </w:p>
    <w:p w14:paraId="5CD94807" w14:textId="77777777" w:rsidR="00323C37" w:rsidRPr="00780D76" w:rsidRDefault="009F4F5B" w:rsidP="00C86FB6">
      <w:pPr>
        <w:pStyle w:val="Boxheading"/>
        <w:ind w:left="0"/>
        <w:jc w:val="both"/>
        <w:rPr>
          <w:rFonts w:asciiTheme="minorHAnsi" w:hAnsiTheme="minorHAnsi" w:cstheme="minorHAnsi"/>
          <w:color w:val="auto"/>
        </w:rPr>
      </w:pPr>
      <w:r w:rsidRPr="00780D76">
        <w:rPr>
          <w:rFonts w:asciiTheme="minorHAnsi" w:hAnsiTheme="minorHAnsi" w:cstheme="minorHAnsi"/>
          <w:caps w:val="0"/>
          <w:color w:val="auto"/>
        </w:rPr>
        <w:t>Please explain your answer, especially what other factors might be relevant to determining reliability, or any other changes which you consider might achieve this balance.</w:t>
      </w:r>
    </w:p>
    <w:p w14:paraId="16AD11E8" w14:textId="77777777" w:rsidR="00323C37" w:rsidRPr="00780D76" w:rsidRDefault="00323C37" w:rsidP="009F4F5B">
      <w:pPr>
        <w:spacing w:line="276" w:lineRule="auto"/>
        <w:jc w:val="both"/>
        <w:rPr>
          <w:rFonts w:asciiTheme="minorHAnsi" w:hAnsiTheme="minorHAnsi" w:cstheme="minorHAnsi"/>
          <w:color w:val="auto"/>
          <w:lang w:val="en"/>
        </w:rPr>
      </w:pPr>
    </w:p>
    <w:p w14:paraId="2199A0DB" w14:textId="77777777" w:rsidR="00E15393" w:rsidRDefault="00E15393">
      <w:pPr>
        <w:spacing w:before="0" w:after="0" w:line="240" w:lineRule="auto"/>
        <w:rPr>
          <w:rFonts w:asciiTheme="minorHAnsi" w:hAnsiTheme="minorHAnsi" w:cstheme="minorHAnsi"/>
          <w:b/>
          <w:bCs/>
          <w:color w:val="auto"/>
          <w:sz w:val="28"/>
          <w:szCs w:val="20"/>
          <w:lang w:val="en"/>
        </w:rPr>
      </w:pPr>
      <w:r>
        <w:rPr>
          <w:rFonts w:asciiTheme="minorHAnsi" w:hAnsiTheme="minorHAnsi" w:cstheme="minorHAnsi"/>
          <w:b/>
          <w:caps/>
          <w:color w:val="auto"/>
          <w:sz w:val="28"/>
        </w:rPr>
        <w:br w:type="page"/>
      </w:r>
    </w:p>
    <w:p w14:paraId="0894B133" w14:textId="3A31BFD8" w:rsidR="009F4F5B" w:rsidRPr="00780D76" w:rsidRDefault="009F4F5B" w:rsidP="00C86FB6">
      <w:pPr>
        <w:pStyle w:val="Boxheading"/>
        <w:spacing w:line="240" w:lineRule="auto"/>
        <w:ind w:left="0"/>
        <w:rPr>
          <w:rFonts w:asciiTheme="minorHAnsi" w:hAnsiTheme="minorHAnsi" w:cstheme="minorHAnsi"/>
          <w:b/>
          <w:caps w:val="0"/>
          <w:color w:val="auto"/>
          <w:sz w:val="28"/>
        </w:rPr>
      </w:pPr>
      <w:r w:rsidRPr="00780D76">
        <w:rPr>
          <w:rFonts w:asciiTheme="minorHAnsi" w:hAnsiTheme="minorHAnsi" w:cstheme="minorHAnsi"/>
          <w:b/>
          <w:caps w:val="0"/>
          <w:color w:val="auto"/>
          <w:sz w:val="28"/>
        </w:rPr>
        <w:lastRenderedPageBreak/>
        <w:t>Question 27.</w:t>
      </w:r>
    </w:p>
    <w:p w14:paraId="4B5EA2AE" w14:textId="77777777" w:rsidR="009F4F5B" w:rsidRPr="00780D76" w:rsidRDefault="009F4F5B" w:rsidP="00C86FB6">
      <w:pPr>
        <w:pStyle w:val="Boxheading"/>
        <w:ind w:left="0"/>
        <w:jc w:val="both"/>
        <w:rPr>
          <w:rFonts w:asciiTheme="minorHAnsi" w:hAnsiTheme="minorHAnsi" w:cstheme="minorHAnsi"/>
          <w:caps w:val="0"/>
          <w:color w:val="auto"/>
        </w:rPr>
      </w:pPr>
      <w:r w:rsidRPr="00780D76">
        <w:rPr>
          <w:rFonts w:asciiTheme="minorHAnsi" w:hAnsiTheme="minorHAnsi" w:cstheme="minorHAnsi"/>
          <w:caps w:val="0"/>
          <w:color w:val="auto"/>
        </w:rPr>
        <w:t>In your view, do the factors under article 12 sufficiently promote stakeholders trust and security in the use of electronic transferable records (including the prevention of fraud and the security of data relating to electronic transferable records)?</w:t>
      </w:r>
    </w:p>
    <w:p w14:paraId="0893CD0C" w14:textId="77777777" w:rsidR="00C86FB6" w:rsidRPr="00780D76" w:rsidRDefault="009F4F5B" w:rsidP="008B382E">
      <w:pPr>
        <w:pStyle w:val="Boxheading"/>
        <w:numPr>
          <w:ilvl w:val="0"/>
          <w:numId w:val="39"/>
        </w:numPr>
        <w:jc w:val="both"/>
        <w:rPr>
          <w:rFonts w:asciiTheme="minorHAnsi" w:hAnsiTheme="minorHAnsi" w:cstheme="minorHAnsi"/>
          <w:b/>
          <w:color w:val="auto"/>
        </w:rPr>
      </w:pPr>
      <w:r w:rsidRPr="00780D76">
        <w:rPr>
          <w:rFonts w:asciiTheme="minorHAnsi" w:hAnsiTheme="minorHAnsi" w:cstheme="minorHAnsi"/>
          <w:b/>
          <w:caps w:val="0"/>
          <w:color w:val="auto"/>
        </w:rPr>
        <w:t xml:space="preserve">Yes </w:t>
      </w:r>
    </w:p>
    <w:p w14:paraId="292E050D" w14:textId="77777777" w:rsidR="00C86FB6" w:rsidRPr="00780D76" w:rsidRDefault="009F4F5B" w:rsidP="008B382E">
      <w:pPr>
        <w:pStyle w:val="Boxheading"/>
        <w:numPr>
          <w:ilvl w:val="0"/>
          <w:numId w:val="39"/>
        </w:numPr>
        <w:jc w:val="both"/>
        <w:rPr>
          <w:rFonts w:asciiTheme="minorHAnsi" w:hAnsiTheme="minorHAnsi" w:cstheme="minorHAnsi"/>
          <w:b/>
          <w:color w:val="auto"/>
        </w:rPr>
      </w:pPr>
      <w:r w:rsidRPr="00780D76">
        <w:rPr>
          <w:rFonts w:asciiTheme="minorHAnsi" w:hAnsiTheme="minorHAnsi" w:cstheme="minorHAnsi"/>
          <w:b/>
          <w:caps w:val="0"/>
          <w:color w:val="auto"/>
        </w:rPr>
        <w:t>No</w:t>
      </w:r>
    </w:p>
    <w:p w14:paraId="65848655" w14:textId="77777777" w:rsidR="009F4F5B" w:rsidRPr="00780D76" w:rsidRDefault="009F4F5B" w:rsidP="008B382E">
      <w:pPr>
        <w:pStyle w:val="Boxheading"/>
        <w:numPr>
          <w:ilvl w:val="0"/>
          <w:numId w:val="39"/>
        </w:numPr>
        <w:jc w:val="both"/>
        <w:rPr>
          <w:rFonts w:asciiTheme="minorHAnsi" w:hAnsiTheme="minorHAnsi" w:cstheme="minorHAnsi"/>
          <w:b/>
          <w:color w:val="auto"/>
        </w:rPr>
      </w:pPr>
      <w:r w:rsidRPr="00780D76">
        <w:rPr>
          <w:rFonts w:asciiTheme="minorHAnsi" w:hAnsiTheme="minorHAnsi" w:cstheme="minorHAnsi"/>
          <w:b/>
          <w:caps w:val="0"/>
          <w:color w:val="auto"/>
        </w:rPr>
        <w:t>Unsure</w:t>
      </w:r>
    </w:p>
    <w:p w14:paraId="28225714" w14:textId="77777777" w:rsidR="00323C37" w:rsidRPr="00780D76" w:rsidRDefault="009F4F5B" w:rsidP="00C86FB6">
      <w:pPr>
        <w:pStyle w:val="Boxheading"/>
        <w:ind w:left="0"/>
        <w:jc w:val="both"/>
        <w:rPr>
          <w:rFonts w:asciiTheme="minorHAnsi" w:hAnsiTheme="minorHAnsi" w:cstheme="minorHAnsi"/>
          <w:color w:val="auto"/>
        </w:rPr>
      </w:pPr>
      <w:r w:rsidRPr="00780D76">
        <w:rPr>
          <w:rFonts w:asciiTheme="minorHAnsi" w:hAnsiTheme="minorHAnsi" w:cstheme="minorHAnsi"/>
          <w:caps w:val="0"/>
          <w:color w:val="auto"/>
        </w:rPr>
        <w:t>Please explain your answer, especially what other factors might be relevant to promoting trust and security in the use of electronic transferable records.</w:t>
      </w:r>
    </w:p>
    <w:p w14:paraId="487358D5" w14:textId="77777777" w:rsidR="00323C37" w:rsidRPr="00780D76" w:rsidRDefault="00323C37" w:rsidP="009F4F5B">
      <w:pPr>
        <w:spacing w:line="276" w:lineRule="auto"/>
        <w:jc w:val="both"/>
        <w:rPr>
          <w:rFonts w:asciiTheme="minorHAnsi" w:hAnsiTheme="minorHAnsi" w:cstheme="minorHAnsi"/>
          <w:color w:val="auto"/>
          <w:lang w:val="en"/>
        </w:rPr>
      </w:pPr>
    </w:p>
    <w:p w14:paraId="0C23B08F" w14:textId="77777777" w:rsidR="009F4F5B" w:rsidRPr="00780D76" w:rsidRDefault="009F4F5B" w:rsidP="00C86FB6">
      <w:pPr>
        <w:pStyle w:val="Boxheading"/>
        <w:spacing w:line="240" w:lineRule="auto"/>
        <w:ind w:left="0"/>
        <w:rPr>
          <w:rFonts w:asciiTheme="minorHAnsi" w:hAnsiTheme="minorHAnsi" w:cstheme="minorHAnsi"/>
          <w:b/>
          <w:caps w:val="0"/>
          <w:color w:val="auto"/>
          <w:sz w:val="28"/>
        </w:rPr>
      </w:pPr>
      <w:r w:rsidRPr="00780D76">
        <w:rPr>
          <w:rFonts w:asciiTheme="minorHAnsi" w:hAnsiTheme="minorHAnsi" w:cstheme="minorHAnsi"/>
          <w:b/>
          <w:caps w:val="0"/>
          <w:color w:val="auto"/>
          <w:sz w:val="28"/>
        </w:rPr>
        <w:t>Question 28.</w:t>
      </w:r>
    </w:p>
    <w:p w14:paraId="503914DF" w14:textId="77777777" w:rsidR="00323C37" w:rsidRPr="00780D76" w:rsidRDefault="009F4F5B" w:rsidP="00C86FB6">
      <w:pPr>
        <w:pStyle w:val="Boxheading"/>
        <w:ind w:left="0"/>
        <w:jc w:val="both"/>
        <w:rPr>
          <w:rFonts w:asciiTheme="minorHAnsi" w:hAnsiTheme="minorHAnsi" w:cstheme="minorHAnsi"/>
        </w:rPr>
      </w:pPr>
      <w:r w:rsidRPr="00780D76">
        <w:rPr>
          <w:rFonts w:asciiTheme="minorHAnsi" w:hAnsiTheme="minorHAnsi" w:cstheme="minorHAnsi"/>
          <w:caps w:val="0"/>
          <w:color w:val="auto"/>
        </w:rPr>
        <w:t>Please share any views you have about whether an Australian MLETR implementation option should utilise an accreditation system to specify that certain electronic transferable record management systems are sufficiently reliable</w:t>
      </w:r>
      <w:r w:rsidR="00323C37" w:rsidRPr="00780D76">
        <w:rPr>
          <w:rFonts w:asciiTheme="minorHAnsi" w:hAnsiTheme="minorHAnsi" w:cstheme="minorHAnsi"/>
        </w:rPr>
        <w:t>?</w:t>
      </w:r>
    </w:p>
    <w:p w14:paraId="38E28E52" w14:textId="77777777" w:rsidR="00323C37" w:rsidRPr="00780D76" w:rsidRDefault="00323C37" w:rsidP="008B382E">
      <w:pPr>
        <w:pStyle w:val="Heading1"/>
        <w:numPr>
          <w:ilvl w:val="0"/>
          <w:numId w:val="37"/>
        </w:numPr>
        <w:rPr>
          <w:rFonts w:asciiTheme="minorHAnsi" w:hAnsiTheme="minorHAnsi" w:cstheme="minorHAnsi"/>
        </w:rPr>
      </w:pPr>
      <w:r w:rsidRPr="00780D76">
        <w:rPr>
          <w:rFonts w:asciiTheme="minorHAnsi" w:hAnsiTheme="minorHAnsi" w:cstheme="minorHAnsi"/>
        </w:rPr>
        <w:t xml:space="preserve">International interoperability and industry engagement </w:t>
      </w:r>
    </w:p>
    <w:p w14:paraId="667ABB6D" w14:textId="77777777" w:rsidR="00323C37" w:rsidRPr="00780D76" w:rsidRDefault="00323C37" w:rsidP="00323C37">
      <w:pPr>
        <w:pStyle w:val="Heading2"/>
        <w:jc w:val="both"/>
        <w:rPr>
          <w:rFonts w:asciiTheme="minorHAnsi" w:hAnsiTheme="minorHAnsi" w:cstheme="minorHAnsi"/>
        </w:rPr>
      </w:pPr>
      <w:r w:rsidRPr="00780D76">
        <w:rPr>
          <w:rFonts w:asciiTheme="minorHAnsi" w:hAnsiTheme="minorHAnsi" w:cstheme="minorHAnsi"/>
        </w:rPr>
        <w:t>5.1. International legal interoperability</w:t>
      </w:r>
    </w:p>
    <w:p w14:paraId="0D75240F" w14:textId="77777777" w:rsidR="009F4F5B" w:rsidRPr="00780D76" w:rsidRDefault="009F4F5B" w:rsidP="00C86FB6">
      <w:pPr>
        <w:pStyle w:val="Boxheading"/>
        <w:ind w:left="0"/>
        <w:jc w:val="both"/>
        <w:rPr>
          <w:rFonts w:asciiTheme="minorHAnsi" w:hAnsiTheme="minorHAnsi" w:cstheme="minorHAnsi"/>
          <w:b/>
          <w:caps w:val="0"/>
          <w:color w:val="auto"/>
          <w:sz w:val="28"/>
        </w:rPr>
      </w:pPr>
      <w:r w:rsidRPr="00780D76">
        <w:rPr>
          <w:rFonts w:asciiTheme="minorHAnsi" w:hAnsiTheme="minorHAnsi" w:cstheme="minorHAnsi"/>
          <w:b/>
          <w:caps w:val="0"/>
          <w:color w:val="auto"/>
          <w:sz w:val="28"/>
        </w:rPr>
        <w:t>Question 29.</w:t>
      </w:r>
    </w:p>
    <w:p w14:paraId="61F516A8" w14:textId="77777777" w:rsidR="00323C37" w:rsidRPr="00780D76" w:rsidRDefault="009F4F5B" w:rsidP="00C86FB6">
      <w:pPr>
        <w:pStyle w:val="Boxheading"/>
        <w:ind w:left="0"/>
        <w:jc w:val="both"/>
        <w:rPr>
          <w:rFonts w:asciiTheme="minorHAnsi" w:hAnsiTheme="minorHAnsi" w:cstheme="minorHAnsi"/>
          <w:color w:val="auto"/>
        </w:rPr>
      </w:pPr>
      <w:r w:rsidRPr="00780D76">
        <w:rPr>
          <w:rFonts w:asciiTheme="minorHAnsi" w:hAnsiTheme="minorHAnsi" w:cstheme="minorHAnsi"/>
          <w:caps w:val="0"/>
          <w:color w:val="auto"/>
        </w:rPr>
        <w:t>To what extent do you consider that adoption of the MLETR would enable an internationally-interoperable legal framework for electronic transferable records?</w:t>
      </w:r>
    </w:p>
    <w:p w14:paraId="1273289D" w14:textId="77777777" w:rsidR="00323C37" w:rsidRPr="00780D76" w:rsidRDefault="00323C37" w:rsidP="00323C37">
      <w:pPr>
        <w:rPr>
          <w:rFonts w:asciiTheme="minorHAnsi" w:hAnsiTheme="minorHAnsi" w:cstheme="minorHAnsi"/>
          <w:color w:val="auto"/>
          <w:lang w:val="en"/>
        </w:rPr>
      </w:pPr>
    </w:p>
    <w:p w14:paraId="6A646CCF" w14:textId="6C78D596" w:rsidR="00E15393" w:rsidRDefault="00E15393">
      <w:pPr>
        <w:spacing w:before="0" w:after="0" w:line="240" w:lineRule="auto"/>
        <w:rPr>
          <w:rFonts w:asciiTheme="minorHAnsi" w:hAnsiTheme="minorHAnsi" w:cstheme="minorHAnsi"/>
          <w:b/>
          <w:caps/>
          <w:color w:val="auto"/>
          <w:sz w:val="28"/>
        </w:rPr>
      </w:pPr>
    </w:p>
    <w:p w14:paraId="72A6D82C" w14:textId="05BFF36B" w:rsidR="009B6380" w:rsidRDefault="009B6380">
      <w:pPr>
        <w:spacing w:before="0" w:after="0" w:line="240" w:lineRule="auto"/>
        <w:rPr>
          <w:rFonts w:asciiTheme="minorHAnsi" w:hAnsiTheme="minorHAnsi" w:cstheme="minorHAnsi"/>
          <w:b/>
          <w:bCs/>
          <w:color w:val="auto"/>
          <w:sz w:val="28"/>
          <w:szCs w:val="20"/>
          <w:lang w:val="en"/>
        </w:rPr>
      </w:pPr>
    </w:p>
    <w:p w14:paraId="2FEA04D9" w14:textId="3FC8BC6B" w:rsidR="009B6380" w:rsidRDefault="009B6380">
      <w:pPr>
        <w:spacing w:before="0" w:after="0" w:line="240" w:lineRule="auto"/>
        <w:rPr>
          <w:rFonts w:asciiTheme="minorHAnsi" w:hAnsiTheme="minorHAnsi" w:cstheme="minorHAnsi"/>
          <w:b/>
          <w:bCs/>
          <w:color w:val="auto"/>
          <w:sz w:val="28"/>
          <w:szCs w:val="20"/>
          <w:lang w:val="en"/>
        </w:rPr>
      </w:pPr>
    </w:p>
    <w:p w14:paraId="12F12892" w14:textId="48AE1865" w:rsidR="009B6380" w:rsidRDefault="009B6380">
      <w:pPr>
        <w:spacing w:before="0" w:after="0" w:line="240" w:lineRule="auto"/>
        <w:rPr>
          <w:rFonts w:asciiTheme="minorHAnsi" w:hAnsiTheme="minorHAnsi" w:cstheme="minorHAnsi"/>
          <w:b/>
          <w:bCs/>
          <w:color w:val="auto"/>
          <w:sz w:val="28"/>
          <w:szCs w:val="20"/>
          <w:lang w:val="en"/>
        </w:rPr>
      </w:pPr>
    </w:p>
    <w:p w14:paraId="59EAACBD" w14:textId="77777777" w:rsidR="009B6380" w:rsidRDefault="009B6380">
      <w:pPr>
        <w:spacing w:before="0" w:after="0" w:line="240" w:lineRule="auto"/>
        <w:rPr>
          <w:rFonts w:asciiTheme="minorHAnsi" w:hAnsiTheme="minorHAnsi" w:cstheme="minorHAnsi"/>
          <w:b/>
          <w:bCs/>
          <w:color w:val="auto"/>
          <w:sz w:val="28"/>
          <w:szCs w:val="20"/>
          <w:lang w:val="en"/>
        </w:rPr>
      </w:pPr>
    </w:p>
    <w:p w14:paraId="66E9D2FE" w14:textId="1DBCADCE" w:rsidR="009F4F5B" w:rsidRPr="00780D76" w:rsidRDefault="009F4F5B" w:rsidP="00C86FB6">
      <w:pPr>
        <w:pStyle w:val="Boxheading"/>
        <w:spacing w:line="240" w:lineRule="auto"/>
        <w:ind w:left="0"/>
        <w:rPr>
          <w:rFonts w:asciiTheme="minorHAnsi" w:hAnsiTheme="minorHAnsi" w:cstheme="minorHAnsi"/>
          <w:b/>
          <w:caps w:val="0"/>
          <w:color w:val="auto"/>
          <w:sz w:val="28"/>
        </w:rPr>
      </w:pPr>
      <w:r w:rsidRPr="00780D76">
        <w:rPr>
          <w:rFonts w:asciiTheme="minorHAnsi" w:hAnsiTheme="minorHAnsi" w:cstheme="minorHAnsi"/>
          <w:b/>
          <w:caps w:val="0"/>
          <w:color w:val="auto"/>
          <w:sz w:val="28"/>
        </w:rPr>
        <w:lastRenderedPageBreak/>
        <w:t>Question 30.</w:t>
      </w:r>
    </w:p>
    <w:p w14:paraId="335050D0" w14:textId="77777777" w:rsidR="009F4F5B" w:rsidRPr="00780D76" w:rsidRDefault="009F4F5B" w:rsidP="009F4F5B">
      <w:pPr>
        <w:pStyle w:val="Boxheading"/>
        <w:ind w:left="0"/>
        <w:jc w:val="both"/>
        <w:rPr>
          <w:rFonts w:asciiTheme="minorHAnsi" w:hAnsiTheme="minorHAnsi" w:cstheme="minorHAnsi"/>
          <w:caps w:val="0"/>
          <w:color w:val="auto"/>
        </w:rPr>
      </w:pPr>
      <w:r w:rsidRPr="00780D76">
        <w:rPr>
          <w:rFonts w:asciiTheme="minorHAnsi" w:hAnsiTheme="minorHAnsi" w:cstheme="minorHAnsi"/>
          <w:caps w:val="0"/>
          <w:color w:val="auto"/>
        </w:rPr>
        <w:t>Assuming that Australia enacted legislation based on the MLETR: would you consider the legality of electronic transferable records in other international jurisdictions, before you adopted electronic transferable records into your business practices?</w:t>
      </w:r>
    </w:p>
    <w:p w14:paraId="2B38FCAD" w14:textId="77777777" w:rsidR="009F4F5B" w:rsidRPr="00780D76" w:rsidRDefault="009F4F5B" w:rsidP="008B382E">
      <w:pPr>
        <w:pStyle w:val="Boxheading"/>
        <w:numPr>
          <w:ilvl w:val="0"/>
          <w:numId w:val="36"/>
        </w:numPr>
        <w:jc w:val="both"/>
        <w:rPr>
          <w:rFonts w:asciiTheme="minorHAnsi" w:hAnsiTheme="minorHAnsi" w:cstheme="minorHAnsi"/>
          <w:b/>
          <w:color w:val="auto"/>
        </w:rPr>
      </w:pPr>
      <w:r w:rsidRPr="00780D76">
        <w:rPr>
          <w:rFonts w:asciiTheme="minorHAnsi" w:hAnsiTheme="minorHAnsi" w:cstheme="minorHAnsi"/>
          <w:b/>
          <w:caps w:val="0"/>
          <w:color w:val="auto"/>
        </w:rPr>
        <w:t xml:space="preserve">Yes </w:t>
      </w:r>
    </w:p>
    <w:p w14:paraId="44424CC4" w14:textId="77777777" w:rsidR="009F4F5B" w:rsidRPr="00780D76" w:rsidRDefault="009F4F5B" w:rsidP="008B382E">
      <w:pPr>
        <w:pStyle w:val="Boxheading"/>
        <w:numPr>
          <w:ilvl w:val="0"/>
          <w:numId w:val="36"/>
        </w:numPr>
        <w:jc w:val="both"/>
        <w:rPr>
          <w:rFonts w:asciiTheme="minorHAnsi" w:hAnsiTheme="minorHAnsi" w:cstheme="minorHAnsi"/>
          <w:b/>
          <w:color w:val="auto"/>
        </w:rPr>
      </w:pPr>
      <w:r w:rsidRPr="00780D76">
        <w:rPr>
          <w:rFonts w:asciiTheme="minorHAnsi" w:hAnsiTheme="minorHAnsi" w:cstheme="minorHAnsi"/>
          <w:b/>
          <w:caps w:val="0"/>
          <w:color w:val="auto"/>
        </w:rPr>
        <w:t xml:space="preserve">No </w:t>
      </w:r>
    </w:p>
    <w:p w14:paraId="3E87E5D4" w14:textId="77777777" w:rsidR="009F4F5B" w:rsidRPr="00780D76" w:rsidRDefault="009F4F5B" w:rsidP="008B382E">
      <w:pPr>
        <w:pStyle w:val="Boxheading"/>
        <w:numPr>
          <w:ilvl w:val="0"/>
          <w:numId w:val="36"/>
        </w:numPr>
        <w:jc w:val="both"/>
        <w:rPr>
          <w:rFonts w:asciiTheme="minorHAnsi" w:hAnsiTheme="minorHAnsi" w:cstheme="minorHAnsi"/>
          <w:b/>
          <w:color w:val="auto"/>
        </w:rPr>
      </w:pPr>
      <w:r w:rsidRPr="00780D76">
        <w:rPr>
          <w:rFonts w:asciiTheme="minorHAnsi" w:hAnsiTheme="minorHAnsi" w:cstheme="minorHAnsi"/>
          <w:b/>
          <w:caps w:val="0"/>
          <w:color w:val="auto"/>
        </w:rPr>
        <w:t>Unsure</w:t>
      </w:r>
    </w:p>
    <w:p w14:paraId="7E88BBB2" w14:textId="77777777" w:rsidR="00323C37" w:rsidRPr="00780D76" w:rsidRDefault="009F4F5B" w:rsidP="00330C78">
      <w:pPr>
        <w:pStyle w:val="Boxheading"/>
        <w:ind w:left="0"/>
        <w:jc w:val="both"/>
        <w:rPr>
          <w:rFonts w:asciiTheme="minorHAnsi" w:hAnsiTheme="minorHAnsi" w:cstheme="minorHAnsi"/>
        </w:rPr>
      </w:pPr>
      <w:r w:rsidRPr="00780D76">
        <w:rPr>
          <w:rFonts w:asciiTheme="minorHAnsi" w:hAnsiTheme="minorHAnsi" w:cstheme="minorHAnsi"/>
          <w:caps w:val="0"/>
          <w:color w:val="auto"/>
        </w:rPr>
        <w:t>Please explain your answer, including (if applicable) the extent to which articles 17 and 18 would be sufficient for you to navigate between electronic and paper requirements</w:t>
      </w:r>
      <w:r w:rsidR="00323C37" w:rsidRPr="00780D76">
        <w:rPr>
          <w:rFonts w:asciiTheme="minorHAnsi" w:hAnsiTheme="minorHAnsi" w:cstheme="minorHAnsi"/>
        </w:rPr>
        <w:t>.</w:t>
      </w:r>
    </w:p>
    <w:p w14:paraId="5E959904" w14:textId="77777777" w:rsidR="00323C37" w:rsidRPr="00780D76" w:rsidRDefault="00323C37" w:rsidP="00323C37">
      <w:pPr>
        <w:pStyle w:val="Heading2"/>
        <w:jc w:val="both"/>
        <w:rPr>
          <w:rFonts w:asciiTheme="minorHAnsi" w:hAnsiTheme="minorHAnsi" w:cstheme="minorHAnsi"/>
          <w:lang w:val="en"/>
        </w:rPr>
      </w:pPr>
      <w:r w:rsidRPr="00780D76">
        <w:rPr>
          <w:rFonts w:asciiTheme="minorHAnsi" w:hAnsiTheme="minorHAnsi" w:cstheme="minorHAnsi"/>
        </w:rPr>
        <w:t>5.2. MLETR technology</w:t>
      </w:r>
    </w:p>
    <w:p w14:paraId="2C1C2A50" w14:textId="77777777" w:rsidR="009F4F5B" w:rsidRPr="00780D76" w:rsidRDefault="009F4F5B" w:rsidP="009F4F5B">
      <w:pPr>
        <w:pStyle w:val="Boxheading"/>
        <w:ind w:left="0"/>
        <w:jc w:val="both"/>
        <w:rPr>
          <w:rFonts w:asciiTheme="minorHAnsi" w:hAnsiTheme="minorHAnsi" w:cstheme="minorHAnsi"/>
          <w:b/>
          <w:caps w:val="0"/>
          <w:color w:val="auto"/>
          <w:sz w:val="28"/>
        </w:rPr>
      </w:pPr>
      <w:r w:rsidRPr="00780D76">
        <w:rPr>
          <w:rFonts w:asciiTheme="minorHAnsi" w:hAnsiTheme="minorHAnsi" w:cstheme="minorHAnsi"/>
          <w:b/>
          <w:caps w:val="0"/>
          <w:color w:val="auto"/>
          <w:sz w:val="28"/>
        </w:rPr>
        <w:t>Question 31.</w:t>
      </w:r>
    </w:p>
    <w:p w14:paraId="4F8FFC34" w14:textId="77777777" w:rsidR="009F4F5B" w:rsidRPr="00780D76" w:rsidRDefault="009F4F5B" w:rsidP="009F4F5B">
      <w:pPr>
        <w:pStyle w:val="Boxheading"/>
        <w:ind w:left="0"/>
        <w:jc w:val="both"/>
        <w:rPr>
          <w:rFonts w:asciiTheme="minorHAnsi" w:hAnsiTheme="minorHAnsi" w:cstheme="minorHAnsi"/>
          <w:caps w:val="0"/>
          <w:color w:val="auto"/>
        </w:rPr>
      </w:pPr>
      <w:r w:rsidRPr="00780D76">
        <w:rPr>
          <w:rFonts w:asciiTheme="minorHAnsi" w:hAnsiTheme="minorHAnsi" w:cstheme="minorHAnsi"/>
          <w:caps w:val="0"/>
          <w:color w:val="auto"/>
        </w:rPr>
        <w:t xml:space="preserve">Are you aware of, or have you ever used, an electronic system to issue or transfer a unique electronic document, in a way that maintains exclusive control of that document? </w:t>
      </w:r>
    </w:p>
    <w:p w14:paraId="61CB391F" w14:textId="77777777" w:rsidR="009F4F5B" w:rsidRPr="00780D76" w:rsidRDefault="009F4F5B" w:rsidP="008B382E">
      <w:pPr>
        <w:pStyle w:val="Boxheading"/>
        <w:numPr>
          <w:ilvl w:val="0"/>
          <w:numId w:val="35"/>
        </w:numPr>
        <w:jc w:val="both"/>
        <w:rPr>
          <w:rFonts w:asciiTheme="minorHAnsi" w:hAnsiTheme="minorHAnsi" w:cstheme="minorHAnsi"/>
          <w:b/>
          <w:color w:val="auto"/>
        </w:rPr>
      </w:pPr>
      <w:r w:rsidRPr="00780D76">
        <w:rPr>
          <w:rFonts w:asciiTheme="minorHAnsi" w:hAnsiTheme="minorHAnsi" w:cstheme="minorHAnsi"/>
          <w:b/>
          <w:caps w:val="0"/>
          <w:color w:val="auto"/>
        </w:rPr>
        <w:t xml:space="preserve">Yes </w:t>
      </w:r>
    </w:p>
    <w:p w14:paraId="4C5B391F" w14:textId="77777777" w:rsidR="009F4F5B" w:rsidRPr="00780D76" w:rsidRDefault="009F4F5B" w:rsidP="008B382E">
      <w:pPr>
        <w:pStyle w:val="Boxheading"/>
        <w:numPr>
          <w:ilvl w:val="0"/>
          <w:numId w:val="35"/>
        </w:numPr>
        <w:jc w:val="both"/>
        <w:rPr>
          <w:rFonts w:asciiTheme="minorHAnsi" w:hAnsiTheme="minorHAnsi" w:cstheme="minorHAnsi"/>
          <w:b/>
          <w:color w:val="auto"/>
        </w:rPr>
      </w:pPr>
      <w:r w:rsidRPr="00780D76">
        <w:rPr>
          <w:rFonts w:asciiTheme="minorHAnsi" w:hAnsiTheme="minorHAnsi" w:cstheme="minorHAnsi"/>
          <w:b/>
          <w:caps w:val="0"/>
          <w:color w:val="auto"/>
        </w:rPr>
        <w:t xml:space="preserve">No </w:t>
      </w:r>
    </w:p>
    <w:p w14:paraId="62AB3273" w14:textId="77777777" w:rsidR="00323C37" w:rsidRPr="00780D76" w:rsidRDefault="009F4F5B" w:rsidP="009F4F5B">
      <w:pPr>
        <w:pStyle w:val="Boxheading"/>
        <w:ind w:left="0"/>
        <w:jc w:val="both"/>
        <w:rPr>
          <w:rFonts w:asciiTheme="minorHAnsi" w:hAnsiTheme="minorHAnsi" w:cstheme="minorHAnsi"/>
          <w:color w:val="auto"/>
        </w:rPr>
      </w:pPr>
      <w:r w:rsidRPr="00780D76">
        <w:rPr>
          <w:rFonts w:asciiTheme="minorHAnsi" w:hAnsiTheme="minorHAnsi" w:cstheme="minorHAnsi"/>
          <w:caps w:val="0"/>
          <w:color w:val="auto"/>
        </w:rPr>
        <w:t>If yes, please describe your experiences using the system, broadly how the system tracked exclusive control of the record, and any challenges you experienced or of which you are aware?</w:t>
      </w:r>
    </w:p>
    <w:p w14:paraId="5CBB5DF6" w14:textId="77777777" w:rsidR="00323C37" w:rsidRPr="00780D76" w:rsidRDefault="00323C37" w:rsidP="00323C37">
      <w:pPr>
        <w:rPr>
          <w:rFonts w:asciiTheme="minorHAnsi" w:hAnsiTheme="minorHAnsi" w:cstheme="minorHAnsi"/>
          <w:lang w:val="en"/>
        </w:rPr>
      </w:pPr>
    </w:p>
    <w:p w14:paraId="1B108DB2" w14:textId="77777777" w:rsidR="009F4F5B" w:rsidRPr="00780D76" w:rsidRDefault="009F4F5B" w:rsidP="009F4F5B">
      <w:pPr>
        <w:pStyle w:val="Boxheading"/>
        <w:spacing w:line="240" w:lineRule="auto"/>
        <w:ind w:left="0"/>
        <w:rPr>
          <w:rFonts w:asciiTheme="minorHAnsi" w:hAnsiTheme="minorHAnsi" w:cstheme="minorHAnsi"/>
          <w:b/>
          <w:caps w:val="0"/>
          <w:color w:val="auto"/>
          <w:sz w:val="28"/>
        </w:rPr>
      </w:pPr>
      <w:r w:rsidRPr="00780D76">
        <w:rPr>
          <w:rFonts w:asciiTheme="minorHAnsi" w:hAnsiTheme="minorHAnsi" w:cstheme="minorHAnsi"/>
          <w:b/>
          <w:caps w:val="0"/>
          <w:color w:val="auto"/>
          <w:sz w:val="28"/>
        </w:rPr>
        <w:t>Question 32.</w:t>
      </w:r>
    </w:p>
    <w:p w14:paraId="6518ABA5" w14:textId="77777777" w:rsidR="00323C37" w:rsidRPr="00780D76" w:rsidRDefault="009F4F5B" w:rsidP="009F4F5B">
      <w:pPr>
        <w:pStyle w:val="Boxheading"/>
        <w:ind w:left="0"/>
        <w:jc w:val="both"/>
        <w:rPr>
          <w:rFonts w:asciiTheme="minorHAnsi" w:hAnsiTheme="minorHAnsi" w:cstheme="minorHAnsi"/>
          <w:color w:val="auto"/>
        </w:rPr>
      </w:pPr>
      <w:r w:rsidRPr="00780D76">
        <w:rPr>
          <w:rFonts w:asciiTheme="minorHAnsi" w:hAnsiTheme="minorHAnsi" w:cstheme="minorHAnsi"/>
          <w:caps w:val="0"/>
          <w:color w:val="auto"/>
        </w:rPr>
        <w:t>P</w:t>
      </w:r>
      <w:r w:rsidR="00323C37" w:rsidRPr="00780D76">
        <w:rPr>
          <w:rFonts w:asciiTheme="minorHAnsi" w:hAnsiTheme="minorHAnsi" w:cstheme="minorHAnsi"/>
          <w:caps w:val="0"/>
          <w:color w:val="auto"/>
        </w:rPr>
        <w:t xml:space="preserve">lease share any views on how the government can encourage interoperability between different technologies, and use of common data standards, under a </w:t>
      </w:r>
      <w:r w:rsidRPr="00780D76">
        <w:rPr>
          <w:rFonts w:asciiTheme="minorHAnsi" w:hAnsiTheme="minorHAnsi" w:cstheme="minorHAnsi"/>
          <w:caps w:val="0"/>
          <w:color w:val="auto"/>
        </w:rPr>
        <w:t>MLETR</w:t>
      </w:r>
      <w:r w:rsidR="00323C37" w:rsidRPr="00780D76">
        <w:rPr>
          <w:rFonts w:asciiTheme="minorHAnsi" w:hAnsiTheme="minorHAnsi" w:cstheme="minorHAnsi"/>
          <w:caps w:val="0"/>
          <w:color w:val="auto"/>
        </w:rPr>
        <w:t>-aligned legal framework?</w:t>
      </w:r>
    </w:p>
    <w:p w14:paraId="7E7DCBCE" w14:textId="77777777" w:rsidR="00323C37" w:rsidRPr="00780D76" w:rsidRDefault="00323C37" w:rsidP="00323C37">
      <w:pPr>
        <w:rPr>
          <w:rFonts w:asciiTheme="minorHAnsi" w:hAnsiTheme="minorHAnsi" w:cstheme="minorHAnsi"/>
          <w:color w:val="auto"/>
          <w:lang w:val="en"/>
        </w:rPr>
      </w:pPr>
    </w:p>
    <w:p w14:paraId="3B008922" w14:textId="77777777" w:rsidR="009F4F5B" w:rsidRPr="00780D76" w:rsidRDefault="009F4F5B" w:rsidP="009F4F5B">
      <w:pPr>
        <w:pStyle w:val="Boxheading"/>
        <w:spacing w:line="240" w:lineRule="auto"/>
        <w:ind w:left="0"/>
        <w:jc w:val="both"/>
        <w:rPr>
          <w:rFonts w:asciiTheme="minorHAnsi" w:hAnsiTheme="minorHAnsi" w:cstheme="minorHAnsi"/>
          <w:b/>
          <w:caps w:val="0"/>
          <w:color w:val="auto"/>
          <w:sz w:val="28"/>
        </w:rPr>
      </w:pPr>
      <w:r w:rsidRPr="00780D76">
        <w:rPr>
          <w:rFonts w:asciiTheme="minorHAnsi" w:hAnsiTheme="minorHAnsi" w:cstheme="minorHAnsi"/>
          <w:b/>
          <w:caps w:val="0"/>
          <w:color w:val="auto"/>
          <w:sz w:val="28"/>
        </w:rPr>
        <w:t>Question 33.</w:t>
      </w:r>
    </w:p>
    <w:p w14:paraId="1E99BB64" w14:textId="77777777" w:rsidR="00323C37" w:rsidRPr="00780D76" w:rsidRDefault="009F4F5B" w:rsidP="009F4F5B">
      <w:pPr>
        <w:pStyle w:val="Boxheading"/>
        <w:ind w:left="0"/>
        <w:jc w:val="both"/>
        <w:rPr>
          <w:rFonts w:asciiTheme="minorHAnsi" w:hAnsiTheme="minorHAnsi" w:cstheme="minorHAnsi"/>
          <w:color w:val="auto"/>
        </w:rPr>
      </w:pPr>
      <w:r w:rsidRPr="00780D76">
        <w:rPr>
          <w:rFonts w:asciiTheme="minorHAnsi" w:hAnsiTheme="minorHAnsi" w:cstheme="minorHAnsi"/>
          <w:caps w:val="0"/>
          <w:color w:val="auto"/>
        </w:rPr>
        <w:t>W</w:t>
      </w:r>
      <w:r w:rsidR="00323C37" w:rsidRPr="00780D76">
        <w:rPr>
          <w:rFonts w:asciiTheme="minorHAnsi" w:hAnsiTheme="minorHAnsi" w:cstheme="minorHAnsi"/>
          <w:caps w:val="0"/>
          <w:color w:val="auto"/>
        </w:rPr>
        <w:t>hat challenges do you expect software vendors may face in developing technology to enable the use and transfer of electronic transferable records in compliance with the</w:t>
      </w:r>
      <w:r w:rsidRPr="00780D76">
        <w:rPr>
          <w:rFonts w:asciiTheme="minorHAnsi" w:hAnsiTheme="minorHAnsi" w:cstheme="minorHAnsi"/>
          <w:caps w:val="0"/>
          <w:color w:val="auto"/>
        </w:rPr>
        <w:t xml:space="preserve"> MLETR</w:t>
      </w:r>
      <w:r w:rsidR="00323C37" w:rsidRPr="00780D76">
        <w:rPr>
          <w:rFonts w:asciiTheme="minorHAnsi" w:hAnsiTheme="minorHAnsi" w:cstheme="minorHAnsi"/>
          <w:caps w:val="0"/>
          <w:color w:val="auto"/>
        </w:rPr>
        <w:t>?</w:t>
      </w:r>
    </w:p>
    <w:p w14:paraId="0AB69D3C" w14:textId="77777777" w:rsidR="00323C37" w:rsidRPr="00780D76" w:rsidRDefault="009F4F5B" w:rsidP="009F4F5B">
      <w:pPr>
        <w:pStyle w:val="Heading2"/>
        <w:rPr>
          <w:rFonts w:asciiTheme="minorHAnsi" w:hAnsiTheme="minorHAnsi" w:cstheme="minorHAnsi"/>
          <w:color w:val="auto"/>
          <w:lang w:val="en"/>
        </w:rPr>
      </w:pPr>
      <w:r w:rsidRPr="00780D76">
        <w:rPr>
          <w:rFonts w:asciiTheme="minorHAnsi" w:hAnsiTheme="minorHAnsi" w:cstheme="minorHAnsi"/>
        </w:rPr>
        <w:lastRenderedPageBreak/>
        <w:t xml:space="preserve">5.3 Industry engagement and support </w:t>
      </w:r>
      <w:r w:rsidR="00323C37" w:rsidRPr="00780D76">
        <w:rPr>
          <w:rFonts w:asciiTheme="minorHAnsi" w:hAnsiTheme="minorHAnsi" w:cstheme="minorHAnsi"/>
        </w:rPr>
        <w:t xml:space="preserve"> </w:t>
      </w:r>
    </w:p>
    <w:p w14:paraId="1ABAB93A" w14:textId="77777777" w:rsidR="00323C37" w:rsidRPr="00780D76" w:rsidRDefault="00323C37" w:rsidP="009F4F5B">
      <w:pPr>
        <w:pStyle w:val="Boxheading"/>
        <w:ind w:left="0"/>
        <w:rPr>
          <w:rFonts w:asciiTheme="minorHAnsi" w:hAnsiTheme="minorHAnsi" w:cstheme="minorHAnsi"/>
          <w:b/>
          <w:caps w:val="0"/>
          <w:color w:val="auto"/>
          <w:sz w:val="28"/>
        </w:rPr>
      </w:pPr>
      <w:r w:rsidRPr="00780D76">
        <w:rPr>
          <w:rFonts w:asciiTheme="minorHAnsi" w:hAnsiTheme="minorHAnsi" w:cstheme="minorHAnsi"/>
          <w:b/>
          <w:caps w:val="0"/>
          <w:color w:val="auto"/>
          <w:sz w:val="28"/>
        </w:rPr>
        <w:t>Question 34.</w:t>
      </w:r>
    </w:p>
    <w:p w14:paraId="0860A2EA" w14:textId="77777777" w:rsidR="00323C37" w:rsidRPr="00780D76" w:rsidRDefault="00323C37" w:rsidP="009F4F5B">
      <w:pPr>
        <w:pStyle w:val="Boxheading"/>
        <w:ind w:left="0"/>
        <w:jc w:val="both"/>
        <w:rPr>
          <w:rFonts w:asciiTheme="minorHAnsi" w:hAnsiTheme="minorHAnsi" w:cstheme="minorHAnsi"/>
          <w:color w:val="auto"/>
        </w:rPr>
      </w:pPr>
      <w:r w:rsidRPr="00780D76">
        <w:rPr>
          <w:rFonts w:asciiTheme="minorHAnsi" w:hAnsiTheme="minorHAnsi" w:cstheme="minorHAnsi"/>
          <w:caps w:val="0"/>
          <w:color w:val="auto"/>
        </w:rPr>
        <w:t>How else</w:t>
      </w:r>
      <w:r w:rsidRPr="00780D76">
        <w:rPr>
          <w:rFonts w:asciiTheme="minorHAnsi" w:hAnsiTheme="minorHAnsi" w:cstheme="minorHAnsi"/>
          <w:color w:val="auto"/>
        </w:rPr>
        <w:t xml:space="preserve"> </w:t>
      </w:r>
      <w:r w:rsidRPr="00780D76">
        <w:rPr>
          <w:rFonts w:asciiTheme="minorHAnsi" w:hAnsiTheme="minorHAnsi" w:cstheme="minorHAnsi"/>
          <w:caps w:val="0"/>
          <w:color w:val="auto"/>
        </w:rPr>
        <w:t xml:space="preserve">can the </w:t>
      </w:r>
      <w:r w:rsidR="009F4F5B" w:rsidRPr="00780D76">
        <w:rPr>
          <w:rFonts w:asciiTheme="minorHAnsi" w:hAnsiTheme="minorHAnsi" w:cstheme="minorHAnsi"/>
          <w:caps w:val="0"/>
          <w:color w:val="auto"/>
        </w:rPr>
        <w:t>Australian</w:t>
      </w:r>
      <w:r w:rsidRPr="00780D76">
        <w:rPr>
          <w:rFonts w:asciiTheme="minorHAnsi" w:hAnsiTheme="minorHAnsi" w:cstheme="minorHAnsi"/>
          <w:caps w:val="0"/>
          <w:color w:val="auto"/>
        </w:rPr>
        <w:t xml:space="preserve"> government involve industry, and encourage industry readiness, to promote industry confidence in the usability of electronic transferable records</w:t>
      </w:r>
      <w:r w:rsidR="009F4F5B" w:rsidRPr="00780D76">
        <w:rPr>
          <w:rFonts w:asciiTheme="minorHAnsi" w:hAnsiTheme="minorHAnsi" w:cstheme="minorHAnsi"/>
          <w:caps w:val="0"/>
          <w:color w:val="auto"/>
        </w:rPr>
        <w:t>?</w:t>
      </w:r>
    </w:p>
    <w:p w14:paraId="7E56B15D" w14:textId="77777777" w:rsidR="00323C37" w:rsidRPr="00780D76" w:rsidRDefault="00323C37" w:rsidP="00323C37">
      <w:pPr>
        <w:spacing w:line="240" w:lineRule="auto"/>
        <w:rPr>
          <w:rFonts w:asciiTheme="minorHAnsi" w:hAnsiTheme="minorHAnsi" w:cstheme="minorHAnsi"/>
          <w:color w:val="auto"/>
          <w:lang w:val="en"/>
        </w:rPr>
      </w:pPr>
    </w:p>
    <w:p w14:paraId="5EDF2C21" w14:textId="77777777" w:rsidR="009F4F5B" w:rsidRPr="00780D76" w:rsidRDefault="009F4F5B" w:rsidP="00330C78">
      <w:pPr>
        <w:pStyle w:val="Boxheading"/>
        <w:ind w:left="0"/>
        <w:rPr>
          <w:rFonts w:asciiTheme="minorHAnsi" w:hAnsiTheme="minorHAnsi" w:cstheme="minorHAnsi"/>
          <w:b/>
          <w:caps w:val="0"/>
          <w:color w:val="auto"/>
          <w:sz w:val="28"/>
        </w:rPr>
      </w:pPr>
      <w:r w:rsidRPr="00780D76">
        <w:rPr>
          <w:rFonts w:asciiTheme="minorHAnsi" w:hAnsiTheme="minorHAnsi" w:cstheme="minorHAnsi"/>
          <w:b/>
          <w:caps w:val="0"/>
          <w:color w:val="auto"/>
          <w:sz w:val="28"/>
        </w:rPr>
        <w:t>Question 35.</w:t>
      </w:r>
    </w:p>
    <w:p w14:paraId="32ACC4D5" w14:textId="77777777" w:rsidR="00323C37" w:rsidRPr="00780D76" w:rsidRDefault="009F4F5B" w:rsidP="00330C78">
      <w:pPr>
        <w:pStyle w:val="Boxheading"/>
        <w:ind w:left="0"/>
        <w:jc w:val="both"/>
        <w:rPr>
          <w:rFonts w:asciiTheme="minorHAnsi" w:hAnsiTheme="minorHAnsi" w:cstheme="minorHAnsi"/>
          <w:color w:val="auto"/>
        </w:rPr>
      </w:pPr>
      <w:r w:rsidRPr="00780D76">
        <w:rPr>
          <w:rFonts w:asciiTheme="minorHAnsi" w:hAnsiTheme="minorHAnsi" w:cstheme="minorHAnsi"/>
          <w:caps w:val="0"/>
          <w:color w:val="auto"/>
        </w:rPr>
        <w:t>Fi</w:t>
      </w:r>
      <w:r w:rsidR="00323C37" w:rsidRPr="00780D76">
        <w:rPr>
          <w:rFonts w:asciiTheme="minorHAnsi" w:hAnsiTheme="minorHAnsi" w:cstheme="minorHAnsi"/>
          <w:caps w:val="0"/>
          <w:color w:val="auto"/>
        </w:rPr>
        <w:t xml:space="preserve">nally, we would welcome any further comments or considerations which you consider may be relevant to our consideration of options to implement the </w:t>
      </w:r>
      <w:r w:rsidRPr="00780D76">
        <w:rPr>
          <w:rFonts w:asciiTheme="minorHAnsi" w:hAnsiTheme="minorHAnsi" w:cstheme="minorHAnsi"/>
          <w:caps w:val="0"/>
          <w:color w:val="auto"/>
        </w:rPr>
        <w:t xml:space="preserve">MLETR </w:t>
      </w:r>
      <w:r w:rsidR="00323C37" w:rsidRPr="00780D76">
        <w:rPr>
          <w:rFonts w:asciiTheme="minorHAnsi" w:hAnsiTheme="minorHAnsi" w:cstheme="minorHAnsi"/>
          <w:caps w:val="0"/>
          <w:color w:val="auto"/>
        </w:rPr>
        <w:t xml:space="preserve">in </w:t>
      </w:r>
      <w:r w:rsidRPr="00780D76">
        <w:rPr>
          <w:rFonts w:asciiTheme="minorHAnsi" w:hAnsiTheme="minorHAnsi" w:cstheme="minorHAnsi"/>
          <w:caps w:val="0"/>
          <w:color w:val="auto"/>
        </w:rPr>
        <w:t>Australia.</w:t>
      </w:r>
    </w:p>
    <w:sectPr w:rsidR="00323C37" w:rsidRPr="00780D76" w:rsidSect="00144642">
      <w:headerReference w:type="default" r:id="rId22"/>
      <w:footerReference w:type="default" r:id="rId23"/>
      <w:pgSz w:w="11906" w:h="16838" w:code="9"/>
      <w:pgMar w:top="1701" w:right="1418" w:bottom="1134" w:left="1418" w:header="709" w:footer="818" w:gutter="0"/>
      <w:pgNumType w:fmt="lowerRoman"/>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511D1F" w14:textId="77777777" w:rsidR="00150CD2" w:rsidRDefault="00150CD2" w:rsidP="00346C4A">
      <w:r>
        <w:separator/>
      </w:r>
    </w:p>
    <w:p w14:paraId="47D6FE49" w14:textId="77777777" w:rsidR="00150CD2" w:rsidRDefault="00150CD2" w:rsidP="00346C4A"/>
  </w:endnote>
  <w:endnote w:type="continuationSeparator" w:id="0">
    <w:p w14:paraId="1E02EB9D" w14:textId="77777777" w:rsidR="00150CD2" w:rsidRDefault="00150CD2" w:rsidP="00346C4A">
      <w:r>
        <w:continuationSeparator/>
      </w:r>
    </w:p>
    <w:p w14:paraId="7115A98B" w14:textId="77777777" w:rsidR="00150CD2" w:rsidRDefault="00150CD2" w:rsidP="00346C4A"/>
  </w:endnote>
  <w:endnote w:type="continuationNotice" w:id="1">
    <w:p w14:paraId="58B95054" w14:textId="77777777" w:rsidR="00150CD2" w:rsidRDefault="00150CD2" w:rsidP="00346C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INOT-Bold">
    <w:altName w:val="Calibri"/>
    <w:panose1 w:val="00000000000000000000"/>
    <w:charset w:val="00"/>
    <w:family w:val="swiss"/>
    <w:notTrueType/>
    <w:pitch w:val="variable"/>
    <w:sig w:usb0="800000AF" w:usb1="4000207B" w:usb2="00000000" w:usb3="00000000" w:csb0="00000001" w:csb1="00000000"/>
  </w:font>
  <w:font w:name="DINOT-Light">
    <w:altName w:val="Calibri"/>
    <w:panose1 w:val="00000000000000000000"/>
    <w:charset w:val="00"/>
    <w:family w:val="swiss"/>
    <w:notTrueType/>
    <w:pitch w:val="variable"/>
    <w:sig w:usb0="800000AF" w:usb1="4000207B" w:usb2="00000000" w:usb3="00000000" w:csb0="00000001" w:csb1="00000000"/>
  </w:font>
  <w:font w:name="Cambria">
    <w:panose1 w:val="02040503050406030204"/>
    <w:charset w:val="00"/>
    <w:family w:val="roman"/>
    <w:pitch w:val="variable"/>
    <w:sig w:usb0="E00006FF" w:usb1="420024FF" w:usb2="02000000" w:usb3="00000000" w:csb0="0000019F" w:csb1="00000000"/>
  </w:font>
  <w:font w:name="DINOT">
    <w:panose1 w:val="00000000000000000000"/>
    <w:charset w:val="00"/>
    <w:family w:val="swiss"/>
    <w:notTrueType/>
    <w:pitch w:val="variable"/>
    <w:sig w:usb0="800000AF" w:usb1="400020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2D8A0" w14:textId="77777777" w:rsidR="00610159" w:rsidRDefault="00610159" w:rsidP="004918B7">
    <w:pPr>
      <w:pStyle w:val="Footer"/>
      <w:pBdr>
        <w:top w:val="single" w:sz="8" w:space="0" w:color="30513C"/>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BB841" w14:textId="77777777" w:rsidR="00610159" w:rsidRDefault="00610159" w:rsidP="004918B7">
    <w:pPr>
      <w:pStyle w:val="Footer"/>
      <w:pBdr>
        <w:top w:val="single" w:sz="8" w:space="0" w:color="30513C"/>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6D9DD" w14:textId="77777777" w:rsidR="00610159" w:rsidRDefault="00610159" w:rsidP="00A40FC7">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F8F7FA" w14:textId="77777777" w:rsidR="00150CD2" w:rsidRDefault="00150CD2" w:rsidP="00346C4A">
      <w:r>
        <w:separator/>
      </w:r>
    </w:p>
    <w:p w14:paraId="254E17A6" w14:textId="77777777" w:rsidR="00150CD2" w:rsidRDefault="00150CD2" w:rsidP="00346C4A"/>
  </w:footnote>
  <w:footnote w:type="continuationSeparator" w:id="0">
    <w:p w14:paraId="2AD387F2" w14:textId="77777777" w:rsidR="00150CD2" w:rsidRDefault="00150CD2" w:rsidP="00346C4A">
      <w:r>
        <w:continuationSeparator/>
      </w:r>
    </w:p>
    <w:p w14:paraId="1013083D" w14:textId="77777777" w:rsidR="00150CD2" w:rsidRDefault="00150CD2" w:rsidP="00346C4A"/>
  </w:footnote>
  <w:footnote w:type="continuationNotice" w:id="1">
    <w:p w14:paraId="539584DC" w14:textId="77777777" w:rsidR="00150CD2" w:rsidRDefault="00150CD2" w:rsidP="00346C4A"/>
  </w:footnote>
  <w:footnote w:id="2">
    <w:p w14:paraId="6226E931" w14:textId="77777777" w:rsidR="00610159" w:rsidRPr="00711226" w:rsidRDefault="00610159" w:rsidP="00040EE5">
      <w:pPr>
        <w:pStyle w:val="FootnoteText"/>
        <w:jc w:val="both"/>
        <w:rPr>
          <w:rFonts w:asciiTheme="minorHAnsi" w:hAnsiTheme="minorHAnsi" w:cstheme="minorHAnsi"/>
          <w:sz w:val="18"/>
          <w:szCs w:val="18"/>
        </w:rPr>
      </w:pPr>
      <w:r w:rsidRPr="00711226">
        <w:rPr>
          <w:rStyle w:val="FootnoteReference"/>
          <w:rFonts w:asciiTheme="minorHAnsi" w:hAnsiTheme="minorHAnsi" w:cstheme="minorHAnsi"/>
          <w:sz w:val="18"/>
        </w:rPr>
        <w:footnoteRef/>
      </w:r>
      <w:r w:rsidRPr="00711226">
        <w:rPr>
          <w:rFonts w:asciiTheme="minorHAnsi" w:hAnsiTheme="minorHAnsi" w:cstheme="minorHAnsi"/>
          <w:sz w:val="18"/>
        </w:rPr>
        <w:t xml:space="preserve"> For more information about the whole-of-government STS reforms, please visit the </w:t>
      </w:r>
      <w:hyperlink r:id="rId1" w:history="1">
        <w:r w:rsidRPr="00BE35EF">
          <w:rPr>
            <w:rStyle w:val="Hyperlink"/>
            <w:rFonts w:asciiTheme="minorHAnsi" w:hAnsiTheme="minorHAnsi" w:cstheme="minorHAnsi"/>
            <w:b/>
            <w:color w:val="0000FF"/>
            <w:sz w:val="18"/>
            <w:szCs w:val="18"/>
          </w:rPr>
          <w:t>STS Webpage</w:t>
        </w:r>
      </w:hyperlink>
      <w:r w:rsidRPr="00BE35EF">
        <w:rPr>
          <w:rStyle w:val="Hyperlink"/>
          <w:rFonts w:asciiTheme="minorHAnsi" w:hAnsiTheme="minorHAnsi" w:cstheme="minorHAnsi"/>
          <w:b/>
          <w:color w:val="0000FF"/>
          <w:sz w:val="18"/>
          <w:szCs w:val="18"/>
        </w:rPr>
        <w:t>.</w:t>
      </w:r>
    </w:p>
  </w:footnote>
  <w:footnote w:id="3">
    <w:p w14:paraId="09CCE6C1" w14:textId="77777777" w:rsidR="00610159" w:rsidRPr="00711226" w:rsidRDefault="00610159" w:rsidP="00711226">
      <w:pPr>
        <w:pStyle w:val="FootnoteText"/>
        <w:ind w:left="142" w:hanging="142"/>
        <w:jc w:val="both"/>
        <w:rPr>
          <w:rFonts w:asciiTheme="minorHAnsi" w:hAnsiTheme="minorHAnsi" w:cstheme="minorHAnsi"/>
          <w:sz w:val="18"/>
          <w:szCs w:val="18"/>
        </w:rPr>
      </w:pPr>
      <w:r w:rsidRPr="00711226">
        <w:rPr>
          <w:rStyle w:val="FootnoteReference"/>
          <w:rFonts w:asciiTheme="minorHAnsi" w:hAnsiTheme="minorHAnsi" w:cstheme="minorHAnsi"/>
          <w:sz w:val="18"/>
          <w:szCs w:val="18"/>
        </w:rPr>
        <w:footnoteRef/>
      </w:r>
      <w:r w:rsidRPr="00711226">
        <w:rPr>
          <w:rFonts w:asciiTheme="minorHAnsi" w:hAnsiTheme="minorHAnsi" w:cstheme="minorHAnsi"/>
          <w:sz w:val="18"/>
          <w:szCs w:val="18"/>
        </w:rPr>
        <w:t xml:space="preserve"> MLETR, article 2. The ‘obligation’ may generally refer to claim the delivery of goods or the payment of a sum of money: see </w:t>
      </w:r>
      <w:hyperlink r:id="rId2" w:history="1">
        <w:r w:rsidRPr="00BE35EF">
          <w:rPr>
            <w:rStyle w:val="Hyperlink"/>
            <w:rFonts w:asciiTheme="minorHAnsi" w:hAnsiTheme="minorHAnsi" w:cstheme="minorHAnsi"/>
            <w:b/>
            <w:color w:val="0000FF"/>
            <w:sz w:val="18"/>
            <w:szCs w:val="18"/>
          </w:rPr>
          <w:t>Explanatory Note to the UNCITRAL Model Law on Electronic Transferable Records</w:t>
        </w:r>
      </w:hyperlink>
      <w:r w:rsidRPr="00BE35EF">
        <w:rPr>
          <w:rFonts w:asciiTheme="minorHAnsi" w:hAnsiTheme="minorHAnsi" w:cstheme="minorHAnsi"/>
          <w:color w:val="0000FF"/>
          <w:sz w:val="18"/>
          <w:szCs w:val="18"/>
        </w:rPr>
        <w:t xml:space="preserve"> </w:t>
      </w:r>
      <w:r w:rsidRPr="00711226">
        <w:rPr>
          <w:rFonts w:asciiTheme="minorHAnsi" w:hAnsiTheme="minorHAnsi" w:cstheme="minorHAnsi"/>
          <w:b/>
          <w:sz w:val="18"/>
          <w:szCs w:val="18"/>
        </w:rPr>
        <w:t>(MTETR explanatory note)</w:t>
      </w:r>
      <w:r w:rsidRPr="00711226">
        <w:rPr>
          <w:rFonts w:asciiTheme="minorHAnsi" w:hAnsiTheme="minorHAnsi" w:cstheme="minorHAnsi"/>
          <w:sz w:val="18"/>
          <w:szCs w:val="18"/>
        </w:rPr>
        <w:t>, paragraph [6].</w:t>
      </w:r>
    </w:p>
  </w:footnote>
  <w:footnote w:id="4">
    <w:p w14:paraId="14BD2773" w14:textId="77777777" w:rsidR="00610159" w:rsidRDefault="00610159" w:rsidP="00040EE5">
      <w:pPr>
        <w:pStyle w:val="FootnoteText"/>
        <w:jc w:val="both"/>
      </w:pPr>
      <w:r w:rsidRPr="00711226">
        <w:rPr>
          <w:rStyle w:val="FootnoteReference"/>
          <w:rFonts w:asciiTheme="minorHAnsi" w:hAnsiTheme="minorHAnsi" w:cstheme="minorHAnsi"/>
          <w:sz w:val="18"/>
          <w:szCs w:val="18"/>
        </w:rPr>
        <w:footnoteRef/>
      </w:r>
      <w:r w:rsidRPr="00711226">
        <w:rPr>
          <w:rFonts w:asciiTheme="minorHAnsi" w:hAnsiTheme="minorHAnsi" w:cstheme="minorHAnsi"/>
          <w:sz w:val="18"/>
          <w:szCs w:val="18"/>
        </w:rPr>
        <w:t xml:space="preserve"> MTETR explanatory note, paragraph [38].</w:t>
      </w:r>
    </w:p>
  </w:footnote>
  <w:footnote w:id="5">
    <w:p w14:paraId="379F1622" w14:textId="77777777" w:rsidR="00610159" w:rsidRDefault="00610159" w:rsidP="00040EE5">
      <w:pPr>
        <w:pStyle w:val="FootnoteText"/>
        <w:jc w:val="both"/>
        <w:rPr>
          <w:rFonts w:asciiTheme="minorHAnsi" w:hAnsiTheme="minorHAnsi" w:cstheme="minorHAnsi"/>
          <w:sz w:val="18"/>
        </w:rPr>
      </w:pPr>
      <w:r>
        <w:rPr>
          <w:rStyle w:val="FootnoteReference"/>
          <w:rFonts w:asciiTheme="minorHAnsi" w:hAnsiTheme="minorHAnsi" w:cstheme="minorHAnsi"/>
          <w:sz w:val="18"/>
        </w:rPr>
        <w:footnoteRef/>
      </w:r>
      <w:r>
        <w:rPr>
          <w:rFonts w:asciiTheme="minorHAnsi" w:hAnsiTheme="minorHAnsi" w:cstheme="minorHAnsi"/>
          <w:sz w:val="18"/>
        </w:rPr>
        <w:t xml:space="preserve"> Digitalising Trade: The Role of Paperless Platforms, APEC Policy Support Unit Policy Brief No. 59, March 2024, page 2.</w:t>
      </w:r>
    </w:p>
  </w:footnote>
  <w:footnote w:id="6">
    <w:p w14:paraId="6D20E865" w14:textId="77777777" w:rsidR="00610159" w:rsidRDefault="00610159" w:rsidP="00780D76">
      <w:pPr>
        <w:pStyle w:val="FootnoteText"/>
        <w:ind w:left="142" w:hanging="142"/>
        <w:jc w:val="both"/>
      </w:pPr>
      <w:r>
        <w:rPr>
          <w:rStyle w:val="FootnoteReference"/>
          <w:rFonts w:asciiTheme="minorHAnsi" w:hAnsiTheme="minorHAnsi" w:cstheme="minorHAnsi"/>
          <w:sz w:val="18"/>
        </w:rPr>
        <w:footnoteRef/>
      </w:r>
      <w:r>
        <w:rPr>
          <w:rFonts w:asciiTheme="minorHAnsi" w:hAnsiTheme="minorHAnsi" w:cstheme="minorHAnsi"/>
          <w:sz w:val="18"/>
        </w:rPr>
        <w:t xml:space="preserve"> </w:t>
      </w:r>
      <w:r w:rsidRPr="00DA1531">
        <w:rPr>
          <w:rFonts w:asciiTheme="minorHAnsi" w:hAnsiTheme="minorHAnsi" w:cstheme="minorHAnsi"/>
          <w:sz w:val="18"/>
        </w:rPr>
        <w:t xml:space="preserve">See </w:t>
      </w:r>
      <w:r w:rsidRPr="00DA1531">
        <w:rPr>
          <w:rFonts w:asciiTheme="minorHAnsi" w:hAnsiTheme="minorHAnsi" w:cstheme="minorHAnsi"/>
          <w:b/>
          <w:color w:val="0000FF"/>
          <w:sz w:val="18"/>
          <w:u w:val="single"/>
        </w:rPr>
        <w:t xml:space="preserve">Part </w:t>
      </w:r>
      <w:r w:rsidRPr="00DA1531">
        <w:rPr>
          <w:rFonts w:asciiTheme="minorHAnsi" w:hAnsiTheme="minorHAnsi" w:cstheme="minorHAnsi"/>
          <w:b/>
          <w:color w:val="0000FF"/>
          <w:sz w:val="18"/>
          <w:u w:val="single"/>
        </w:rPr>
        <w:fldChar w:fldCharType="begin"/>
      </w:r>
      <w:r w:rsidRPr="00DA1531">
        <w:rPr>
          <w:rFonts w:asciiTheme="minorHAnsi" w:hAnsiTheme="minorHAnsi" w:cstheme="minorHAnsi"/>
          <w:b/>
          <w:color w:val="0000FF"/>
          <w:sz w:val="18"/>
          <w:u w:val="single"/>
        </w:rPr>
        <w:instrText xml:space="preserve"> REF _Ref176437518 \r \h </w:instrText>
      </w:r>
      <w:r>
        <w:rPr>
          <w:rFonts w:asciiTheme="minorHAnsi" w:hAnsiTheme="minorHAnsi" w:cstheme="minorHAnsi"/>
          <w:b/>
          <w:color w:val="0000FF"/>
          <w:sz w:val="18"/>
          <w:u w:val="single"/>
        </w:rPr>
        <w:instrText xml:space="preserve"> \* MERGEFORMAT </w:instrText>
      </w:r>
      <w:r w:rsidRPr="00DA1531">
        <w:rPr>
          <w:rFonts w:asciiTheme="minorHAnsi" w:hAnsiTheme="minorHAnsi" w:cstheme="minorHAnsi"/>
          <w:b/>
          <w:color w:val="0000FF"/>
          <w:sz w:val="18"/>
          <w:u w:val="single"/>
        </w:rPr>
      </w:r>
      <w:r w:rsidRPr="00DA1531">
        <w:rPr>
          <w:rFonts w:asciiTheme="minorHAnsi" w:hAnsiTheme="minorHAnsi" w:cstheme="minorHAnsi"/>
          <w:b/>
          <w:color w:val="0000FF"/>
          <w:sz w:val="18"/>
          <w:u w:val="single"/>
        </w:rPr>
        <w:fldChar w:fldCharType="separate"/>
      </w:r>
      <w:r w:rsidRPr="00DA1531">
        <w:rPr>
          <w:rFonts w:asciiTheme="minorHAnsi" w:hAnsiTheme="minorHAnsi" w:cstheme="minorHAnsi"/>
          <w:b/>
          <w:color w:val="0000FF"/>
          <w:sz w:val="18"/>
          <w:u w:val="single"/>
        </w:rPr>
        <w:t>5.1</w:t>
      </w:r>
      <w:r w:rsidRPr="00DA1531">
        <w:rPr>
          <w:rFonts w:asciiTheme="minorHAnsi" w:hAnsiTheme="minorHAnsi" w:cstheme="minorHAnsi"/>
          <w:b/>
          <w:color w:val="0000FF"/>
          <w:sz w:val="18"/>
          <w:u w:val="single"/>
        </w:rPr>
        <w:fldChar w:fldCharType="end"/>
      </w:r>
      <w:r w:rsidRPr="00BE35EF">
        <w:rPr>
          <w:rFonts w:asciiTheme="minorHAnsi" w:hAnsiTheme="minorHAnsi" w:cstheme="minorHAnsi"/>
          <w:color w:val="0070C0"/>
          <w:sz w:val="18"/>
        </w:rPr>
        <w:t xml:space="preserve"> </w:t>
      </w:r>
      <w:r>
        <w:rPr>
          <w:rFonts w:asciiTheme="minorHAnsi" w:hAnsiTheme="minorHAnsi" w:cstheme="minorHAnsi"/>
          <w:sz w:val="18"/>
        </w:rPr>
        <w:t>of this paper for a discussion on interoperability, and Australia’s international engagement in relation to the MLETR.</w:t>
      </w:r>
    </w:p>
  </w:footnote>
  <w:footnote w:id="7">
    <w:p w14:paraId="228066ED" w14:textId="70E73677" w:rsidR="00610159" w:rsidRDefault="00610159" w:rsidP="00040EE5">
      <w:pPr>
        <w:pStyle w:val="FootnoteText"/>
        <w:jc w:val="both"/>
        <w:rPr>
          <w:rFonts w:asciiTheme="minorHAnsi" w:hAnsiTheme="minorHAnsi" w:cstheme="minorHAnsi"/>
        </w:rPr>
      </w:pPr>
      <w:r>
        <w:rPr>
          <w:rStyle w:val="FootnoteReference"/>
          <w:rFonts w:asciiTheme="minorHAnsi" w:hAnsiTheme="minorHAnsi" w:cstheme="minorHAnsi"/>
          <w:sz w:val="18"/>
        </w:rPr>
        <w:footnoteRef/>
      </w:r>
      <w:r>
        <w:rPr>
          <w:rFonts w:asciiTheme="minorHAnsi" w:hAnsiTheme="minorHAnsi" w:cstheme="minorHAnsi"/>
          <w:sz w:val="18"/>
        </w:rPr>
        <w:t xml:space="preserve"> Based on the MLETR definition of </w:t>
      </w:r>
      <w:r>
        <w:rPr>
          <w:rFonts w:asciiTheme="minorHAnsi" w:hAnsiTheme="minorHAnsi" w:cstheme="minorHAnsi"/>
          <w:i/>
          <w:sz w:val="18"/>
        </w:rPr>
        <w:t>‘transferable document or instrument’</w:t>
      </w:r>
      <w:r>
        <w:rPr>
          <w:rFonts w:asciiTheme="minorHAnsi" w:hAnsiTheme="minorHAnsi" w:cstheme="minorHAnsi"/>
          <w:sz w:val="18"/>
        </w:rPr>
        <w:t>: MLETR, article 2.</w:t>
      </w:r>
    </w:p>
  </w:footnote>
  <w:footnote w:id="8">
    <w:p w14:paraId="32F94BDE" w14:textId="77777777" w:rsidR="00610159" w:rsidRDefault="00610159" w:rsidP="00040EE5">
      <w:pPr>
        <w:pStyle w:val="FootnoteText"/>
        <w:jc w:val="both"/>
        <w:rPr>
          <w:rFonts w:asciiTheme="minorHAnsi" w:hAnsiTheme="minorHAnsi" w:cstheme="minorHAnsi"/>
          <w:sz w:val="18"/>
        </w:rPr>
      </w:pPr>
      <w:r>
        <w:rPr>
          <w:rStyle w:val="FootnoteReference"/>
          <w:rFonts w:asciiTheme="minorHAnsi" w:hAnsiTheme="minorHAnsi" w:cstheme="minorHAnsi"/>
          <w:sz w:val="18"/>
        </w:rPr>
        <w:footnoteRef/>
      </w:r>
      <w:r>
        <w:rPr>
          <w:rFonts w:asciiTheme="minorHAnsi" w:hAnsiTheme="minorHAnsi" w:cstheme="minorHAnsi"/>
          <w:sz w:val="18"/>
        </w:rPr>
        <w:t xml:space="preserve"> Examples (a)-(h) are listed as indicative transferable records in the MLETR explanatory note, paragraph [38].</w:t>
      </w:r>
    </w:p>
  </w:footnote>
  <w:footnote w:id="9">
    <w:p w14:paraId="20E05F37" w14:textId="7AFDC3E6" w:rsidR="00610159" w:rsidRPr="00DA1531" w:rsidRDefault="00610159" w:rsidP="00780D76">
      <w:pPr>
        <w:pStyle w:val="FootnoteText"/>
        <w:ind w:left="142" w:hanging="142"/>
        <w:jc w:val="both"/>
        <w:rPr>
          <w:rFonts w:asciiTheme="minorHAnsi" w:hAnsiTheme="minorHAnsi" w:cstheme="minorHAnsi"/>
          <w:sz w:val="18"/>
        </w:rPr>
      </w:pPr>
      <w:r>
        <w:rPr>
          <w:rStyle w:val="FootnoteReference"/>
          <w:rFonts w:asciiTheme="minorHAnsi" w:hAnsiTheme="minorHAnsi" w:cstheme="minorHAnsi"/>
          <w:sz w:val="18"/>
        </w:rPr>
        <w:footnoteRef/>
      </w:r>
      <w:r>
        <w:rPr>
          <w:rFonts w:asciiTheme="minorHAnsi" w:hAnsiTheme="minorHAnsi" w:cstheme="minorHAnsi"/>
          <w:sz w:val="18"/>
        </w:rPr>
        <w:t xml:space="preserve"> Example (i) is described as document which might be transferable, depending on the laws of the relevant country. Along with investment instruments and investment securities (like shares and bonds) these documents are provisionally excluded from the MLETR’s application. See </w:t>
      </w:r>
      <w:r w:rsidRPr="00DA1531">
        <w:rPr>
          <w:rFonts w:asciiTheme="minorHAnsi" w:hAnsiTheme="minorHAnsi" w:cstheme="minorHAnsi"/>
          <w:b/>
          <w:color w:val="0000FF"/>
          <w:sz w:val="18"/>
          <w:u w:val="single"/>
        </w:rPr>
        <w:t xml:space="preserve">part </w:t>
      </w:r>
      <w:r w:rsidRPr="00DA1531">
        <w:rPr>
          <w:rFonts w:asciiTheme="minorHAnsi" w:hAnsiTheme="minorHAnsi" w:cstheme="minorHAnsi"/>
          <w:b/>
          <w:color w:val="0000FF"/>
          <w:sz w:val="18"/>
          <w:u w:val="single"/>
        </w:rPr>
        <w:fldChar w:fldCharType="begin"/>
      </w:r>
      <w:r w:rsidRPr="00DA1531">
        <w:rPr>
          <w:rFonts w:asciiTheme="minorHAnsi" w:hAnsiTheme="minorHAnsi" w:cstheme="minorHAnsi"/>
          <w:b/>
          <w:color w:val="0000FF"/>
          <w:sz w:val="18"/>
          <w:u w:val="single"/>
        </w:rPr>
        <w:instrText xml:space="preserve"> REF _Ref176437741 \r \h  \* MERGEFORMAT </w:instrText>
      </w:r>
      <w:r w:rsidRPr="00DA1531">
        <w:rPr>
          <w:rFonts w:asciiTheme="minorHAnsi" w:hAnsiTheme="minorHAnsi" w:cstheme="minorHAnsi"/>
          <w:b/>
          <w:color w:val="0000FF"/>
          <w:sz w:val="18"/>
          <w:u w:val="single"/>
        </w:rPr>
      </w:r>
      <w:r w:rsidRPr="00DA1531">
        <w:rPr>
          <w:rFonts w:asciiTheme="minorHAnsi" w:hAnsiTheme="minorHAnsi" w:cstheme="minorHAnsi"/>
          <w:b/>
          <w:color w:val="0000FF"/>
          <w:sz w:val="18"/>
          <w:u w:val="single"/>
        </w:rPr>
        <w:fldChar w:fldCharType="separate"/>
      </w:r>
      <w:r w:rsidRPr="00DA1531">
        <w:rPr>
          <w:rFonts w:asciiTheme="minorHAnsi" w:hAnsiTheme="minorHAnsi" w:cstheme="minorHAnsi"/>
          <w:b/>
          <w:color w:val="0000FF"/>
          <w:sz w:val="18"/>
          <w:u w:val="single"/>
        </w:rPr>
        <w:t>4.1</w:t>
      </w:r>
      <w:r w:rsidRPr="00DA1531">
        <w:rPr>
          <w:rFonts w:asciiTheme="minorHAnsi" w:hAnsiTheme="minorHAnsi" w:cstheme="minorHAnsi"/>
          <w:b/>
          <w:color w:val="0000FF"/>
          <w:sz w:val="18"/>
          <w:u w:val="single"/>
        </w:rPr>
        <w:fldChar w:fldCharType="end"/>
      </w:r>
      <w:r w:rsidRPr="00DA1531">
        <w:rPr>
          <w:rFonts w:asciiTheme="minorHAnsi" w:hAnsiTheme="minorHAnsi" w:cstheme="minorHAnsi"/>
          <w:color w:val="0000FF"/>
          <w:sz w:val="18"/>
        </w:rPr>
        <w:t xml:space="preserve"> </w:t>
      </w:r>
      <w:r w:rsidRPr="00DA1531">
        <w:rPr>
          <w:rFonts w:asciiTheme="minorHAnsi" w:hAnsiTheme="minorHAnsi" w:cstheme="minorHAnsi"/>
          <w:sz w:val="18"/>
        </w:rPr>
        <w:t>of this paper and MLETR explanatory note, paragraph [28(a)].</w:t>
      </w:r>
    </w:p>
  </w:footnote>
  <w:footnote w:id="10">
    <w:p w14:paraId="5AB1731B" w14:textId="2050DD5D" w:rsidR="00610159" w:rsidRDefault="00610159" w:rsidP="00711226">
      <w:pPr>
        <w:pStyle w:val="FootnoteText"/>
        <w:ind w:left="142" w:hanging="142"/>
        <w:jc w:val="both"/>
        <w:rPr>
          <w:rFonts w:asciiTheme="minorHAnsi" w:hAnsiTheme="minorHAnsi" w:cstheme="minorHAnsi"/>
          <w:sz w:val="18"/>
        </w:rPr>
      </w:pPr>
      <w:r w:rsidRPr="00DA1531">
        <w:rPr>
          <w:rStyle w:val="FootnoteReference"/>
          <w:rFonts w:asciiTheme="minorHAnsi" w:hAnsiTheme="minorHAnsi" w:cstheme="minorHAnsi"/>
          <w:sz w:val="18"/>
        </w:rPr>
        <w:footnoteRef/>
      </w:r>
      <w:r w:rsidRPr="00DA1531">
        <w:rPr>
          <w:rFonts w:asciiTheme="minorHAnsi" w:hAnsiTheme="minorHAnsi" w:cstheme="minorHAnsi"/>
          <w:sz w:val="18"/>
        </w:rPr>
        <w:t xml:space="preserve"> Examples (j)-(k) are listed in §1-201(b)(16) of the </w:t>
      </w:r>
      <w:r>
        <w:rPr>
          <w:rFonts w:asciiTheme="minorHAnsi" w:hAnsiTheme="minorHAnsi" w:cstheme="minorHAnsi"/>
          <w:sz w:val="18"/>
        </w:rPr>
        <w:t xml:space="preserve">United States Uniform Commercial Code as potential examples of </w:t>
      </w:r>
      <w:r>
        <w:rPr>
          <w:rFonts w:asciiTheme="minorHAnsi" w:hAnsiTheme="minorHAnsi" w:cstheme="minorHAnsi"/>
          <w:i/>
          <w:sz w:val="18"/>
        </w:rPr>
        <w:t>‘documents of title’.</w:t>
      </w:r>
    </w:p>
  </w:footnote>
  <w:footnote w:id="11">
    <w:p w14:paraId="6499C080" w14:textId="77777777" w:rsidR="00610159" w:rsidRDefault="00610159" w:rsidP="00711226">
      <w:pPr>
        <w:pStyle w:val="FootnoteText"/>
        <w:ind w:left="142" w:hanging="142"/>
        <w:jc w:val="both"/>
        <w:rPr>
          <w:rFonts w:asciiTheme="minorHAnsi" w:hAnsiTheme="minorHAnsi" w:cstheme="minorHAnsi"/>
          <w:sz w:val="18"/>
        </w:rPr>
      </w:pPr>
      <w:r>
        <w:rPr>
          <w:rStyle w:val="FootnoteReference"/>
          <w:rFonts w:asciiTheme="minorHAnsi" w:hAnsiTheme="minorHAnsi" w:cstheme="minorHAnsi"/>
          <w:sz w:val="18"/>
        </w:rPr>
        <w:footnoteRef/>
      </w:r>
      <w:r>
        <w:rPr>
          <w:rFonts w:asciiTheme="minorHAnsi" w:hAnsiTheme="minorHAnsi" w:cstheme="minorHAnsi"/>
          <w:sz w:val="18"/>
        </w:rPr>
        <w:t xml:space="preserve"> Examples (l)-(m) are listed in the UK </w:t>
      </w:r>
      <w:r>
        <w:rPr>
          <w:rFonts w:asciiTheme="minorHAnsi" w:hAnsiTheme="minorHAnsi" w:cstheme="minorHAnsi"/>
          <w:i/>
          <w:sz w:val="18"/>
        </w:rPr>
        <w:t>Electronic Trade Documents Act 2023</w:t>
      </w:r>
      <w:r>
        <w:rPr>
          <w:rFonts w:asciiTheme="minorHAnsi" w:hAnsiTheme="minorHAnsi" w:cstheme="minorHAnsi"/>
          <w:sz w:val="18"/>
        </w:rPr>
        <w:t xml:space="preserve"> </w:t>
      </w:r>
      <w:r>
        <w:rPr>
          <w:rFonts w:asciiTheme="minorHAnsi" w:hAnsiTheme="minorHAnsi" w:cstheme="minorHAnsi"/>
          <w:b/>
          <w:sz w:val="18"/>
        </w:rPr>
        <w:t>(ETDA)</w:t>
      </w:r>
      <w:r>
        <w:rPr>
          <w:rFonts w:asciiTheme="minorHAnsi" w:hAnsiTheme="minorHAnsi" w:cstheme="minorHAnsi"/>
          <w:sz w:val="18"/>
        </w:rPr>
        <w:t xml:space="preserve"> ETDA as potential examples of </w:t>
      </w:r>
      <w:r>
        <w:rPr>
          <w:rFonts w:asciiTheme="minorHAnsi" w:hAnsiTheme="minorHAnsi" w:cstheme="minorHAnsi"/>
          <w:i/>
          <w:sz w:val="18"/>
        </w:rPr>
        <w:t>‘trade documents’.</w:t>
      </w:r>
      <w:r>
        <w:rPr>
          <w:rFonts w:asciiTheme="minorHAnsi" w:hAnsiTheme="minorHAnsi" w:cstheme="minorHAnsi"/>
          <w:sz w:val="18"/>
        </w:rPr>
        <w:t xml:space="preserve"> As </w:t>
      </w:r>
      <w:r w:rsidRPr="00DA1531">
        <w:rPr>
          <w:rFonts w:asciiTheme="minorHAnsi" w:hAnsiTheme="minorHAnsi" w:cstheme="minorHAnsi"/>
          <w:sz w:val="18"/>
        </w:rPr>
        <w:t xml:space="preserve">discussed in </w:t>
      </w:r>
      <w:r w:rsidRPr="00DA1531">
        <w:rPr>
          <w:rFonts w:asciiTheme="minorHAnsi" w:hAnsiTheme="minorHAnsi" w:cstheme="minorHAnsi"/>
          <w:b/>
          <w:color w:val="0000FF"/>
          <w:sz w:val="18"/>
          <w:u w:val="single"/>
        </w:rPr>
        <w:t xml:space="preserve">part </w:t>
      </w:r>
      <w:r w:rsidRPr="00DA1531">
        <w:rPr>
          <w:rFonts w:asciiTheme="minorHAnsi" w:hAnsiTheme="minorHAnsi" w:cstheme="minorHAnsi"/>
          <w:b/>
          <w:color w:val="0000FF"/>
          <w:sz w:val="18"/>
          <w:u w:val="single"/>
        </w:rPr>
        <w:fldChar w:fldCharType="begin"/>
      </w:r>
      <w:r w:rsidRPr="00DA1531">
        <w:rPr>
          <w:rFonts w:asciiTheme="minorHAnsi" w:hAnsiTheme="minorHAnsi" w:cstheme="minorHAnsi"/>
          <w:b/>
          <w:color w:val="0000FF"/>
          <w:sz w:val="18"/>
          <w:u w:val="single"/>
        </w:rPr>
        <w:instrText xml:space="preserve"> REF _Ref176437761 \r \h  \* MERGEFORMAT </w:instrText>
      </w:r>
      <w:r w:rsidRPr="00DA1531">
        <w:rPr>
          <w:rFonts w:asciiTheme="minorHAnsi" w:hAnsiTheme="minorHAnsi" w:cstheme="minorHAnsi"/>
          <w:b/>
          <w:color w:val="0000FF"/>
          <w:sz w:val="18"/>
          <w:u w:val="single"/>
        </w:rPr>
      </w:r>
      <w:r w:rsidRPr="00DA1531">
        <w:rPr>
          <w:rFonts w:asciiTheme="minorHAnsi" w:hAnsiTheme="minorHAnsi" w:cstheme="minorHAnsi"/>
          <w:b/>
          <w:color w:val="0000FF"/>
          <w:sz w:val="18"/>
          <w:u w:val="single"/>
        </w:rPr>
        <w:fldChar w:fldCharType="separate"/>
      </w:r>
      <w:r w:rsidRPr="00DA1531">
        <w:rPr>
          <w:rFonts w:asciiTheme="minorHAnsi" w:hAnsiTheme="minorHAnsi" w:cstheme="minorHAnsi"/>
          <w:b/>
          <w:color w:val="0000FF"/>
          <w:sz w:val="18"/>
          <w:u w:val="single"/>
        </w:rPr>
        <w:t>4.1</w:t>
      </w:r>
      <w:r w:rsidRPr="00DA1531">
        <w:rPr>
          <w:rFonts w:asciiTheme="minorHAnsi" w:hAnsiTheme="minorHAnsi" w:cstheme="minorHAnsi"/>
          <w:b/>
          <w:color w:val="0000FF"/>
          <w:sz w:val="18"/>
          <w:u w:val="single"/>
        </w:rPr>
        <w:fldChar w:fldCharType="end"/>
      </w:r>
      <w:r w:rsidRPr="00DA1531">
        <w:rPr>
          <w:rFonts w:asciiTheme="minorHAnsi" w:hAnsiTheme="minorHAnsi" w:cstheme="minorHAnsi"/>
          <w:sz w:val="18"/>
        </w:rPr>
        <w:t xml:space="preserve">, the </w:t>
      </w:r>
      <w:r>
        <w:rPr>
          <w:rFonts w:asciiTheme="minorHAnsi" w:hAnsiTheme="minorHAnsi" w:cstheme="minorHAnsi"/>
          <w:sz w:val="18"/>
        </w:rPr>
        <w:t>definition of ‘trade document’ is different to the MLETR definition of ‘transferable record’.</w:t>
      </w:r>
    </w:p>
  </w:footnote>
  <w:footnote w:id="12">
    <w:p w14:paraId="797AEBB4" w14:textId="77777777" w:rsidR="00610159" w:rsidRDefault="00610159" w:rsidP="00711226">
      <w:pPr>
        <w:pStyle w:val="FootnoteText"/>
        <w:ind w:left="142" w:hanging="142"/>
        <w:jc w:val="both"/>
      </w:pPr>
      <w:r>
        <w:rPr>
          <w:rStyle w:val="FootnoteReference"/>
          <w:rFonts w:asciiTheme="minorHAnsi" w:hAnsiTheme="minorHAnsi" w:cstheme="minorHAnsi"/>
          <w:sz w:val="18"/>
        </w:rPr>
        <w:footnoteRef/>
      </w:r>
      <w:r>
        <w:rPr>
          <w:rFonts w:asciiTheme="minorHAnsi" w:hAnsiTheme="minorHAnsi" w:cstheme="minorHAnsi"/>
          <w:sz w:val="18"/>
        </w:rPr>
        <w:t xml:space="preserve"> s (n)-(o) are listed in section 65 of the </w:t>
      </w:r>
      <w:r>
        <w:rPr>
          <w:rFonts w:asciiTheme="minorHAnsi" w:hAnsiTheme="minorHAnsi" w:cstheme="minorHAnsi"/>
          <w:i/>
          <w:sz w:val="18"/>
        </w:rPr>
        <w:t>Goods Act 1958</w:t>
      </w:r>
      <w:r>
        <w:rPr>
          <w:rFonts w:asciiTheme="minorHAnsi" w:hAnsiTheme="minorHAnsi" w:cstheme="minorHAnsi"/>
          <w:sz w:val="18"/>
        </w:rPr>
        <w:t xml:space="preserve"> (Vic) (and may be listed in other comparable state and territory legislation) as potential examples of ‘documents of title’.</w:t>
      </w:r>
    </w:p>
  </w:footnote>
  <w:footnote w:id="13">
    <w:p w14:paraId="7BB1463B" w14:textId="5C64F507" w:rsidR="00610159" w:rsidRDefault="00610159" w:rsidP="00040EE5">
      <w:pPr>
        <w:pStyle w:val="FootnoteText"/>
        <w:jc w:val="both"/>
        <w:rPr>
          <w:rFonts w:asciiTheme="minorHAnsi" w:hAnsiTheme="minorHAnsi" w:cstheme="minorHAnsi"/>
          <w:sz w:val="18"/>
          <w:szCs w:val="18"/>
        </w:rPr>
      </w:pPr>
      <w:r>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ANZ, Submission to the STS Consultation, July 2023, paragraph [17].</w:t>
      </w:r>
    </w:p>
  </w:footnote>
  <w:footnote w:id="14">
    <w:p w14:paraId="5AE050B9" w14:textId="77777777" w:rsidR="00610159" w:rsidRDefault="00610159" w:rsidP="00040EE5">
      <w:pPr>
        <w:pStyle w:val="FootnoteText"/>
        <w:jc w:val="both"/>
        <w:rPr>
          <w:rFonts w:asciiTheme="minorHAnsi" w:hAnsiTheme="minorHAnsi" w:cstheme="minorHAnsi"/>
          <w:sz w:val="18"/>
          <w:szCs w:val="18"/>
        </w:rPr>
      </w:pPr>
      <w:r>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Australian Chamber of Commerce and Industry, Submission to the STS Consultation, August 2023, p 7.</w:t>
      </w:r>
    </w:p>
  </w:footnote>
  <w:footnote w:id="15">
    <w:p w14:paraId="6A85BCD2" w14:textId="77777777" w:rsidR="00610159" w:rsidRDefault="00610159" w:rsidP="00040EE5">
      <w:pPr>
        <w:pStyle w:val="FootnoteText"/>
        <w:jc w:val="both"/>
      </w:pPr>
      <w:r>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Institute of Export and International Trade, Submission to the STS Consultation, July 2023, p 5.</w:t>
      </w:r>
    </w:p>
  </w:footnote>
  <w:footnote w:id="16">
    <w:p w14:paraId="27A9A88C" w14:textId="77777777" w:rsidR="00610159" w:rsidRDefault="00610159" w:rsidP="00780D76">
      <w:pPr>
        <w:pStyle w:val="FootnoteText"/>
        <w:ind w:left="142" w:hanging="142"/>
        <w:rPr>
          <w:rFonts w:asciiTheme="minorHAnsi" w:hAnsiTheme="minorHAnsi" w:cstheme="minorHAnsi"/>
          <w:sz w:val="18"/>
        </w:rPr>
      </w:pPr>
      <w:r>
        <w:rPr>
          <w:rStyle w:val="FootnoteReference"/>
          <w:rFonts w:asciiTheme="minorHAnsi" w:hAnsiTheme="minorHAnsi" w:cstheme="minorHAnsi"/>
          <w:sz w:val="18"/>
        </w:rPr>
        <w:footnoteRef/>
      </w:r>
      <w:r>
        <w:rPr>
          <w:rFonts w:asciiTheme="minorHAnsi" w:hAnsiTheme="minorHAnsi" w:cstheme="minorHAnsi"/>
          <w:sz w:val="18"/>
        </w:rPr>
        <w:t xml:space="preserve"> For example, the ETA may already confirm that electronic versions of non-transferable documents are equally valid as their paper-based equivalents.</w:t>
      </w:r>
    </w:p>
  </w:footnote>
  <w:footnote w:id="17">
    <w:p w14:paraId="32B3B7AF" w14:textId="77777777" w:rsidR="00610159" w:rsidRDefault="00610159" w:rsidP="00040EE5">
      <w:pPr>
        <w:pStyle w:val="FootnoteText"/>
        <w:rPr>
          <w:rFonts w:asciiTheme="minorHAnsi" w:hAnsiTheme="minorHAnsi" w:cstheme="minorHAnsi"/>
        </w:rPr>
      </w:pPr>
      <w:r>
        <w:rPr>
          <w:rStyle w:val="FootnoteReference"/>
          <w:rFonts w:asciiTheme="minorHAnsi" w:hAnsiTheme="minorHAnsi" w:cstheme="minorHAnsi"/>
          <w:sz w:val="18"/>
        </w:rPr>
        <w:footnoteRef/>
      </w:r>
      <w:r>
        <w:rPr>
          <w:rFonts w:asciiTheme="minorHAnsi" w:hAnsiTheme="minorHAnsi" w:cstheme="minorHAnsi"/>
          <w:sz w:val="18"/>
        </w:rPr>
        <w:t xml:space="preserve"> For example, if subject to an exemption under the </w:t>
      </w:r>
      <w:r>
        <w:rPr>
          <w:rFonts w:asciiTheme="minorHAnsi" w:hAnsiTheme="minorHAnsi" w:cstheme="minorHAnsi"/>
          <w:i/>
          <w:sz w:val="18"/>
        </w:rPr>
        <w:t>Electronic Transactions Regulations 2020</w:t>
      </w:r>
      <w:r>
        <w:rPr>
          <w:rFonts w:asciiTheme="minorHAnsi" w:hAnsiTheme="minorHAnsi" w:cstheme="minorHAnsi"/>
          <w:sz w:val="18"/>
        </w:rPr>
        <w:t xml:space="preserve"> (Cth).</w:t>
      </w:r>
    </w:p>
  </w:footnote>
  <w:footnote w:id="18">
    <w:p w14:paraId="339A9096" w14:textId="77777777" w:rsidR="00610159" w:rsidRDefault="00610159" w:rsidP="00040EE5">
      <w:pPr>
        <w:pStyle w:val="FootnoteText"/>
        <w:jc w:val="both"/>
      </w:pPr>
      <w:r>
        <w:rPr>
          <w:rStyle w:val="FootnoteReference"/>
          <w:rFonts w:asciiTheme="minorHAnsi" w:hAnsiTheme="minorHAnsi" w:cstheme="minorHAnsi"/>
          <w:sz w:val="18"/>
        </w:rPr>
        <w:footnoteRef/>
      </w:r>
      <w:r>
        <w:rPr>
          <w:rFonts w:asciiTheme="minorHAnsi" w:hAnsiTheme="minorHAnsi" w:cstheme="minorHAnsi"/>
          <w:sz w:val="18"/>
        </w:rPr>
        <w:t xml:space="preserve"> From STS user research interview with large trade-based software vendor.</w:t>
      </w:r>
    </w:p>
  </w:footnote>
  <w:footnote w:id="19">
    <w:p w14:paraId="4BA9A66E" w14:textId="77777777" w:rsidR="00610159" w:rsidRDefault="00610159" w:rsidP="00780D76">
      <w:pPr>
        <w:pStyle w:val="FootnoteText"/>
        <w:ind w:left="142" w:hanging="142"/>
        <w:jc w:val="both"/>
        <w:rPr>
          <w:rFonts w:asciiTheme="minorHAnsi" w:hAnsiTheme="minorHAnsi" w:cstheme="minorHAnsi"/>
          <w:sz w:val="18"/>
          <w:szCs w:val="18"/>
        </w:rPr>
      </w:pPr>
      <w:r>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MLETR, articles 10 and 11. The MLETR also applies to permissions under law to possess and transfer such records, to references to transferable records under law, and related processes like signing and amending a document. See </w:t>
      </w:r>
      <w:r w:rsidRPr="006F1DCC">
        <w:rPr>
          <w:rFonts w:asciiTheme="minorHAnsi" w:hAnsiTheme="minorHAnsi" w:cstheme="minorHAnsi"/>
          <w:b/>
          <w:color w:val="0000FF"/>
          <w:sz w:val="18"/>
          <w:szCs w:val="18"/>
          <w:u w:val="single"/>
        </w:rPr>
        <w:t xml:space="preserve">Part </w:t>
      </w:r>
      <w:r w:rsidRPr="006F1DCC">
        <w:rPr>
          <w:rFonts w:asciiTheme="minorHAnsi" w:hAnsiTheme="minorHAnsi" w:cstheme="minorHAnsi"/>
          <w:b/>
          <w:color w:val="0000FF"/>
          <w:sz w:val="18"/>
          <w:szCs w:val="18"/>
          <w:u w:val="single"/>
        </w:rPr>
        <w:fldChar w:fldCharType="begin"/>
      </w:r>
      <w:r w:rsidRPr="006F1DCC">
        <w:rPr>
          <w:rFonts w:asciiTheme="minorHAnsi" w:hAnsiTheme="minorHAnsi" w:cstheme="minorHAnsi"/>
          <w:b/>
          <w:color w:val="0000FF"/>
          <w:sz w:val="18"/>
          <w:szCs w:val="18"/>
          <w:u w:val="single"/>
        </w:rPr>
        <w:instrText xml:space="preserve"> REF _Ref176437596 \r \h  \* MERGEFORMAT </w:instrText>
      </w:r>
      <w:r w:rsidRPr="006F1DCC">
        <w:rPr>
          <w:rFonts w:asciiTheme="minorHAnsi" w:hAnsiTheme="minorHAnsi" w:cstheme="minorHAnsi"/>
          <w:b/>
          <w:color w:val="0000FF"/>
          <w:sz w:val="18"/>
          <w:szCs w:val="18"/>
          <w:u w:val="single"/>
        </w:rPr>
      </w:r>
      <w:r w:rsidRPr="006F1DCC">
        <w:rPr>
          <w:rFonts w:asciiTheme="minorHAnsi" w:hAnsiTheme="minorHAnsi" w:cstheme="minorHAnsi"/>
          <w:b/>
          <w:color w:val="0000FF"/>
          <w:sz w:val="18"/>
          <w:szCs w:val="18"/>
          <w:u w:val="single"/>
        </w:rPr>
        <w:fldChar w:fldCharType="separate"/>
      </w:r>
      <w:r w:rsidRPr="006F1DCC">
        <w:rPr>
          <w:rFonts w:asciiTheme="minorHAnsi" w:hAnsiTheme="minorHAnsi" w:cstheme="minorHAnsi"/>
          <w:b/>
          <w:color w:val="0000FF"/>
          <w:sz w:val="18"/>
          <w:szCs w:val="18"/>
          <w:u w:val="single"/>
        </w:rPr>
        <w:t>4</w:t>
      </w:r>
      <w:r w:rsidRPr="006F1DCC">
        <w:rPr>
          <w:rFonts w:asciiTheme="minorHAnsi" w:hAnsiTheme="minorHAnsi" w:cstheme="minorHAnsi"/>
          <w:b/>
          <w:color w:val="0000FF"/>
          <w:sz w:val="18"/>
          <w:szCs w:val="18"/>
          <w:u w:val="single"/>
        </w:rPr>
        <w:fldChar w:fldCharType="end"/>
      </w:r>
      <w:r w:rsidRPr="006F1DCC">
        <w:rPr>
          <w:rFonts w:asciiTheme="minorHAnsi" w:hAnsiTheme="minorHAnsi" w:cstheme="minorHAnsi"/>
          <w:color w:val="FF0000"/>
          <w:sz w:val="18"/>
          <w:szCs w:val="18"/>
        </w:rPr>
        <w:t xml:space="preserve"> </w:t>
      </w:r>
      <w:r w:rsidRPr="006F1DCC">
        <w:rPr>
          <w:rFonts w:asciiTheme="minorHAnsi" w:hAnsiTheme="minorHAnsi" w:cstheme="minorHAnsi"/>
          <w:sz w:val="18"/>
          <w:szCs w:val="18"/>
        </w:rPr>
        <w:t>of this</w:t>
      </w:r>
      <w:r>
        <w:rPr>
          <w:rFonts w:asciiTheme="minorHAnsi" w:hAnsiTheme="minorHAnsi" w:cstheme="minorHAnsi"/>
          <w:sz w:val="18"/>
          <w:szCs w:val="18"/>
        </w:rPr>
        <w:t xml:space="preserve"> paper for a further brief discussion.</w:t>
      </w:r>
    </w:p>
  </w:footnote>
  <w:footnote w:id="20">
    <w:p w14:paraId="46629EEE" w14:textId="77777777" w:rsidR="00610159" w:rsidRDefault="00610159" w:rsidP="00040EE5">
      <w:pPr>
        <w:pStyle w:val="FootnoteText"/>
        <w:jc w:val="both"/>
      </w:pPr>
      <w:r>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See </w:t>
      </w:r>
      <w:r w:rsidRPr="006F1DCC">
        <w:rPr>
          <w:rFonts w:asciiTheme="minorHAnsi" w:hAnsiTheme="minorHAnsi" w:cstheme="minorHAnsi"/>
          <w:b/>
          <w:color w:val="0000FF"/>
          <w:sz w:val="18"/>
          <w:szCs w:val="18"/>
          <w:u w:val="single"/>
        </w:rPr>
        <w:t xml:space="preserve">part </w:t>
      </w:r>
      <w:r w:rsidRPr="006F1DCC">
        <w:rPr>
          <w:rFonts w:asciiTheme="minorHAnsi" w:hAnsiTheme="minorHAnsi" w:cstheme="minorHAnsi"/>
          <w:b/>
          <w:color w:val="0000FF"/>
          <w:sz w:val="18"/>
          <w:szCs w:val="18"/>
          <w:u w:val="single"/>
        </w:rPr>
        <w:fldChar w:fldCharType="begin"/>
      </w:r>
      <w:r w:rsidRPr="006F1DCC">
        <w:rPr>
          <w:rFonts w:asciiTheme="minorHAnsi" w:hAnsiTheme="minorHAnsi" w:cstheme="minorHAnsi"/>
          <w:b/>
          <w:color w:val="0000FF"/>
          <w:sz w:val="18"/>
          <w:szCs w:val="18"/>
          <w:u w:val="single"/>
        </w:rPr>
        <w:instrText xml:space="preserve"> REF _Ref176437784 \r \h  \* MERGEFORMAT </w:instrText>
      </w:r>
      <w:r w:rsidRPr="006F1DCC">
        <w:rPr>
          <w:rFonts w:asciiTheme="minorHAnsi" w:hAnsiTheme="minorHAnsi" w:cstheme="minorHAnsi"/>
          <w:b/>
          <w:color w:val="0000FF"/>
          <w:sz w:val="18"/>
          <w:szCs w:val="18"/>
          <w:u w:val="single"/>
        </w:rPr>
      </w:r>
      <w:r w:rsidRPr="006F1DCC">
        <w:rPr>
          <w:rFonts w:asciiTheme="minorHAnsi" w:hAnsiTheme="minorHAnsi" w:cstheme="minorHAnsi"/>
          <w:b/>
          <w:color w:val="0000FF"/>
          <w:sz w:val="18"/>
          <w:szCs w:val="18"/>
          <w:u w:val="single"/>
        </w:rPr>
        <w:fldChar w:fldCharType="separate"/>
      </w:r>
      <w:r w:rsidRPr="006F1DCC">
        <w:rPr>
          <w:rFonts w:asciiTheme="minorHAnsi" w:hAnsiTheme="minorHAnsi" w:cstheme="minorHAnsi"/>
          <w:b/>
          <w:color w:val="0000FF"/>
          <w:sz w:val="18"/>
          <w:szCs w:val="18"/>
          <w:u w:val="single"/>
        </w:rPr>
        <w:t>4</w:t>
      </w:r>
      <w:r w:rsidRPr="006F1DCC">
        <w:rPr>
          <w:rFonts w:asciiTheme="minorHAnsi" w:hAnsiTheme="minorHAnsi" w:cstheme="minorHAnsi"/>
          <w:b/>
          <w:color w:val="0000FF"/>
          <w:sz w:val="18"/>
          <w:szCs w:val="18"/>
          <w:u w:val="single"/>
        </w:rPr>
        <w:fldChar w:fldCharType="end"/>
      </w:r>
      <w:r w:rsidRPr="006F1DCC">
        <w:rPr>
          <w:rFonts w:asciiTheme="minorHAnsi" w:hAnsiTheme="minorHAnsi" w:cstheme="minorHAnsi"/>
          <w:color w:val="0000FF"/>
          <w:sz w:val="18"/>
          <w:szCs w:val="18"/>
        </w:rPr>
        <w:t xml:space="preserve"> </w:t>
      </w:r>
      <w:r>
        <w:rPr>
          <w:rFonts w:asciiTheme="minorHAnsi" w:hAnsiTheme="minorHAnsi" w:cstheme="minorHAnsi"/>
          <w:sz w:val="18"/>
          <w:szCs w:val="18"/>
        </w:rPr>
        <w:t>of this paper for a discussion on how the MLETR enables electronic transferable records.</w:t>
      </w:r>
    </w:p>
  </w:footnote>
  <w:footnote w:id="21">
    <w:p w14:paraId="5077E98D" w14:textId="49CF7264" w:rsidR="00610159" w:rsidRDefault="00610159" w:rsidP="00040EE5">
      <w:pPr>
        <w:pStyle w:val="FootnoteText"/>
        <w:rPr>
          <w:rFonts w:asciiTheme="minorHAnsi" w:hAnsiTheme="minorHAnsi" w:cstheme="minorHAnsi"/>
          <w:sz w:val="18"/>
        </w:rPr>
      </w:pPr>
      <w:r>
        <w:rPr>
          <w:rStyle w:val="FootnoteReference"/>
          <w:rFonts w:asciiTheme="minorHAnsi" w:hAnsiTheme="minorHAnsi" w:cstheme="minorHAnsi"/>
          <w:sz w:val="18"/>
        </w:rPr>
        <w:footnoteRef/>
      </w:r>
      <w:r>
        <w:rPr>
          <w:rFonts w:asciiTheme="minorHAnsi" w:hAnsiTheme="minorHAnsi" w:cstheme="minorHAnsi"/>
          <w:sz w:val="18"/>
        </w:rPr>
        <w:t xml:space="preserve"> For example, at Schedule 1A, Article 3(3).</w:t>
      </w:r>
    </w:p>
  </w:footnote>
  <w:footnote w:id="22">
    <w:p w14:paraId="23479EF1" w14:textId="2818E31D" w:rsidR="00610159" w:rsidRDefault="00610159" w:rsidP="00040EE5">
      <w:pPr>
        <w:pStyle w:val="FootnoteText"/>
        <w:rPr>
          <w:rFonts w:asciiTheme="minorHAnsi" w:hAnsiTheme="minorHAnsi" w:cstheme="minorHAnsi"/>
        </w:rPr>
      </w:pPr>
      <w:r>
        <w:rPr>
          <w:rStyle w:val="FootnoteReference"/>
          <w:rFonts w:asciiTheme="minorHAnsi" w:hAnsiTheme="minorHAnsi" w:cstheme="minorHAnsi"/>
          <w:sz w:val="18"/>
        </w:rPr>
        <w:footnoteRef/>
      </w:r>
      <w:r>
        <w:rPr>
          <w:rFonts w:asciiTheme="minorHAnsi" w:hAnsiTheme="minorHAnsi" w:cstheme="minorHAnsi"/>
          <w:sz w:val="18"/>
        </w:rPr>
        <w:t xml:space="preserve"> For example, in the definitions of the terms ‘bearer’ and ‘delivery’ under section 4, which are used throughout that Act.</w:t>
      </w:r>
    </w:p>
  </w:footnote>
  <w:footnote w:id="23">
    <w:p w14:paraId="0DA9396D" w14:textId="77777777" w:rsidR="00610159" w:rsidRDefault="00610159" w:rsidP="00780D76">
      <w:pPr>
        <w:pStyle w:val="FootnoteText"/>
        <w:ind w:left="142" w:hanging="142"/>
        <w:jc w:val="both"/>
        <w:rPr>
          <w:rFonts w:asciiTheme="minorHAnsi" w:hAnsiTheme="minorHAnsi" w:cstheme="minorHAnsi"/>
          <w:sz w:val="18"/>
        </w:rPr>
      </w:pPr>
      <w:r>
        <w:rPr>
          <w:rStyle w:val="FootnoteReference"/>
          <w:rFonts w:asciiTheme="minorHAnsi" w:hAnsiTheme="minorHAnsi" w:cstheme="minorHAnsi"/>
          <w:sz w:val="18"/>
        </w:rPr>
        <w:footnoteRef/>
      </w:r>
      <w:r>
        <w:rPr>
          <w:rFonts w:asciiTheme="minorHAnsi" w:hAnsiTheme="minorHAnsi" w:cstheme="minorHAnsi"/>
          <w:sz w:val="18"/>
        </w:rPr>
        <w:t xml:space="preserve"> For example, ‘possession’ is a required concept within the definition of the term ‘lawful holder’ under section 5 of the </w:t>
      </w:r>
      <w:r>
        <w:rPr>
          <w:rFonts w:asciiTheme="minorHAnsi" w:hAnsiTheme="minorHAnsi" w:cstheme="minorHAnsi"/>
          <w:i/>
          <w:sz w:val="18"/>
        </w:rPr>
        <w:t>Sea-Carriage Documents Act</w:t>
      </w:r>
      <w:r>
        <w:rPr>
          <w:rFonts w:asciiTheme="minorHAnsi" w:hAnsiTheme="minorHAnsi" w:cstheme="minorHAnsi"/>
          <w:sz w:val="18"/>
        </w:rPr>
        <w:t xml:space="preserve"> 1996 (NSW), which is used throughout that Act.</w:t>
      </w:r>
    </w:p>
  </w:footnote>
  <w:footnote w:id="24">
    <w:p w14:paraId="300CD514" w14:textId="77777777" w:rsidR="00610159" w:rsidRDefault="00610159" w:rsidP="00040EE5">
      <w:pPr>
        <w:pStyle w:val="FootnoteText"/>
        <w:jc w:val="both"/>
        <w:rPr>
          <w:rFonts w:asciiTheme="minorHAnsi" w:hAnsiTheme="minorHAnsi" w:cstheme="minorHAnsi"/>
          <w:sz w:val="18"/>
        </w:rPr>
      </w:pPr>
      <w:r>
        <w:rPr>
          <w:rStyle w:val="FootnoteReference"/>
          <w:rFonts w:asciiTheme="minorHAnsi" w:hAnsiTheme="minorHAnsi" w:cstheme="minorHAnsi"/>
          <w:sz w:val="18"/>
        </w:rPr>
        <w:footnoteRef/>
      </w:r>
      <w:r>
        <w:rPr>
          <w:rFonts w:asciiTheme="minorHAnsi" w:hAnsiTheme="minorHAnsi" w:cstheme="minorHAnsi"/>
          <w:sz w:val="18"/>
        </w:rPr>
        <w:t xml:space="preserve"> As defined under section 10 of the PPSA.</w:t>
      </w:r>
    </w:p>
  </w:footnote>
  <w:footnote w:id="25">
    <w:p w14:paraId="775728DE" w14:textId="77777777" w:rsidR="00610159" w:rsidRDefault="00610159" w:rsidP="00780D76">
      <w:pPr>
        <w:pStyle w:val="FootnoteText"/>
        <w:ind w:left="142" w:hanging="142"/>
        <w:jc w:val="both"/>
        <w:rPr>
          <w:rFonts w:asciiTheme="minorHAnsi" w:hAnsiTheme="minorHAnsi" w:cstheme="minorHAnsi"/>
          <w:sz w:val="18"/>
        </w:rPr>
      </w:pPr>
      <w:r>
        <w:rPr>
          <w:rStyle w:val="FootnoteReference"/>
          <w:rFonts w:asciiTheme="minorHAnsi" w:hAnsiTheme="minorHAnsi" w:cstheme="minorHAnsi"/>
          <w:sz w:val="18"/>
        </w:rPr>
        <w:footnoteRef/>
      </w:r>
      <w:r>
        <w:rPr>
          <w:rFonts w:asciiTheme="minorHAnsi" w:hAnsiTheme="minorHAnsi" w:cstheme="minorHAnsi"/>
          <w:sz w:val="18"/>
        </w:rPr>
        <w:t xml:space="preserve"> For example, comparable provisions may be found in the </w:t>
      </w:r>
      <w:r>
        <w:rPr>
          <w:rFonts w:asciiTheme="minorHAnsi" w:hAnsiTheme="minorHAnsi" w:cstheme="minorHAnsi"/>
          <w:i/>
          <w:sz w:val="18"/>
        </w:rPr>
        <w:t>Sale of Goods Act</w:t>
      </w:r>
      <w:r>
        <w:rPr>
          <w:rFonts w:asciiTheme="minorHAnsi" w:hAnsiTheme="minorHAnsi" w:cstheme="minorHAnsi"/>
          <w:sz w:val="18"/>
        </w:rPr>
        <w:t xml:space="preserve"> 1954 (ACT), </w:t>
      </w:r>
      <w:r>
        <w:rPr>
          <w:rFonts w:asciiTheme="minorHAnsi" w:hAnsiTheme="minorHAnsi" w:cstheme="minorHAnsi"/>
          <w:i/>
          <w:sz w:val="18"/>
        </w:rPr>
        <w:t>Mercantile Act</w:t>
      </w:r>
      <w:r>
        <w:rPr>
          <w:rFonts w:asciiTheme="minorHAnsi" w:hAnsiTheme="minorHAnsi" w:cstheme="minorHAnsi"/>
          <w:sz w:val="18"/>
        </w:rPr>
        <w:t xml:space="preserve"> 1936 (SA) and other comparable legislation.</w:t>
      </w:r>
    </w:p>
  </w:footnote>
  <w:footnote w:id="26">
    <w:p w14:paraId="65C7CD39" w14:textId="77777777" w:rsidR="00610159" w:rsidRDefault="00610159" w:rsidP="00040EE5">
      <w:pPr>
        <w:pStyle w:val="FootnoteText"/>
        <w:jc w:val="both"/>
      </w:pPr>
      <w:r>
        <w:rPr>
          <w:rStyle w:val="FootnoteReference"/>
          <w:rFonts w:asciiTheme="minorHAnsi" w:hAnsiTheme="minorHAnsi" w:cstheme="minorHAnsi"/>
          <w:sz w:val="18"/>
        </w:rPr>
        <w:footnoteRef/>
      </w:r>
      <w:r>
        <w:rPr>
          <w:rFonts w:asciiTheme="minorHAnsi" w:hAnsiTheme="minorHAnsi" w:cstheme="minorHAnsi"/>
          <w:sz w:val="18"/>
        </w:rPr>
        <w:t xml:space="preserve"> </w:t>
      </w:r>
      <w:r>
        <w:rPr>
          <w:rFonts w:asciiTheme="minorHAnsi" w:hAnsiTheme="minorHAnsi" w:cstheme="minorHAnsi"/>
          <w:i/>
          <w:sz w:val="18"/>
        </w:rPr>
        <w:t>Goods Act 1958</w:t>
      </w:r>
      <w:r>
        <w:rPr>
          <w:rFonts w:asciiTheme="minorHAnsi" w:hAnsiTheme="minorHAnsi" w:cstheme="minorHAnsi"/>
          <w:sz w:val="18"/>
        </w:rPr>
        <w:t xml:space="preserve"> (VIC), section 65.</w:t>
      </w:r>
    </w:p>
  </w:footnote>
  <w:footnote w:id="27">
    <w:p w14:paraId="3D18F839" w14:textId="77777777" w:rsidR="00610159" w:rsidRDefault="00610159" w:rsidP="00780D76">
      <w:pPr>
        <w:pStyle w:val="FootnoteText"/>
        <w:ind w:left="142" w:hanging="142"/>
        <w:jc w:val="both"/>
        <w:rPr>
          <w:rFonts w:asciiTheme="minorHAnsi" w:hAnsiTheme="minorHAnsi" w:cstheme="minorHAnsi"/>
          <w:sz w:val="18"/>
        </w:rPr>
      </w:pPr>
      <w:r>
        <w:rPr>
          <w:rStyle w:val="FootnoteReference"/>
          <w:rFonts w:asciiTheme="minorHAnsi" w:hAnsiTheme="minorHAnsi" w:cstheme="minorHAnsi"/>
          <w:sz w:val="18"/>
        </w:rPr>
        <w:footnoteRef/>
      </w:r>
      <w:r>
        <w:rPr>
          <w:rFonts w:asciiTheme="minorHAnsi" w:hAnsiTheme="minorHAnsi" w:cstheme="minorHAnsi"/>
          <w:sz w:val="18"/>
        </w:rPr>
        <w:t xml:space="preserve"> We note that between September and November 2023, an Exposure Draft to amend the PPSA, along with new Personal Property Securities Regulations, was released for public consultation. For a copy of the exposure draft, please visit the department’s website.</w:t>
      </w:r>
    </w:p>
  </w:footnote>
  <w:footnote w:id="28">
    <w:p w14:paraId="01F7677F" w14:textId="77777777" w:rsidR="00610159" w:rsidRDefault="00610159" w:rsidP="00040EE5">
      <w:pPr>
        <w:pStyle w:val="FootnoteText"/>
        <w:jc w:val="both"/>
        <w:rPr>
          <w:rFonts w:asciiTheme="minorHAnsi" w:hAnsiTheme="minorHAnsi" w:cstheme="minorHAnsi"/>
          <w:sz w:val="18"/>
        </w:rPr>
      </w:pPr>
      <w:r>
        <w:rPr>
          <w:rStyle w:val="FootnoteReference"/>
          <w:rFonts w:asciiTheme="minorHAnsi" w:hAnsiTheme="minorHAnsi" w:cstheme="minorHAnsi"/>
          <w:sz w:val="18"/>
        </w:rPr>
        <w:footnoteRef/>
      </w:r>
      <w:r>
        <w:rPr>
          <w:rFonts w:asciiTheme="minorHAnsi" w:hAnsiTheme="minorHAnsi" w:cstheme="minorHAnsi"/>
          <w:sz w:val="18"/>
        </w:rPr>
        <w:t xml:space="preserve"> Paragraph 21(2)(b).</w:t>
      </w:r>
    </w:p>
  </w:footnote>
  <w:footnote w:id="29">
    <w:p w14:paraId="0B4A1CE0" w14:textId="77777777" w:rsidR="00610159" w:rsidRDefault="00610159" w:rsidP="00040EE5">
      <w:pPr>
        <w:pStyle w:val="FootnoteText"/>
        <w:jc w:val="both"/>
      </w:pPr>
      <w:r>
        <w:rPr>
          <w:rStyle w:val="FootnoteReference"/>
          <w:rFonts w:asciiTheme="minorHAnsi" w:hAnsiTheme="minorHAnsi" w:cstheme="minorHAnsi"/>
          <w:sz w:val="18"/>
        </w:rPr>
        <w:footnoteRef/>
      </w:r>
      <w:r>
        <w:rPr>
          <w:rFonts w:asciiTheme="minorHAnsi" w:hAnsiTheme="minorHAnsi" w:cstheme="minorHAnsi"/>
          <w:sz w:val="18"/>
        </w:rPr>
        <w:t xml:space="preserve"> These key criteria are discussed in greater detail at </w:t>
      </w:r>
      <w:r w:rsidRPr="006F1DCC">
        <w:rPr>
          <w:rFonts w:asciiTheme="minorHAnsi" w:hAnsiTheme="minorHAnsi" w:cstheme="minorHAnsi"/>
          <w:b/>
          <w:color w:val="0000FF"/>
          <w:sz w:val="18"/>
          <w:u w:val="single"/>
        </w:rPr>
        <w:t xml:space="preserve">part </w:t>
      </w:r>
      <w:r w:rsidRPr="006F1DCC">
        <w:rPr>
          <w:rFonts w:asciiTheme="minorHAnsi" w:hAnsiTheme="minorHAnsi" w:cstheme="minorHAnsi"/>
          <w:b/>
          <w:color w:val="0000FF"/>
          <w:sz w:val="18"/>
          <w:u w:val="single"/>
        </w:rPr>
        <w:fldChar w:fldCharType="begin"/>
      </w:r>
      <w:r w:rsidRPr="006F1DCC">
        <w:rPr>
          <w:rFonts w:asciiTheme="minorHAnsi" w:hAnsiTheme="minorHAnsi" w:cstheme="minorHAnsi"/>
          <w:b/>
          <w:color w:val="0000FF"/>
          <w:sz w:val="18"/>
          <w:u w:val="single"/>
        </w:rPr>
        <w:instrText xml:space="preserve"> REF _Ref176437799 \r \h  \* MERGEFORMAT </w:instrText>
      </w:r>
      <w:r w:rsidRPr="006F1DCC">
        <w:rPr>
          <w:rFonts w:asciiTheme="minorHAnsi" w:hAnsiTheme="minorHAnsi" w:cstheme="minorHAnsi"/>
          <w:b/>
          <w:color w:val="0000FF"/>
          <w:sz w:val="18"/>
          <w:u w:val="single"/>
        </w:rPr>
      </w:r>
      <w:r w:rsidRPr="006F1DCC">
        <w:rPr>
          <w:rFonts w:asciiTheme="minorHAnsi" w:hAnsiTheme="minorHAnsi" w:cstheme="minorHAnsi"/>
          <w:b/>
          <w:color w:val="0000FF"/>
          <w:sz w:val="18"/>
          <w:u w:val="single"/>
        </w:rPr>
        <w:fldChar w:fldCharType="separate"/>
      </w:r>
      <w:r w:rsidRPr="006F1DCC">
        <w:rPr>
          <w:rFonts w:asciiTheme="minorHAnsi" w:hAnsiTheme="minorHAnsi" w:cstheme="minorHAnsi"/>
          <w:b/>
          <w:color w:val="0000FF"/>
          <w:sz w:val="18"/>
          <w:u w:val="single"/>
        </w:rPr>
        <w:t>4.2</w:t>
      </w:r>
      <w:r w:rsidRPr="006F1DCC">
        <w:rPr>
          <w:rFonts w:asciiTheme="minorHAnsi" w:hAnsiTheme="minorHAnsi" w:cstheme="minorHAnsi"/>
          <w:b/>
          <w:color w:val="0000FF"/>
          <w:sz w:val="18"/>
          <w:u w:val="single"/>
        </w:rPr>
        <w:fldChar w:fldCharType="end"/>
      </w:r>
      <w:r w:rsidRPr="006F1DCC">
        <w:rPr>
          <w:rFonts w:asciiTheme="minorHAnsi" w:hAnsiTheme="minorHAnsi" w:cstheme="minorHAnsi"/>
          <w:b/>
          <w:color w:val="0000FF"/>
          <w:sz w:val="18"/>
          <w:u w:val="single"/>
        </w:rPr>
        <w:t xml:space="preserve"> </w:t>
      </w:r>
      <w:r>
        <w:rPr>
          <w:rFonts w:asciiTheme="minorHAnsi" w:hAnsiTheme="minorHAnsi" w:cstheme="minorHAnsi"/>
          <w:sz w:val="18"/>
        </w:rPr>
        <w:t>of this paper.</w:t>
      </w:r>
    </w:p>
  </w:footnote>
  <w:footnote w:id="30">
    <w:p w14:paraId="35427786" w14:textId="77777777" w:rsidR="00610159" w:rsidRDefault="00610159" w:rsidP="00040EE5">
      <w:pPr>
        <w:pStyle w:val="FootnoteText"/>
        <w:jc w:val="both"/>
        <w:rPr>
          <w:rFonts w:asciiTheme="minorHAnsi" w:hAnsiTheme="minorHAnsi" w:cstheme="minorHAnsi"/>
          <w:sz w:val="18"/>
        </w:rPr>
      </w:pPr>
      <w:r>
        <w:rPr>
          <w:rStyle w:val="FootnoteReference"/>
          <w:rFonts w:asciiTheme="minorHAnsi" w:hAnsiTheme="minorHAnsi" w:cstheme="minorHAnsi"/>
          <w:sz w:val="18"/>
        </w:rPr>
        <w:footnoteRef/>
      </w:r>
      <w:r>
        <w:rPr>
          <w:rFonts w:asciiTheme="minorHAnsi" w:hAnsiTheme="minorHAnsi" w:cstheme="minorHAnsi"/>
          <w:sz w:val="18"/>
        </w:rPr>
        <w:t xml:space="preserve"> Paragraph 41(2)(b).</w:t>
      </w:r>
    </w:p>
  </w:footnote>
  <w:footnote w:id="31">
    <w:p w14:paraId="51F0185A" w14:textId="77777777" w:rsidR="00610159" w:rsidRDefault="00610159" w:rsidP="00040EE5">
      <w:pPr>
        <w:pStyle w:val="FootnoteText"/>
        <w:jc w:val="both"/>
        <w:rPr>
          <w:rFonts w:asciiTheme="minorHAnsi" w:hAnsiTheme="minorHAnsi" w:cstheme="minorHAnsi"/>
          <w:sz w:val="18"/>
        </w:rPr>
      </w:pPr>
      <w:r>
        <w:rPr>
          <w:rStyle w:val="FootnoteReference"/>
          <w:rFonts w:asciiTheme="minorHAnsi" w:hAnsiTheme="minorHAnsi" w:cstheme="minorHAnsi"/>
          <w:sz w:val="18"/>
        </w:rPr>
        <w:footnoteRef/>
      </w:r>
      <w:r>
        <w:rPr>
          <w:rFonts w:asciiTheme="minorHAnsi" w:hAnsiTheme="minorHAnsi" w:cstheme="minorHAnsi"/>
          <w:sz w:val="18"/>
        </w:rPr>
        <w:t xml:space="preserve"> For example, under section 240.</w:t>
      </w:r>
    </w:p>
  </w:footnote>
  <w:footnote w:id="32">
    <w:p w14:paraId="02E306A2" w14:textId="77777777" w:rsidR="00610159" w:rsidRDefault="00610159" w:rsidP="00040EE5">
      <w:pPr>
        <w:pStyle w:val="FootnoteText"/>
        <w:jc w:val="both"/>
      </w:pPr>
      <w:r>
        <w:rPr>
          <w:rStyle w:val="FootnoteReference"/>
          <w:rFonts w:asciiTheme="minorHAnsi" w:hAnsiTheme="minorHAnsi" w:cstheme="minorHAnsi"/>
          <w:sz w:val="18"/>
        </w:rPr>
        <w:footnoteRef/>
      </w:r>
      <w:r>
        <w:rPr>
          <w:rFonts w:asciiTheme="minorHAnsi" w:hAnsiTheme="minorHAnsi" w:cstheme="minorHAnsi"/>
          <w:sz w:val="18"/>
        </w:rPr>
        <w:t xml:space="preserve"> See </w:t>
      </w:r>
      <w:r w:rsidRPr="00CB3720">
        <w:rPr>
          <w:rFonts w:asciiTheme="minorHAnsi" w:hAnsiTheme="minorHAnsi" w:cstheme="minorHAnsi"/>
          <w:b/>
          <w:color w:val="0000FF"/>
          <w:sz w:val="18"/>
          <w:u w:val="single"/>
        </w:rPr>
        <w:t>part</w:t>
      </w:r>
      <w:r w:rsidRPr="006F1DCC">
        <w:rPr>
          <w:rFonts w:asciiTheme="minorHAnsi" w:hAnsiTheme="minorHAnsi" w:cstheme="minorHAnsi"/>
          <w:b/>
          <w:color w:val="0000FF"/>
          <w:sz w:val="18"/>
          <w:u w:val="single"/>
        </w:rPr>
        <w:t xml:space="preserve"> </w:t>
      </w:r>
      <w:r w:rsidRPr="006F1DCC">
        <w:rPr>
          <w:rFonts w:asciiTheme="minorHAnsi" w:hAnsiTheme="minorHAnsi" w:cstheme="minorHAnsi"/>
          <w:b/>
          <w:color w:val="0000FF"/>
          <w:sz w:val="18"/>
          <w:u w:val="single"/>
        </w:rPr>
        <w:fldChar w:fldCharType="begin"/>
      </w:r>
      <w:r w:rsidRPr="006F1DCC">
        <w:rPr>
          <w:rFonts w:asciiTheme="minorHAnsi" w:hAnsiTheme="minorHAnsi" w:cstheme="minorHAnsi"/>
          <w:b/>
          <w:color w:val="0000FF"/>
          <w:sz w:val="18"/>
          <w:u w:val="single"/>
        </w:rPr>
        <w:instrText xml:space="preserve"> REF _Ref176437818 \r \h  \* MERGEFORMAT </w:instrText>
      </w:r>
      <w:r w:rsidRPr="006F1DCC">
        <w:rPr>
          <w:rFonts w:asciiTheme="minorHAnsi" w:hAnsiTheme="minorHAnsi" w:cstheme="minorHAnsi"/>
          <w:b/>
          <w:color w:val="0000FF"/>
          <w:sz w:val="18"/>
          <w:u w:val="single"/>
        </w:rPr>
      </w:r>
      <w:r w:rsidRPr="006F1DCC">
        <w:rPr>
          <w:rFonts w:asciiTheme="minorHAnsi" w:hAnsiTheme="minorHAnsi" w:cstheme="minorHAnsi"/>
          <w:b/>
          <w:color w:val="0000FF"/>
          <w:sz w:val="18"/>
          <w:u w:val="single"/>
        </w:rPr>
        <w:fldChar w:fldCharType="separate"/>
      </w:r>
      <w:r w:rsidRPr="006F1DCC">
        <w:rPr>
          <w:rFonts w:asciiTheme="minorHAnsi" w:hAnsiTheme="minorHAnsi" w:cstheme="minorHAnsi"/>
          <w:b/>
          <w:color w:val="0000FF"/>
          <w:sz w:val="18"/>
          <w:u w:val="single"/>
        </w:rPr>
        <w:t>3.5</w:t>
      </w:r>
      <w:r w:rsidRPr="006F1DCC">
        <w:rPr>
          <w:rFonts w:asciiTheme="minorHAnsi" w:hAnsiTheme="minorHAnsi" w:cstheme="minorHAnsi"/>
          <w:b/>
          <w:color w:val="0000FF"/>
          <w:sz w:val="18"/>
          <w:u w:val="single"/>
        </w:rPr>
        <w:fldChar w:fldCharType="end"/>
      </w:r>
      <w:r w:rsidRPr="006F1DCC">
        <w:rPr>
          <w:rFonts w:asciiTheme="minorHAnsi" w:hAnsiTheme="minorHAnsi" w:cstheme="minorHAnsi"/>
          <w:b/>
          <w:color w:val="0000FF"/>
          <w:sz w:val="18"/>
        </w:rPr>
        <w:t xml:space="preserve"> </w:t>
      </w:r>
      <w:r>
        <w:rPr>
          <w:rFonts w:asciiTheme="minorHAnsi" w:hAnsiTheme="minorHAnsi" w:cstheme="minorHAnsi"/>
          <w:sz w:val="18"/>
        </w:rPr>
        <w:t>for a further discussion on the ETA.</w:t>
      </w:r>
    </w:p>
  </w:footnote>
  <w:footnote w:id="33">
    <w:p w14:paraId="5A822D0C" w14:textId="77777777" w:rsidR="00610159" w:rsidRDefault="00610159" w:rsidP="00040EE5">
      <w:pPr>
        <w:pStyle w:val="FootnoteText"/>
        <w:jc w:val="both"/>
        <w:rPr>
          <w:rFonts w:asciiTheme="minorHAnsi" w:hAnsiTheme="minorHAnsi" w:cstheme="minorHAnsi"/>
          <w:sz w:val="18"/>
        </w:rPr>
      </w:pPr>
      <w:r>
        <w:rPr>
          <w:rStyle w:val="FootnoteReference"/>
          <w:rFonts w:asciiTheme="minorHAnsi" w:hAnsiTheme="minorHAnsi" w:cstheme="minorHAnsi"/>
          <w:sz w:val="18"/>
        </w:rPr>
        <w:footnoteRef/>
      </w:r>
      <w:r>
        <w:rPr>
          <w:rFonts w:asciiTheme="minorHAnsi" w:hAnsiTheme="minorHAnsi" w:cstheme="minorHAnsi"/>
          <w:sz w:val="18"/>
        </w:rPr>
        <w:t xml:space="preserve"> Sub-article 3(3) of schedule 1A.</w:t>
      </w:r>
    </w:p>
  </w:footnote>
  <w:footnote w:id="34">
    <w:p w14:paraId="4F07080B" w14:textId="77777777" w:rsidR="00610159" w:rsidRDefault="00610159" w:rsidP="00040EE5">
      <w:pPr>
        <w:pStyle w:val="FootnoteText"/>
        <w:jc w:val="both"/>
        <w:rPr>
          <w:rFonts w:asciiTheme="minorHAnsi" w:hAnsiTheme="minorHAnsi" w:cstheme="minorHAnsi"/>
          <w:sz w:val="18"/>
        </w:rPr>
      </w:pPr>
      <w:r>
        <w:rPr>
          <w:rStyle w:val="FootnoteReference"/>
          <w:rFonts w:asciiTheme="minorHAnsi" w:hAnsiTheme="minorHAnsi" w:cstheme="minorHAnsi"/>
          <w:sz w:val="18"/>
        </w:rPr>
        <w:footnoteRef/>
      </w:r>
      <w:r>
        <w:rPr>
          <w:rFonts w:asciiTheme="minorHAnsi" w:hAnsiTheme="minorHAnsi" w:cstheme="minorHAnsi"/>
          <w:sz w:val="18"/>
        </w:rPr>
        <w:t xml:space="preserve"> MLETR explanatory note, paragraph [37].</w:t>
      </w:r>
    </w:p>
  </w:footnote>
  <w:footnote w:id="35">
    <w:p w14:paraId="5BCC60F1" w14:textId="77777777" w:rsidR="00610159" w:rsidRDefault="00610159" w:rsidP="00040EE5">
      <w:pPr>
        <w:pStyle w:val="FootnoteText"/>
        <w:jc w:val="both"/>
        <w:rPr>
          <w:rFonts w:asciiTheme="minorHAnsi" w:hAnsiTheme="minorHAnsi" w:cstheme="minorHAnsi"/>
          <w:sz w:val="18"/>
        </w:rPr>
      </w:pPr>
      <w:r>
        <w:rPr>
          <w:rStyle w:val="FootnoteReference"/>
          <w:rFonts w:asciiTheme="minorHAnsi" w:hAnsiTheme="minorHAnsi" w:cstheme="minorHAnsi"/>
          <w:sz w:val="18"/>
        </w:rPr>
        <w:footnoteRef/>
      </w:r>
      <w:r>
        <w:rPr>
          <w:rFonts w:asciiTheme="minorHAnsi" w:hAnsiTheme="minorHAnsi" w:cstheme="minorHAnsi"/>
          <w:sz w:val="18"/>
        </w:rPr>
        <w:t xml:space="preserve"> Section 8.</w:t>
      </w:r>
    </w:p>
  </w:footnote>
  <w:footnote w:id="36">
    <w:p w14:paraId="4AAFDA50" w14:textId="77777777" w:rsidR="00610159" w:rsidRDefault="00610159" w:rsidP="00040EE5">
      <w:pPr>
        <w:pStyle w:val="FootnoteText"/>
        <w:jc w:val="both"/>
        <w:rPr>
          <w:rFonts w:asciiTheme="minorHAnsi" w:hAnsiTheme="minorHAnsi" w:cstheme="minorHAnsi"/>
          <w:sz w:val="18"/>
        </w:rPr>
      </w:pPr>
      <w:r>
        <w:rPr>
          <w:rStyle w:val="FootnoteReference"/>
          <w:rFonts w:asciiTheme="minorHAnsi" w:hAnsiTheme="minorHAnsi" w:cstheme="minorHAnsi"/>
          <w:sz w:val="18"/>
        </w:rPr>
        <w:footnoteRef/>
      </w:r>
      <w:r>
        <w:rPr>
          <w:rFonts w:asciiTheme="minorHAnsi" w:hAnsiTheme="minorHAnsi" w:cstheme="minorHAnsi"/>
          <w:sz w:val="18"/>
        </w:rPr>
        <w:t xml:space="preserve"> MLETR explanatory note, paragraph [11].</w:t>
      </w:r>
    </w:p>
  </w:footnote>
  <w:footnote w:id="37">
    <w:p w14:paraId="575703F5" w14:textId="77777777" w:rsidR="00610159" w:rsidRPr="006F1DCC" w:rsidRDefault="00610159" w:rsidP="00780D76">
      <w:pPr>
        <w:pStyle w:val="FootnoteText"/>
        <w:ind w:left="142" w:hanging="142"/>
        <w:jc w:val="both"/>
        <w:rPr>
          <w:rFonts w:asciiTheme="minorHAnsi" w:hAnsiTheme="minorHAnsi"/>
        </w:rPr>
      </w:pPr>
      <w:r>
        <w:rPr>
          <w:rStyle w:val="FootnoteReference"/>
          <w:rFonts w:asciiTheme="minorHAnsi" w:hAnsiTheme="minorHAnsi" w:cstheme="minorHAnsi"/>
          <w:sz w:val="18"/>
        </w:rPr>
        <w:footnoteRef/>
      </w:r>
      <w:r>
        <w:rPr>
          <w:rFonts w:asciiTheme="minorHAnsi" w:hAnsiTheme="minorHAnsi" w:cstheme="minorHAnsi"/>
          <w:sz w:val="18"/>
        </w:rPr>
        <w:t xml:space="preserve"> We note </w:t>
      </w:r>
      <w:r w:rsidRPr="006F1DCC">
        <w:rPr>
          <w:rFonts w:asciiTheme="minorHAnsi" w:hAnsiTheme="minorHAnsi" w:cstheme="minorHAnsi"/>
          <w:sz w:val="18"/>
        </w:rPr>
        <w:t>that article 10 of the MLETR specifically requires that, to be legally equivalent, an electronic transferable record must contain the same information that would be needed for a paper transferable record.</w:t>
      </w:r>
    </w:p>
  </w:footnote>
  <w:footnote w:id="38">
    <w:p w14:paraId="403FA020" w14:textId="263F427C" w:rsidR="00610159" w:rsidRDefault="00610159" w:rsidP="00040EE5">
      <w:pPr>
        <w:pStyle w:val="FootnoteText"/>
        <w:rPr>
          <w:sz w:val="18"/>
          <w:szCs w:val="18"/>
        </w:rPr>
      </w:pPr>
      <w:r w:rsidRPr="006F1DCC">
        <w:rPr>
          <w:rStyle w:val="FootnoteReference"/>
          <w:rFonts w:asciiTheme="minorHAnsi" w:hAnsiTheme="minorHAnsi"/>
          <w:sz w:val="18"/>
          <w:szCs w:val="18"/>
        </w:rPr>
        <w:footnoteRef/>
      </w:r>
      <w:r w:rsidRPr="006F1DCC">
        <w:rPr>
          <w:rFonts w:asciiTheme="minorHAnsi" w:hAnsiTheme="minorHAnsi"/>
          <w:sz w:val="18"/>
          <w:szCs w:val="18"/>
        </w:rPr>
        <w:t xml:space="preserve"> This is also consistent with UNCITRAL’s guidance: see para. [72] of the MLETR guidance note</w:t>
      </w:r>
      <w:r>
        <w:rPr>
          <w:rFonts w:asciiTheme="minorHAnsi" w:hAnsiTheme="minorHAnsi"/>
          <w:sz w:val="18"/>
          <w:szCs w:val="18"/>
        </w:rPr>
        <w:t>.</w:t>
      </w:r>
    </w:p>
  </w:footnote>
  <w:footnote w:id="39">
    <w:p w14:paraId="63EEC876" w14:textId="77777777" w:rsidR="00610159" w:rsidRPr="00140ED4" w:rsidRDefault="00610159" w:rsidP="00040EE5">
      <w:pPr>
        <w:pStyle w:val="FootnoteText"/>
        <w:rPr>
          <w:rFonts w:asciiTheme="minorHAnsi" w:hAnsiTheme="minorHAnsi"/>
          <w:sz w:val="18"/>
          <w:szCs w:val="18"/>
        </w:rPr>
      </w:pPr>
      <w:r w:rsidRPr="00140ED4">
        <w:rPr>
          <w:rStyle w:val="FootnoteReference"/>
          <w:rFonts w:asciiTheme="minorHAnsi" w:hAnsiTheme="minorHAnsi"/>
          <w:sz w:val="18"/>
          <w:szCs w:val="18"/>
        </w:rPr>
        <w:footnoteRef/>
      </w:r>
      <w:r w:rsidRPr="00140ED4">
        <w:rPr>
          <w:rFonts w:asciiTheme="minorHAnsi" w:hAnsiTheme="minorHAnsi"/>
          <w:sz w:val="18"/>
          <w:szCs w:val="18"/>
        </w:rPr>
        <w:t xml:space="preserve"> For example, the </w:t>
      </w:r>
      <w:r w:rsidRPr="00140ED4">
        <w:rPr>
          <w:rFonts w:asciiTheme="minorHAnsi" w:hAnsiTheme="minorHAnsi"/>
          <w:i/>
          <w:sz w:val="18"/>
          <w:szCs w:val="18"/>
        </w:rPr>
        <w:t>Electronic Transactions (Northern Territory) Act 2000</w:t>
      </w:r>
      <w:r w:rsidRPr="00140ED4">
        <w:rPr>
          <w:rFonts w:asciiTheme="minorHAnsi" w:hAnsiTheme="minorHAnsi"/>
          <w:sz w:val="18"/>
          <w:szCs w:val="18"/>
        </w:rPr>
        <w:t xml:space="preserve"> (NT) applies to NT law.</w:t>
      </w:r>
    </w:p>
  </w:footnote>
  <w:footnote w:id="40">
    <w:p w14:paraId="5A8D32BA" w14:textId="77777777" w:rsidR="00610159" w:rsidRPr="00FF7815" w:rsidRDefault="00610159" w:rsidP="00040EE5">
      <w:pPr>
        <w:pStyle w:val="FootnoteText"/>
        <w:rPr>
          <w:rFonts w:asciiTheme="minorHAnsi" w:hAnsiTheme="minorHAnsi" w:cstheme="minorHAnsi"/>
          <w:sz w:val="18"/>
          <w:szCs w:val="18"/>
        </w:rPr>
      </w:pPr>
      <w:r w:rsidRPr="00140ED4">
        <w:rPr>
          <w:rStyle w:val="FootnoteReference"/>
          <w:rFonts w:asciiTheme="minorHAnsi" w:hAnsiTheme="minorHAnsi"/>
          <w:sz w:val="18"/>
          <w:szCs w:val="18"/>
        </w:rPr>
        <w:footnoteRef/>
      </w:r>
      <w:r w:rsidRPr="00140ED4">
        <w:rPr>
          <w:rFonts w:asciiTheme="minorHAnsi" w:hAnsiTheme="minorHAnsi"/>
          <w:sz w:val="18"/>
          <w:szCs w:val="18"/>
        </w:rPr>
        <w:t xml:space="preserve"> From the </w:t>
      </w:r>
      <w:r w:rsidRPr="00140ED4">
        <w:rPr>
          <w:rFonts w:asciiTheme="minorHAnsi" w:hAnsiTheme="minorHAnsi"/>
          <w:i/>
          <w:sz w:val="18"/>
          <w:szCs w:val="18"/>
        </w:rPr>
        <w:t xml:space="preserve">Electronic Transactions </w:t>
      </w:r>
      <w:r w:rsidRPr="00FF7815">
        <w:rPr>
          <w:rFonts w:asciiTheme="minorHAnsi" w:hAnsiTheme="minorHAnsi" w:cstheme="minorHAnsi"/>
          <w:i/>
          <w:sz w:val="18"/>
          <w:szCs w:val="18"/>
        </w:rPr>
        <w:t>Act 1999</w:t>
      </w:r>
      <w:r w:rsidRPr="00FF7815">
        <w:rPr>
          <w:rFonts w:asciiTheme="minorHAnsi" w:hAnsiTheme="minorHAnsi" w:cstheme="minorHAnsi"/>
          <w:sz w:val="18"/>
          <w:szCs w:val="18"/>
        </w:rPr>
        <w:t xml:space="preserve"> (Cth) to the </w:t>
      </w:r>
      <w:r w:rsidRPr="00FF7815">
        <w:rPr>
          <w:rFonts w:asciiTheme="minorHAnsi" w:hAnsiTheme="minorHAnsi" w:cstheme="minorHAnsi"/>
          <w:i/>
          <w:sz w:val="18"/>
          <w:szCs w:val="18"/>
        </w:rPr>
        <w:t>Electronic Transactions Act 2003</w:t>
      </w:r>
      <w:r w:rsidRPr="00FF7815">
        <w:rPr>
          <w:rFonts w:asciiTheme="minorHAnsi" w:hAnsiTheme="minorHAnsi" w:cstheme="minorHAnsi"/>
          <w:sz w:val="18"/>
          <w:szCs w:val="18"/>
        </w:rPr>
        <w:t xml:space="preserve"> (WA).</w:t>
      </w:r>
    </w:p>
  </w:footnote>
  <w:footnote w:id="41">
    <w:p w14:paraId="75DFFDEE" w14:textId="77777777" w:rsidR="00610159" w:rsidRPr="00FF7815" w:rsidRDefault="00610159" w:rsidP="00040EE5">
      <w:pPr>
        <w:pStyle w:val="FootnoteText"/>
        <w:rPr>
          <w:rFonts w:asciiTheme="minorHAnsi" w:hAnsiTheme="minorHAnsi" w:cstheme="minorHAnsi"/>
          <w:sz w:val="18"/>
          <w:szCs w:val="18"/>
        </w:rPr>
      </w:pPr>
      <w:r w:rsidRPr="00FF7815">
        <w:rPr>
          <w:rStyle w:val="FootnoteReference"/>
          <w:rFonts w:asciiTheme="minorHAnsi" w:hAnsiTheme="minorHAnsi" w:cstheme="minorHAnsi"/>
          <w:sz w:val="18"/>
          <w:szCs w:val="18"/>
        </w:rPr>
        <w:footnoteRef/>
      </w:r>
      <w:r w:rsidRPr="00FF7815">
        <w:rPr>
          <w:rFonts w:asciiTheme="minorHAnsi" w:hAnsiTheme="minorHAnsi" w:cstheme="minorHAnsi"/>
          <w:sz w:val="18"/>
          <w:szCs w:val="18"/>
        </w:rPr>
        <w:t xml:space="preserve"> </w:t>
      </w:r>
      <w:r w:rsidRPr="00BE35EF">
        <w:rPr>
          <w:rFonts w:asciiTheme="minorHAnsi" w:hAnsiTheme="minorHAnsi" w:cstheme="minorHAnsi"/>
          <w:i/>
          <w:sz w:val="18"/>
          <w:szCs w:val="18"/>
        </w:rPr>
        <w:t>Electronic Transactions Bill 1999</w:t>
      </w:r>
      <w:r w:rsidRPr="00BE35EF">
        <w:rPr>
          <w:rFonts w:asciiTheme="minorHAnsi" w:hAnsiTheme="minorHAnsi" w:cstheme="minorHAnsi"/>
          <w:sz w:val="18"/>
          <w:szCs w:val="18"/>
        </w:rPr>
        <w:t xml:space="preserve">, second </w:t>
      </w:r>
      <w:r w:rsidRPr="00FF7815">
        <w:rPr>
          <w:rFonts w:asciiTheme="minorHAnsi" w:hAnsiTheme="minorHAnsi" w:cstheme="minorHAnsi"/>
          <w:sz w:val="18"/>
          <w:szCs w:val="18"/>
        </w:rPr>
        <w:t>reading speech.</w:t>
      </w:r>
    </w:p>
  </w:footnote>
  <w:footnote w:id="42">
    <w:p w14:paraId="2D1D9709" w14:textId="77777777" w:rsidR="00610159" w:rsidRPr="00FF7815" w:rsidRDefault="00610159" w:rsidP="00FF7815">
      <w:pPr>
        <w:pStyle w:val="FootnoteText"/>
        <w:ind w:left="142" w:hanging="142"/>
        <w:rPr>
          <w:rFonts w:asciiTheme="minorHAnsi" w:hAnsiTheme="minorHAnsi" w:cstheme="minorHAnsi"/>
          <w:sz w:val="18"/>
          <w:szCs w:val="18"/>
        </w:rPr>
      </w:pPr>
      <w:r w:rsidRPr="00FF7815">
        <w:rPr>
          <w:rStyle w:val="FootnoteReference"/>
          <w:rFonts w:asciiTheme="minorHAnsi" w:hAnsiTheme="minorHAnsi" w:cstheme="minorHAnsi"/>
          <w:sz w:val="18"/>
          <w:szCs w:val="18"/>
        </w:rPr>
        <w:footnoteRef/>
      </w:r>
      <w:r w:rsidRPr="00FF7815">
        <w:rPr>
          <w:rFonts w:asciiTheme="minorHAnsi" w:hAnsiTheme="minorHAnsi" w:cstheme="minorHAnsi"/>
          <w:sz w:val="18"/>
          <w:szCs w:val="18"/>
        </w:rPr>
        <w:t xml:space="preserve"> According to the UNCITRAL MLEC Status Table, (</w:t>
      </w:r>
      <w:hyperlink r:id="rId3" w:history="1">
        <w:r w:rsidRPr="006F1DCC">
          <w:rPr>
            <w:rStyle w:val="Hyperlink"/>
            <w:rFonts w:asciiTheme="minorHAnsi" w:hAnsiTheme="minorHAnsi" w:cstheme="minorHAnsi"/>
            <w:b/>
            <w:color w:val="0000FF"/>
            <w:sz w:val="18"/>
          </w:rPr>
          <w:t>Status: UNCITRAL Model Law of Electronic Commerce (1996) United  Nations Commission On International Trade Law</w:t>
        </w:r>
      </w:hyperlink>
      <w:r w:rsidRPr="00FF7815">
        <w:rPr>
          <w:rFonts w:asciiTheme="minorHAnsi" w:hAnsiTheme="minorHAnsi" w:cstheme="minorHAnsi"/>
          <w:sz w:val="18"/>
          <w:szCs w:val="18"/>
        </w:rPr>
        <w:t>], accessed 15 May 2024.</w:t>
      </w:r>
    </w:p>
  </w:footnote>
  <w:footnote w:id="43">
    <w:p w14:paraId="63380C9C" w14:textId="77777777" w:rsidR="00610159" w:rsidRPr="00140ED4" w:rsidRDefault="00610159" w:rsidP="00040EE5">
      <w:pPr>
        <w:pStyle w:val="FootnoteText"/>
        <w:rPr>
          <w:rFonts w:asciiTheme="minorHAnsi" w:hAnsiTheme="minorHAnsi"/>
          <w:sz w:val="18"/>
        </w:rPr>
      </w:pPr>
      <w:r w:rsidRPr="00FF7815">
        <w:rPr>
          <w:rStyle w:val="FootnoteReference"/>
          <w:rFonts w:asciiTheme="minorHAnsi" w:hAnsiTheme="minorHAnsi" w:cstheme="minorHAnsi"/>
          <w:sz w:val="18"/>
          <w:szCs w:val="18"/>
        </w:rPr>
        <w:footnoteRef/>
      </w:r>
      <w:r w:rsidRPr="00FF7815">
        <w:rPr>
          <w:rFonts w:asciiTheme="minorHAnsi" w:hAnsiTheme="minorHAnsi" w:cstheme="minorHAnsi"/>
          <w:sz w:val="18"/>
          <w:szCs w:val="18"/>
        </w:rPr>
        <w:t xml:space="preserve"> </w:t>
      </w:r>
      <w:hyperlink r:id="rId4" w:history="1">
        <w:r w:rsidRPr="006F1DCC">
          <w:rPr>
            <w:rStyle w:val="Hyperlink"/>
            <w:rFonts w:asciiTheme="minorHAnsi" w:hAnsiTheme="minorHAnsi" w:cstheme="minorHAnsi"/>
            <w:b/>
            <w:color w:val="0000FF"/>
            <w:sz w:val="18"/>
          </w:rPr>
          <w:t>Electronic Commerce | United Nations Commission On International Trade Law</w:t>
        </w:r>
      </w:hyperlink>
      <w:r w:rsidRPr="00FF7815">
        <w:rPr>
          <w:rStyle w:val="Hyperlink"/>
          <w:rFonts w:asciiTheme="minorHAnsi" w:hAnsiTheme="minorHAnsi" w:cstheme="minorHAnsi"/>
          <w:b/>
          <w:sz w:val="18"/>
        </w:rPr>
        <w:t>.</w:t>
      </w:r>
    </w:p>
  </w:footnote>
  <w:footnote w:id="44">
    <w:p w14:paraId="78489C6D" w14:textId="77777777" w:rsidR="00610159" w:rsidRPr="00140ED4" w:rsidRDefault="00610159" w:rsidP="00040EE5">
      <w:pPr>
        <w:pStyle w:val="FootnoteText"/>
        <w:jc w:val="both"/>
        <w:rPr>
          <w:rFonts w:asciiTheme="minorHAnsi" w:hAnsiTheme="minorHAnsi"/>
          <w:sz w:val="18"/>
          <w:szCs w:val="18"/>
        </w:rPr>
      </w:pPr>
      <w:r w:rsidRPr="00BE35EF">
        <w:rPr>
          <w:rStyle w:val="FootnoteReference"/>
          <w:rFonts w:asciiTheme="minorHAnsi" w:hAnsiTheme="minorHAnsi"/>
          <w:sz w:val="18"/>
        </w:rPr>
        <w:footnoteRef/>
      </w:r>
      <w:r w:rsidRPr="00BE35EF">
        <w:rPr>
          <w:rFonts w:asciiTheme="minorHAnsi" w:hAnsiTheme="minorHAnsi"/>
          <w:sz w:val="18"/>
        </w:rPr>
        <w:t xml:space="preserve"> Electronic </w:t>
      </w:r>
      <w:r w:rsidRPr="00BE35EF">
        <w:rPr>
          <w:rFonts w:asciiTheme="minorHAnsi" w:hAnsiTheme="minorHAnsi"/>
          <w:sz w:val="18"/>
          <w:szCs w:val="18"/>
        </w:rPr>
        <w:t xml:space="preserve">Transactions Amendment Bill 2011, </w:t>
      </w:r>
      <w:r w:rsidRPr="00140ED4">
        <w:rPr>
          <w:rFonts w:asciiTheme="minorHAnsi" w:hAnsiTheme="minorHAnsi"/>
          <w:sz w:val="18"/>
          <w:szCs w:val="18"/>
        </w:rPr>
        <w:t>second reading speech.</w:t>
      </w:r>
    </w:p>
  </w:footnote>
  <w:footnote w:id="45">
    <w:p w14:paraId="14A6070C" w14:textId="77777777" w:rsidR="00610159" w:rsidRPr="00140ED4" w:rsidRDefault="00610159" w:rsidP="00040EE5">
      <w:pPr>
        <w:pStyle w:val="FootnoteText"/>
        <w:jc w:val="both"/>
        <w:rPr>
          <w:rFonts w:asciiTheme="minorHAnsi" w:hAnsiTheme="minorHAnsi"/>
          <w:sz w:val="18"/>
          <w:szCs w:val="18"/>
        </w:rPr>
      </w:pPr>
      <w:r w:rsidRPr="00140ED4">
        <w:rPr>
          <w:rStyle w:val="FootnoteReference"/>
          <w:rFonts w:asciiTheme="minorHAnsi" w:hAnsiTheme="minorHAnsi"/>
          <w:sz w:val="18"/>
          <w:szCs w:val="18"/>
        </w:rPr>
        <w:footnoteRef/>
      </w:r>
      <w:r w:rsidRPr="00140ED4">
        <w:rPr>
          <w:rFonts w:asciiTheme="minorHAnsi" w:hAnsiTheme="minorHAnsi"/>
          <w:sz w:val="18"/>
          <w:szCs w:val="18"/>
        </w:rPr>
        <w:t xml:space="preserve"> For example, under section 15E.</w:t>
      </w:r>
    </w:p>
  </w:footnote>
  <w:footnote w:id="46">
    <w:p w14:paraId="40691E2B" w14:textId="77777777" w:rsidR="00610159" w:rsidRPr="00FF7815" w:rsidRDefault="00610159" w:rsidP="00040EE5">
      <w:pPr>
        <w:pStyle w:val="FootnoteText"/>
        <w:jc w:val="both"/>
        <w:rPr>
          <w:rFonts w:asciiTheme="minorHAnsi" w:hAnsiTheme="minorHAnsi" w:cstheme="minorHAnsi"/>
          <w:sz w:val="18"/>
          <w:szCs w:val="18"/>
        </w:rPr>
      </w:pPr>
      <w:r w:rsidRPr="00FF7815">
        <w:rPr>
          <w:rStyle w:val="FootnoteReference"/>
          <w:rFonts w:asciiTheme="minorHAnsi" w:hAnsiTheme="minorHAnsi" w:cstheme="minorHAnsi"/>
          <w:sz w:val="18"/>
          <w:szCs w:val="18"/>
        </w:rPr>
        <w:footnoteRef/>
      </w:r>
      <w:r w:rsidRPr="00FF7815">
        <w:rPr>
          <w:rFonts w:asciiTheme="minorHAnsi" w:hAnsiTheme="minorHAnsi" w:cstheme="minorHAnsi"/>
          <w:sz w:val="18"/>
          <w:szCs w:val="18"/>
        </w:rPr>
        <w:t xml:space="preserve"> Some of these similarities are discussed under</w:t>
      </w:r>
      <w:r>
        <w:rPr>
          <w:rFonts w:asciiTheme="minorHAnsi" w:hAnsiTheme="minorHAnsi" w:cstheme="minorHAnsi"/>
          <w:sz w:val="18"/>
          <w:szCs w:val="18"/>
        </w:rPr>
        <w:t xml:space="preserve"> </w:t>
      </w:r>
      <w:r w:rsidRPr="006F1DCC">
        <w:rPr>
          <w:rFonts w:asciiTheme="minorHAnsi" w:hAnsiTheme="minorHAnsi" w:cstheme="minorHAnsi"/>
          <w:b/>
          <w:color w:val="0000FF"/>
          <w:sz w:val="18"/>
          <w:szCs w:val="18"/>
          <w:u w:val="single"/>
        </w:rPr>
        <w:t xml:space="preserve">part </w:t>
      </w:r>
      <w:r w:rsidRPr="006F1DCC">
        <w:rPr>
          <w:rFonts w:asciiTheme="minorHAnsi" w:hAnsiTheme="minorHAnsi" w:cstheme="minorHAnsi"/>
          <w:b/>
          <w:color w:val="0000FF"/>
          <w:sz w:val="18"/>
          <w:szCs w:val="18"/>
          <w:u w:val="single"/>
        </w:rPr>
        <w:fldChar w:fldCharType="begin"/>
      </w:r>
      <w:r w:rsidRPr="006F1DCC">
        <w:rPr>
          <w:rFonts w:asciiTheme="minorHAnsi" w:hAnsiTheme="minorHAnsi" w:cstheme="minorHAnsi"/>
          <w:b/>
          <w:color w:val="0000FF"/>
          <w:sz w:val="18"/>
          <w:szCs w:val="18"/>
          <w:u w:val="single"/>
        </w:rPr>
        <w:instrText xml:space="preserve"> REF _Ref176437840 \r \h  \* MERGEFORMAT </w:instrText>
      </w:r>
      <w:r w:rsidRPr="006F1DCC">
        <w:rPr>
          <w:rFonts w:asciiTheme="minorHAnsi" w:hAnsiTheme="minorHAnsi" w:cstheme="minorHAnsi"/>
          <w:b/>
          <w:color w:val="0000FF"/>
          <w:sz w:val="18"/>
          <w:szCs w:val="18"/>
          <w:u w:val="single"/>
        </w:rPr>
      </w:r>
      <w:r w:rsidRPr="006F1DCC">
        <w:rPr>
          <w:rFonts w:asciiTheme="minorHAnsi" w:hAnsiTheme="minorHAnsi" w:cstheme="minorHAnsi"/>
          <w:b/>
          <w:color w:val="0000FF"/>
          <w:sz w:val="18"/>
          <w:szCs w:val="18"/>
          <w:u w:val="single"/>
        </w:rPr>
        <w:fldChar w:fldCharType="separate"/>
      </w:r>
      <w:r w:rsidRPr="006F1DCC">
        <w:rPr>
          <w:rFonts w:asciiTheme="minorHAnsi" w:hAnsiTheme="minorHAnsi" w:cstheme="minorHAnsi"/>
          <w:b/>
          <w:color w:val="0000FF"/>
          <w:sz w:val="18"/>
          <w:szCs w:val="18"/>
          <w:u w:val="single"/>
        </w:rPr>
        <w:t>4</w:t>
      </w:r>
      <w:r w:rsidRPr="006F1DCC">
        <w:rPr>
          <w:rFonts w:asciiTheme="minorHAnsi" w:hAnsiTheme="minorHAnsi" w:cstheme="minorHAnsi"/>
          <w:b/>
          <w:color w:val="0000FF"/>
          <w:sz w:val="18"/>
          <w:szCs w:val="18"/>
          <w:u w:val="single"/>
        </w:rPr>
        <w:fldChar w:fldCharType="end"/>
      </w:r>
      <w:r w:rsidRPr="00FF7815">
        <w:rPr>
          <w:rFonts w:asciiTheme="minorHAnsi" w:hAnsiTheme="minorHAnsi" w:cstheme="minorHAnsi"/>
          <w:sz w:val="18"/>
          <w:szCs w:val="18"/>
        </w:rPr>
        <w:t xml:space="preserve"> of this paper</w:t>
      </w:r>
      <w:r>
        <w:rPr>
          <w:rFonts w:asciiTheme="minorHAnsi" w:hAnsiTheme="minorHAnsi" w:cstheme="minorHAnsi"/>
          <w:sz w:val="18"/>
          <w:szCs w:val="18"/>
        </w:rPr>
        <w:t>.</w:t>
      </w:r>
    </w:p>
  </w:footnote>
  <w:footnote w:id="47">
    <w:p w14:paraId="1BB7240D" w14:textId="77777777" w:rsidR="00610159" w:rsidRPr="00FF7815" w:rsidRDefault="00610159" w:rsidP="00040EE5">
      <w:pPr>
        <w:pStyle w:val="FootnoteText"/>
        <w:jc w:val="both"/>
        <w:rPr>
          <w:rFonts w:asciiTheme="minorHAnsi" w:hAnsiTheme="minorHAnsi" w:cstheme="minorHAnsi"/>
          <w:sz w:val="18"/>
          <w:szCs w:val="18"/>
        </w:rPr>
      </w:pPr>
      <w:r w:rsidRPr="00FF7815">
        <w:rPr>
          <w:rStyle w:val="FootnoteReference"/>
          <w:rFonts w:asciiTheme="minorHAnsi" w:hAnsiTheme="minorHAnsi" w:cstheme="minorHAnsi"/>
          <w:sz w:val="18"/>
          <w:szCs w:val="18"/>
        </w:rPr>
        <w:footnoteRef/>
      </w:r>
      <w:r w:rsidRPr="00FF7815">
        <w:rPr>
          <w:rFonts w:asciiTheme="minorHAnsi" w:hAnsiTheme="minorHAnsi" w:cstheme="minorHAnsi"/>
          <w:sz w:val="18"/>
          <w:szCs w:val="18"/>
        </w:rPr>
        <w:t xml:space="preserve"> These are some of the functions under Division 2 of Part 2 of the ET</w:t>
      </w:r>
      <w:r>
        <w:rPr>
          <w:rFonts w:asciiTheme="minorHAnsi" w:hAnsiTheme="minorHAnsi" w:cstheme="minorHAnsi"/>
          <w:sz w:val="18"/>
          <w:szCs w:val="18"/>
        </w:rPr>
        <w:t>A.</w:t>
      </w:r>
    </w:p>
  </w:footnote>
  <w:footnote w:id="48">
    <w:p w14:paraId="5BEEC4B0" w14:textId="77777777" w:rsidR="00610159" w:rsidRPr="00FF7815" w:rsidRDefault="00610159" w:rsidP="00FF7815">
      <w:pPr>
        <w:pStyle w:val="FootnoteText"/>
        <w:ind w:left="142" w:hanging="142"/>
        <w:jc w:val="both"/>
        <w:rPr>
          <w:rFonts w:asciiTheme="minorHAnsi" w:hAnsiTheme="minorHAnsi" w:cstheme="minorHAnsi"/>
          <w:i/>
          <w:sz w:val="18"/>
          <w:szCs w:val="18"/>
        </w:rPr>
      </w:pPr>
      <w:r w:rsidRPr="00FF7815">
        <w:rPr>
          <w:rStyle w:val="FootnoteReference"/>
          <w:rFonts w:asciiTheme="minorHAnsi" w:hAnsiTheme="minorHAnsi" w:cstheme="minorHAnsi"/>
          <w:sz w:val="18"/>
          <w:szCs w:val="18"/>
        </w:rPr>
        <w:footnoteRef/>
      </w:r>
      <w:r w:rsidRPr="00FF7815">
        <w:rPr>
          <w:rFonts w:asciiTheme="minorHAnsi" w:hAnsiTheme="minorHAnsi" w:cstheme="minorHAnsi"/>
          <w:sz w:val="18"/>
          <w:szCs w:val="18"/>
        </w:rPr>
        <w:t xml:space="preserve"> For example, under paragraph 9(1)(a) of the ETA, it must be reasonable to expect that electronic written information (where required under Commonwealth law) would be </w:t>
      </w:r>
      <w:r w:rsidRPr="00FF7815">
        <w:rPr>
          <w:rFonts w:asciiTheme="minorHAnsi" w:hAnsiTheme="minorHAnsi" w:cstheme="minorHAnsi"/>
          <w:i/>
          <w:sz w:val="18"/>
          <w:szCs w:val="18"/>
        </w:rPr>
        <w:t>“readily accessible so as to be useable for subsequent reference”.</w:t>
      </w:r>
    </w:p>
  </w:footnote>
  <w:footnote w:id="49">
    <w:p w14:paraId="71FC7617" w14:textId="77777777" w:rsidR="00610159" w:rsidRPr="00FF7815" w:rsidRDefault="00610159" w:rsidP="00FF7815">
      <w:pPr>
        <w:pStyle w:val="FootnoteText"/>
        <w:ind w:left="142" w:hanging="142"/>
        <w:jc w:val="both"/>
        <w:rPr>
          <w:rFonts w:asciiTheme="minorHAnsi" w:hAnsiTheme="minorHAnsi" w:cstheme="minorHAnsi"/>
          <w:sz w:val="18"/>
          <w:szCs w:val="18"/>
        </w:rPr>
      </w:pPr>
      <w:r w:rsidRPr="00FF7815">
        <w:rPr>
          <w:rStyle w:val="FootnoteReference"/>
          <w:rFonts w:asciiTheme="minorHAnsi" w:hAnsiTheme="minorHAnsi" w:cstheme="minorHAnsi"/>
          <w:sz w:val="18"/>
          <w:szCs w:val="18"/>
        </w:rPr>
        <w:footnoteRef/>
      </w:r>
      <w:r w:rsidRPr="00FF7815">
        <w:rPr>
          <w:rFonts w:asciiTheme="minorHAnsi" w:hAnsiTheme="minorHAnsi" w:cstheme="minorHAnsi"/>
          <w:sz w:val="18"/>
          <w:szCs w:val="18"/>
        </w:rPr>
        <w:t xml:space="preserve"> For example, the UNCITRAL explanatory note to the MLEC indicates that the MLEC articles applying to signatures and written information do not provide functional equivalents for the transfer of rights and obligations by the transfer of written documents, at paragraph [113].</w:t>
      </w:r>
    </w:p>
  </w:footnote>
  <w:footnote w:id="50">
    <w:p w14:paraId="7D4B4E9B" w14:textId="77777777" w:rsidR="00610159" w:rsidRPr="00FF7815" w:rsidRDefault="00610159" w:rsidP="00040EE5">
      <w:pPr>
        <w:pStyle w:val="FootnoteText"/>
        <w:jc w:val="both"/>
        <w:rPr>
          <w:rFonts w:asciiTheme="minorHAnsi" w:hAnsiTheme="minorHAnsi" w:cstheme="minorHAnsi"/>
          <w:sz w:val="18"/>
          <w:szCs w:val="18"/>
        </w:rPr>
      </w:pPr>
      <w:r w:rsidRPr="00FF7815">
        <w:rPr>
          <w:rStyle w:val="FootnoteReference"/>
          <w:rFonts w:asciiTheme="minorHAnsi" w:hAnsiTheme="minorHAnsi" w:cstheme="minorHAnsi"/>
          <w:sz w:val="18"/>
          <w:szCs w:val="18"/>
        </w:rPr>
        <w:footnoteRef/>
      </w:r>
      <w:r w:rsidRPr="00FF7815">
        <w:rPr>
          <w:rFonts w:asciiTheme="minorHAnsi" w:hAnsiTheme="minorHAnsi" w:cstheme="minorHAnsi"/>
          <w:sz w:val="18"/>
          <w:szCs w:val="18"/>
        </w:rPr>
        <w:t xml:space="preserve"> Schedule 1, Item 1(13).</w:t>
      </w:r>
    </w:p>
  </w:footnote>
  <w:footnote w:id="51">
    <w:p w14:paraId="4D13930F" w14:textId="77777777" w:rsidR="00610159" w:rsidRDefault="00610159" w:rsidP="00040EE5">
      <w:pPr>
        <w:pStyle w:val="FootnoteText"/>
        <w:jc w:val="both"/>
        <w:rPr>
          <w:sz w:val="18"/>
          <w:szCs w:val="18"/>
        </w:rPr>
      </w:pPr>
      <w:r w:rsidRPr="00FF7815">
        <w:rPr>
          <w:rStyle w:val="FootnoteReference"/>
          <w:rFonts w:asciiTheme="minorHAnsi" w:hAnsiTheme="minorHAnsi" w:cstheme="minorHAnsi"/>
          <w:sz w:val="18"/>
          <w:szCs w:val="18"/>
        </w:rPr>
        <w:footnoteRef/>
      </w:r>
      <w:r w:rsidRPr="00FF7815">
        <w:rPr>
          <w:rFonts w:asciiTheme="minorHAnsi" w:hAnsiTheme="minorHAnsi" w:cstheme="minorHAnsi"/>
          <w:sz w:val="18"/>
          <w:szCs w:val="18"/>
        </w:rPr>
        <w:t xml:space="preserve"> Schedule 1, Items 12-17.</w:t>
      </w:r>
    </w:p>
  </w:footnote>
  <w:footnote w:id="52">
    <w:p w14:paraId="02FD7EF2" w14:textId="77777777" w:rsidR="00610159" w:rsidRDefault="00610159" w:rsidP="00040EE5">
      <w:pPr>
        <w:pStyle w:val="FootnoteText"/>
        <w:rPr>
          <w:rFonts w:asciiTheme="minorHAnsi" w:hAnsiTheme="minorHAnsi" w:cstheme="minorHAnsi"/>
          <w:sz w:val="18"/>
          <w:szCs w:val="18"/>
        </w:rPr>
      </w:pPr>
      <w:r>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From the </w:t>
      </w:r>
      <w:r>
        <w:rPr>
          <w:rFonts w:asciiTheme="minorHAnsi" w:hAnsiTheme="minorHAnsi" w:cstheme="minorHAnsi"/>
          <w:i/>
          <w:sz w:val="18"/>
          <w:szCs w:val="18"/>
        </w:rPr>
        <w:t xml:space="preserve">Sea-Carriage Documents Act 1996 </w:t>
      </w:r>
      <w:r>
        <w:rPr>
          <w:rFonts w:asciiTheme="minorHAnsi" w:hAnsiTheme="minorHAnsi" w:cstheme="minorHAnsi"/>
          <w:sz w:val="18"/>
          <w:szCs w:val="18"/>
        </w:rPr>
        <w:t xml:space="preserve">(Qld) until the </w:t>
      </w:r>
      <w:r>
        <w:rPr>
          <w:rFonts w:asciiTheme="minorHAnsi" w:hAnsiTheme="minorHAnsi" w:cstheme="minorHAnsi"/>
          <w:i/>
          <w:sz w:val="18"/>
          <w:szCs w:val="18"/>
        </w:rPr>
        <w:t xml:space="preserve">Sea-Carriage Documents Act 1998 </w:t>
      </w:r>
      <w:r>
        <w:rPr>
          <w:rFonts w:asciiTheme="minorHAnsi" w:hAnsiTheme="minorHAnsi" w:cstheme="minorHAnsi"/>
          <w:sz w:val="18"/>
          <w:szCs w:val="18"/>
        </w:rPr>
        <w:t>(NT).</w:t>
      </w:r>
    </w:p>
  </w:footnote>
  <w:footnote w:id="53">
    <w:p w14:paraId="51FBAAE2" w14:textId="77777777" w:rsidR="00610159" w:rsidRPr="006F1DCC" w:rsidRDefault="00610159" w:rsidP="00040EE5">
      <w:pPr>
        <w:pStyle w:val="FootnoteText"/>
        <w:rPr>
          <w:rFonts w:asciiTheme="minorHAnsi" w:hAnsiTheme="minorHAnsi" w:cstheme="minorHAnsi"/>
          <w:sz w:val="18"/>
          <w:szCs w:val="18"/>
        </w:rPr>
      </w:pPr>
      <w:r>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Explanatory </w:t>
      </w:r>
      <w:r w:rsidRPr="006F1DCC">
        <w:rPr>
          <w:rFonts w:asciiTheme="minorHAnsi" w:hAnsiTheme="minorHAnsi" w:cstheme="minorHAnsi"/>
          <w:sz w:val="18"/>
          <w:szCs w:val="18"/>
        </w:rPr>
        <w:t>notes, Sea-Carriage Documents Bill 1996 (QLD), page 1.</w:t>
      </w:r>
    </w:p>
  </w:footnote>
  <w:footnote w:id="54">
    <w:p w14:paraId="3ED776F2" w14:textId="77777777" w:rsidR="00610159" w:rsidRDefault="00610159" w:rsidP="00040EE5">
      <w:pPr>
        <w:pStyle w:val="FootnoteText"/>
        <w:rPr>
          <w:rFonts w:asciiTheme="minorHAnsi" w:hAnsiTheme="minorHAnsi" w:cstheme="minorHAnsi"/>
          <w:sz w:val="18"/>
          <w:szCs w:val="18"/>
        </w:rPr>
      </w:pPr>
      <w:r w:rsidRPr="006F1DCC">
        <w:rPr>
          <w:rStyle w:val="FootnoteReference"/>
          <w:rFonts w:asciiTheme="minorHAnsi" w:hAnsiTheme="minorHAnsi" w:cstheme="minorHAnsi"/>
          <w:sz w:val="18"/>
          <w:szCs w:val="18"/>
        </w:rPr>
        <w:footnoteRef/>
      </w:r>
      <w:r w:rsidRPr="006F1DCC">
        <w:rPr>
          <w:rFonts w:asciiTheme="minorHAnsi" w:hAnsiTheme="minorHAnsi" w:cstheme="minorHAnsi"/>
          <w:sz w:val="18"/>
          <w:szCs w:val="18"/>
        </w:rPr>
        <w:t xml:space="preserve"> For example, under sections 8 and 10 of the </w:t>
      </w:r>
      <w:r w:rsidRPr="006F1DCC">
        <w:rPr>
          <w:rFonts w:asciiTheme="minorHAnsi" w:hAnsiTheme="minorHAnsi" w:cstheme="minorHAnsi"/>
          <w:i/>
          <w:sz w:val="18"/>
          <w:szCs w:val="18"/>
        </w:rPr>
        <w:t xml:space="preserve">Sea-Carriage Documents </w:t>
      </w:r>
      <w:r>
        <w:rPr>
          <w:rFonts w:asciiTheme="minorHAnsi" w:hAnsiTheme="minorHAnsi" w:cstheme="minorHAnsi"/>
          <w:i/>
          <w:sz w:val="18"/>
          <w:szCs w:val="18"/>
        </w:rPr>
        <w:t>Act 1997</w:t>
      </w:r>
      <w:r>
        <w:rPr>
          <w:rFonts w:asciiTheme="minorHAnsi" w:hAnsiTheme="minorHAnsi" w:cstheme="minorHAnsi"/>
          <w:sz w:val="18"/>
          <w:szCs w:val="18"/>
        </w:rPr>
        <w:t xml:space="preserve"> (NSW).</w:t>
      </w:r>
    </w:p>
  </w:footnote>
  <w:footnote w:id="55">
    <w:p w14:paraId="6AFB0065" w14:textId="77777777" w:rsidR="00610159" w:rsidRDefault="00610159" w:rsidP="00040EE5">
      <w:pPr>
        <w:pStyle w:val="FootnoteText"/>
        <w:rPr>
          <w:rFonts w:asciiTheme="minorHAnsi" w:hAnsiTheme="minorHAnsi" w:cstheme="minorHAnsi"/>
          <w:sz w:val="18"/>
          <w:szCs w:val="18"/>
        </w:rPr>
      </w:pPr>
      <w:r>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Schedule 1A, Article 3(3).</w:t>
      </w:r>
    </w:p>
  </w:footnote>
  <w:footnote w:id="56">
    <w:p w14:paraId="3A4B24C5" w14:textId="77777777" w:rsidR="00610159" w:rsidRDefault="00610159" w:rsidP="00040EE5">
      <w:pPr>
        <w:pStyle w:val="FootnoteText"/>
        <w:rPr>
          <w:sz w:val="18"/>
        </w:rPr>
      </w:pPr>
      <w:r>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Schedule 1A, Article 4(5)(c).</w:t>
      </w:r>
    </w:p>
  </w:footnote>
  <w:footnote w:id="57">
    <w:p w14:paraId="6FCE59A1" w14:textId="77777777" w:rsidR="00610159" w:rsidRDefault="00610159" w:rsidP="00780D76">
      <w:pPr>
        <w:pStyle w:val="FootnoteText"/>
        <w:ind w:left="142" w:hanging="142"/>
        <w:rPr>
          <w:rFonts w:asciiTheme="minorHAnsi" w:hAnsiTheme="minorHAnsi" w:cstheme="minorHAnsi"/>
        </w:rPr>
      </w:pPr>
      <w:r>
        <w:rPr>
          <w:rStyle w:val="FootnoteReference"/>
          <w:rFonts w:asciiTheme="minorHAnsi" w:hAnsiTheme="minorHAnsi" w:cstheme="minorHAnsi"/>
          <w:sz w:val="18"/>
        </w:rPr>
        <w:footnoteRef/>
      </w:r>
      <w:r>
        <w:rPr>
          <w:rFonts w:asciiTheme="minorHAnsi" w:hAnsiTheme="minorHAnsi" w:cstheme="minorHAnsi"/>
          <w:sz w:val="18"/>
        </w:rPr>
        <w:t xml:space="preserve"> Discussion Paper: Proposals for Reform of Australian Bills of Lading Legislation, Attorney-General’s Department and Department of Transport, June 1994, page 25 (discussion regarding SeaDocs and CMI Rules).</w:t>
      </w:r>
    </w:p>
  </w:footnote>
  <w:footnote w:id="58">
    <w:p w14:paraId="5A515AF1" w14:textId="77777777" w:rsidR="00610159" w:rsidRDefault="00610159" w:rsidP="00780D76">
      <w:pPr>
        <w:pStyle w:val="FootnoteText"/>
        <w:ind w:left="142" w:hanging="142"/>
        <w:jc w:val="both"/>
        <w:rPr>
          <w:rFonts w:asciiTheme="minorHAnsi" w:hAnsiTheme="minorHAnsi" w:cstheme="minorHAnsi"/>
          <w:sz w:val="18"/>
          <w:szCs w:val="18"/>
        </w:rPr>
      </w:pPr>
      <w:r>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For example, under Article 1A(1) to Schedule 1A of the COGSA: The Rules apply with </w:t>
      </w:r>
      <w:r>
        <w:rPr>
          <w:rFonts w:asciiTheme="minorHAnsi" w:hAnsiTheme="minorHAnsi" w:cstheme="minorHAnsi"/>
          <w:i/>
          <w:sz w:val="18"/>
          <w:szCs w:val="18"/>
        </w:rPr>
        <w:t>‘necessary changes</w:t>
      </w:r>
      <w:r>
        <w:rPr>
          <w:rFonts w:asciiTheme="minorHAnsi" w:hAnsiTheme="minorHAnsi" w:cstheme="minorHAnsi"/>
          <w:sz w:val="18"/>
          <w:szCs w:val="18"/>
        </w:rPr>
        <w:t xml:space="preserve">, to a [bill of lading] </w:t>
      </w:r>
      <w:r>
        <w:rPr>
          <w:rFonts w:asciiTheme="minorHAnsi" w:hAnsiTheme="minorHAnsi" w:cstheme="minorHAnsi"/>
          <w:i/>
          <w:sz w:val="18"/>
          <w:szCs w:val="18"/>
        </w:rPr>
        <w:t>in the form of a data message in the same way as they apply to such a document in printed form’</w:t>
      </w:r>
      <w:r>
        <w:rPr>
          <w:rFonts w:asciiTheme="minorHAnsi" w:hAnsiTheme="minorHAnsi" w:cstheme="minorHAnsi"/>
          <w:sz w:val="18"/>
          <w:szCs w:val="18"/>
        </w:rPr>
        <w:t>.</w:t>
      </w:r>
    </w:p>
  </w:footnote>
  <w:footnote w:id="59">
    <w:p w14:paraId="7E1AA74A" w14:textId="77777777" w:rsidR="00610159" w:rsidRDefault="00610159" w:rsidP="00780D76">
      <w:pPr>
        <w:pStyle w:val="FootnoteText"/>
        <w:ind w:left="142" w:hanging="142"/>
        <w:jc w:val="both"/>
      </w:pPr>
      <w:r>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For example, section 6(3) of the NSW SCDA defines </w:t>
      </w:r>
      <w:r>
        <w:rPr>
          <w:rFonts w:asciiTheme="minorHAnsi" w:hAnsiTheme="minorHAnsi" w:cstheme="minorHAnsi"/>
          <w:i/>
          <w:sz w:val="18"/>
          <w:szCs w:val="18"/>
        </w:rPr>
        <w:t>‘“possession”, in relation to the</w:t>
      </w:r>
      <w:r>
        <w:rPr>
          <w:rFonts w:asciiTheme="minorHAnsi" w:hAnsiTheme="minorHAnsi" w:cstheme="minorHAnsi"/>
          <w:sz w:val="18"/>
          <w:szCs w:val="18"/>
        </w:rPr>
        <w:t xml:space="preserve"> [bill of lading], [as including] </w:t>
      </w:r>
      <w:r>
        <w:rPr>
          <w:rFonts w:asciiTheme="minorHAnsi" w:hAnsiTheme="minorHAnsi" w:cstheme="minorHAnsi"/>
          <w:i/>
          <w:sz w:val="18"/>
          <w:szCs w:val="18"/>
        </w:rPr>
        <w:t>being in receipt of the document in any manner which constitutes possession under the terms of the contract of carriage…’</w:t>
      </w:r>
    </w:p>
  </w:footnote>
  <w:footnote w:id="60">
    <w:p w14:paraId="5F90B69F" w14:textId="77777777" w:rsidR="00610159" w:rsidRDefault="00610159" w:rsidP="00040EE5">
      <w:pPr>
        <w:pStyle w:val="FootnoteText"/>
        <w:jc w:val="both"/>
        <w:rPr>
          <w:rFonts w:asciiTheme="minorHAnsi" w:hAnsiTheme="minorHAnsi" w:cstheme="minorHAnsi"/>
          <w:sz w:val="18"/>
        </w:rPr>
      </w:pPr>
      <w:r w:rsidRPr="00527401">
        <w:rPr>
          <w:rStyle w:val="FootnoteReference"/>
          <w:rFonts w:asciiTheme="minorHAnsi" w:hAnsiTheme="minorHAnsi" w:cstheme="minorHAnsi"/>
          <w:sz w:val="18"/>
        </w:rPr>
        <w:footnoteRef/>
      </w:r>
      <w:r w:rsidRPr="00527401">
        <w:rPr>
          <w:rFonts w:asciiTheme="minorHAnsi" w:hAnsiTheme="minorHAnsi" w:cstheme="minorHAnsi"/>
          <w:sz w:val="18"/>
        </w:rPr>
        <w:t xml:space="preserve"> </w:t>
      </w:r>
      <w:hyperlink r:id="rId5" w:history="1">
        <w:r w:rsidRPr="006F1DCC">
          <w:rPr>
            <w:rStyle w:val="Hyperlink"/>
            <w:rFonts w:asciiTheme="minorHAnsi" w:hAnsiTheme="minorHAnsi" w:cstheme="minorHAnsi"/>
            <w:b/>
            <w:color w:val="0000FF"/>
            <w:sz w:val="18"/>
          </w:rPr>
          <w:t>Digitalising Trade: The Role of Paperless Platforms</w:t>
        </w:r>
      </w:hyperlink>
      <w:r w:rsidRPr="00527401">
        <w:rPr>
          <w:rFonts w:asciiTheme="minorHAnsi" w:hAnsiTheme="minorHAnsi" w:cstheme="minorHAnsi"/>
          <w:sz w:val="18"/>
        </w:rPr>
        <w:t>, APEC</w:t>
      </w:r>
      <w:r>
        <w:rPr>
          <w:rFonts w:asciiTheme="minorHAnsi" w:hAnsiTheme="minorHAnsi" w:cstheme="minorHAnsi"/>
          <w:sz w:val="18"/>
        </w:rPr>
        <w:t xml:space="preserve"> Policy Support Unit Brief No. 59, March 2024, p 8.</w:t>
      </w:r>
    </w:p>
  </w:footnote>
  <w:footnote w:id="61">
    <w:p w14:paraId="4DBACB9A" w14:textId="77777777" w:rsidR="00610159" w:rsidRDefault="00610159" w:rsidP="00780D76">
      <w:pPr>
        <w:pStyle w:val="FootnoteText"/>
        <w:ind w:left="142" w:hanging="142"/>
        <w:jc w:val="both"/>
        <w:rPr>
          <w:rFonts w:asciiTheme="minorHAnsi" w:hAnsiTheme="minorHAnsi" w:cstheme="minorHAnsi"/>
        </w:rPr>
      </w:pPr>
      <w:r>
        <w:rPr>
          <w:rStyle w:val="FootnoteReference"/>
          <w:rFonts w:asciiTheme="minorHAnsi" w:hAnsiTheme="minorHAnsi" w:cstheme="minorHAnsi"/>
          <w:sz w:val="18"/>
        </w:rPr>
        <w:footnoteRef/>
      </w:r>
      <w:r>
        <w:rPr>
          <w:rFonts w:asciiTheme="minorHAnsi" w:hAnsiTheme="minorHAnsi" w:cstheme="minorHAnsi"/>
          <w:sz w:val="18"/>
        </w:rPr>
        <w:t xml:space="preserve"> E-Bills of Lading Article, Norton Rose Fullbright, February 2018, </w:t>
      </w:r>
      <w:r w:rsidRPr="00527401">
        <w:rPr>
          <w:rFonts w:asciiTheme="minorHAnsi" w:hAnsiTheme="minorHAnsi" w:cstheme="minorHAnsi"/>
          <w:sz w:val="18"/>
        </w:rPr>
        <w:t>[</w:t>
      </w:r>
      <w:hyperlink r:id="rId6" w:history="1">
        <w:r w:rsidRPr="006F1DCC">
          <w:rPr>
            <w:rStyle w:val="Hyperlink"/>
            <w:rFonts w:asciiTheme="minorHAnsi" w:hAnsiTheme="minorHAnsi" w:cstheme="minorHAnsi"/>
            <w:b/>
            <w:color w:val="0000FF"/>
            <w:sz w:val="18"/>
          </w:rPr>
          <w:t>E-bills of lading | Australia | Global law firm | Norton Rose Fulbright</w:t>
        </w:r>
      </w:hyperlink>
      <w:r w:rsidRPr="00527401">
        <w:rPr>
          <w:rStyle w:val="Hyperlink"/>
          <w:rFonts w:asciiTheme="minorHAnsi" w:hAnsiTheme="minorHAnsi" w:cstheme="minorHAnsi"/>
          <w:color w:val="auto"/>
          <w:sz w:val="18"/>
          <w:u w:val="none"/>
        </w:rPr>
        <w:t xml:space="preserve">], </w:t>
      </w:r>
      <w:r w:rsidRPr="00527401">
        <w:rPr>
          <w:rFonts w:asciiTheme="minorHAnsi" w:hAnsiTheme="minorHAnsi" w:cstheme="minorHAnsi"/>
          <w:sz w:val="18"/>
        </w:rPr>
        <w:t>accessed 15 May 2024.</w:t>
      </w:r>
    </w:p>
  </w:footnote>
  <w:footnote w:id="62">
    <w:p w14:paraId="1221A49F" w14:textId="77777777" w:rsidR="00610159" w:rsidRDefault="00610159" w:rsidP="00040EE5">
      <w:pPr>
        <w:pStyle w:val="FootnoteText"/>
        <w:jc w:val="both"/>
        <w:rPr>
          <w:sz w:val="18"/>
        </w:rPr>
      </w:pPr>
      <w:r>
        <w:rPr>
          <w:rStyle w:val="FootnoteReference"/>
          <w:rFonts w:asciiTheme="minorHAnsi" w:hAnsiTheme="minorHAnsi" w:cstheme="minorHAnsi"/>
          <w:sz w:val="18"/>
        </w:rPr>
        <w:footnoteRef/>
      </w:r>
      <w:r>
        <w:rPr>
          <w:rFonts w:asciiTheme="minorHAnsi" w:hAnsiTheme="minorHAnsi" w:cstheme="minorHAnsi"/>
          <w:sz w:val="18"/>
        </w:rPr>
        <w:t xml:space="preserve"> ANZ, Submission to the STS Consultation, July 2023, para [18].</w:t>
      </w:r>
    </w:p>
  </w:footnote>
  <w:footnote w:id="63">
    <w:p w14:paraId="2FB51ACA" w14:textId="77777777" w:rsidR="00610159" w:rsidRDefault="00610159" w:rsidP="00780D76">
      <w:pPr>
        <w:pStyle w:val="FootnoteText"/>
        <w:ind w:left="142" w:hanging="142"/>
        <w:jc w:val="both"/>
        <w:rPr>
          <w:rFonts w:asciiTheme="minorHAnsi" w:hAnsiTheme="minorHAnsi" w:cstheme="minorHAnsi"/>
        </w:rPr>
      </w:pPr>
      <w:r>
        <w:rPr>
          <w:rStyle w:val="FootnoteReference"/>
          <w:rFonts w:asciiTheme="minorHAnsi" w:hAnsiTheme="minorHAnsi" w:cstheme="minorHAnsi"/>
          <w:sz w:val="18"/>
        </w:rPr>
        <w:footnoteRef/>
      </w:r>
      <w:r>
        <w:rPr>
          <w:rFonts w:asciiTheme="minorHAnsi" w:hAnsiTheme="minorHAnsi" w:cstheme="minorHAnsi"/>
          <w:sz w:val="18"/>
        </w:rPr>
        <w:t xml:space="preserve"> </w:t>
      </w:r>
      <w:hyperlink r:id="rId7" w:history="1">
        <w:r w:rsidRPr="006F1DCC">
          <w:rPr>
            <w:rStyle w:val="Hyperlink"/>
            <w:rFonts w:asciiTheme="minorHAnsi" w:hAnsiTheme="minorHAnsi" w:cstheme="minorHAnsi"/>
            <w:b/>
            <w:color w:val="0000FF"/>
            <w:sz w:val="18"/>
          </w:rPr>
          <w:t>Digitalising Trade: The Role of Paperless Platforms</w:t>
        </w:r>
      </w:hyperlink>
      <w:r>
        <w:rPr>
          <w:rFonts w:asciiTheme="minorHAnsi" w:hAnsiTheme="minorHAnsi" w:cstheme="minorHAnsi"/>
          <w:sz w:val="18"/>
        </w:rPr>
        <w:t>, APEC Policy Support Unit Policy Brief No. 59, March 2024, page 6; TradeTrust-Enabled Electronic Bills of Lading, Stephenson Harwood, July 2023, para [2.7]-[2.8].</w:t>
      </w:r>
    </w:p>
  </w:footnote>
  <w:footnote w:id="64">
    <w:p w14:paraId="51D1859B" w14:textId="77777777" w:rsidR="00610159" w:rsidRDefault="00610159" w:rsidP="00780D76">
      <w:pPr>
        <w:pStyle w:val="FootnoteText"/>
        <w:ind w:left="142" w:hanging="142"/>
        <w:jc w:val="both"/>
        <w:rPr>
          <w:rFonts w:asciiTheme="minorHAnsi" w:hAnsiTheme="minorHAnsi" w:cstheme="minorHAnsi"/>
          <w:sz w:val="18"/>
        </w:rPr>
      </w:pPr>
      <w:r>
        <w:rPr>
          <w:rStyle w:val="FootnoteReference"/>
          <w:rFonts w:asciiTheme="minorHAnsi" w:hAnsiTheme="minorHAnsi" w:cstheme="minorHAnsi"/>
          <w:sz w:val="18"/>
        </w:rPr>
        <w:footnoteRef/>
      </w:r>
      <w:r>
        <w:rPr>
          <w:rFonts w:asciiTheme="minorHAnsi" w:hAnsiTheme="minorHAnsi" w:cstheme="minorHAnsi"/>
          <w:sz w:val="18"/>
        </w:rPr>
        <w:t xml:space="preserve"> The definition of </w:t>
      </w:r>
      <w:r>
        <w:rPr>
          <w:rFonts w:asciiTheme="minorHAnsi" w:hAnsiTheme="minorHAnsi" w:cstheme="minorHAnsi"/>
          <w:i/>
          <w:sz w:val="18"/>
        </w:rPr>
        <w:t>‘transferable document or instrument’</w:t>
      </w:r>
      <w:r>
        <w:rPr>
          <w:rFonts w:asciiTheme="minorHAnsi" w:hAnsiTheme="minorHAnsi" w:cstheme="minorHAnsi"/>
          <w:sz w:val="18"/>
        </w:rPr>
        <w:t xml:space="preserve"> under article 2 of the MLETR focuses on the key functions of transferability, and of providing a title to performance.</w:t>
      </w:r>
    </w:p>
  </w:footnote>
  <w:footnote w:id="65">
    <w:p w14:paraId="6DFF7D6C" w14:textId="77777777" w:rsidR="00610159" w:rsidRDefault="00610159" w:rsidP="00040EE5">
      <w:pPr>
        <w:pStyle w:val="FootnoteText"/>
        <w:jc w:val="both"/>
        <w:rPr>
          <w:rFonts w:asciiTheme="minorHAnsi" w:hAnsiTheme="minorHAnsi" w:cstheme="minorHAnsi"/>
        </w:rPr>
      </w:pPr>
      <w:r>
        <w:rPr>
          <w:rStyle w:val="FootnoteReference"/>
          <w:rFonts w:asciiTheme="minorHAnsi" w:hAnsiTheme="minorHAnsi" w:cstheme="minorHAnsi"/>
          <w:sz w:val="18"/>
        </w:rPr>
        <w:footnoteRef/>
      </w:r>
      <w:r>
        <w:rPr>
          <w:rFonts w:asciiTheme="minorHAnsi" w:hAnsiTheme="minorHAnsi" w:cstheme="minorHAnsi"/>
          <w:sz w:val="18"/>
        </w:rPr>
        <w:t xml:space="preserve"> Paragraph [38].</w:t>
      </w:r>
    </w:p>
  </w:footnote>
  <w:footnote w:id="66">
    <w:p w14:paraId="7D7B8A92" w14:textId="29FDF7BA" w:rsidR="00610159" w:rsidRDefault="00610159" w:rsidP="00780D76">
      <w:pPr>
        <w:pStyle w:val="FootnoteText"/>
        <w:ind w:left="142" w:hanging="142"/>
        <w:jc w:val="both"/>
        <w:rPr>
          <w:rFonts w:asciiTheme="minorHAnsi" w:hAnsiTheme="minorHAnsi" w:cstheme="minorHAnsi"/>
          <w:sz w:val="18"/>
        </w:rPr>
      </w:pPr>
      <w:r>
        <w:rPr>
          <w:rStyle w:val="FootnoteReference"/>
          <w:rFonts w:asciiTheme="minorHAnsi" w:hAnsiTheme="minorHAnsi" w:cstheme="minorHAnsi"/>
          <w:sz w:val="18"/>
        </w:rPr>
        <w:footnoteRef/>
      </w:r>
      <w:r>
        <w:rPr>
          <w:rFonts w:asciiTheme="minorHAnsi" w:hAnsiTheme="minorHAnsi" w:cstheme="minorHAnsi"/>
          <w:sz w:val="18"/>
        </w:rPr>
        <w:t xml:space="preserve"> We note that the reference to ‘securities’ is in relation to financial instruments, and is not intended to exclude transferable records as a form of collateral for security rights purposes. See item [26] of the explanatory note.</w:t>
      </w:r>
    </w:p>
  </w:footnote>
  <w:footnote w:id="67">
    <w:p w14:paraId="07800A70" w14:textId="77777777" w:rsidR="00610159" w:rsidRDefault="00610159" w:rsidP="00040EE5">
      <w:pPr>
        <w:pStyle w:val="FootnoteText"/>
        <w:jc w:val="both"/>
        <w:rPr>
          <w:rFonts w:asciiTheme="minorHAnsi" w:hAnsiTheme="minorHAnsi" w:cstheme="minorHAnsi"/>
          <w:sz w:val="18"/>
        </w:rPr>
      </w:pPr>
      <w:r>
        <w:rPr>
          <w:rStyle w:val="FootnoteReference"/>
          <w:rFonts w:asciiTheme="minorHAnsi" w:hAnsiTheme="minorHAnsi" w:cstheme="minorHAnsi"/>
          <w:sz w:val="18"/>
        </w:rPr>
        <w:footnoteRef/>
      </w:r>
      <w:r>
        <w:rPr>
          <w:rFonts w:asciiTheme="minorHAnsi" w:hAnsiTheme="minorHAnsi" w:cstheme="minorHAnsi"/>
          <w:sz w:val="18"/>
        </w:rPr>
        <w:t xml:space="preserve"> Article 1(3).</w:t>
      </w:r>
    </w:p>
  </w:footnote>
  <w:footnote w:id="68">
    <w:p w14:paraId="561D26DB" w14:textId="77777777" w:rsidR="00610159" w:rsidRDefault="00610159" w:rsidP="00040EE5">
      <w:pPr>
        <w:pStyle w:val="FootnoteText"/>
        <w:jc w:val="both"/>
        <w:rPr>
          <w:sz w:val="18"/>
        </w:rPr>
      </w:pPr>
      <w:r>
        <w:rPr>
          <w:rStyle w:val="FootnoteReference"/>
          <w:rFonts w:asciiTheme="minorHAnsi" w:hAnsiTheme="minorHAnsi" w:cstheme="minorHAnsi"/>
          <w:sz w:val="18"/>
        </w:rPr>
        <w:footnoteRef/>
      </w:r>
      <w:r>
        <w:rPr>
          <w:rFonts w:asciiTheme="minorHAnsi" w:hAnsiTheme="minorHAnsi" w:cstheme="minorHAnsi"/>
          <w:sz w:val="18"/>
        </w:rPr>
        <w:t xml:space="preserve"> These are described further at paragraphs [26] to [29] of the LETR explanatory note.</w:t>
      </w:r>
    </w:p>
  </w:footnote>
  <w:footnote w:id="69">
    <w:p w14:paraId="376873EE" w14:textId="77777777" w:rsidR="00610159" w:rsidRDefault="00610159" w:rsidP="00780D76">
      <w:pPr>
        <w:pStyle w:val="FootnoteText"/>
        <w:ind w:left="142" w:hanging="142"/>
        <w:rPr>
          <w:rFonts w:asciiTheme="minorHAnsi" w:hAnsiTheme="minorHAnsi" w:cstheme="minorHAnsi"/>
          <w:sz w:val="18"/>
        </w:rPr>
      </w:pPr>
      <w:r>
        <w:rPr>
          <w:rStyle w:val="FootnoteReference"/>
          <w:rFonts w:asciiTheme="minorHAnsi" w:hAnsiTheme="minorHAnsi" w:cstheme="minorHAnsi"/>
          <w:sz w:val="18"/>
        </w:rPr>
        <w:footnoteRef/>
      </w:r>
      <w:r>
        <w:rPr>
          <w:rFonts w:asciiTheme="minorHAnsi" w:hAnsiTheme="minorHAnsi" w:cstheme="minorHAnsi"/>
          <w:sz w:val="18"/>
        </w:rPr>
        <w:t xml:space="preserve"> MLETR Tracker, International Chamber of Commerce Digital Standards Initiative</w:t>
      </w:r>
      <w:r w:rsidRPr="00527401">
        <w:rPr>
          <w:rFonts w:asciiTheme="minorHAnsi" w:hAnsiTheme="minorHAnsi" w:cstheme="minorHAnsi"/>
          <w:sz w:val="18"/>
        </w:rPr>
        <w:t>, [</w:t>
      </w:r>
      <w:hyperlink r:id="rId8" w:history="1">
        <w:r w:rsidRPr="006F1DCC">
          <w:rPr>
            <w:rStyle w:val="Hyperlink"/>
            <w:rFonts w:asciiTheme="minorHAnsi" w:hAnsiTheme="minorHAnsi" w:cstheme="minorHAnsi"/>
            <w:b/>
            <w:color w:val="0000FF"/>
            <w:sz w:val="18"/>
          </w:rPr>
          <w:t>MLETR Tracker | Cross-Border Paperless Trade Database (digitalizetrade.org)</w:t>
        </w:r>
      </w:hyperlink>
      <w:r w:rsidRPr="00527401">
        <w:rPr>
          <w:rFonts w:asciiTheme="minorHAnsi" w:hAnsiTheme="minorHAnsi" w:cstheme="minorHAnsi"/>
          <w:sz w:val="18"/>
        </w:rPr>
        <w:t>],</w:t>
      </w:r>
      <w:r w:rsidRPr="00527401">
        <w:rPr>
          <w:rFonts w:asciiTheme="minorHAnsi" w:hAnsiTheme="minorHAnsi" w:cstheme="minorHAnsi"/>
          <w:b/>
          <w:sz w:val="18"/>
        </w:rPr>
        <w:t xml:space="preserve"> </w:t>
      </w:r>
      <w:r w:rsidRPr="00527401">
        <w:rPr>
          <w:rFonts w:asciiTheme="minorHAnsi" w:hAnsiTheme="minorHAnsi" w:cstheme="minorHAnsi"/>
          <w:sz w:val="18"/>
        </w:rPr>
        <w:t>accessed</w:t>
      </w:r>
      <w:r>
        <w:rPr>
          <w:rFonts w:asciiTheme="minorHAnsi" w:hAnsiTheme="minorHAnsi" w:cstheme="minorHAnsi"/>
          <w:sz w:val="18"/>
        </w:rPr>
        <w:t xml:space="preserve"> 17 July 2024.</w:t>
      </w:r>
    </w:p>
  </w:footnote>
  <w:footnote w:id="70">
    <w:p w14:paraId="3D34392B" w14:textId="77777777" w:rsidR="00610159" w:rsidRDefault="00610159" w:rsidP="00040EE5">
      <w:pPr>
        <w:pStyle w:val="FootnoteText"/>
        <w:rPr>
          <w:rFonts w:asciiTheme="minorHAnsi" w:hAnsiTheme="minorHAnsi" w:cstheme="minorHAnsi"/>
          <w:sz w:val="18"/>
        </w:rPr>
      </w:pPr>
      <w:r>
        <w:rPr>
          <w:rStyle w:val="FootnoteReference"/>
          <w:rFonts w:asciiTheme="minorHAnsi" w:hAnsiTheme="minorHAnsi" w:cstheme="minorHAnsi"/>
          <w:sz w:val="18"/>
        </w:rPr>
        <w:footnoteRef/>
      </w:r>
      <w:r>
        <w:rPr>
          <w:rFonts w:asciiTheme="minorHAnsi" w:hAnsiTheme="minorHAnsi" w:cstheme="minorHAnsi"/>
          <w:sz w:val="18"/>
        </w:rPr>
        <w:t xml:space="preserve"> For example, see section 3 of </w:t>
      </w:r>
      <w:r>
        <w:rPr>
          <w:rFonts w:asciiTheme="minorHAnsi" w:hAnsiTheme="minorHAnsi" w:cstheme="minorHAnsi"/>
          <w:i/>
          <w:sz w:val="18"/>
        </w:rPr>
        <w:t>Papua New Guinea’s Electronic Transactions Act 2021.</w:t>
      </w:r>
    </w:p>
  </w:footnote>
  <w:footnote w:id="71">
    <w:p w14:paraId="1781F9F2" w14:textId="77777777" w:rsidR="00610159" w:rsidRDefault="00610159" w:rsidP="00040EE5">
      <w:pPr>
        <w:pStyle w:val="FootnoteText"/>
        <w:rPr>
          <w:rFonts w:asciiTheme="minorHAnsi" w:hAnsiTheme="minorHAnsi" w:cstheme="minorHAnsi"/>
          <w:sz w:val="18"/>
        </w:rPr>
      </w:pPr>
      <w:r>
        <w:rPr>
          <w:rStyle w:val="FootnoteReference"/>
          <w:rFonts w:asciiTheme="minorHAnsi" w:hAnsiTheme="minorHAnsi" w:cstheme="minorHAnsi"/>
          <w:sz w:val="18"/>
        </w:rPr>
        <w:footnoteRef/>
      </w:r>
      <w:r>
        <w:rPr>
          <w:rFonts w:asciiTheme="minorHAnsi" w:hAnsiTheme="minorHAnsi" w:cstheme="minorHAnsi"/>
          <w:sz w:val="18"/>
        </w:rPr>
        <w:t xml:space="preserve"> Subsection 16A(1).</w:t>
      </w:r>
    </w:p>
  </w:footnote>
  <w:footnote w:id="72">
    <w:p w14:paraId="705E6BCA" w14:textId="77777777" w:rsidR="00610159" w:rsidRDefault="00610159" w:rsidP="00040EE5">
      <w:pPr>
        <w:pStyle w:val="FootnoteText"/>
        <w:rPr>
          <w:rFonts w:asciiTheme="minorHAnsi" w:hAnsiTheme="minorHAnsi" w:cstheme="minorHAnsi"/>
        </w:rPr>
      </w:pPr>
      <w:r>
        <w:rPr>
          <w:rStyle w:val="FootnoteReference"/>
          <w:rFonts w:asciiTheme="minorHAnsi" w:hAnsiTheme="minorHAnsi" w:cstheme="minorHAnsi"/>
          <w:sz w:val="18"/>
        </w:rPr>
        <w:footnoteRef/>
      </w:r>
      <w:r>
        <w:rPr>
          <w:rFonts w:asciiTheme="minorHAnsi" w:hAnsiTheme="minorHAnsi" w:cstheme="minorHAnsi"/>
          <w:sz w:val="18"/>
        </w:rPr>
        <w:t xml:space="preserve"> Section 1.</w:t>
      </w:r>
    </w:p>
  </w:footnote>
  <w:footnote w:id="73">
    <w:p w14:paraId="715A0B08" w14:textId="77777777" w:rsidR="00610159" w:rsidRDefault="00610159" w:rsidP="00780D76">
      <w:pPr>
        <w:pStyle w:val="FootnoteText"/>
        <w:ind w:left="142" w:hanging="142"/>
        <w:jc w:val="both"/>
        <w:rPr>
          <w:rFonts w:asciiTheme="minorHAnsi" w:hAnsiTheme="minorHAnsi" w:cstheme="minorHAnsi"/>
          <w:sz w:val="18"/>
        </w:rPr>
      </w:pPr>
      <w:r>
        <w:rPr>
          <w:rStyle w:val="FootnoteReference"/>
          <w:rFonts w:asciiTheme="minorHAnsi" w:hAnsiTheme="minorHAnsi" w:cstheme="minorHAnsi"/>
          <w:sz w:val="18"/>
        </w:rPr>
        <w:footnoteRef/>
      </w:r>
      <w:r>
        <w:rPr>
          <w:rFonts w:asciiTheme="minorHAnsi" w:hAnsiTheme="minorHAnsi" w:cstheme="minorHAnsi"/>
          <w:sz w:val="18"/>
        </w:rPr>
        <w:t xml:space="preserve"> For example, see discussions relating to straight bills of lading and mate’s receipts under the UKDA at paragraph [3.37] and [3.43] of the UKLC 2022 Report.</w:t>
      </w:r>
    </w:p>
  </w:footnote>
  <w:footnote w:id="74">
    <w:p w14:paraId="26662C6A" w14:textId="77777777" w:rsidR="00610159" w:rsidRDefault="00610159" w:rsidP="00780D76">
      <w:pPr>
        <w:pStyle w:val="FootnoteText"/>
        <w:ind w:left="142" w:hanging="142"/>
        <w:jc w:val="both"/>
        <w:rPr>
          <w:rFonts w:asciiTheme="minorHAnsi" w:hAnsiTheme="minorHAnsi" w:cstheme="minorHAnsi"/>
          <w:sz w:val="18"/>
        </w:rPr>
      </w:pPr>
      <w:r>
        <w:rPr>
          <w:rStyle w:val="FootnoteReference"/>
          <w:rFonts w:asciiTheme="minorHAnsi" w:hAnsiTheme="minorHAnsi" w:cstheme="minorHAnsi"/>
          <w:sz w:val="18"/>
        </w:rPr>
        <w:footnoteRef/>
      </w:r>
      <w:r>
        <w:rPr>
          <w:rFonts w:asciiTheme="minorHAnsi" w:hAnsiTheme="minorHAnsi" w:cstheme="minorHAnsi"/>
          <w:sz w:val="18"/>
        </w:rPr>
        <w:t xml:space="preserve"> For reference, a straight bill of lading is a bill of lading which is consignable to a named person, which must be produced by the consignee to effect delivery of the specified goods, but which cannot be transferred to another consignee (whether by delivery or endorsement).</w:t>
      </w:r>
    </w:p>
  </w:footnote>
  <w:footnote w:id="75">
    <w:p w14:paraId="38C2B7C0" w14:textId="77777777" w:rsidR="00610159" w:rsidRPr="00282AA9" w:rsidRDefault="00610159" w:rsidP="00040EE5">
      <w:pPr>
        <w:pStyle w:val="FootnoteText"/>
        <w:rPr>
          <w:rFonts w:asciiTheme="minorHAnsi" w:hAnsiTheme="minorHAnsi"/>
        </w:rPr>
      </w:pPr>
      <w:r w:rsidRPr="00282AA9">
        <w:rPr>
          <w:rStyle w:val="FootnoteReference"/>
          <w:rFonts w:asciiTheme="minorHAnsi" w:hAnsiTheme="minorHAnsi"/>
        </w:rPr>
        <w:footnoteRef/>
      </w:r>
      <w:r w:rsidRPr="00282AA9">
        <w:rPr>
          <w:rFonts w:asciiTheme="minorHAnsi" w:hAnsiTheme="minorHAnsi"/>
        </w:rPr>
        <w:t xml:space="preserve"> </w:t>
      </w:r>
      <w:r w:rsidRPr="00282AA9">
        <w:rPr>
          <w:rFonts w:asciiTheme="minorHAnsi" w:hAnsiTheme="minorHAnsi"/>
          <w:sz w:val="18"/>
        </w:rPr>
        <w:t>MLETR explanatory note, paragraph [107].</w:t>
      </w:r>
    </w:p>
  </w:footnote>
  <w:footnote w:id="76">
    <w:p w14:paraId="2110010A" w14:textId="77777777" w:rsidR="00610159" w:rsidRDefault="00610159" w:rsidP="00040EE5">
      <w:pPr>
        <w:pStyle w:val="FootnoteText"/>
        <w:jc w:val="both"/>
        <w:rPr>
          <w:rFonts w:asciiTheme="minorHAnsi" w:hAnsiTheme="minorHAnsi" w:cstheme="minorHAnsi"/>
          <w:sz w:val="18"/>
        </w:rPr>
      </w:pPr>
      <w:r>
        <w:rPr>
          <w:rStyle w:val="FootnoteReference"/>
          <w:rFonts w:asciiTheme="minorHAnsi" w:hAnsiTheme="minorHAnsi" w:cstheme="minorHAnsi"/>
          <w:sz w:val="18"/>
        </w:rPr>
        <w:footnoteRef/>
      </w:r>
      <w:r>
        <w:rPr>
          <w:rFonts w:asciiTheme="minorHAnsi" w:hAnsiTheme="minorHAnsi" w:cstheme="minorHAnsi"/>
          <w:sz w:val="18"/>
        </w:rPr>
        <w:t xml:space="preserve"> MLETR explanatory note, paragraph [84].</w:t>
      </w:r>
    </w:p>
  </w:footnote>
  <w:footnote w:id="77">
    <w:p w14:paraId="7E04B0A0" w14:textId="77777777" w:rsidR="00610159" w:rsidRDefault="00610159" w:rsidP="00040EE5">
      <w:pPr>
        <w:pStyle w:val="FootnoteText"/>
        <w:jc w:val="both"/>
      </w:pPr>
      <w:r>
        <w:rPr>
          <w:rStyle w:val="FootnoteReference"/>
          <w:rFonts w:asciiTheme="minorHAnsi" w:hAnsiTheme="minorHAnsi" w:cstheme="minorHAnsi"/>
          <w:sz w:val="18"/>
        </w:rPr>
        <w:footnoteRef/>
      </w:r>
      <w:r>
        <w:rPr>
          <w:rFonts w:asciiTheme="minorHAnsi" w:hAnsiTheme="minorHAnsi" w:cstheme="minorHAnsi"/>
          <w:sz w:val="18"/>
        </w:rPr>
        <w:t xml:space="preserve"> MLETR articles 8, 9, 13, 15 and 16, respectively.</w:t>
      </w:r>
    </w:p>
  </w:footnote>
  <w:footnote w:id="78">
    <w:p w14:paraId="14F8DBB8" w14:textId="77777777" w:rsidR="00610159" w:rsidRPr="00780D76" w:rsidRDefault="00610159" w:rsidP="00780D76">
      <w:pPr>
        <w:pStyle w:val="FootnoteText"/>
        <w:ind w:left="142" w:hanging="142"/>
        <w:jc w:val="both"/>
        <w:rPr>
          <w:rFonts w:asciiTheme="minorHAnsi" w:hAnsiTheme="minorHAnsi" w:cstheme="minorHAnsi"/>
          <w:i/>
          <w:sz w:val="18"/>
          <w:szCs w:val="18"/>
        </w:rPr>
      </w:pPr>
      <w:r w:rsidRPr="00780D76">
        <w:rPr>
          <w:rStyle w:val="FootnoteReference"/>
          <w:rFonts w:asciiTheme="minorHAnsi" w:hAnsiTheme="minorHAnsi" w:cstheme="minorHAnsi"/>
          <w:sz w:val="18"/>
          <w:szCs w:val="18"/>
        </w:rPr>
        <w:footnoteRef/>
      </w:r>
      <w:r w:rsidRPr="00780D76">
        <w:rPr>
          <w:rFonts w:asciiTheme="minorHAnsi" w:hAnsiTheme="minorHAnsi" w:cstheme="minorHAnsi"/>
          <w:sz w:val="18"/>
          <w:szCs w:val="18"/>
        </w:rPr>
        <w:t xml:space="preserve"> Including without limitation, Singapore under the Electronic Transactions Act 2010; Belize under the </w:t>
      </w:r>
      <w:r w:rsidRPr="00780D76">
        <w:rPr>
          <w:rFonts w:asciiTheme="minorHAnsi" w:hAnsiTheme="minorHAnsi" w:cstheme="minorHAnsi"/>
          <w:i/>
          <w:sz w:val="18"/>
          <w:szCs w:val="18"/>
        </w:rPr>
        <w:t>Electronic Transactions Act 2021</w:t>
      </w:r>
      <w:r w:rsidRPr="00780D76">
        <w:rPr>
          <w:rFonts w:asciiTheme="minorHAnsi" w:hAnsiTheme="minorHAnsi" w:cstheme="minorHAnsi"/>
          <w:sz w:val="18"/>
          <w:szCs w:val="18"/>
        </w:rPr>
        <w:t xml:space="preserve">; Kiribati under the </w:t>
      </w:r>
      <w:r w:rsidRPr="00780D76">
        <w:rPr>
          <w:rFonts w:asciiTheme="minorHAnsi" w:hAnsiTheme="minorHAnsi" w:cstheme="minorHAnsi"/>
          <w:i/>
          <w:sz w:val="18"/>
          <w:szCs w:val="18"/>
        </w:rPr>
        <w:t>Electronic Transactions Act 2021</w:t>
      </w:r>
      <w:r w:rsidRPr="00780D76">
        <w:rPr>
          <w:rFonts w:asciiTheme="minorHAnsi" w:hAnsiTheme="minorHAnsi" w:cstheme="minorHAnsi"/>
          <w:sz w:val="18"/>
          <w:szCs w:val="18"/>
        </w:rPr>
        <w:t xml:space="preserve">; and Papua New Guinea under the </w:t>
      </w:r>
      <w:r w:rsidRPr="00780D76">
        <w:rPr>
          <w:rFonts w:asciiTheme="minorHAnsi" w:hAnsiTheme="minorHAnsi" w:cstheme="minorHAnsi"/>
          <w:i/>
          <w:sz w:val="18"/>
          <w:szCs w:val="18"/>
        </w:rPr>
        <w:t>Electronic Transactions Act 2021.</w:t>
      </w:r>
    </w:p>
  </w:footnote>
  <w:footnote w:id="79">
    <w:p w14:paraId="2A11E368" w14:textId="21D0E153" w:rsidR="00610159" w:rsidRPr="00780D76" w:rsidRDefault="00610159" w:rsidP="00780D76">
      <w:pPr>
        <w:pStyle w:val="FootnoteText"/>
        <w:ind w:left="142" w:hanging="142"/>
        <w:jc w:val="both"/>
        <w:rPr>
          <w:rFonts w:asciiTheme="minorHAnsi" w:hAnsiTheme="minorHAnsi" w:cstheme="minorHAnsi"/>
          <w:sz w:val="18"/>
          <w:szCs w:val="18"/>
        </w:rPr>
      </w:pPr>
      <w:r w:rsidRPr="00780D76">
        <w:rPr>
          <w:rStyle w:val="FootnoteReference"/>
          <w:rFonts w:asciiTheme="minorHAnsi" w:hAnsiTheme="minorHAnsi" w:cstheme="minorHAnsi"/>
          <w:sz w:val="18"/>
          <w:szCs w:val="18"/>
        </w:rPr>
        <w:footnoteRef/>
      </w:r>
      <w:r w:rsidRPr="00780D76">
        <w:rPr>
          <w:rFonts w:asciiTheme="minorHAnsi" w:hAnsiTheme="minorHAnsi" w:cstheme="minorHAnsi"/>
          <w:sz w:val="18"/>
          <w:szCs w:val="18"/>
        </w:rPr>
        <w:t xml:space="preserve"> </w:t>
      </w:r>
      <w:r>
        <w:rPr>
          <w:rFonts w:asciiTheme="minorHAnsi" w:hAnsiTheme="minorHAnsi" w:cstheme="minorHAnsi"/>
          <w:sz w:val="18"/>
          <w:szCs w:val="18"/>
        </w:rPr>
        <w:t xml:space="preserve">Both the </w:t>
      </w:r>
      <w:hyperlink r:id="rId9" w:history="1">
        <w:r w:rsidRPr="00780D76">
          <w:rPr>
            <w:rStyle w:val="Hyperlink"/>
            <w:rFonts w:asciiTheme="minorHAnsi" w:hAnsiTheme="minorHAnsi" w:cstheme="minorHAnsi"/>
            <w:b/>
            <w:color w:val="0000FF"/>
            <w:sz w:val="18"/>
            <w:szCs w:val="18"/>
          </w:rPr>
          <w:t>Digital Assets: Electronic Trade Documents Consultation Paper 254</w:t>
        </w:r>
      </w:hyperlink>
      <w:r w:rsidRPr="00780D76">
        <w:rPr>
          <w:rFonts w:asciiTheme="minorHAnsi" w:hAnsiTheme="minorHAnsi" w:cstheme="minorHAnsi"/>
          <w:sz w:val="18"/>
          <w:szCs w:val="18"/>
        </w:rPr>
        <w:t xml:space="preserve">, United Kingdom Law Commission, 30 April 2021 </w:t>
      </w:r>
      <w:r w:rsidRPr="00780D76">
        <w:rPr>
          <w:rFonts w:asciiTheme="minorHAnsi" w:hAnsiTheme="minorHAnsi" w:cstheme="minorHAnsi"/>
          <w:b/>
          <w:sz w:val="18"/>
          <w:szCs w:val="18"/>
        </w:rPr>
        <w:t>(UKLC 2021 Consultation Paper)</w:t>
      </w:r>
      <w:r w:rsidRPr="00780D76">
        <w:rPr>
          <w:rFonts w:asciiTheme="minorHAnsi" w:hAnsiTheme="minorHAnsi" w:cstheme="minorHAnsi"/>
          <w:sz w:val="18"/>
          <w:szCs w:val="18"/>
        </w:rPr>
        <w:t xml:space="preserve"> and UKLC 2022 Report contain comprehensive discussions and comparisons from the UKLC about the distinctions between the ETDA and MLETR.</w:t>
      </w:r>
    </w:p>
  </w:footnote>
  <w:footnote w:id="80">
    <w:p w14:paraId="0B4DE427" w14:textId="77777777" w:rsidR="00610159" w:rsidRPr="00780D76" w:rsidRDefault="00610159" w:rsidP="00040EE5">
      <w:pPr>
        <w:pStyle w:val="FootnoteText"/>
        <w:jc w:val="both"/>
        <w:rPr>
          <w:rFonts w:asciiTheme="minorHAnsi" w:hAnsiTheme="minorHAnsi" w:cstheme="minorHAnsi"/>
          <w:sz w:val="18"/>
          <w:szCs w:val="18"/>
        </w:rPr>
      </w:pPr>
      <w:r w:rsidRPr="00780D76">
        <w:rPr>
          <w:rStyle w:val="FootnoteReference"/>
          <w:rFonts w:asciiTheme="minorHAnsi" w:hAnsiTheme="minorHAnsi" w:cstheme="minorHAnsi"/>
          <w:sz w:val="18"/>
          <w:szCs w:val="18"/>
        </w:rPr>
        <w:footnoteRef/>
      </w:r>
      <w:r w:rsidRPr="00780D76">
        <w:rPr>
          <w:rFonts w:asciiTheme="minorHAnsi" w:hAnsiTheme="minorHAnsi" w:cstheme="minorHAnsi"/>
          <w:sz w:val="18"/>
          <w:szCs w:val="18"/>
        </w:rPr>
        <w:t xml:space="preserve"> UKLC 2022 Report, paragraph [4.48].</w:t>
      </w:r>
    </w:p>
  </w:footnote>
  <w:footnote w:id="81">
    <w:p w14:paraId="463657B4" w14:textId="77777777" w:rsidR="00610159" w:rsidRPr="00780D76" w:rsidRDefault="00610159" w:rsidP="00040EE5">
      <w:pPr>
        <w:pStyle w:val="FootnoteText"/>
        <w:jc w:val="both"/>
        <w:rPr>
          <w:rFonts w:asciiTheme="minorHAnsi" w:hAnsiTheme="minorHAnsi" w:cstheme="minorHAnsi"/>
          <w:sz w:val="18"/>
          <w:szCs w:val="18"/>
        </w:rPr>
      </w:pPr>
      <w:r w:rsidRPr="00780D76">
        <w:rPr>
          <w:rStyle w:val="FootnoteReference"/>
          <w:rFonts w:asciiTheme="minorHAnsi" w:hAnsiTheme="minorHAnsi" w:cstheme="minorHAnsi"/>
          <w:sz w:val="18"/>
          <w:szCs w:val="18"/>
        </w:rPr>
        <w:footnoteRef/>
      </w:r>
      <w:r w:rsidRPr="00780D76">
        <w:rPr>
          <w:rFonts w:asciiTheme="minorHAnsi" w:hAnsiTheme="minorHAnsi" w:cstheme="minorHAnsi"/>
          <w:sz w:val="18"/>
          <w:szCs w:val="18"/>
        </w:rPr>
        <w:t xml:space="preserve"> ETDA, subsection 3(3).</w:t>
      </w:r>
    </w:p>
  </w:footnote>
  <w:footnote w:id="82">
    <w:p w14:paraId="2DCF5C53" w14:textId="77777777" w:rsidR="00610159" w:rsidRPr="00780D76" w:rsidRDefault="00610159" w:rsidP="00040EE5">
      <w:pPr>
        <w:pStyle w:val="FootnoteText"/>
        <w:jc w:val="both"/>
        <w:rPr>
          <w:rFonts w:asciiTheme="minorHAnsi" w:hAnsiTheme="minorHAnsi" w:cstheme="minorHAnsi"/>
          <w:sz w:val="18"/>
          <w:szCs w:val="18"/>
        </w:rPr>
      </w:pPr>
      <w:r w:rsidRPr="00780D76">
        <w:rPr>
          <w:rStyle w:val="FootnoteReference"/>
          <w:rFonts w:asciiTheme="minorHAnsi" w:hAnsiTheme="minorHAnsi" w:cstheme="minorHAnsi"/>
          <w:sz w:val="18"/>
          <w:szCs w:val="18"/>
        </w:rPr>
        <w:footnoteRef/>
      </w:r>
      <w:r w:rsidRPr="00780D76">
        <w:rPr>
          <w:rFonts w:asciiTheme="minorHAnsi" w:hAnsiTheme="minorHAnsi" w:cstheme="minorHAnsi"/>
          <w:sz w:val="18"/>
          <w:szCs w:val="18"/>
        </w:rPr>
        <w:t xml:space="preserve"> UKLC 2022 Report, paragraph [8.17].</w:t>
      </w:r>
    </w:p>
  </w:footnote>
  <w:footnote w:id="83">
    <w:p w14:paraId="07159E05" w14:textId="77777777" w:rsidR="00610159" w:rsidRDefault="00610159" w:rsidP="00040EE5">
      <w:pPr>
        <w:pStyle w:val="FootnoteText"/>
        <w:jc w:val="both"/>
      </w:pPr>
      <w:r w:rsidRPr="00780D76">
        <w:rPr>
          <w:rStyle w:val="FootnoteReference"/>
          <w:rFonts w:asciiTheme="minorHAnsi" w:hAnsiTheme="minorHAnsi" w:cstheme="minorHAnsi"/>
          <w:sz w:val="18"/>
          <w:szCs w:val="18"/>
        </w:rPr>
        <w:footnoteRef/>
      </w:r>
      <w:r w:rsidRPr="00780D76">
        <w:rPr>
          <w:rFonts w:asciiTheme="minorHAnsi" w:hAnsiTheme="minorHAnsi" w:cstheme="minorHAnsi"/>
          <w:sz w:val="18"/>
          <w:szCs w:val="18"/>
        </w:rPr>
        <w:t xml:space="preserve"> UKLC 2021 Consultation Paper, paragraph [5.135].</w:t>
      </w:r>
    </w:p>
  </w:footnote>
  <w:footnote w:id="84">
    <w:p w14:paraId="635BCC54" w14:textId="77777777" w:rsidR="00610159" w:rsidRDefault="00610159" w:rsidP="00040EE5">
      <w:pPr>
        <w:pStyle w:val="FootnoteText"/>
        <w:jc w:val="both"/>
        <w:rPr>
          <w:rFonts w:asciiTheme="minorHAnsi" w:hAnsiTheme="minorHAnsi" w:cstheme="minorHAnsi"/>
          <w:sz w:val="18"/>
        </w:rPr>
      </w:pPr>
      <w:r>
        <w:rPr>
          <w:rStyle w:val="FootnoteReference"/>
          <w:rFonts w:asciiTheme="minorHAnsi" w:hAnsiTheme="minorHAnsi" w:cstheme="minorHAnsi"/>
          <w:sz w:val="18"/>
        </w:rPr>
        <w:footnoteRef/>
      </w:r>
      <w:r>
        <w:rPr>
          <w:rFonts w:asciiTheme="minorHAnsi" w:hAnsiTheme="minorHAnsi" w:cstheme="minorHAnsi"/>
          <w:sz w:val="18"/>
        </w:rPr>
        <w:t xml:space="preserve"> MLETR explanatory note, at [18].</w:t>
      </w:r>
    </w:p>
  </w:footnote>
  <w:footnote w:id="85">
    <w:p w14:paraId="53BA9A4A" w14:textId="77777777" w:rsidR="00610159" w:rsidRDefault="00610159" w:rsidP="00040EE5">
      <w:pPr>
        <w:pStyle w:val="FootnoteText"/>
        <w:jc w:val="both"/>
        <w:rPr>
          <w:rFonts w:asciiTheme="minorHAnsi" w:hAnsiTheme="minorHAnsi" w:cstheme="minorHAnsi"/>
          <w:sz w:val="18"/>
        </w:rPr>
      </w:pPr>
      <w:r>
        <w:rPr>
          <w:rStyle w:val="FootnoteReference"/>
          <w:rFonts w:asciiTheme="minorHAnsi" w:hAnsiTheme="minorHAnsi" w:cstheme="minorHAnsi"/>
          <w:sz w:val="18"/>
        </w:rPr>
        <w:footnoteRef/>
      </w:r>
      <w:r>
        <w:rPr>
          <w:rFonts w:asciiTheme="minorHAnsi" w:hAnsiTheme="minorHAnsi" w:cstheme="minorHAnsi"/>
          <w:sz w:val="18"/>
        </w:rPr>
        <w:t xml:space="preserve"> For example, under section 10 and 12 of the Commonwealth ETA.</w:t>
      </w:r>
    </w:p>
  </w:footnote>
  <w:footnote w:id="86">
    <w:p w14:paraId="38BDF8AD" w14:textId="77777777" w:rsidR="00610159" w:rsidRDefault="00610159" w:rsidP="00040EE5">
      <w:pPr>
        <w:pStyle w:val="FootnoteText"/>
        <w:jc w:val="both"/>
      </w:pPr>
      <w:r>
        <w:rPr>
          <w:rStyle w:val="FootnoteReference"/>
          <w:rFonts w:asciiTheme="minorHAnsi" w:hAnsiTheme="minorHAnsi" w:cstheme="minorHAnsi"/>
          <w:sz w:val="18"/>
        </w:rPr>
        <w:footnoteRef/>
      </w:r>
      <w:r>
        <w:rPr>
          <w:rFonts w:asciiTheme="minorHAnsi" w:hAnsiTheme="minorHAnsi" w:cstheme="minorHAnsi"/>
          <w:sz w:val="18"/>
        </w:rPr>
        <w:t xml:space="preserve"> Amongst other criteria in the ETA.</w:t>
      </w:r>
    </w:p>
  </w:footnote>
  <w:footnote w:id="87">
    <w:p w14:paraId="6AF9DEFC" w14:textId="77777777" w:rsidR="00610159" w:rsidRDefault="00610159" w:rsidP="00780D76">
      <w:pPr>
        <w:pStyle w:val="FootnoteText"/>
        <w:ind w:left="142" w:hanging="142"/>
        <w:rPr>
          <w:rFonts w:asciiTheme="minorHAnsi" w:hAnsiTheme="minorHAnsi" w:cstheme="minorHAnsi"/>
          <w:sz w:val="18"/>
        </w:rPr>
      </w:pPr>
      <w:r>
        <w:rPr>
          <w:rStyle w:val="FootnoteReference"/>
          <w:rFonts w:asciiTheme="minorHAnsi" w:hAnsiTheme="minorHAnsi" w:cstheme="minorHAnsi"/>
          <w:sz w:val="18"/>
        </w:rPr>
        <w:footnoteRef/>
      </w:r>
      <w:r>
        <w:rPr>
          <w:rFonts w:asciiTheme="minorHAnsi" w:hAnsiTheme="minorHAnsi" w:cstheme="minorHAnsi"/>
          <w:sz w:val="18"/>
        </w:rPr>
        <w:t xml:space="preserve"> Under section 16Q, also discussed in TradeTrust-Enabled Electronic Bills of Lading, Stephenson Harwood, July 2023, paragraph [5.19]. As of July 2023, we understand that no accreditation programme has been launched, nor any providers accredited pursuant to the above section 16Q.</w:t>
      </w:r>
    </w:p>
  </w:footnote>
  <w:footnote w:id="88">
    <w:p w14:paraId="0EEC5718" w14:textId="77777777" w:rsidR="00610159" w:rsidRDefault="00610159" w:rsidP="00780D76">
      <w:pPr>
        <w:pStyle w:val="FootnoteText"/>
        <w:ind w:left="142" w:hanging="142"/>
      </w:pPr>
      <w:r>
        <w:rPr>
          <w:rStyle w:val="FootnoteReference"/>
          <w:rFonts w:asciiTheme="minorHAnsi" w:hAnsiTheme="minorHAnsi" w:cstheme="minorHAnsi"/>
          <w:sz w:val="18"/>
        </w:rPr>
        <w:footnoteRef/>
      </w:r>
      <w:r>
        <w:rPr>
          <w:rFonts w:asciiTheme="minorHAnsi" w:hAnsiTheme="minorHAnsi" w:cstheme="minorHAnsi"/>
          <w:sz w:val="18"/>
        </w:rPr>
        <w:t xml:space="preserve"> These general reliability standards are set out under subsection 2(5), and are based on the factors set out at article 12(a) of the MLETR. See para [6.46] of the UKLC 2022 Report.</w:t>
      </w:r>
    </w:p>
  </w:footnote>
  <w:footnote w:id="89">
    <w:p w14:paraId="1BD5FCC7" w14:textId="77777777" w:rsidR="00610159" w:rsidRDefault="00610159" w:rsidP="00780D76">
      <w:pPr>
        <w:pStyle w:val="FootnoteText"/>
        <w:jc w:val="both"/>
        <w:rPr>
          <w:rFonts w:asciiTheme="minorHAnsi" w:hAnsiTheme="minorHAnsi" w:cstheme="minorHAnsi"/>
          <w:sz w:val="18"/>
        </w:rPr>
      </w:pPr>
      <w:r>
        <w:rPr>
          <w:rStyle w:val="FootnoteReference"/>
          <w:rFonts w:asciiTheme="minorHAnsi" w:hAnsiTheme="minorHAnsi" w:cstheme="minorHAnsi"/>
          <w:sz w:val="18"/>
        </w:rPr>
        <w:footnoteRef/>
      </w:r>
      <w:r>
        <w:rPr>
          <w:rFonts w:asciiTheme="minorHAnsi" w:hAnsiTheme="minorHAnsi" w:cstheme="minorHAnsi"/>
          <w:sz w:val="18"/>
        </w:rPr>
        <w:t xml:space="preserve"> Institute of Export and International Trade, Submission to the STS Consultation, July 2023, page 6.</w:t>
      </w:r>
    </w:p>
  </w:footnote>
  <w:footnote w:id="90">
    <w:p w14:paraId="7B4F1596" w14:textId="77777777" w:rsidR="00610159" w:rsidRDefault="00610159" w:rsidP="00780D76">
      <w:pPr>
        <w:pStyle w:val="FootnoteText"/>
        <w:ind w:left="142" w:hanging="142"/>
        <w:jc w:val="both"/>
      </w:pPr>
      <w:r>
        <w:rPr>
          <w:rStyle w:val="FootnoteReference"/>
          <w:rFonts w:asciiTheme="minorHAnsi" w:hAnsiTheme="minorHAnsi" w:cstheme="minorHAnsi"/>
          <w:sz w:val="18"/>
        </w:rPr>
        <w:footnoteRef/>
      </w:r>
      <w:r>
        <w:rPr>
          <w:rFonts w:asciiTheme="minorHAnsi" w:hAnsiTheme="minorHAnsi" w:cstheme="minorHAnsi"/>
          <w:sz w:val="18"/>
        </w:rPr>
        <w:t xml:space="preserve"> International Forwarders and Customs Brokers Association of Australia, Submission to the STS Consultation, August 2023, page 13.</w:t>
      </w:r>
    </w:p>
  </w:footnote>
  <w:footnote w:id="91">
    <w:p w14:paraId="23FC1DA5" w14:textId="77777777" w:rsidR="00610159" w:rsidRDefault="00610159" w:rsidP="00707E76">
      <w:pPr>
        <w:pStyle w:val="FootnoteText"/>
        <w:ind w:left="142" w:hanging="142"/>
        <w:jc w:val="both"/>
        <w:rPr>
          <w:rFonts w:asciiTheme="minorHAnsi" w:hAnsiTheme="minorHAnsi" w:cstheme="minorHAnsi"/>
        </w:rPr>
      </w:pPr>
      <w:r>
        <w:rPr>
          <w:rStyle w:val="FootnoteReference"/>
          <w:rFonts w:asciiTheme="minorHAnsi" w:hAnsiTheme="minorHAnsi" w:cstheme="minorHAnsi"/>
          <w:sz w:val="18"/>
        </w:rPr>
        <w:footnoteRef/>
      </w:r>
      <w:r>
        <w:rPr>
          <w:rFonts w:asciiTheme="minorHAnsi" w:hAnsiTheme="minorHAnsi" w:cstheme="minorHAnsi"/>
          <w:sz w:val="18"/>
        </w:rPr>
        <w:t xml:space="preserve"> MLETR Tracker, International Chamber of Commerce Digital Standards Initiative, [</w:t>
      </w:r>
      <w:hyperlink r:id="rId10" w:history="1">
        <w:r w:rsidRPr="006F1DCC">
          <w:rPr>
            <w:rStyle w:val="Hyperlink"/>
            <w:rFonts w:asciiTheme="minorHAnsi" w:hAnsiTheme="minorHAnsi" w:cstheme="minorHAnsi"/>
            <w:b/>
            <w:color w:val="0000FF"/>
            <w:sz w:val="18"/>
          </w:rPr>
          <w:t>MLETR Tracker | Cross-Border Paperless Trade Database (digitalizetrade.org)</w:t>
        </w:r>
      </w:hyperlink>
      <w:r w:rsidRPr="006F1DCC">
        <w:rPr>
          <w:rFonts w:asciiTheme="minorHAnsi" w:hAnsiTheme="minorHAnsi" w:cstheme="minorHAnsi"/>
          <w:color w:val="0000FF"/>
          <w:sz w:val="18"/>
        </w:rPr>
        <w:t xml:space="preserve">], </w:t>
      </w:r>
      <w:r>
        <w:rPr>
          <w:rFonts w:asciiTheme="minorHAnsi" w:hAnsiTheme="minorHAnsi" w:cstheme="minorHAnsi"/>
          <w:sz w:val="18"/>
        </w:rPr>
        <w:t>accessed 17 July 2024.</w:t>
      </w:r>
    </w:p>
  </w:footnote>
  <w:footnote w:id="92">
    <w:p w14:paraId="1A0A0A0D" w14:textId="77777777" w:rsidR="00610159" w:rsidRDefault="00610159" w:rsidP="00040EE5">
      <w:pPr>
        <w:pStyle w:val="FootnoteText"/>
        <w:rPr>
          <w:rFonts w:asciiTheme="minorHAnsi" w:hAnsiTheme="minorHAnsi" w:cstheme="minorHAnsi"/>
          <w:sz w:val="18"/>
        </w:rPr>
      </w:pPr>
      <w:r>
        <w:rPr>
          <w:rStyle w:val="FootnoteReference"/>
          <w:rFonts w:asciiTheme="minorHAnsi" w:hAnsiTheme="minorHAnsi" w:cstheme="minorHAnsi"/>
          <w:sz w:val="18"/>
        </w:rPr>
        <w:footnoteRef/>
      </w:r>
      <w:r>
        <w:rPr>
          <w:rFonts w:asciiTheme="minorHAnsi" w:hAnsiTheme="minorHAnsi" w:cstheme="minorHAnsi"/>
          <w:sz w:val="18"/>
        </w:rPr>
        <w:t xml:space="preserve"> Article 8.4.</w:t>
      </w:r>
    </w:p>
  </w:footnote>
  <w:footnote w:id="93">
    <w:p w14:paraId="0E3056AA" w14:textId="77777777" w:rsidR="00610159" w:rsidRDefault="00610159" w:rsidP="00040EE5">
      <w:pPr>
        <w:pStyle w:val="FootnoteText"/>
      </w:pPr>
      <w:r>
        <w:rPr>
          <w:rStyle w:val="FootnoteReference"/>
          <w:rFonts w:asciiTheme="minorHAnsi" w:hAnsiTheme="minorHAnsi" w:cstheme="minorHAnsi"/>
          <w:sz w:val="18"/>
        </w:rPr>
        <w:footnoteRef/>
      </w:r>
      <w:r>
        <w:rPr>
          <w:rFonts w:asciiTheme="minorHAnsi" w:hAnsiTheme="minorHAnsi" w:cstheme="minorHAnsi"/>
          <w:sz w:val="18"/>
        </w:rPr>
        <w:t xml:space="preserve"> Article 14.4(3).</w:t>
      </w:r>
    </w:p>
  </w:footnote>
  <w:footnote w:id="94">
    <w:p w14:paraId="6F79653D" w14:textId="77777777" w:rsidR="00610159" w:rsidRPr="00707E76" w:rsidRDefault="00610159" w:rsidP="00040EE5">
      <w:pPr>
        <w:pStyle w:val="FootnoteText"/>
        <w:rPr>
          <w:rFonts w:asciiTheme="minorHAnsi" w:hAnsiTheme="minorHAnsi" w:cstheme="minorHAnsi"/>
          <w:sz w:val="18"/>
          <w:szCs w:val="18"/>
        </w:rPr>
      </w:pPr>
      <w:r w:rsidRPr="00707E76">
        <w:rPr>
          <w:rStyle w:val="FootnoteReference"/>
          <w:rFonts w:asciiTheme="minorHAnsi" w:hAnsiTheme="minorHAnsi" w:cstheme="minorHAnsi"/>
          <w:sz w:val="18"/>
          <w:szCs w:val="18"/>
        </w:rPr>
        <w:footnoteRef/>
      </w:r>
      <w:r w:rsidRPr="00707E76">
        <w:rPr>
          <w:rFonts w:asciiTheme="minorHAnsi" w:hAnsiTheme="minorHAnsi" w:cstheme="minorHAnsi"/>
          <w:sz w:val="18"/>
          <w:szCs w:val="18"/>
        </w:rPr>
        <w:t xml:space="preserve"> UKLC 2021 Consultation Paper, paragraph [2.53].</w:t>
      </w:r>
    </w:p>
  </w:footnote>
  <w:footnote w:id="95">
    <w:p w14:paraId="1F2DB8D1" w14:textId="77777777" w:rsidR="00610159" w:rsidRPr="00707E76" w:rsidRDefault="00610159" w:rsidP="00040EE5">
      <w:pPr>
        <w:pStyle w:val="FootnoteText"/>
        <w:rPr>
          <w:rFonts w:asciiTheme="minorHAnsi" w:hAnsiTheme="minorHAnsi" w:cstheme="minorHAnsi"/>
          <w:sz w:val="18"/>
          <w:szCs w:val="18"/>
        </w:rPr>
      </w:pPr>
      <w:r w:rsidRPr="00707E76">
        <w:rPr>
          <w:rStyle w:val="FootnoteReference"/>
          <w:rFonts w:asciiTheme="minorHAnsi" w:hAnsiTheme="minorHAnsi" w:cstheme="minorHAnsi"/>
          <w:sz w:val="18"/>
          <w:szCs w:val="18"/>
        </w:rPr>
        <w:footnoteRef/>
      </w:r>
      <w:r w:rsidRPr="00707E76">
        <w:rPr>
          <w:rFonts w:asciiTheme="minorHAnsi" w:hAnsiTheme="minorHAnsi" w:cstheme="minorHAnsi"/>
          <w:sz w:val="18"/>
          <w:szCs w:val="18"/>
        </w:rPr>
        <w:t xml:space="preserve"> For a summary of DLT, see Annexure 3 of the UKLC 2021 Consultation Paper, page 172</w:t>
      </w:r>
    </w:p>
  </w:footnote>
  <w:footnote w:id="96">
    <w:p w14:paraId="3817F3E1" w14:textId="77777777" w:rsidR="00610159" w:rsidRDefault="00610159" w:rsidP="00780D76">
      <w:pPr>
        <w:pStyle w:val="FootnoteText"/>
        <w:ind w:left="142" w:hanging="142"/>
        <w:jc w:val="both"/>
        <w:rPr>
          <w:rFonts w:asciiTheme="minorHAnsi" w:hAnsiTheme="minorHAnsi" w:cstheme="minorHAnsi"/>
          <w:sz w:val="18"/>
        </w:rPr>
      </w:pPr>
      <w:r w:rsidRPr="00707E76">
        <w:rPr>
          <w:rStyle w:val="FootnoteReference"/>
          <w:rFonts w:asciiTheme="minorHAnsi" w:hAnsiTheme="minorHAnsi" w:cstheme="minorHAnsi"/>
          <w:sz w:val="18"/>
          <w:szCs w:val="18"/>
        </w:rPr>
        <w:footnoteRef/>
      </w:r>
      <w:r w:rsidRPr="00707E76">
        <w:rPr>
          <w:rFonts w:asciiTheme="minorHAnsi" w:hAnsiTheme="minorHAnsi" w:cstheme="minorHAnsi"/>
          <w:sz w:val="18"/>
          <w:szCs w:val="18"/>
        </w:rPr>
        <w:t xml:space="preserve"> White Paper on Transfer of MLETR-Compliant Titles, United Nations Centre for Trade Facilitation and Electronic (UN/ CEFACT), September 2023, pages 8-14.</w:t>
      </w:r>
    </w:p>
  </w:footnote>
  <w:footnote w:id="97">
    <w:p w14:paraId="09F3E34C" w14:textId="4FEFE412" w:rsidR="00610159" w:rsidRDefault="00610159" w:rsidP="00040EE5">
      <w:pPr>
        <w:pStyle w:val="FootnoteText"/>
        <w:jc w:val="both"/>
      </w:pPr>
      <w:r>
        <w:rPr>
          <w:rStyle w:val="FootnoteReference"/>
          <w:rFonts w:asciiTheme="minorHAnsi" w:hAnsiTheme="minorHAnsi" w:cstheme="minorHAnsi"/>
          <w:sz w:val="18"/>
        </w:rPr>
        <w:footnoteRef/>
      </w:r>
      <w:r w:rsidRPr="00B15EDD">
        <w:rPr>
          <w:rStyle w:val="Hyperlink"/>
          <w:rFonts w:asciiTheme="minorHAnsi" w:hAnsiTheme="minorHAnsi" w:cstheme="minorHAnsi"/>
          <w:b/>
          <w:sz w:val="18"/>
        </w:rPr>
        <w:t xml:space="preserve"> </w:t>
      </w:r>
      <w:hyperlink r:id="rId11" w:history="1">
        <w:r w:rsidRPr="006F1DCC">
          <w:rPr>
            <w:rStyle w:val="Hyperlink"/>
            <w:rFonts w:asciiTheme="minorHAnsi" w:hAnsiTheme="minorHAnsi" w:cstheme="minorHAnsi"/>
            <w:b/>
            <w:color w:val="0000FF"/>
            <w:sz w:val="18"/>
          </w:rPr>
          <w:t>TradeTrust-Enabled Electronic Bills of Lading, Stephenson Harwood</w:t>
        </w:r>
      </w:hyperlink>
      <w:r w:rsidRPr="00B15EDD">
        <w:rPr>
          <w:rFonts w:asciiTheme="minorHAnsi" w:hAnsiTheme="minorHAnsi" w:cstheme="minorHAnsi"/>
          <w:sz w:val="18"/>
        </w:rPr>
        <w:t xml:space="preserve">, </w:t>
      </w:r>
      <w:r>
        <w:rPr>
          <w:rFonts w:asciiTheme="minorHAnsi" w:hAnsiTheme="minorHAnsi" w:cstheme="minorHAnsi"/>
          <w:sz w:val="18"/>
        </w:rPr>
        <w:t>July 2023.</w:t>
      </w:r>
    </w:p>
  </w:footnote>
  <w:footnote w:id="98">
    <w:p w14:paraId="6C6384F1" w14:textId="77777777" w:rsidR="00610159" w:rsidRDefault="00610159" w:rsidP="00780D76">
      <w:pPr>
        <w:pStyle w:val="FootnoteText"/>
        <w:ind w:left="142" w:hanging="142"/>
        <w:rPr>
          <w:rFonts w:asciiTheme="minorHAnsi" w:hAnsiTheme="minorHAnsi" w:cstheme="minorHAnsi"/>
        </w:rPr>
      </w:pPr>
      <w:r>
        <w:rPr>
          <w:rStyle w:val="FootnoteReference"/>
          <w:rFonts w:asciiTheme="minorHAnsi" w:hAnsiTheme="minorHAnsi" w:cstheme="minorHAnsi"/>
          <w:sz w:val="18"/>
        </w:rPr>
        <w:footnoteRef/>
      </w:r>
      <w:r>
        <w:rPr>
          <w:rFonts w:asciiTheme="minorHAnsi" w:hAnsiTheme="minorHAnsi" w:cstheme="minorHAnsi"/>
          <w:sz w:val="18"/>
        </w:rPr>
        <w:t xml:space="preserve"> </w:t>
      </w:r>
      <w:hyperlink r:id="rId12" w:history="1">
        <w:r w:rsidRPr="006F1DCC">
          <w:rPr>
            <w:rStyle w:val="Hyperlink"/>
            <w:rFonts w:asciiTheme="minorHAnsi" w:hAnsiTheme="minorHAnsi" w:cstheme="minorHAnsi"/>
            <w:b/>
            <w:color w:val="0000FF"/>
            <w:sz w:val="18"/>
          </w:rPr>
          <w:t>The ICC Digital Standards Initiative (DSI) Digital Trade | Welcome (iccwbo.org</w:t>
        </w:r>
      </w:hyperlink>
      <w:r>
        <w:rPr>
          <w:rFonts w:asciiTheme="minorHAnsi" w:hAnsiTheme="minorHAnsi" w:cstheme="minorHAnsi"/>
          <w:sz w:val="18"/>
        </w:rPr>
        <w:t>).</w:t>
      </w:r>
      <w:r w:rsidRPr="00B15EDD">
        <w:rPr>
          <w:rFonts w:asciiTheme="minorHAnsi" w:hAnsiTheme="minorHAnsi" w:cstheme="minorHAnsi"/>
          <w:sz w:val="18"/>
        </w:rPr>
        <w:t xml:space="preserve"> In addition</w:t>
      </w:r>
      <w:r>
        <w:rPr>
          <w:rFonts w:asciiTheme="minorHAnsi" w:hAnsiTheme="minorHAnsi" w:cstheme="minorHAnsi"/>
          <w:sz w:val="18"/>
        </w:rPr>
        <w:t>, the United Nations Centre for Trade Facilitation and Electronic Business (UN/CEFACT) published a white paper on transfers of MLETR-compliant titles in September 2023.</w:t>
      </w:r>
    </w:p>
  </w:footnote>
  <w:footnote w:id="99">
    <w:p w14:paraId="73A541BC" w14:textId="13774A97" w:rsidR="00610159" w:rsidRPr="00060D23" w:rsidRDefault="00610159" w:rsidP="002A1C8D">
      <w:pPr>
        <w:pStyle w:val="FootnoteText"/>
        <w:jc w:val="both"/>
        <w:rPr>
          <w:rFonts w:asciiTheme="minorHAnsi" w:hAnsiTheme="minorHAnsi" w:cstheme="minorHAnsi"/>
          <w:sz w:val="18"/>
          <w:szCs w:val="18"/>
        </w:rPr>
      </w:pPr>
      <w:r w:rsidRPr="002A1C8D">
        <w:rPr>
          <w:rStyle w:val="FootnoteReference"/>
          <w:rFonts w:asciiTheme="minorHAnsi" w:hAnsiTheme="minorHAnsi"/>
          <w:sz w:val="18"/>
        </w:rPr>
        <w:footnoteRef/>
      </w:r>
      <w:r w:rsidRPr="002A1C8D">
        <w:rPr>
          <w:rFonts w:asciiTheme="minorHAnsi" w:hAnsiTheme="minorHAnsi"/>
          <w:sz w:val="18"/>
        </w:rPr>
        <w:t xml:space="preserve"> </w:t>
      </w:r>
      <w:r w:rsidRPr="00A10DE8">
        <w:rPr>
          <w:rFonts w:asciiTheme="minorHAnsi" w:hAnsiTheme="minorHAnsi"/>
          <w:i/>
          <w:sz w:val="18"/>
        </w:rPr>
        <w:t xml:space="preserve">Official </w:t>
      </w:r>
      <w:r w:rsidRPr="00A10DE8">
        <w:rPr>
          <w:rFonts w:asciiTheme="minorHAnsi" w:hAnsiTheme="minorHAnsi" w:cstheme="minorHAnsi"/>
          <w:i/>
          <w:sz w:val="18"/>
          <w:szCs w:val="18"/>
        </w:rPr>
        <w:t>Records of the General Assembly, Sixty-sixth Session, Supplement No.  17</w:t>
      </w:r>
      <w:r w:rsidRPr="00060D23">
        <w:rPr>
          <w:rFonts w:asciiTheme="minorHAnsi" w:hAnsiTheme="minorHAnsi" w:cstheme="minorHAnsi"/>
          <w:sz w:val="18"/>
          <w:szCs w:val="18"/>
        </w:rPr>
        <w:t xml:space="preserve"> (</w:t>
      </w:r>
      <w:hyperlink r:id="rId13" w:history="1">
        <w:r w:rsidRPr="00707E76">
          <w:rPr>
            <w:rStyle w:val="Hyperlink"/>
            <w:rFonts w:asciiTheme="minorHAnsi" w:hAnsiTheme="minorHAnsi" w:cstheme="minorHAnsi"/>
            <w:sz w:val="18"/>
            <w:szCs w:val="18"/>
          </w:rPr>
          <w:t>A/66/17</w:t>
        </w:r>
      </w:hyperlink>
      <w:r w:rsidRPr="00060D23">
        <w:rPr>
          <w:rFonts w:asciiTheme="minorHAnsi" w:hAnsiTheme="minorHAnsi" w:cstheme="minorHAnsi"/>
          <w:sz w:val="18"/>
          <w:szCs w:val="18"/>
        </w:rPr>
        <w:t xml:space="preserve">), </w:t>
      </w:r>
    </w:p>
    <w:p w14:paraId="25D7C7A1" w14:textId="77777777" w:rsidR="00610159" w:rsidRPr="00A10DE8" w:rsidRDefault="00610159" w:rsidP="002A1C8D">
      <w:pPr>
        <w:pStyle w:val="FootnoteText"/>
        <w:jc w:val="both"/>
        <w:rPr>
          <w:rFonts w:asciiTheme="minorHAnsi" w:hAnsiTheme="minorHAnsi" w:cstheme="minorHAnsi"/>
          <w:sz w:val="18"/>
          <w:szCs w:val="18"/>
        </w:rPr>
      </w:pPr>
      <w:r w:rsidRPr="00A10DE8">
        <w:rPr>
          <w:rFonts w:asciiTheme="minorHAnsi" w:hAnsiTheme="minorHAnsi" w:cstheme="minorHAnsi"/>
          <w:sz w:val="18"/>
          <w:szCs w:val="18"/>
        </w:rPr>
        <w:t>para.  238.</w:t>
      </w:r>
    </w:p>
  </w:footnote>
  <w:footnote w:id="100">
    <w:p w14:paraId="5C50206F" w14:textId="15908D39" w:rsidR="00610159" w:rsidRPr="00A10DE8" w:rsidRDefault="00610159" w:rsidP="002A1C8D">
      <w:pPr>
        <w:pStyle w:val="FootnoteText"/>
        <w:jc w:val="both"/>
        <w:rPr>
          <w:rFonts w:asciiTheme="minorHAnsi" w:hAnsiTheme="minorHAnsi" w:cstheme="minorHAnsi"/>
          <w:sz w:val="18"/>
          <w:szCs w:val="18"/>
        </w:rPr>
      </w:pPr>
      <w:r w:rsidRPr="00060D23">
        <w:rPr>
          <w:rStyle w:val="FootnoteReference"/>
          <w:rFonts w:asciiTheme="minorHAnsi" w:hAnsiTheme="minorHAnsi" w:cstheme="minorHAnsi"/>
          <w:sz w:val="18"/>
          <w:szCs w:val="18"/>
        </w:rPr>
        <w:footnoteRef/>
      </w:r>
      <w:r w:rsidRPr="00060D23">
        <w:rPr>
          <w:rFonts w:asciiTheme="minorHAnsi" w:hAnsiTheme="minorHAnsi" w:cstheme="minorHAnsi"/>
          <w:sz w:val="18"/>
          <w:szCs w:val="18"/>
        </w:rPr>
        <w:t xml:space="preserve"> Ibid., Seventy-second Session, Supplement No.  17 (</w:t>
      </w:r>
      <w:hyperlink r:id="rId14" w:history="1">
        <w:r w:rsidRPr="00A10DE8">
          <w:rPr>
            <w:rStyle w:val="Hyperlink"/>
            <w:rFonts w:asciiTheme="minorHAnsi" w:hAnsiTheme="minorHAnsi" w:cstheme="minorHAnsi"/>
            <w:sz w:val="18"/>
            <w:szCs w:val="18"/>
          </w:rPr>
          <w:t>A/72/17</w:t>
        </w:r>
      </w:hyperlink>
      <w:r w:rsidRPr="00060D23">
        <w:rPr>
          <w:rFonts w:asciiTheme="minorHAnsi" w:hAnsiTheme="minorHAnsi" w:cstheme="minorHAnsi"/>
          <w:sz w:val="18"/>
          <w:szCs w:val="18"/>
        </w:rPr>
        <w:t>), chap.  I</w:t>
      </w:r>
      <w:r w:rsidRPr="00A10DE8">
        <w:rPr>
          <w:rFonts w:asciiTheme="minorHAnsi" w:hAnsiTheme="minorHAnsi" w:cstheme="minorHAnsi"/>
          <w:sz w:val="18"/>
          <w:szCs w:val="18"/>
        </w:rPr>
        <w:t>II.</w:t>
      </w:r>
    </w:p>
  </w:footnote>
  <w:footnote w:id="101">
    <w:p w14:paraId="5F9B5BAC" w14:textId="341B19C7" w:rsidR="00610159" w:rsidRPr="00A10DE8" w:rsidRDefault="00610159" w:rsidP="002A1C8D">
      <w:pPr>
        <w:pStyle w:val="FootnoteText"/>
        <w:jc w:val="both"/>
        <w:rPr>
          <w:rFonts w:asciiTheme="minorHAnsi" w:hAnsiTheme="minorHAnsi" w:cstheme="minorHAnsi"/>
          <w:sz w:val="18"/>
          <w:szCs w:val="18"/>
        </w:rPr>
      </w:pPr>
      <w:r w:rsidRPr="00060D23">
        <w:rPr>
          <w:rStyle w:val="FootnoteReference"/>
          <w:rFonts w:asciiTheme="minorHAnsi" w:hAnsiTheme="minorHAnsi" w:cstheme="minorHAnsi"/>
          <w:sz w:val="18"/>
          <w:szCs w:val="18"/>
        </w:rPr>
        <w:footnoteRef/>
      </w:r>
      <w:r w:rsidRPr="00060D23">
        <w:rPr>
          <w:rFonts w:asciiTheme="minorHAnsi" w:hAnsiTheme="minorHAnsi" w:cstheme="minorHAnsi"/>
          <w:sz w:val="18"/>
          <w:szCs w:val="18"/>
        </w:rPr>
        <w:t xml:space="preserve"> Ibid., annex I.</w:t>
      </w:r>
    </w:p>
  </w:footnote>
  <w:footnote w:id="102">
    <w:p w14:paraId="688F6E2F" w14:textId="65DC0CA6" w:rsidR="00610159" w:rsidRPr="00060D23" w:rsidRDefault="00610159" w:rsidP="002A1C8D">
      <w:pPr>
        <w:pStyle w:val="FootnoteText"/>
        <w:jc w:val="both"/>
        <w:rPr>
          <w:rFonts w:asciiTheme="minorHAnsi" w:hAnsiTheme="minorHAnsi" w:cstheme="minorHAnsi"/>
          <w:sz w:val="18"/>
          <w:szCs w:val="18"/>
        </w:rPr>
      </w:pPr>
      <w:r w:rsidRPr="00060D23">
        <w:rPr>
          <w:rStyle w:val="FootnoteReference"/>
          <w:rFonts w:asciiTheme="minorHAnsi" w:hAnsiTheme="minorHAnsi" w:cstheme="minorHAnsi"/>
          <w:sz w:val="18"/>
          <w:szCs w:val="18"/>
        </w:rPr>
        <w:footnoteRef/>
      </w:r>
      <w:r w:rsidRPr="00060D23">
        <w:rPr>
          <w:rFonts w:asciiTheme="minorHAnsi" w:hAnsiTheme="minorHAnsi" w:cstheme="minorHAnsi"/>
          <w:sz w:val="18"/>
          <w:szCs w:val="18"/>
        </w:rPr>
        <w:t xml:space="preserve"> Resolution </w:t>
      </w:r>
      <w:hyperlink r:id="rId15" w:history="1">
        <w:r w:rsidRPr="00A10DE8">
          <w:rPr>
            <w:rStyle w:val="Hyperlink"/>
            <w:rFonts w:asciiTheme="minorHAnsi" w:hAnsiTheme="minorHAnsi" w:cstheme="minorHAnsi"/>
            <w:sz w:val="18"/>
            <w:szCs w:val="18"/>
          </w:rPr>
          <w:t>60/21</w:t>
        </w:r>
      </w:hyperlink>
      <w:r w:rsidRPr="00060D23">
        <w:rPr>
          <w:rFonts w:asciiTheme="minorHAnsi" w:hAnsiTheme="minorHAnsi" w:cstheme="minorHAnsi"/>
          <w:sz w:val="18"/>
          <w:szCs w:val="18"/>
        </w:rPr>
        <w:t>, annex.</w:t>
      </w:r>
    </w:p>
  </w:footnote>
  <w:footnote w:id="103">
    <w:p w14:paraId="07D189E6" w14:textId="7228E560" w:rsidR="00610159" w:rsidRPr="00060D23" w:rsidRDefault="00610159" w:rsidP="002A1C8D">
      <w:pPr>
        <w:pStyle w:val="FootnoteText"/>
        <w:jc w:val="both"/>
        <w:rPr>
          <w:rFonts w:asciiTheme="minorHAnsi" w:hAnsiTheme="minorHAnsi" w:cstheme="minorHAnsi"/>
          <w:sz w:val="18"/>
          <w:szCs w:val="18"/>
        </w:rPr>
      </w:pPr>
      <w:r w:rsidRPr="00060D23">
        <w:rPr>
          <w:rStyle w:val="FootnoteReference"/>
          <w:rFonts w:asciiTheme="minorHAnsi" w:hAnsiTheme="minorHAnsi" w:cstheme="minorHAnsi"/>
          <w:sz w:val="18"/>
          <w:szCs w:val="18"/>
        </w:rPr>
        <w:footnoteRef/>
      </w:r>
      <w:r w:rsidRPr="00060D23">
        <w:rPr>
          <w:rFonts w:asciiTheme="minorHAnsi" w:hAnsiTheme="minorHAnsi" w:cstheme="minorHAnsi"/>
          <w:sz w:val="18"/>
          <w:szCs w:val="18"/>
        </w:rPr>
        <w:t xml:space="preserve"> Resolution </w:t>
      </w:r>
      <w:hyperlink r:id="rId16" w:history="1">
        <w:r w:rsidRPr="00A10DE8">
          <w:rPr>
            <w:rStyle w:val="Hyperlink"/>
            <w:rFonts w:asciiTheme="minorHAnsi" w:hAnsiTheme="minorHAnsi" w:cstheme="minorHAnsi"/>
            <w:sz w:val="18"/>
            <w:szCs w:val="18"/>
          </w:rPr>
          <w:t>51/162</w:t>
        </w:r>
      </w:hyperlink>
      <w:r w:rsidRPr="00060D23">
        <w:rPr>
          <w:rFonts w:asciiTheme="minorHAnsi" w:hAnsiTheme="minorHAnsi" w:cstheme="minorHAnsi"/>
          <w:sz w:val="18"/>
          <w:szCs w:val="18"/>
        </w:rPr>
        <w:t>, annex.</w:t>
      </w:r>
    </w:p>
  </w:footnote>
  <w:footnote w:id="104">
    <w:p w14:paraId="476929D0" w14:textId="58437D4D" w:rsidR="00610159" w:rsidRPr="00A10DE8" w:rsidRDefault="00610159" w:rsidP="002A1C8D">
      <w:pPr>
        <w:pStyle w:val="FootnoteText"/>
        <w:jc w:val="both"/>
        <w:rPr>
          <w:rFonts w:asciiTheme="minorHAnsi" w:hAnsiTheme="minorHAnsi" w:cstheme="minorHAnsi"/>
          <w:sz w:val="18"/>
          <w:szCs w:val="18"/>
        </w:rPr>
      </w:pPr>
      <w:r w:rsidRPr="00060D23">
        <w:rPr>
          <w:rStyle w:val="FootnoteReference"/>
          <w:rFonts w:asciiTheme="minorHAnsi" w:hAnsiTheme="minorHAnsi" w:cstheme="minorHAnsi"/>
          <w:sz w:val="18"/>
          <w:szCs w:val="18"/>
        </w:rPr>
        <w:footnoteRef/>
      </w:r>
      <w:r w:rsidRPr="00060D23">
        <w:rPr>
          <w:rFonts w:asciiTheme="minorHAnsi" w:hAnsiTheme="minorHAnsi" w:cstheme="minorHAnsi"/>
          <w:sz w:val="18"/>
          <w:szCs w:val="18"/>
        </w:rPr>
        <w:t xml:space="preserve"> Resolution </w:t>
      </w:r>
      <w:hyperlink r:id="rId17" w:history="1">
        <w:r w:rsidRPr="00A10DE8">
          <w:rPr>
            <w:rStyle w:val="Hyperlink"/>
            <w:rFonts w:asciiTheme="minorHAnsi" w:hAnsiTheme="minorHAnsi" w:cstheme="minorHAnsi"/>
            <w:sz w:val="18"/>
            <w:szCs w:val="18"/>
          </w:rPr>
          <w:t>56/80</w:t>
        </w:r>
      </w:hyperlink>
      <w:r w:rsidRPr="00060D23">
        <w:rPr>
          <w:rFonts w:asciiTheme="minorHAnsi" w:hAnsiTheme="minorHAnsi" w:cstheme="minorHAnsi"/>
          <w:sz w:val="18"/>
          <w:szCs w:val="18"/>
        </w:rPr>
        <w:t>, annex</w:t>
      </w:r>
      <w:r w:rsidRPr="00A10DE8">
        <w:rPr>
          <w:rFonts w:asciiTheme="minorHAnsi" w:hAnsiTheme="minorHAnsi" w:cstheme="minorHAnsi"/>
          <w:sz w:val="18"/>
          <w:szCs w:val="18"/>
        </w:rPr>
        <w:t>.</w:t>
      </w:r>
    </w:p>
  </w:footnote>
  <w:footnote w:id="105">
    <w:p w14:paraId="460B0615" w14:textId="4D5B7005" w:rsidR="00610159" w:rsidRPr="00060D23" w:rsidRDefault="00610159">
      <w:pPr>
        <w:pStyle w:val="FootnoteText"/>
        <w:rPr>
          <w:rFonts w:asciiTheme="minorHAnsi" w:hAnsiTheme="minorHAnsi" w:cstheme="minorHAnsi"/>
          <w:sz w:val="18"/>
          <w:szCs w:val="18"/>
        </w:rPr>
      </w:pPr>
      <w:r w:rsidRPr="00626914">
        <w:rPr>
          <w:rStyle w:val="FootnoteReference"/>
          <w:rFonts w:asciiTheme="minorHAnsi" w:hAnsiTheme="minorHAnsi"/>
          <w:sz w:val="18"/>
        </w:rPr>
        <w:footnoteRef/>
      </w:r>
      <w:r w:rsidRPr="00626914">
        <w:rPr>
          <w:rFonts w:asciiTheme="minorHAnsi" w:hAnsiTheme="minorHAnsi"/>
          <w:sz w:val="18"/>
        </w:rPr>
        <w:t xml:space="preserve"> General </w:t>
      </w:r>
      <w:r w:rsidRPr="00060D23">
        <w:rPr>
          <w:rFonts w:asciiTheme="minorHAnsi" w:hAnsiTheme="minorHAnsi" w:cstheme="minorHAnsi"/>
          <w:sz w:val="18"/>
          <w:szCs w:val="18"/>
        </w:rPr>
        <w:t xml:space="preserve">Assembly resolution </w:t>
      </w:r>
      <w:hyperlink r:id="rId18" w:history="1">
        <w:r w:rsidRPr="00A10DE8">
          <w:rPr>
            <w:rStyle w:val="Hyperlink"/>
            <w:rFonts w:asciiTheme="minorHAnsi" w:hAnsiTheme="minorHAnsi" w:cstheme="minorHAnsi"/>
            <w:sz w:val="18"/>
            <w:szCs w:val="18"/>
          </w:rPr>
          <w:t>60/21</w:t>
        </w:r>
      </w:hyperlink>
      <w:r w:rsidRPr="00060D23">
        <w:rPr>
          <w:rFonts w:asciiTheme="minorHAnsi" w:hAnsiTheme="minorHAnsi" w:cstheme="minorHAnsi"/>
          <w:sz w:val="18"/>
          <w:szCs w:val="18"/>
        </w:rPr>
        <w:t>, annex.</w:t>
      </w:r>
    </w:p>
  </w:footnote>
  <w:footnote w:id="106">
    <w:p w14:paraId="7F5955BB" w14:textId="0F6B3417" w:rsidR="00610159" w:rsidRPr="00060D23" w:rsidRDefault="00610159">
      <w:pPr>
        <w:pStyle w:val="FootnoteText"/>
        <w:rPr>
          <w:rFonts w:asciiTheme="minorHAnsi" w:hAnsiTheme="minorHAnsi" w:cstheme="minorHAnsi"/>
          <w:sz w:val="18"/>
          <w:szCs w:val="18"/>
        </w:rPr>
      </w:pPr>
      <w:r w:rsidRPr="00060D23">
        <w:rPr>
          <w:rStyle w:val="FootnoteReference"/>
          <w:rFonts w:asciiTheme="minorHAnsi" w:hAnsiTheme="minorHAnsi" w:cstheme="minorHAnsi"/>
          <w:sz w:val="18"/>
          <w:szCs w:val="18"/>
        </w:rPr>
        <w:footnoteRef/>
      </w:r>
      <w:r w:rsidRPr="00060D23">
        <w:rPr>
          <w:rFonts w:asciiTheme="minorHAnsi" w:hAnsiTheme="minorHAnsi" w:cstheme="minorHAnsi"/>
          <w:sz w:val="18"/>
          <w:szCs w:val="18"/>
        </w:rPr>
        <w:t xml:space="preserve"> General Assembly resolution </w:t>
      </w:r>
      <w:hyperlink r:id="rId19" w:history="1">
        <w:r w:rsidRPr="00A10DE8">
          <w:rPr>
            <w:rStyle w:val="Hyperlink"/>
            <w:rFonts w:asciiTheme="minorHAnsi" w:hAnsiTheme="minorHAnsi" w:cstheme="minorHAnsi"/>
            <w:sz w:val="18"/>
            <w:szCs w:val="18"/>
          </w:rPr>
          <w:t>56/80</w:t>
        </w:r>
      </w:hyperlink>
      <w:r w:rsidRPr="00060D23">
        <w:rPr>
          <w:rFonts w:asciiTheme="minorHAnsi" w:hAnsiTheme="minorHAnsi" w:cstheme="minorHAnsi"/>
          <w:sz w:val="18"/>
          <w:szCs w:val="18"/>
        </w:rPr>
        <w:t>, annex.</w:t>
      </w:r>
    </w:p>
  </w:footnote>
  <w:footnote w:id="107">
    <w:p w14:paraId="4C2B6972" w14:textId="3093C7C0" w:rsidR="00610159" w:rsidRPr="00060D23" w:rsidRDefault="00610159">
      <w:pPr>
        <w:pStyle w:val="FootnoteText"/>
        <w:rPr>
          <w:rFonts w:asciiTheme="minorHAnsi" w:hAnsiTheme="minorHAnsi" w:cstheme="minorHAnsi"/>
          <w:sz w:val="18"/>
          <w:szCs w:val="18"/>
        </w:rPr>
      </w:pPr>
      <w:r w:rsidRPr="00060D23">
        <w:rPr>
          <w:rStyle w:val="FootnoteReference"/>
          <w:rFonts w:asciiTheme="minorHAnsi" w:hAnsiTheme="minorHAnsi" w:cstheme="minorHAnsi"/>
          <w:sz w:val="18"/>
          <w:szCs w:val="18"/>
        </w:rPr>
        <w:footnoteRef/>
      </w:r>
      <w:r w:rsidRPr="00060D23">
        <w:rPr>
          <w:rFonts w:asciiTheme="minorHAnsi" w:hAnsiTheme="minorHAnsi" w:cstheme="minorHAnsi"/>
          <w:sz w:val="18"/>
          <w:szCs w:val="18"/>
        </w:rPr>
        <w:t xml:space="preserve"> General Assembly resolution </w:t>
      </w:r>
      <w:hyperlink r:id="rId20" w:history="1">
        <w:r w:rsidRPr="00A10DE8">
          <w:rPr>
            <w:rStyle w:val="Hyperlink"/>
            <w:rFonts w:asciiTheme="minorHAnsi" w:hAnsiTheme="minorHAnsi" w:cstheme="minorHAnsi"/>
            <w:sz w:val="18"/>
            <w:szCs w:val="18"/>
          </w:rPr>
          <w:t>51/162</w:t>
        </w:r>
      </w:hyperlink>
      <w:r w:rsidRPr="00060D23">
        <w:rPr>
          <w:rFonts w:asciiTheme="minorHAnsi" w:hAnsiTheme="minorHAnsi" w:cstheme="minorHAnsi"/>
          <w:sz w:val="18"/>
          <w:szCs w:val="18"/>
        </w:rPr>
        <w:t>, annex.</w:t>
      </w:r>
    </w:p>
  </w:footnote>
  <w:footnote w:id="108">
    <w:p w14:paraId="793A6D93" w14:textId="30D8B58F" w:rsidR="00610159" w:rsidRPr="00A10DE8" w:rsidRDefault="00610159">
      <w:pPr>
        <w:pStyle w:val="FootnoteText"/>
        <w:rPr>
          <w:rFonts w:asciiTheme="minorHAnsi" w:hAnsiTheme="minorHAnsi" w:cstheme="minorHAnsi"/>
          <w:sz w:val="18"/>
          <w:szCs w:val="18"/>
        </w:rPr>
      </w:pPr>
      <w:r w:rsidRPr="00060D23">
        <w:rPr>
          <w:rStyle w:val="FootnoteReference"/>
          <w:rFonts w:asciiTheme="minorHAnsi" w:hAnsiTheme="minorHAnsi" w:cstheme="minorHAnsi"/>
          <w:sz w:val="18"/>
          <w:szCs w:val="18"/>
        </w:rPr>
        <w:footnoteRef/>
      </w:r>
      <w:r w:rsidRPr="00060D23">
        <w:rPr>
          <w:rFonts w:asciiTheme="minorHAnsi" w:hAnsiTheme="minorHAnsi" w:cstheme="minorHAnsi"/>
          <w:sz w:val="18"/>
          <w:szCs w:val="18"/>
        </w:rPr>
        <w:t xml:space="preserve"> </w:t>
      </w:r>
      <w:r w:rsidRPr="00A10DE8">
        <w:rPr>
          <w:rFonts w:asciiTheme="minorHAnsi" w:hAnsiTheme="minorHAnsi" w:cstheme="minorHAnsi"/>
          <w:i/>
          <w:sz w:val="18"/>
          <w:szCs w:val="18"/>
        </w:rPr>
        <w:t>Official Records of the General Assembly, Sixty-sixth Session, Supplement No. 17</w:t>
      </w:r>
      <w:r w:rsidRPr="00060D23">
        <w:rPr>
          <w:rFonts w:asciiTheme="minorHAnsi" w:hAnsiTheme="minorHAnsi" w:cstheme="minorHAnsi"/>
          <w:sz w:val="18"/>
          <w:szCs w:val="18"/>
        </w:rPr>
        <w:t xml:space="preserve"> (</w:t>
      </w:r>
      <w:hyperlink r:id="rId21" w:history="1">
        <w:r w:rsidRPr="00A10DE8">
          <w:rPr>
            <w:rStyle w:val="Hyperlink"/>
            <w:rFonts w:asciiTheme="minorHAnsi" w:hAnsiTheme="minorHAnsi" w:cstheme="minorHAnsi"/>
            <w:sz w:val="18"/>
            <w:szCs w:val="18"/>
          </w:rPr>
          <w:t>A/66/17</w:t>
        </w:r>
      </w:hyperlink>
      <w:r w:rsidRPr="00060D23">
        <w:rPr>
          <w:rFonts w:asciiTheme="minorHAnsi" w:hAnsiTheme="minorHAnsi" w:cstheme="minorHAnsi"/>
          <w:sz w:val="18"/>
          <w:szCs w:val="18"/>
        </w:rPr>
        <w:t>), para. 238.</w:t>
      </w:r>
    </w:p>
  </w:footnote>
  <w:footnote w:id="109">
    <w:p w14:paraId="02C2EC66" w14:textId="064A3CB9" w:rsidR="00610159" w:rsidRPr="00060D23" w:rsidRDefault="00610159" w:rsidP="000C546B">
      <w:pPr>
        <w:pStyle w:val="FootnoteText"/>
        <w:rPr>
          <w:rFonts w:asciiTheme="minorHAnsi" w:hAnsiTheme="minorHAnsi" w:cstheme="minorHAnsi"/>
          <w:sz w:val="18"/>
          <w:szCs w:val="18"/>
        </w:rPr>
      </w:pPr>
      <w:r w:rsidRPr="00060D23">
        <w:rPr>
          <w:rStyle w:val="FootnoteReference"/>
          <w:rFonts w:asciiTheme="minorHAnsi" w:hAnsiTheme="minorHAnsi" w:cstheme="minorHAnsi"/>
          <w:sz w:val="18"/>
          <w:szCs w:val="18"/>
        </w:rPr>
        <w:footnoteRef/>
      </w:r>
      <w:r w:rsidRPr="00060D23">
        <w:rPr>
          <w:rFonts w:asciiTheme="minorHAnsi" w:hAnsiTheme="minorHAnsi" w:cstheme="minorHAnsi"/>
          <w:sz w:val="18"/>
          <w:szCs w:val="18"/>
        </w:rPr>
        <w:t xml:space="preserve"> </w:t>
      </w:r>
      <w:hyperlink r:id="rId22" w:history="1">
        <w:r w:rsidRPr="00A10DE8">
          <w:rPr>
            <w:rStyle w:val="Hyperlink"/>
            <w:rFonts w:asciiTheme="minorHAnsi" w:hAnsiTheme="minorHAnsi" w:cstheme="minorHAnsi"/>
            <w:sz w:val="18"/>
            <w:szCs w:val="18"/>
          </w:rPr>
          <w:t>A/CN.9/920</w:t>
        </w:r>
      </w:hyperlink>
      <w:r w:rsidRPr="00060D23">
        <w:rPr>
          <w:rFonts w:asciiTheme="minorHAnsi" w:hAnsiTheme="minorHAnsi" w:cstheme="minorHAnsi"/>
          <w:sz w:val="18"/>
          <w:szCs w:val="18"/>
        </w:rPr>
        <w:t>.</w:t>
      </w:r>
    </w:p>
  </w:footnote>
  <w:footnote w:id="110">
    <w:p w14:paraId="41A7DA57" w14:textId="7AAD2136" w:rsidR="00610159" w:rsidRPr="00A10DE8" w:rsidRDefault="00610159">
      <w:pPr>
        <w:pStyle w:val="FootnoteText"/>
        <w:rPr>
          <w:rFonts w:asciiTheme="minorHAnsi" w:hAnsiTheme="minorHAnsi" w:cstheme="minorHAnsi"/>
          <w:sz w:val="18"/>
          <w:szCs w:val="18"/>
        </w:rPr>
      </w:pPr>
      <w:r w:rsidRPr="00060D23">
        <w:rPr>
          <w:rStyle w:val="FootnoteReference"/>
          <w:rFonts w:asciiTheme="minorHAnsi" w:hAnsiTheme="minorHAnsi" w:cstheme="minorHAnsi"/>
          <w:sz w:val="18"/>
          <w:szCs w:val="18"/>
        </w:rPr>
        <w:footnoteRef/>
      </w:r>
      <w:r w:rsidRPr="00060D23">
        <w:rPr>
          <w:rFonts w:asciiTheme="minorHAnsi" w:hAnsiTheme="minorHAnsi" w:cstheme="minorHAnsi"/>
          <w:sz w:val="18"/>
          <w:szCs w:val="18"/>
        </w:rPr>
        <w:t xml:space="preserve"> </w:t>
      </w:r>
      <w:hyperlink r:id="rId23" w:history="1">
        <w:r w:rsidRPr="00A10DE8">
          <w:rPr>
            <w:rStyle w:val="Hyperlink"/>
            <w:rFonts w:asciiTheme="minorHAnsi" w:hAnsiTheme="minorHAnsi" w:cstheme="minorHAnsi"/>
            <w:sz w:val="18"/>
            <w:szCs w:val="18"/>
          </w:rPr>
          <w:t>A/CN.9/921</w:t>
        </w:r>
      </w:hyperlink>
      <w:r w:rsidRPr="00A10DE8">
        <w:rPr>
          <w:rStyle w:val="Hyperlink"/>
          <w:rFonts w:asciiTheme="minorHAnsi" w:hAnsiTheme="minorHAnsi" w:cstheme="minorHAnsi"/>
          <w:sz w:val="18"/>
          <w:szCs w:val="18"/>
        </w:rPr>
        <w:t xml:space="preserve"> </w:t>
      </w:r>
      <w:r w:rsidRPr="00060D23">
        <w:rPr>
          <w:rFonts w:asciiTheme="minorHAnsi" w:hAnsiTheme="minorHAnsi" w:cstheme="minorHAnsi"/>
          <w:sz w:val="18"/>
          <w:szCs w:val="18"/>
        </w:rPr>
        <w:t>and addenda.</w:t>
      </w:r>
    </w:p>
  </w:footnote>
  <w:footnote w:id="111">
    <w:p w14:paraId="6F0D7914" w14:textId="5B2572AA" w:rsidR="00610159" w:rsidRDefault="00610159" w:rsidP="00707E76">
      <w:pPr>
        <w:pStyle w:val="FootnoteText"/>
        <w:tabs>
          <w:tab w:val="right" w:pos="1195"/>
          <w:tab w:val="left" w:pos="1267"/>
          <w:tab w:val="left" w:pos="1742"/>
          <w:tab w:val="left" w:pos="2218"/>
          <w:tab w:val="left" w:pos="2693"/>
        </w:tabs>
        <w:ind w:left="142" w:right="-2" w:hanging="142"/>
      </w:pPr>
      <w:r w:rsidRPr="00626914">
        <w:rPr>
          <w:rStyle w:val="FootnoteReference"/>
          <w:rFonts w:asciiTheme="minorHAnsi" w:hAnsiTheme="minorHAnsi" w:cstheme="minorHAnsi"/>
          <w:sz w:val="18"/>
          <w:szCs w:val="18"/>
        </w:rPr>
        <w:footnoteRef/>
      </w:r>
      <w:r w:rsidRPr="00626914">
        <w:rPr>
          <w:rFonts w:asciiTheme="minorHAnsi" w:hAnsiTheme="minorHAnsi" w:cstheme="minorHAnsi"/>
          <w:sz w:val="18"/>
          <w:szCs w:val="18"/>
        </w:rPr>
        <w:t xml:space="preserve"> The enacting jurisdiction may consider including a reference to: (a) documents and instruments that may be considered transferable, but that should not fall under the scope of the Model Law;</w:t>
      </w:r>
      <w:r>
        <w:rPr>
          <w:rFonts w:asciiTheme="minorHAnsi" w:hAnsiTheme="minorHAnsi" w:cstheme="minorHAnsi"/>
          <w:sz w:val="18"/>
          <w:szCs w:val="18"/>
        </w:rPr>
        <w:t xml:space="preserve"> </w:t>
      </w:r>
      <w:r w:rsidRPr="00626914">
        <w:rPr>
          <w:rFonts w:asciiTheme="minorHAnsi" w:hAnsiTheme="minorHAnsi" w:cstheme="minorHAnsi"/>
          <w:sz w:val="18"/>
          <w:szCs w:val="18"/>
        </w:rPr>
        <w:t>(b) documents and instruments falling under the scope of the Convention Providing a Uniform Law for Bills of Exchange and Promissory Notes (Geneva, 1930) and the Convention Providing a Uniform Law for Cheques (Geneva, 1931); and (c) electronic transferable records existing only in electronic form.</w:t>
      </w:r>
    </w:p>
  </w:footnote>
  <w:footnote w:id="112">
    <w:p w14:paraId="16A18CDF" w14:textId="3AD0B0AB" w:rsidR="00610159" w:rsidRPr="002A1C8D" w:rsidRDefault="00610159" w:rsidP="00626914">
      <w:pPr>
        <w:pStyle w:val="FootnoteText"/>
        <w:ind w:left="142" w:hanging="142"/>
        <w:rPr>
          <w:rFonts w:asciiTheme="minorHAnsi" w:hAnsiTheme="minorHAnsi"/>
          <w:sz w:val="18"/>
          <w:szCs w:val="18"/>
        </w:rPr>
      </w:pPr>
      <w:r w:rsidRPr="002A1C8D">
        <w:rPr>
          <w:rStyle w:val="FootnoteReference"/>
          <w:rFonts w:asciiTheme="minorHAnsi" w:hAnsiTheme="minorHAnsi"/>
          <w:sz w:val="18"/>
          <w:szCs w:val="18"/>
        </w:rPr>
        <w:footnoteRef/>
      </w:r>
      <w:r w:rsidRPr="002A1C8D">
        <w:rPr>
          <w:rFonts w:asciiTheme="minorHAnsi" w:hAnsiTheme="minorHAnsi"/>
          <w:sz w:val="18"/>
          <w:szCs w:val="18"/>
        </w:rPr>
        <w:t xml:space="preserve"> </w:t>
      </w:r>
      <w:r w:rsidRPr="002A1C8D">
        <w:rPr>
          <w:rFonts w:asciiTheme="minorHAnsi" w:hAnsiTheme="minorHAnsi" w:cstheme="minorHAnsi"/>
          <w:sz w:val="18"/>
          <w:szCs w:val="18"/>
        </w:rPr>
        <w:t>The enacting jurisdiction may consider which provisions of the Model Law, if any, the parties may derogate from or vary by agreement.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B869A" w14:textId="77777777" w:rsidR="00610159" w:rsidRDefault="00610159">
    <w:pPr>
      <w:pStyle w:val="Header"/>
    </w:pPr>
    <w:r>
      <w:rPr>
        <w:noProof/>
      </w:rPr>
      <w:drawing>
        <wp:anchor distT="0" distB="0" distL="114300" distR="114300" simplePos="0" relativeHeight="251664384" behindDoc="1" locked="0" layoutInCell="1" allowOverlap="1" wp14:anchorId="0F4A2C34" wp14:editId="2B8E79B2">
          <wp:simplePos x="0" y="0"/>
          <wp:positionH relativeFrom="page">
            <wp:align>center</wp:align>
          </wp:positionH>
          <wp:positionV relativeFrom="page">
            <wp:align>center</wp:align>
          </wp:positionV>
          <wp:extent cx="7558768" cy="10692000"/>
          <wp:effectExtent l="0" t="0" r="4445" b="0"/>
          <wp:wrapNone/>
          <wp:docPr id="42" name="Picture 42" descr="Dark blue ribbon running along the right hand side of the page and the text 'Consultation to inform options for implementing the Model Law on Electronic Transferable Records in Australia' across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960 INSLM re-brand - Word template Images2.jp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CB7EF" w14:textId="77777777" w:rsidR="00610159" w:rsidRDefault="00610159" w:rsidP="008E0C77">
    <w:pPr>
      <w:pStyle w:val="Headertext"/>
      <w:spacing w:after="180"/>
      <w:jc w:val="left"/>
    </w:pPr>
    <w:r>
      <w:rPr>
        <w:noProof/>
      </w:rPr>
      <w:drawing>
        <wp:anchor distT="0" distB="0" distL="114300" distR="114300" simplePos="0" relativeHeight="251674624" behindDoc="1" locked="0" layoutInCell="1" allowOverlap="1" wp14:anchorId="13DF5AFD" wp14:editId="7AB24DA9">
          <wp:simplePos x="0" y="0"/>
          <wp:positionH relativeFrom="page">
            <wp:align>center</wp:align>
          </wp:positionH>
          <wp:positionV relativeFrom="page">
            <wp:align>center</wp:align>
          </wp:positionV>
          <wp:extent cx="7558768" cy="10692000"/>
          <wp:effectExtent l="0" t="0" r="4445" b="0"/>
          <wp:wrapNone/>
          <wp:docPr id="45" name="Picture 45" descr="Dark blue ribbon running along the right hand side of the page and the text 'Consultation to inform options for implementing the Model Law on Electronic Transferable Records in Australia' across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960 INSLM re-brand - Word template Images2.jp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BDA70" w14:textId="77777777" w:rsidR="00610159" w:rsidRDefault="00610159">
    <w:pPr>
      <w:pStyle w:val="Header"/>
    </w:pPr>
    <w:r>
      <w:rPr>
        <w:noProof/>
      </w:rPr>
      <w:drawing>
        <wp:anchor distT="0" distB="0" distL="114300" distR="114300" simplePos="0" relativeHeight="251672576" behindDoc="1" locked="0" layoutInCell="1" allowOverlap="1" wp14:anchorId="255A3D9D" wp14:editId="11FA7532">
          <wp:simplePos x="0" y="0"/>
          <wp:positionH relativeFrom="page">
            <wp:align>center</wp:align>
          </wp:positionH>
          <wp:positionV relativeFrom="page">
            <wp:align>center</wp:align>
          </wp:positionV>
          <wp:extent cx="7558405" cy="10691495"/>
          <wp:effectExtent l="0" t="0" r="4445" b="0"/>
          <wp:wrapNone/>
          <wp:docPr id="44" name="Picture 44" descr="Australian Government - Attorney-General's Department crest in the top right corner.&#10;Illustration of a global map, across a dark blue background, with spots on a map connected b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960 INSLM re-brand - Word template Images.jp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721CB" w14:textId="77777777" w:rsidR="00610159" w:rsidRDefault="00610159">
    <w:pPr>
      <w:pStyle w:val="Header"/>
    </w:pPr>
    <w:r>
      <w:rPr>
        <w:noProof/>
      </w:rPr>
      <w:drawing>
        <wp:anchor distT="0" distB="0" distL="114300" distR="114300" simplePos="0" relativeHeight="251682816" behindDoc="1" locked="0" layoutInCell="1" allowOverlap="1" wp14:anchorId="506ECBBD" wp14:editId="458B03ED">
          <wp:simplePos x="0" y="0"/>
          <wp:positionH relativeFrom="page">
            <wp:align>center</wp:align>
          </wp:positionH>
          <wp:positionV relativeFrom="page">
            <wp:align>center</wp:align>
          </wp:positionV>
          <wp:extent cx="7560000" cy="10692000"/>
          <wp:effectExtent l="0" t="0" r="3175" b="0"/>
          <wp:wrapNone/>
          <wp:docPr id="4" name="Picture 4" descr="Dark blue ribbon running along the right hand side of the page and the text 'Consultation to inform options for implementing the Model Law on Electronic Transferable Records in Australia' across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960 INSLM re-brand - Word template Images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3D061" w14:textId="77777777" w:rsidR="00610159" w:rsidRDefault="00610159" w:rsidP="008E0C77">
    <w:pPr>
      <w:pStyle w:val="Headertext"/>
      <w:spacing w:after="18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F60F6"/>
    <w:multiLevelType w:val="hybridMultilevel"/>
    <w:tmpl w:val="128CE4C4"/>
    <w:lvl w:ilvl="0" w:tplc="B2D28F1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213" w:hanging="360"/>
      </w:pPr>
      <w:rPr>
        <w:rFonts w:ascii="Courier New" w:hAnsi="Courier New" w:cs="Courier New" w:hint="default"/>
      </w:rPr>
    </w:lvl>
    <w:lvl w:ilvl="2" w:tplc="0C090005" w:tentative="1">
      <w:start w:val="1"/>
      <w:numFmt w:val="bullet"/>
      <w:lvlText w:val=""/>
      <w:lvlJc w:val="left"/>
      <w:pPr>
        <w:ind w:left="1933" w:hanging="360"/>
      </w:pPr>
      <w:rPr>
        <w:rFonts w:ascii="Wingdings" w:hAnsi="Wingdings" w:hint="default"/>
      </w:rPr>
    </w:lvl>
    <w:lvl w:ilvl="3" w:tplc="0C090001" w:tentative="1">
      <w:start w:val="1"/>
      <w:numFmt w:val="bullet"/>
      <w:lvlText w:val=""/>
      <w:lvlJc w:val="left"/>
      <w:pPr>
        <w:ind w:left="2653" w:hanging="360"/>
      </w:pPr>
      <w:rPr>
        <w:rFonts w:ascii="Symbol" w:hAnsi="Symbol" w:hint="default"/>
      </w:rPr>
    </w:lvl>
    <w:lvl w:ilvl="4" w:tplc="0C090003" w:tentative="1">
      <w:start w:val="1"/>
      <w:numFmt w:val="bullet"/>
      <w:lvlText w:val="o"/>
      <w:lvlJc w:val="left"/>
      <w:pPr>
        <w:ind w:left="3373" w:hanging="360"/>
      </w:pPr>
      <w:rPr>
        <w:rFonts w:ascii="Courier New" w:hAnsi="Courier New" w:cs="Courier New" w:hint="default"/>
      </w:rPr>
    </w:lvl>
    <w:lvl w:ilvl="5" w:tplc="0C090005" w:tentative="1">
      <w:start w:val="1"/>
      <w:numFmt w:val="bullet"/>
      <w:lvlText w:val=""/>
      <w:lvlJc w:val="left"/>
      <w:pPr>
        <w:ind w:left="4093" w:hanging="360"/>
      </w:pPr>
      <w:rPr>
        <w:rFonts w:ascii="Wingdings" w:hAnsi="Wingdings" w:hint="default"/>
      </w:rPr>
    </w:lvl>
    <w:lvl w:ilvl="6" w:tplc="0C090001" w:tentative="1">
      <w:start w:val="1"/>
      <w:numFmt w:val="bullet"/>
      <w:lvlText w:val=""/>
      <w:lvlJc w:val="left"/>
      <w:pPr>
        <w:ind w:left="4813" w:hanging="360"/>
      </w:pPr>
      <w:rPr>
        <w:rFonts w:ascii="Symbol" w:hAnsi="Symbol" w:hint="default"/>
      </w:rPr>
    </w:lvl>
    <w:lvl w:ilvl="7" w:tplc="0C090003" w:tentative="1">
      <w:start w:val="1"/>
      <w:numFmt w:val="bullet"/>
      <w:lvlText w:val="o"/>
      <w:lvlJc w:val="left"/>
      <w:pPr>
        <w:ind w:left="5533" w:hanging="360"/>
      </w:pPr>
      <w:rPr>
        <w:rFonts w:ascii="Courier New" w:hAnsi="Courier New" w:cs="Courier New" w:hint="default"/>
      </w:rPr>
    </w:lvl>
    <w:lvl w:ilvl="8" w:tplc="0C090005" w:tentative="1">
      <w:start w:val="1"/>
      <w:numFmt w:val="bullet"/>
      <w:lvlText w:val=""/>
      <w:lvlJc w:val="left"/>
      <w:pPr>
        <w:ind w:left="6253" w:hanging="360"/>
      </w:pPr>
      <w:rPr>
        <w:rFonts w:ascii="Wingdings" w:hAnsi="Wingdings" w:hint="default"/>
      </w:rPr>
    </w:lvl>
  </w:abstractNum>
  <w:abstractNum w:abstractNumId="1" w15:restartNumberingAfterBreak="0">
    <w:nsid w:val="00B301D5"/>
    <w:multiLevelType w:val="hybridMultilevel"/>
    <w:tmpl w:val="04F2F648"/>
    <w:lvl w:ilvl="0" w:tplc="B2D28F12">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2A40BA4"/>
    <w:multiLevelType w:val="hybridMultilevel"/>
    <w:tmpl w:val="A126DD50"/>
    <w:lvl w:ilvl="0" w:tplc="B2D28F12">
      <w:numFmt w:val="bullet"/>
      <w:lvlText w:val="•"/>
      <w:lvlJc w:val="left"/>
      <w:pPr>
        <w:ind w:left="587" w:hanging="360"/>
      </w:pPr>
      <w:rPr>
        <w:rFonts w:ascii="Arial" w:eastAsia="Times New Roman" w:hAnsi="Arial" w:cs="Arial" w:hint="default"/>
      </w:rPr>
    </w:lvl>
    <w:lvl w:ilvl="1" w:tplc="0C090003">
      <w:start w:val="1"/>
      <w:numFmt w:val="bullet"/>
      <w:lvlText w:val="o"/>
      <w:lvlJc w:val="left"/>
      <w:pPr>
        <w:ind w:left="1307" w:hanging="360"/>
      </w:pPr>
      <w:rPr>
        <w:rFonts w:ascii="Courier New" w:hAnsi="Courier New" w:cs="Courier New" w:hint="default"/>
      </w:rPr>
    </w:lvl>
    <w:lvl w:ilvl="2" w:tplc="0C090005">
      <w:start w:val="1"/>
      <w:numFmt w:val="bullet"/>
      <w:lvlText w:val=""/>
      <w:lvlJc w:val="left"/>
      <w:pPr>
        <w:ind w:left="2027" w:hanging="360"/>
      </w:pPr>
      <w:rPr>
        <w:rFonts w:ascii="Wingdings" w:hAnsi="Wingdings" w:hint="default"/>
      </w:rPr>
    </w:lvl>
    <w:lvl w:ilvl="3" w:tplc="0C090001">
      <w:start w:val="1"/>
      <w:numFmt w:val="bullet"/>
      <w:lvlText w:val=""/>
      <w:lvlJc w:val="left"/>
      <w:pPr>
        <w:ind w:left="2747" w:hanging="360"/>
      </w:pPr>
      <w:rPr>
        <w:rFonts w:ascii="Symbol" w:hAnsi="Symbol" w:hint="default"/>
      </w:rPr>
    </w:lvl>
    <w:lvl w:ilvl="4" w:tplc="0C090003">
      <w:start w:val="1"/>
      <w:numFmt w:val="bullet"/>
      <w:lvlText w:val="o"/>
      <w:lvlJc w:val="left"/>
      <w:pPr>
        <w:ind w:left="3467" w:hanging="360"/>
      </w:pPr>
      <w:rPr>
        <w:rFonts w:ascii="Courier New" w:hAnsi="Courier New" w:cs="Courier New" w:hint="default"/>
      </w:rPr>
    </w:lvl>
    <w:lvl w:ilvl="5" w:tplc="0C090005">
      <w:start w:val="1"/>
      <w:numFmt w:val="bullet"/>
      <w:lvlText w:val=""/>
      <w:lvlJc w:val="left"/>
      <w:pPr>
        <w:ind w:left="4187" w:hanging="360"/>
      </w:pPr>
      <w:rPr>
        <w:rFonts w:ascii="Wingdings" w:hAnsi="Wingdings" w:hint="default"/>
      </w:rPr>
    </w:lvl>
    <w:lvl w:ilvl="6" w:tplc="0C090001">
      <w:start w:val="1"/>
      <w:numFmt w:val="bullet"/>
      <w:lvlText w:val=""/>
      <w:lvlJc w:val="left"/>
      <w:pPr>
        <w:ind w:left="4907" w:hanging="360"/>
      </w:pPr>
      <w:rPr>
        <w:rFonts w:ascii="Symbol" w:hAnsi="Symbol" w:hint="default"/>
      </w:rPr>
    </w:lvl>
    <w:lvl w:ilvl="7" w:tplc="0C090003">
      <w:start w:val="1"/>
      <w:numFmt w:val="bullet"/>
      <w:lvlText w:val="o"/>
      <w:lvlJc w:val="left"/>
      <w:pPr>
        <w:ind w:left="5627" w:hanging="360"/>
      </w:pPr>
      <w:rPr>
        <w:rFonts w:ascii="Courier New" w:hAnsi="Courier New" w:cs="Courier New" w:hint="default"/>
      </w:rPr>
    </w:lvl>
    <w:lvl w:ilvl="8" w:tplc="0C090005">
      <w:start w:val="1"/>
      <w:numFmt w:val="bullet"/>
      <w:lvlText w:val=""/>
      <w:lvlJc w:val="left"/>
      <w:pPr>
        <w:ind w:left="6347" w:hanging="360"/>
      </w:pPr>
      <w:rPr>
        <w:rFonts w:ascii="Wingdings" w:hAnsi="Wingdings" w:hint="default"/>
      </w:rPr>
    </w:lvl>
  </w:abstractNum>
  <w:abstractNum w:abstractNumId="3" w15:restartNumberingAfterBreak="0">
    <w:nsid w:val="03311526"/>
    <w:multiLevelType w:val="hybridMultilevel"/>
    <w:tmpl w:val="1A242556"/>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46C4429"/>
    <w:multiLevelType w:val="hybridMultilevel"/>
    <w:tmpl w:val="577813B0"/>
    <w:lvl w:ilvl="0" w:tplc="8BEE9212">
      <w:start w:val="1"/>
      <w:numFmt w:val="decimal"/>
      <w:lvlText w:val="Question %1."/>
      <w:lvlJc w:val="left"/>
      <w:pPr>
        <w:ind w:left="587" w:hanging="360"/>
      </w:pPr>
      <w:rPr>
        <w:rFonts w:hint="default"/>
        <w:b/>
        <w:caps w:val="0"/>
        <w:sz w:val="28"/>
        <w:szCs w:val="28"/>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5" w15:restartNumberingAfterBreak="0">
    <w:nsid w:val="07A738C2"/>
    <w:multiLevelType w:val="hybridMultilevel"/>
    <w:tmpl w:val="3D847A4C"/>
    <w:lvl w:ilvl="0" w:tplc="B2D28F12">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8E279BA"/>
    <w:multiLevelType w:val="hybridMultilevel"/>
    <w:tmpl w:val="73061736"/>
    <w:lvl w:ilvl="0" w:tplc="B2D28F12">
      <w:numFmt w:val="bullet"/>
      <w:lvlText w:val="•"/>
      <w:lvlJc w:val="left"/>
      <w:pPr>
        <w:ind w:left="587"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EA253B"/>
    <w:multiLevelType w:val="hybridMultilevel"/>
    <w:tmpl w:val="03D67D00"/>
    <w:lvl w:ilvl="0" w:tplc="B2D28F1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213" w:hanging="360"/>
      </w:pPr>
      <w:rPr>
        <w:rFonts w:ascii="Courier New" w:hAnsi="Courier New" w:cs="Courier New" w:hint="default"/>
      </w:rPr>
    </w:lvl>
    <w:lvl w:ilvl="2" w:tplc="0C090005" w:tentative="1">
      <w:start w:val="1"/>
      <w:numFmt w:val="bullet"/>
      <w:lvlText w:val=""/>
      <w:lvlJc w:val="left"/>
      <w:pPr>
        <w:ind w:left="1933" w:hanging="360"/>
      </w:pPr>
      <w:rPr>
        <w:rFonts w:ascii="Wingdings" w:hAnsi="Wingdings" w:hint="default"/>
      </w:rPr>
    </w:lvl>
    <w:lvl w:ilvl="3" w:tplc="0C090001" w:tentative="1">
      <w:start w:val="1"/>
      <w:numFmt w:val="bullet"/>
      <w:lvlText w:val=""/>
      <w:lvlJc w:val="left"/>
      <w:pPr>
        <w:ind w:left="2653" w:hanging="360"/>
      </w:pPr>
      <w:rPr>
        <w:rFonts w:ascii="Symbol" w:hAnsi="Symbol" w:hint="default"/>
      </w:rPr>
    </w:lvl>
    <w:lvl w:ilvl="4" w:tplc="0C090003" w:tentative="1">
      <w:start w:val="1"/>
      <w:numFmt w:val="bullet"/>
      <w:lvlText w:val="o"/>
      <w:lvlJc w:val="left"/>
      <w:pPr>
        <w:ind w:left="3373" w:hanging="360"/>
      </w:pPr>
      <w:rPr>
        <w:rFonts w:ascii="Courier New" w:hAnsi="Courier New" w:cs="Courier New" w:hint="default"/>
      </w:rPr>
    </w:lvl>
    <w:lvl w:ilvl="5" w:tplc="0C090005" w:tentative="1">
      <w:start w:val="1"/>
      <w:numFmt w:val="bullet"/>
      <w:lvlText w:val=""/>
      <w:lvlJc w:val="left"/>
      <w:pPr>
        <w:ind w:left="4093" w:hanging="360"/>
      </w:pPr>
      <w:rPr>
        <w:rFonts w:ascii="Wingdings" w:hAnsi="Wingdings" w:hint="default"/>
      </w:rPr>
    </w:lvl>
    <w:lvl w:ilvl="6" w:tplc="0C090001" w:tentative="1">
      <w:start w:val="1"/>
      <w:numFmt w:val="bullet"/>
      <w:lvlText w:val=""/>
      <w:lvlJc w:val="left"/>
      <w:pPr>
        <w:ind w:left="4813" w:hanging="360"/>
      </w:pPr>
      <w:rPr>
        <w:rFonts w:ascii="Symbol" w:hAnsi="Symbol" w:hint="default"/>
      </w:rPr>
    </w:lvl>
    <w:lvl w:ilvl="7" w:tplc="0C090003" w:tentative="1">
      <w:start w:val="1"/>
      <w:numFmt w:val="bullet"/>
      <w:lvlText w:val="o"/>
      <w:lvlJc w:val="left"/>
      <w:pPr>
        <w:ind w:left="5533" w:hanging="360"/>
      </w:pPr>
      <w:rPr>
        <w:rFonts w:ascii="Courier New" w:hAnsi="Courier New" w:cs="Courier New" w:hint="default"/>
      </w:rPr>
    </w:lvl>
    <w:lvl w:ilvl="8" w:tplc="0C090005" w:tentative="1">
      <w:start w:val="1"/>
      <w:numFmt w:val="bullet"/>
      <w:lvlText w:val=""/>
      <w:lvlJc w:val="left"/>
      <w:pPr>
        <w:ind w:left="6253" w:hanging="360"/>
      </w:pPr>
      <w:rPr>
        <w:rFonts w:ascii="Wingdings" w:hAnsi="Wingdings" w:hint="default"/>
      </w:rPr>
    </w:lvl>
  </w:abstractNum>
  <w:abstractNum w:abstractNumId="8" w15:restartNumberingAfterBreak="0">
    <w:nsid w:val="09831FA9"/>
    <w:multiLevelType w:val="hybridMultilevel"/>
    <w:tmpl w:val="A72E2426"/>
    <w:lvl w:ilvl="0" w:tplc="2410C7FC">
      <w:start w:val="1"/>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0D4E2A2A"/>
    <w:multiLevelType w:val="hybridMultilevel"/>
    <w:tmpl w:val="8EE68F4C"/>
    <w:lvl w:ilvl="0" w:tplc="B2D28F12">
      <w:numFmt w:val="bullet"/>
      <w:lvlText w:val="•"/>
      <w:lvlJc w:val="left"/>
      <w:pPr>
        <w:ind w:left="587" w:hanging="360"/>
      </w:pPr>
      <w:rPr>
        <w:rFonts w:ascii="Arial" w:eastAsia="Times New Roman" w:hAnsi="Arial" w:cs="Arial" w:hint="default"/>
      </w:rPr>
    </w:lvl>
    <w:lvl w:ilvl="1" w:tplc="0C090003">
      <w:start w:val="1"/>
      <w:numFmt w:val="bullet"/>
      <w:lvlText w:val="o"/>
      <w:lvlJc w:val="left"/>
      <w:pPr>
        <w:ind w:left="1307" w:hanging="360"/>
      </w:pPr>
      <w:rPr>
        <w:rFonts w:ascii="Courier New" w:hAnsi="Courier New" w:cs="Courier New" w:hint="default"/>
      </w:rPr>
    </w:lvl>
    <w:lvl w:ilvl="2" w:tplc="0C090005">
      <w:start w:val="1"/>
      <w:numFmt w:val="bullet"/>
      <w:lvlText w:val=""/>
      <w:lvlJc w:val="left"/>
      <w:pPr>
        <w:ind w:left="2027" w:hanging="360"/>
      </w:pPr>
      <w:rPr>
        <w:rFonts w:ascii="Wingdings" w:hAnsi="Wingdings" w:hint="default"/>
      </w:rPr>
    </w:lvl>
    <w:lvl w:ilvl="3" w:tplc="0C090001">
      <w:start w:val="1"/>
      <w:numFmt w:val="bullet"/>
      <w:lvlText w:val=""/>
      <w:lvlJc w:val="left"/>
      <w:pPr>
        <w:ind w:left="2747" w:hanging="360"/>
      </w:pPr>
      <w:rPr>
        <w:rFonts w:ascii="Symbol" w:hAnsi="Symbol" w:hint="default"/>
      </w:rPr>
    </w:lvl>
    <w:lvl w:ilvl="4" w:tplc="0C090003">
      <w:start w:val="1"/>
      <w:numFmt w:val="bullet"/>
      <w:lvlText w:val="o"/>
      <w:lvlJc w:val="left"/>
      <w:pPr>
        <w:ind w:left="3467" w:hanging="360"/>
      </w:pPr>
      <w:rPr>
        <w:rFonts w:ascii="Courier New" w:hAnsi="Courier New" w:cs="Courier New" w:hint="default"/>
      </w:rPr>
    </w:lvl>
    <w:lvl w:ilvl="5" w:tplc="0C090005">
      <w:start w:val="1"/>
      <w:numFmt w:val="bullet"/>
      <w:lvlText w:val=""/>
      <w:lvlJc w:val="left"/>
      <w:pPr>
        <w:ind w:left="4187" w:hanging="360"/>
      </w:pPr>
      <w:rPr>
        <w:rFonts w:ascii="Wingdings" w:hAnsi="Wingdings" w:hint="default"/>
      </w:rPr>
    </w:lvl>
    <w:lvl w:ilvl="6" w:tplc="0C090001">
      <w:start w:val="1"/>
      <w:numFmt w:val="bullet"/>
      <w:lvlText w:val=""/>
      <w:lvlJc w:val="left"/>
      <w:pPr>
        <w:ind w:left="4907" w:hanging="360"/>
      </w:pPr>
      <w:rPr>
        <w:rFonts w:ascii="Symbol" w:hAnsi="Symbol" w:hint="default"/>
      </w:rPr>
    </w:lvl>
    <w:lvl w:ilvl="7" w:tplc="0C090003">
      <w:start w:val="1"/>
      <w:numFmt w:val="bullet"/>
      <w:lvlText w:val="o"/>
      <w:lvlJc w:val="left"/>
      <w:pPr>
        <w:ind w:left="5627" w:hanging="360"/>
      </w:pPr>
      <w:rPr>
        <w:rFonts w:ascii="Courier New" w:hAnsi="Courier New" w:cs="Courier New" w:hint="default"/>
      </w:rPr>
    </w:lvl>
    <w:lvl w:ilvl="8" w:tplc="0C090005">
      <w:start w:val="1"/>
      <w:numFmt w:val="bullet"/>
      <w:lvlText w:val=""/>
      <w:lvlJc w:val="left"/>
      <w:pPr>
        <w:ind w:left="6347" w:hanging="360"/>
      </w:pPr>
      <w:rPr>
        <w:rFonts w:ascii="Wingdings" w:hAnsi="Wingdings" w:hint="default"/>
      </w:rPr>
    </w:lvl>
  </w:abstractNum>
  <w:abstractNum w:abstractNumId="10" w15:restartNumberingAfterBreak="0">
    <w:nsid w:val="13363506"/>
    <w:multiLevelType w:val="hybridMultilevel"/>
    <w:tmpl w:val="894CA18C"/>
    <w:lvl w:ilvl="0" w:tplc="FE4AEB90">
      <w:start w:val="1"/>
      <w:numFmt w:val="bullet"/>
      <w:pStyle w:val="ListBullet"/>
      <w:lvlText w:val=""/>
      <w:lvlJc w:val="left"/>
      <w:pPr>
        <w:ind w:left="360" w:hanging="360"/>
      </w:pPr>
      <w:rPr>
        <w:rFonts w:ascii="Symbol" w:hAnsi="Symbol" w:hint="default"/>
        <w:color w:val="010B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953C4B"/>
    <w:multiLevelType w:val="hybridMultilevel"/>
    <w:tmpl w:val="B1CC6B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1626758A"/>
    <w:multiLevelType w:val="hybridMultilevel"/>
    <w:tmpl w:val="157C897C"/>
    <w:lvl w:ilvl="0" w:tplc="B2D28F12">
      <w:numFmt w:val="bullet"/>
      <w:lvlText w:val="•"/>
      <w:lvlJc w:val="left"/>
      <w:pPr>
        <w:ind w:left="587" w:hanging="360"/>
      </w:pPr>
      <w:rPr>
        <w:rFonts w:ascii="Arial" w:eastAsia="Times New Roman" w:hAnsi="Arial" w:cs="Arial" w:hint="default"/>
      </w:rPr>
    </w:lvl>
    <w:lvl w:ilvl="1" w:tplc="0C090003">
      <w:start w:val="1"/>
      <w:numFmt w:val="bullet"/>
      <w:lvlText w:val="o"/>
      <w:lvlJc w:val="left"/>
      <w:pPr>
        <w:ind w:left="1307" w:hanging="360"/>
      </w:pPr>
      <w:rPr>
        <w:rFonts w:ascii="Courier New" w:hAnsi="Courier New" w:cs="Courier New" w:hint="default"/>
      </w:rPr>
    </w:lvl>
    <w:lvl w:ilvl="2" w:tplc="0C090005">
      <w:start w:val="1"/>
      <w:numFmt w:val="bullet"/>
      <w:lvlText w:val=""/>
      <w:lvlJc w:val="left"/>
      <w:pPr>
        <w:ind w:left="2027" w:hanging="360"/>
      </w:pPr>
      <w:rPr>
        <w:rFonts w:ascii="Wingdings" w:hAnsi="Wingdings" w:hint="default"/>
      </w:rPr>
    </w:lvl>
    <w:lvl w:ilvl="3" w:tplc="0C090001">
      <w:start w:val="1"/>
      <w:numFmt w:val="bullet"/>
      <w:lvlText w:val=""/>
      <w:lvlJc w:val="left"/>
      <w:pPr>
        <w:ind w:left="2747" w:hanging="360"/>
      </w:pPr>
      <w:rPr>
        <w:rFonts w:ascii="Symbol" w:hAnsi="Symbol" w:hint="default"/>
      </w:rPr>
    </w:lvl>
    <w:lvl w:ilvl="4" w:tplc="0C090003">
      <w:start w:val="1"/>
      <w:numFmt w:val="bullet"/>
      <w:lvlText w:val="o"/>
      <w:lvlJc w:val="left"/>
      <w:pPr>
        <w:ind w:left="3467" w:hanging="360"/>
      </w:pPr>
      <w:rPr>
        <w:rFonts w:ascii="Courier New" w:hAnsi="Courier New" w:cs="Courier New" w:hint="default"/>
      </w:rPr>
    </w:lvl>
    <w:lvl w:ilvl="5" w:tplc="0C090005">
      <w:start w:val="1"/>
      <w:numFmt w:val="bullet"/>
      <w:lvlText w:val=""/>
      <w:lvlJc w:val="left"/>
      <w:pPr>
        <w:ind w:left="4187" w:hanging="360"/>
      </w:pPr>
      <w:rPr>
        <w:rFonts w:ascii="Wingdings" w:hAnsi="Wingdings" w:hint="default"/>
      </w:rPr>
    </w:lvl>
    <w:lvl w:ilvl="6" w:tplc="0C090001">
      <w:start w:val="1"/>
      <w:numFmt w:val="bullet"/>
      <w:lvlText w:val=""/>
      <w:lvlJc w:val="left"/>
      <w:pPr>
        <w:ind w:left="4907" w:hanging="360"/>
      </w:pPr>
      <w:rPr>
        <w:rFonts w:ascii="Symbol" w:hAnsi="Symbol" w:hint="default"/>
      </w:rPr>
    </w:lvl>
    <w:lvl w:ilvl="7" w:tplc="0C090003">
      <w:start w:val="1"/>
      <w:numFmt w:val="bullet"/>
      <w:lvlText w:val="o"/>
      <w:lvlJc w:val="left"/>
      <w:pPr>
        <w:ind w:left="5627" w:hanging="360"/>
      </w:pPr>
      <w:rPr>
        <w:rFonts w:ascii="Courier New" w:hAnsi="Courier New" w:cs="Courier New" w:hint="default"/>
      </w:rPr>
    </w:lvl>
    <w:lvl w:ilvl="8" w:tplc="0C090005">
      <w:start w:val="1"/>
      <w:numFmt w:val="bullet"/>
      <w:lvlText w:val=""/>
      <w:lvlJc w:val="left"/>
      <w:pPr>
        <w:ind w:left="6347" w:hanging="360"/>
      </w:pPr>
      <w:rPr>
        <w:rFonts w:ascii="Wingdings" w:hAnsi="Wingdings" w:hint="default"/>
      </w:rPr>
    </w:lvl>
  </w:abstractNum>
  <w:abstractNum w:abstractNumId="13" w15:restartNumberingAfterBreak="0">
    <w:nsid w:val="1A75279A"/>
    <w:multiLevelType w:val="hybridMultilevel"/>
    <w:tmpl w:val="E912FC84"/>
    <w:lvl w:ilvl="0" w:tplc="B2D28F1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213" w:hanging="360"/>
      </w:pPr>
      <w:rPr>
        <w:rFonts w:ascii="Courier New" w:hAnsi="Courier New" w:cs="Courier New" w:hint="default"/>
      </w:rPr>
    </w:lvl>
    <w:lvl w:ilvl="2" w:tplc="0C090005" w:tentative="1">
      <w:start w:val="1"/>
      <w:numFmt w:val="bullet"/>
      <w:lvlText w:val=""/>
      <w:lvlJc w:val="left"/>
      <w:pPr>
        <w:ind w:left="1933" w:hanging="360"/>
      </w:pPr>
      <w:rPr>
        <w:rFonts w:ascii="Wingdings" w:hAnsi="Wingdings" w:hint="default"/>
      </w:rPr>
    </w:lvl>
    <w:lvl w:ilvl="3" w:tplc="0C090001" w:tentative="1">
      <w:start w:val="1"/>
      <w:numFmt w:val="bullet"/>
      <w:lvlText w:val=""/>
      <w:lvlJc w:val="left"/>
      <w:pPr>
        <w:ind w:left="2653" w:hanging="360"/>
      </w:pPr>
      <w:rPr>
        <w:rFonts w:ascii="Symbol" w:hAnsi="Symbol" w:hint="default"/>
      </w:rPr>
    </w:lvl>
    <w:lvl w:ilvl="4" w:tplc="0C090003" w:tentative="1">
      <w:start w:val="1"/>
      <w:numFmt w:val="bullet"/>
      <w:lvlText w:val="o"/>
      <w:lvlJc w:val="left"/>
      <w:pPr>
        <w:ind w:left="3373" w:hanging="360"/>
      </w:pPr>
      <w:rPr>
        <w:rFonts w:ascii="Courier New" w:hAnsi="Courier New" w:cs="Courier New" w:hint="default"/>
      </w:rPr>
    </w:lvl>
    <w:lvl w:ilvl="5" w:tplc="0C090005" w:tentative="1">
      <w:start w:val="1"/>
      <w:numFmt w:val="bullet"/>
      <w:lvlText w:val=""/>
      <w:lvlJc w:val="left"/>
      <w:pPr>
        <w:ind w:left="4093" w:hanging="360"/>
      </w:pPr>
      <w:rPr>
        <w:rFonts w:ascii="Wingdings" w:hAnsi="Wingdings" w:hint="default"/>
      </w:rPr>
    </w:lvl>
    <w:lvl w:ilvl="6" w:tplc="0C090001" w:tentative="1">
      <w:start w:val="1"/>
      <w:numFmt w:val="bullet"/>
      <w:lvlText w:val=""/>
      <w:lvlJc w:val="left"/>
      <w:pPr>
        <w:ind w:left="4813" w:hanging="360"/>
      </w:pPr>
      <w:rPr>
        <w:rFonts w:ascii="Symbol" w:hAnsi="Symbol" w:hint="default"/>
      </w:rPr>
    </w:lvl>
    <w:lvl w:ilvl="7" w:tplc="0C090003" w:tentative="1">
      <w:start w:val="1"/>
      <w:numFmt w:val="bullet"/>
      <w:lvlText w:val="o"/>
      <w:lvlJc w:val="left"/>
      <w:pPr>
        <w:ind w:left="5533" w:hanging="360"/>
      </w:pPr>
      <w:rPr>
        <w:rFonts w:ascii="Courier New" w:hAnsi="Courier New" w:cs="Courier New" w:hint="default"/>
      </w:rPr>
    </w:lvl>
    <w:lvl w:ilvl="8" w:tplc="0C090005" w:tentative="1">
      <w:start w:val="1"/>
      <w:numFmt w:val="bullet"/>
      <w:lvlText w:val=""/>
      <w:lvlJc w:val="left"/>
      <w:pPr>
        <w:ind w:left="6253" w:hanging="360"/>
      </w:pPr>
      <w:rPr>
        <w:rFonts w:ascii="Wingdings" w:hAnsi="Wingdings" w:hint="default"/>
      </w:rPr>
    </w:lvl>
  </w:abstractNum>
  <w:abstractNum w:abstractNumId="14" w15:restartNumberingAfterBreak="0">
    <w:nsid w:val="1BC91E52"/>
    <w:multiLevelType w:val="hybridMultilevel"/>
    <w:tmpl w:val="D884F810"/>
    <w:lvl w:ilvl="0" w:tplc="B2D28F12">
      <w:numFmt w:val="bullet"/>
      <w:lvlText w:val="•"/>
      <w:lvlJc w:val="left"/>
      <w:pPr>
        <w:ind w:left="587" w:hanging="360"/>
      </w:pPr>
      <w:rPr>
        <w:rFonts w:ascii="Arial" w:eastAsia="Times New Roman" w:hAnsi="Arial" w:cs="Arial" w:hint="default"/>
      </w:rPr>
    </w:lvl>
    <w:lvl w:ilvl="1" w:tplc="0C090003">
      <w:start w:val="1"/>
      <w:numFmt w:val="bullet"/>
      <w:lvlText w:val="o"/>
      <w:lvlJc w:val="left"/>
      <w:pPr>
        <w:ind w:left="1307" w:hanging="360"/>
      </w:pPr>
      <w:rPr>
        <w:rFonts w:ascii="Courier New" w:hAnsi="Courier New" w:cs="Courier New" w:hint="default"/>
      </w:rPr>
    </w:lvl>
    <w:lvl w:ilvl="2" w:tplc="0C090005">
      <w:start w:val="1"/>
      <w:numFmt w:val="bullet"/>
      <w:lvlText w:val=""/>
      <w:lvlJc w:val="left"/>
      <w:pPr>
        <w:ind w:left="2027" w:hanging="360"/>
      </w:pPr>
      <w:rPr>
        <w:rFonts w:ascii="Wingdings" w:hAnsi="Wingdings" w:hint="default"/>
      </w:rPr>
    </w:lvl>
    <w:lvl w:ilvl="3" w:tplc="0C090001">
      <w:start w:val="1"/>
      <w:numFmt w:val="bullet"/>
      <w:lvlText w:val=""/>
      <w:lvlJc w:val="left"/>
      <w:pPr>
        <w:ind w:left="2747" w:hanging="360"/>
      </w:pPr>
      <w:rPr>
        <w:rFonts w:ascii="Symbol" w:hAnsi="Symbol" w:hint="default"/>
      </w:rPr>
    </w:lvl>
    <w:lvl w:ilvl="4" w:tplc="0C090003">
      <w:start w:val="1"/>
      <w:numFmt w:val="bullet"/>
      <w:lvlText w:val="o"/>
      <w:lvlJc w:val="left"/>
      <w:pPr>
        <w:ind w:left="3467" w:hanging="360"/>
      </w:pPr>
      <w:rPr>
        <w:rFonts w:ascii="Courier New" w:hAnsi="Courier New" w:cs="Courier New" w:hint="default"/>
      </w:rPr>
    </w:lvl>
    <w:lvl w:ilvl="5" w:tplc="0C090005">
      <w:start w:val="1"/>
      <w:numFmt w:val="bullet"/>
      <w:lvlText w:val=""/>
      <w:lvlJc w:val="left"/>
      <w:pPr>
        <w:ind w:left="4187" w:hanging="360"/>
      </w:pPr>
      <w:rPr>
        <w:rFonts w:ascii="Wingdings" w:hAnsi="Wingdings" w:hint="default"/>
      </w:rPr>
    </w:lvl>
    <w:lvl w:ilvl="6" w:tplc="0C090001">
      <w:start w:val="1"/>
      <w:numFmt w:val="bullet"/>
      <w:lvlText w:val=""/>
      <w:lvlJc w:val="left"/>
      <w:pPr>
        <w:ind w:left="4907" w:hanging="360"/>
      </w:pPr>
      <w:rPr>
        <w:rFonts w:ascii="Symbol" w:hAnsi="Symbol" w:hint="default"/>
      </w:rPr>
    </w:lvl>
    <w:lvl w:ilvl="7" w:tplc="0C090003">
      <w:start w:val="1"/>
      <w:numFmt w:val="bullet"/>
      <w:lvlText w:val="o"/>
      <w:lvlJc w:val="left"/>
      <w:pPr>
        <w:ind w:left="5627" w:hanging="360"/>
      </w:pPr>
      <w:rPr>
        <w:rFonts w:ascii="Courier New" w:hAnsi="Courier New" w:cs="Courier New" w:hint="default"/>
      </w:rPr>
    </w:lvl>
    <w:lvl w:ilvl="8" w:tplc="0C090005">
      <w:start w:val="1"/>
      <w:numFmt w:val="bullet"/>
      <w:lvlText w:val=""/>
      <w:lvlJc w:val="left"/>
      <w:pPr>
        <w:ind w:left="6347" w:hanging="360"/>
      </w:pPr>
      <w:rPr>
        <w:rFonts w:ascii="Wingdings" w:hAnsi="Wingdings" w:hint="default"/>
      </w:rPr>
    </w:lvl>
  </w:abstractNum>
  <w:abstractNum w:abstractNumId="15" w15:restartNumberingAfterBreak="0">
    <w:nsid w:val="245B6592"/>
    <w:multiLevelType w:val="hybridMultilevel"/>
    <w:tmpl w:val="C44C1F90"/>
    <w:lvl w:ilvl="0" w:tplc="29C242E2">
      <w:start w:val="3"/>
      <w:numFmt w:val="upperRoman"/>
      <w:lvlText w:val="%1."/>
      <w:lvlJc w:val="left"/>
      <w:pPr>
        <w:ind w:left="144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 w15:restartNumberingAfterBreak="0">
    <w:nsid w:val="2460395C"/>
    <w:multiLevelType w:val="hybridMultilevel"/>
    <w:tmpl w:val="93F48E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5FB4DAF"/>
    <w:multiLevelType w:val="hybridMultilevel"/>
    <w:tmpl w:val="CCC679A6"/>
    <w:lvl w:ilvl="0" w:tplc="0C090001">
      <w:start w:val="1"/>
      <w:numFmt w:val="bullet"/>
      <w:lvlText w:val=""/>
      <w:lvlJc w:val="left"/>
      <w:pPr>
        <w:ind w:left="587" w:hanging="360"/>
      </w:pPr>
      <w:rPr>
        <w:rFonts w:ascii="Symbol" w:hAnsi="Symbol" w:hint="default"/>
      </w:rPr>
    </w:lvl>
    <w:lvl w:ilvl="1" w:tplc="0C090003">
      <w:start w:val="1"/>
      <w:numFmt w:val="bullet"/>
      <w:lvlText w:val="o"/>
      <w:lvlJc w:val="left"/>
      <w:pPr>
        <w:ind w:left="1307" w:hanging="360"/>
      </w:pPr>
      <w:rPr>
        <w:rFonts w:ascii="Courier New" w:hAnsi="Courier New" w:cs="Courier New" w:hint="default"/>
      </w:rPr>
    </w:lvl>
    <w:lvl w:ilvl="2" w:tplc="0C090005">
      <w:start w:val="1"/>
      <w:numFmt w:val="bullet"/>
      <w:lvlText w:val=""/>
      <w:lvlJc w:val="left"/>
      <w:pPr>
        <w:ind w:left="2027" w:hanging="360"/>
      </w:pPr>
      <w:rPr>
        <w:rFonts w:ascii="Wingdings" w:hAnsi="Wingdings" w:hint="default"/>
      </w:rPr>
    </w:lvl>
    <w:lvl w:ilvl="3" w:tplc="0C090001">
      <w:start w:val="1"/>
      <w:numFmt w:val="bullet"/>
      <w:lvlText w:val=""/>
      <w:lvlJc w:val="left"/>
      <w:pPr>
        <w:ind w:left="2747" w:hanging="360"/>
      </w:pPr>
      <w:rPr>
        <w:rFonts w:ascii="Symbol" w:hAnsi="Symbol" w:hint="default"/>
      </w:rPr>
    </w:lvl>
    <w:lvl w:ilvl="4" w:tplc="0C090003">
      <w:start w:val="1"/>
      <w:numFmt w:val="bullet"/>
      <w:lvlText w:val="o"/>
      <w:lvlJc w:val="left"/>
      <w:pPr>
        <w:ind w:left="3467" w:hanging="360"/>
      </w:pPr>
      <w:rPr>
        <w:rFonts w:ascii="Courier New" w:hAnsi="Courier New" w:cs="Courier New" w:hint="default"/>
      </w:rPr>
    </w:lvl>
    <w:lvl w:ilvl="5" w:tplc="0C090005">
      <w:start w:val="1"/>
      <w:numFmt w:val="bullet"/>
      <w:lvlText w:val=""/>
      <w:lvlJc w:val="left"/>
      <w:pPr>
        <w:ind w:left="4187" w:hanging="360"/>
      </w:pPr>
      <w:rPr>
        <w:rFonts w:ascii="Wingdings" w:hAnsi="Wingdings" w:hint="default"/>
      </w:rPr>
    </w:lvl>
    <w:lvl w:ilvl="6" w:tplc="0C090001">
      <w:start w:val="1"/>
      <w:numFmt w:val="bullet"/>
      <w:lvlText w:val=""/>
      <w:lvlJc w:val="left"/>
      <w:pPr>
        <w:ind w:left="4907" w:hanging="360"/>
      </w:pPr>
      <w:rPr>
        <w:rFonts w:ascii="Symbol" w:hAnsi="Symbol" w:hint="default"/>
      </w:rPr>
    </w:lvl>
    <w:lvl w:ilvl="7" w:tplc="0C090003">
      <w:start w:val="1"/>
      <w:numFmt w:val="bullet"/>
      <w:lvlText w:val="o"/>
      <w:lvlJc w:val="left"/>
      <w:pPr>
        <w:ind w:left="5627" w:hanging="360"/>
      </w:pPr>
      <w:rPr>
        <w:rFonts w:ascii="Courier New" w:hAnsi="Courier New" w:cs="Courier New" w:hint="default"/>
      </w:rPr>
    </w:lvl>
    <w:lvl w:ilvl="8" w:tplc="0C090005">
      <w:start w:val="1"/>
      <w:numFmt w:val="bullet"/>
      <w:lvlText w:val=""/>
      <w:lvlJc w:val="left"/>
      <w:pPr>
        <w:ind w:left="6347" w:hanging="360"/>
      </w:pPr>
      <w:rPr>
        <w:rFonts w:ascii="Wingdings" w:hAnsi="Wingdings" w:hint="default"/>
      </w:rPr>
    </w:lvl>
  </w:abstractNum>
  <w:abstractNum w:abstractNumId="18" w15:restartNumberingAfterBreak="0">
    <w:nsid w:val="271C286A"/>
    <w:multiLevelType w:val="hybridMultilevel"/>
    <w:tmpl w:val="40D69E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71D3E56"/>
    <w:multiLevelType w:val="hybridMultilevel"/>
    <w:tmpl w:val="30EAEC16"/>
    <w:lvl w:ilvl="0" w:tplc="CE925696">
      <w:start w:val="3"/>
      <w:numFmt w:val="upperRoman"/>
      <w:lvlText w:val="%1."/>
      <w:lvlJc w:val="left"/>
      <w:pPr>
        <w:ind w:left="72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87C5EB7"/>
    <w:multiLevelType w:val="hybridMultilevel"/>
    <w:tmpl w:val="D4045FBA"/>
    <w:lvl w:ilvl="0" w:tplc="0C090001">
      <w:start w:val="1"/>
      <w:numFmt w:val="bullet"/>
      <w:lvlText w:val=""/>
      <w:lvlJc w:val="left"/>
      <w:pPr>
        <w:ind w:left="783" w:hanging="360"/>
      </w:pPr>
      <w:rPr>
        <w:rFonts w:ascii="Symbol" w:hAnsi="Symbol" w:hint="default"/>
      </w:rPr>
    </w:lvl>
    <w:lvl w:ilvl="1" w:tplc="0C090003">
      <w:start w:val="1"/>
      <w:numFmt w:val="bullet"/>
      <w:lvlText w:val="o"/>
      <w:lvlJc w:val="left"/>
      <w:pPr>
        <w:ind w:left="1503" w:hanging="360"/>
      </w:pPr>
      <w:rPr>
        <w:rFonts w:ascii="Courier New" w:hAnsi="Courier New" w:cs="Courier New" w:hint="default"/>
      </w:rPr>
    </w:lvl>
    <w:lvl w:ilvl="2" w:tplc="0C090005">
      <w:start w:val="1"/>
      <w:numFmt w:val="bullet"/>
      <w:lvlText w:val=""/>
      <w:lvlJc w:val="left"/>
      <w:pPr>
        <w:ind w:left="2223" w:hanging="360"/>
      </w:pPr>
      <w:rPr>
        <w:rFonts w:ascii="Wingdings" w:hAnsi="Wingdings" w:hint="default"/>
      </w:rPr>
    </w:lvl>
    <w:lvl w:ilvl="3" w:tplc="0C090001">
      <w:start w:val="1"/>
      <w:numFmt w:val="bullet"/>
      <w:lvlText w:val=""/>
      <w:lvlJc w:val="left"/>
      <w:pPr>
        <w:ind w:left="2943" w:hanging="360"/>
      </w:pPr>
      <w:rPr>
        <w:rFonts w:ascii="Symbol" w:hAnsi="Symbol" w:hint="default"/>
      </w:rPr>
    </w:lvl>
    <w:lvl w:ilvl="4" w:tplc="0C090003">
      <w:start w:val="1"/>
      <w:numFmt w:val="bullet"/>
      <w:lvlText w:val="o"/>
      <w:lvlJc w:val="left"/>
      <w:pPr>
        <w:ind w:left="3663" w:hanging="360"/>
      </w:pPr>
      <w:rPr>
        <w:rFonts w:ascii="Courier New" w:hAnsi="Courier New" w:cs="Courier New" w:hint="default"/>
      </w:rPr>
    </w:lvl>
    <w:lvl w:ilvl="5" w:tplc="0C090005">
      <w:start w:val="1"/>
      <w:numFmt w:val="bullet"/>
      <w:lvlText w:val=""/>
      <w:lvlJc w:val="left"/>
      <w:pPr>
        <w:ind w:left="4383" w:hanging="360"/>
      </w:pPr>
      <w:rPr>
        <w:rFonts w:ascii="Wingdings" w:hAnsi="Wingdings" w:hint="default"/>
      </w:rPr>
    </w:lvl>
    <w:lvl w:ilvl="6" w:tplc="0C090001">
      <w:start w:val="1"/>
      <w:numFmt w:val="bullet"/>
      <w:lvlText w:val=""/>
      <w:lvlJc w:val="left"/>
      <w:pPr>
        <w:ind w:left="5103" w:hanging="360"/>
      </w:pPr>
      <w:rPr>
        <w:rFonts w:ascii="Symbol" w:hAnsi="Symbol" w:hint="default"/>
      </w:rPr>
    </w:lvl>
    <w:lvl w:ilvl="7" w:tplc="0C090003">
      <w:start w:val="1"/>
      <w:numFmt w:val="bullet"/>
      <w:lvlText w:val="o"/>
      <w:lvlJc w:val="left"/>
      <w:pPr>
        <w:ind w:left="5823" w:hanging="360"/>
      </w:pPr>
      <w:rPr>
        <w:rFonts w:ascii="Courier New" w:hAnsi="Courier New" w:cs="Courier New" w:hint="default"/>
      </w:rPr>
    </w:lvl>
    <w:lvl w:ilvl="8" w:tplc="0C090005">
      <w:start w:val="1"/>
      <w:numFmt w:val="bullet"/>
      <w:lvlText w:val=""/>
      <w:lvlJc w:val="left"/>
      <w:pPr>
        <w:ind w:left="6543" w:hanging="360"/>
      </w:pPr>
      <w:rPr>
        <w:rFonts w:ascii="Wingdings" w:hAnsi="Wingdings" w:hint="default"/>
      </w:rPr>
    </w:lvl>
  </w:abstractNum>
  <w:abstractNum w:abstractNumId="21" w15:restartNumberingAfterBreak="0">
    <w:nsid w:val="29473042"/>
    <w:multiLevelType w:val="hybridMultilevel"/>
    <w:tmpl w:val="20E42298"/>
    <w:lvl w:ilvl="0" w:tplc="B2D28F12">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294F003E"/>
    <w:multiLevelType w:val="hybridMultilevel"/>
    <w:tmpl w:val="17E86506"/>
    <w:lvl w:ilvl="0" w:tplc="93383246">
      <w:start w:val="5"/>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29E16089"/>
    <w:multiLevelType w:val="hybridMultilevel"/>
    <w:tmpl w:val="9AD2D4A2"/>
    <w:lvl w:ilvl="0" w:tplc="B2D28F1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213" w:hanging="360"/>
      </w:pPr>
      <w:rPr>
        <w:rFonts w:ascii="Courier New" w:hAnsi="Courier New" w:cs="Courier New" w:hint="default"/>
      </w:rPr>
    </w:lvl>
    <w:lvl w:ilvl="2" w:tplc="0C090005" w:tentative="1">
      <w:start w:val="1"/>
      <w:numFmt w:val="bullet"/>
      <w:lvlText w:val=""/>
      <w:lvlJc w:val="left"/>
      <w:pPr>
        <w:ind w:left="1933" w:hanging="360"/>
      </w:pPr>
      <w:rPr>
        <w:rFonts w:ascii="Wingdings" w:hAnsi="Wingdings" w:hint="default"/>
      </w:rPr>
    </w:lvl>
    <w:lvl w:ilvl="3" w:tplc="0C090001" w:tentative="1">
      <w:start w:val="1"/>
      <w:numFmt w:val="bullet"/>
      <w:lvlText w:val=""/>
      <w:lvlJc w:val="left"/>
      <w:pPr>
        <w:ind w:left="2653" w:hanging="360"/>
      </w:pPr>
      <w:rPr>
        <w:rFonts w:ascii="Symbol" w:hAnsi="Symbol" w:hint="default"/>
      </w:rPr>
    </w:lvl>
    <w:lvl w:ilvl="4" w:tplc="0C090003" w:tentative="1">
      <w:start w:val="1"/>
      <w:numFmt w:val="bullet"/>
      <w:lvlText w:val="o"/>
      <w:lvlJc w:val="left"/>
      <w:pPr>
        <w:ind w:left="3373" w:hanging="360"/>
      </w:pPr>
      <w:rPr>
        <w:rFonts w:ascii="Courier New" w:hAnsi="Courier New" w:cs="Courier New" w:hint="default"/>
      </w:rPr>
    </w:lvl>
    <w:lvl w:ilvl="5" w:tplc="0C090005" w:tentative="1">
      <w:start w:val="1"/>
      <w:numFmt w:val="bullet"/>
      <w:lvlText w:val=""/>
      <w:lvlJc w:val="left"/>
      <w:pPr>
        <w:ind w:left="4093" w:hanging="360"/>
      </w:pPr>
      <w:rPr>
        <w:rFonts w:ascii="Wingdings" w:hAnsi="Wingdings" w:hint="default"/>
      </w:rPr>
    </w:lvl>
    <w:lvl w:ilvl="6" w:tplc="0C090001" w:tentative="1">
      <w:start w:val="1"/>
      <w:numFmt w:val="bullet"/>
      <w:lvlText w:val=""/>
      <w:lvlJc w:val="left"/>
      <w:pPr>
        <w:ind w:left="4813" w:hanging="360"/>
      </w:pPr>
      <w:rPr>
        <w:rFonts w:ascii="Symbol" w:hAnsi="Symbol" w:hint="default"/>
      </w:rPr>
    </w:lvl>
    <w:lvl w:ilvl="7" w:tplc="0C090003" w:tentative="1">
      <w:start w:val="1"/>
      <w:numFmt w:val="bullet"/>
      <w:lvlText w:val="o"/>
      <w:lvlJc w:val="left"/>
      <w:pPr>
        <w:ind w:left="5533" w:hanging="360"/>
      </w:pPr>
      <w:rPr>
        <w:rFonts w:ascii="Courier New" w:hAnsi="Courier New" w:cs="Courier New" w:hint="default"/>
      </w:rPr>
    </w:lvl>
    <w:lvl w:ilvl="8" w:tplc="0C090005" w:tentative="1">
      <w:start w:val="1"/>
      <w:numFmt w:val="bullet"/>
      <w:lvlText w:val=""/>
      <w:lvlJc w:val="left"/>
      <w:pPr>
        <w:ind w:left="6253" w:hanging="360"/>
      </w:pPr>
      <w:rPr>
        <w:rFonts w:ascii="Wingdings" w:hAnsi="Wingdings" w:hint="default"/>
      </w:rPr>
    </w:lvl>
  </w:abstractNum>
  <w:abstractNum w:abstractNumId="24" w15:restartNumberingAfterBreak="0">
    <w:nsid w:val="30EA3692"/>
    <w:multiLevelType w:val="hybridMultilevel"/>
    <w:tmpl w:val="9F3AF6D8"/>
    <w:lvl w:ilvl="0" w:tplc="0C090001">
      <w:start w:val="1"/>
      <w:numFmt w:val="bullet"/>
      <w:lvlText w:val=""/>
      <w:lvlJc w:val="left"/>
      <w:pPr>
        <w:ind w:left="777" w:hanging="360"/>
      </w:pPr>
      <w:rPr>
        <w:rFonts w:ascii="Symbol" w:hAnsi="Symbol" w:hint="default"/>
      </w:rPr>
    </w:lvl>
    <w:lvl w:ilvl="1" w:tplc="0C090003">
      <w:start w:val="1"/>
      <w:numFmt w:val="bullet"/>
      <w:lvlText w:val="o"/>
      <w:lvlJc w:val="left"/>
      <w:pPr>
        <w:ind w:left="1497" w:hanging="360"/>
      </w:pPr>
      <w:rPr>
        <w:rFonts w:ascii="Courier New" w:hAnsi="Courier New" w:cs="Courier New" w:hint="default"/>
      </w:rPr>
    </w:lvl>
    <w:lvl w:ilvl="2" w:tplc="0C090005">
      <w:start w:val="1"/>
      <w:numFmt w:val="bullet"/>
      <w:lvlText w:val=""/>
      <w:lvlJc w:val="left"/>
      <w:pPr>
        <w:ind w:left="2217" w:hanging="360"/>
      </w:pPr>
      <w:rPr>
        <w:rFonts w:ascii="Wingdings" w:hAnsi="Wingdings" w:hint="default"/>
      </w:rPr>
    </w:lvl>
    <w:lvl w:ilvl="3" w:tplc="0C090001">
      <w:start w:val="1"/>
      <w:numFmt w:val="bullet"/>
      <w:lvlText w:val=""/>
      <w:lvlJc w:val="left"/>
      <w:pPr>
        <w:ind w:left="2937" w:hanging="360"/>
      </w:pPr>
      <w:rPr>
        <w:rFonts w:ascii="Symbol" w:hAnsi="Symbol" w:hint="default"/>
      </w:rPr>
    </w:lvl>
    <w:lvl w:ilvl="4" w:tplc="0C090003">
      <w:start w:val="1"/>
      <w:numFmt w:val="bullet"/>
      <w:lvlText w:val="o"/>
      <w:lvlJc w:val="left"/>
      <w:pPr>
        <w:ind w:left="3657" w:hanging="360"/>
      </w:pPr>
      <w:rPr>
        <w:rFonts w:ascii="Courier New" w:hAnsi="Courier New" w:cs="Courier New" w:hint="default"/>
      </w:rPr>
    </w:lvl>
    <w:lvl w:ilvl="5" w:tplc="0C090005">
      <w:start w:val="1"/>
      <w:numFmt w:val="bullet"/>
      <w:lvlText w:val=""/>
      <w:lvlJc w:val="left"/>
      <w:pPr>
        <w:ind w:left="4377" w:hanging="360"/>
      </w:pPr>
      <w:rPr>
        <w:rFonts w:ascii="Wingdings" w:hAnsi="Wingdings" w:hint="default"/>
      </w:rPr>
    </w:lvl>
    <w:lvl w:ilvl="6" w:tplc="0C090001">
      <w:start w:val="1"/>
      <w:numFmt w:val="bullet"/>
      <w:lvlText w:val=""/>
      <w:lvlJc w:val="left"/>
      <w:pPr>
        <w:ind w:left="5097" w:hanging="360"/>
      </w:pPr>
      <w:rPr>
        <w:rFonts w:ascii="Symbol" w:hAnsi="Symbol" w:hint="default"/>
      </w:rPr>
    </w:lvl>
    <w:lvl w:ilvl="7" w:tplc="0C090003">
      <w:start w:val="1"/>
      <w:numFmt w:val="bullet"/>
      <w:lvlText w:val="o"/>
      <w:lvlJc w:val="left"/>
      <w:pPr>
        <w:ind w:left="5817" w:hanging="360"/>
      </w:pPr>
      <w:rPr>
        <w:rFonts w:ascii="Courier New" w:hAnsi="Courier New" w:cs="Courier New" w:hint="default"/>
      </w:rPr>
    </w:lvl>
    <w:lvl w:ilvl="8" w:tplc="0C090005">
      <w:start w:val="1"/>
      <w:numFmt w:val="bullet"/>
      <w:lvlText w:val=""/>
      <w:lvlJc w:val="left"/>
      <w:pPr>
        <w:ind w:left="6537" w:hanging="360"/>
      </w:pPr>
      <w:rPr>
        <w:rFonts w:ascii="Wingdings" w:hAnsi="Wingdings" w:hint="default"/>
      </w:rPr>
    </w:lvl>
  </w:abstractNum>
  <w:abstractNum w:abstractNumId="25" w15:restartNumberingAfterBreak="0">
    <w:nsid w:val="385B3901"/>
    <w:multiLevelType w:val="hybridMultilevel"/>
    <w:tmpl w:val="32AE9B74"/>
    <w:lvl w:ilvl="0" w:tplc="F6FEF57C">
      <w:start w:val="1"/>
      <w:numFmt w:val="lowerLetter"/>
      <w:lvlText w:val="(%1)"/>
      <w:lvlJc w:val="left"/>
      <w:pPr>
        <w:ind w:left="587" w:hanging="360"/>
      </w:pPr>
    </w:lvl>
    <w:lvl w:ilvl="1" w:tplc="0C090019">
      <w:start w:val="1"/>
      <w:numFmt w:val="lowerLetter"/>
      <w:lvlText w:val="%2."/>
      <w:lvlJc w:val="left"/>
      <w:pPr>
        <w:ind w:left="1307" w:hanging="360"/>
      </w:pPr>
    </w:lvl>
    <w:lvl w:ilvl="2" w:tplc="0C09001B">
      <w:start w:val="1"/>
      <w:numFmt w:val="lowerRoman"/>
      <w:lvlText w:val="%3."/>
      <w:lvlJc w:val="right"/>
      <w:pPr>
        <w:ind w:left="2027" w:hanging="180"/>
      </w:pPr>
    </w:lvl>
    <w:lvl w:ilvl="3" w:tplc="0C09000F">
      <w:start w:val="1"/>
      <w:numFmt w:val="decimal"/>
      <w:lvlText w:val="%4."/>
      <w:lvlJc w:val="left"/>
      <w:pPr>
        <w:ind w:left="2747" w:hanging="360"/>
      </w:pPr>
    </w:lvl>
    <w:lvl w:ilvl="4" w:tplc="0C090019">
      <w:start w:val="1"/>
      <w:numFmt w:val="lowerLetter"/>
      <w:lvlText w:val="%5."/>
      <w:lvlJc w:val="left"/>
      <w:pPr>
        <w:ind w:left="3467" w:hanging="360"/>
      </w:pPr>
    </w:lvl>
    <w:lvl w:ilvl="5" w:tplc="0C09001B">
      <w:start w:val="1"/>
      <w:numFmt w:val="lowerRoman"/>
      <w:lvlText w:val="%6."/>
      <w:lvlJc w:val="right"/>
      <w:pPr>
        <w:ind w:left="4187" w:hanging="180"/>
      </w:pPr>
    </w:lvl>
    <w:lvl w:ilvl="6" w:tplc="0C09000F">
      <w:start w:val="1"/>
      <w:numFmt w:val="decimal"/>
      <w:lvlText w:val="%7."/>
      <w:lvlJc w:val="left"/>
      <w:pPr>
        <w:ind w:left="4907" w:hanging="360"/>
      </w:pPr>
    </w:lvl>
    <w:lvl w:ilvl="7" w:tplc="0C090019">
      <w:start w:val="1"/>
      <w:numFmt w:val="lowerLetter"/>
      <w:lvlText w:val="%8."/>
      <w:lvlJc w:val="left"/>
      <w:pPr>
        <w:ind w:left="5627" w:hanging="360"/>
      </w:pPr>
    </w:lvl>
    <w:lvl w:ilvl="8" w:tplc="0C09001B">
      <w:start w:val="1"/>
      <w:numFmt w:val="lowerRoman"/>
      <w:lvlText w:val="%9."/>
      <w:lvlJc w:val="right"/>
      <w:pPr>
        <w:ind w:left="6347" w:hanging="180"/>
      </w:pPr>
    </w:lvl>
  </w:abstractNum>
  <w:abstractNum w:abstractNumId="26" w15:restartNumberingAfterBreak="0">
    <w:nsid w:val="392A52A0"/>
    <w:multiLevelType w:val="hybridMultilevel"/>
    <w:tmpl w:val="0944E4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3BF96FEE"/>
    <w:multiLevelType w:val="hybridMultilevel"/>
    <w:tmpl w:val="BDB6A8C2"/>
    <w:lvl w:ilvl="0" w:tplc="B2D28F12">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3FCA5B19"/>
    <w:multiLevelType w:val="hybridMultilevel"/>
    <w:tmpl w:val="0AA6C322"/>
    <w:lvl w:ilvl="0" w:tplc="B2D28F12">
      <w:numFmt w:val="bullet"/>
      <w:lvlText w:val="•"/>
      <w:lvlJc w:val="left"/>
      <w:pPr>
        <w:ind w:left="587" w:hanging="360"/>
      </w:pPr>
      <w:rPr>
        <w:rFonts w:ascii="Arial" w:eastAsia="Times New Roman" w:hAnsi="Arial" w:cs="Arial" w:hint="default"/>
      </w:rPr>
    </w:lvl>
    <w:lvl w:ilvl="1" w:tplc="0C090003">
      <w:start w:val="1"/>
      <w:numFmt w:val="bullet"/>
      <w:lvlText w:val="o"/>
      <w:lvlJc w:val="left"/>
      <w:pPr>
        <w:ind w:left="1307" w:hanging="360"/>
      </w:pPr>
      <w:rPr>
        <w:rFonts w:ascii="Courier New" w:hAnsi="Courier New" w:cs="Courier New" w:hint="default"/>
      </w:rPr>
    </w:lvl>
    <w:lvl w:ilvl="2" w:tplc="0C090005">
      <w:start w:val="1"/>
      <w:numFmt w:val="bullet"/>
      <w:lvlText w:val=""/>
      <w:lvlJc w:val="left"/>
      <w:pPr>
        <w:ind w:left="2027" w:hanging="360"/>
      </w:pPr>
      <w:rPr>
        <w:rFonts w:ascii="Wingdings" w:hAnsi="Wingdings" w:hint="default"/>
      </w:rPr>
    </w:lvl>
    <w:lvl w:ilvl="3" w:tplc="0C090001">
      <w:start w:val="1"/>
      <w:numFmt w:val="bullet"/>
      <w:lvlText w:val=""/>
      <w:lvlJc w:val="left"/>
      <w:pPr>
        <w:ind w:left="2747" w:hanging="360"/>
      </w:pPr>
      <w:rPr>
        <w:rFonts w:ascii="Symbol" w:hAnsi="Symbol" w:hint="default"/>
      </w:rPr>
    </w:lvl>
    <w:lvl w:ilvl="4" w:tplc="0C090003">
      <w:start w:val="1"/>
      <w:numFmt w:val="bullet"/>
      <w:lvlText w:val="o"/>
      <w:lvlJc w:val="left"/>
      <w:pPr>
        <w:ind w:left="3467" w:hanging="360"/>
      </w:pPr>
      <w:rPr>
        <w:rFonts w:ascii="Courier New" w:hAnsi="Courier New" w:cs="Courier New" w:hint="default"/>
      </w:rPr>
    </w:lvl>
    <w:lvl w:ilvl="5" w:tplc="0C090005">
      <w:start w:val="1"/>
      <w:numFmt w:val="bullet"/>
      <w:lvlText w:val=""/>
      <w:lvlJc w:val="left"/>
      <w:pPr>
        <w:ind w:left="4187" w:hanging="360"/>
      </w:pPr>
      <w:rPr>
        <w:rFonts w:ascii="Wingdings" w:hAnsi="Wingdings" w:hint="default"/>
      </w:rPr>
    </w:lvl>
    <w:lvl w:ilvl="6" w:tplc="0C090001">
      <w:start w:val="1"/>
      <w:numFmt w:val="bullet"/>
      <w:lvlText w:val=""/>
      <w:lvlJc w:val="left"/>
      <w:pPr>
        <w:ind w:left="4907" w:hanging="360"/>
      </w:pPr>
      <w:rPr>
        <w:rFonts w:ascii="Symbol" w:hAnsi="Symbol" w:hint="default"/>
      </w:rPr>
    </w:lvl>
    <w:lvl w:ilvl="7" w:tplc="0C090003">
      <w:start w:val="1"/>
      <w:numFmt w:val="bullet"/>
      <w:lvlText w:val="o"/>
      <w:lvlJc w:val="left"/>
      <w:pPr>
        <w:ind w:left="5627" w:hanging="360"/>
      </w:pPr>
      <w:rPr>
        <w:rFonts w:ascii="Courier New" w:hAnsi="Courier New" w:cs="Courier New" w:hint="default"/>
      </w:rPr>
    </w:lvl>
    <w:lvl w:ilvl="8" w:tplc="0C090005">
      <w:start w:val="1"/>
      <w:numFmt w:val="bullet"/>
      <w:lvlText w:val=""/>
      <w:lvlJc w:val="left"/>
      <w:pPr>
        <w:ind w:left="6347" w:hanging="360"/>
      </w:pPr>
      <w:rPr>
        <w:rFonts w:ascii="Wingdings" w:hAnsi="Wingdings" w:hint="default"/>
      </w:rPr>
    </w:lvl>
  </w:abstractNum>
  <w:abstractNum w:abstractNumId="29" w15:restartNumberingAfterBreak="0">
    <w:nsid w:val="47640C96"/>
    <w:multiLevelType w:val="hybridMultilevel"/>
    <w:tmpl w:val="804EA098"/>
    <w:lvl w:ilvl="0" w:tplc="9618A8A0">
      <w:start w:val="1"/>
      <w:numFmt w:val="upperRoman"/>
      <w:lvlText w:val="%1."/>
      <w:lvlJc w:val="left"/>
      <w:pPr>
        <w:ind w:left="720" w:hanging="72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4F827C7B"/>
    <w:multiLevelType w:val="hybridMultilevel"/>
    <w:tmpl w:val="F4A01F7E"/>
    <w:lvl w:ilvl="0" w:tplc="8DBAC03A">
      <w:start w:val="1"/>
      <w:numFmt w:val="lowerRoman"/>
      <w:lvlText w:val="%1."/>
      <w:lvlJc w:val="left"/>
      <w:pPr>
        <w:ind w:left="587" w:hanging="360"/>
      </w:pPr>
      <w:rPr>
        <w:rFonts w:asciiTheme="minorHAnsi" w:eastAsia="Times New Roman"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1" w15:restartNumberingAfterBreak="0">
    <w:nsid w:val="4FDD1774"/>
    <w:multiLevelType w:val="hybridMultilevel"/>
    <w:tmpl w:val="92D6BFD6"/>
    <w:lvl w:ilvl="0" w:tplc="1B90A376">
      <w:start w:val="1"/>
      <w:numFmt w:val="upperLetter"/>
      <w:lvlText w:val="%1."/>
      <w:lvlJc w:val="left"/>
      <w:pPr>
        <w:ind w:left="1800" w:hanging="360"/>
      </w:pPr>
      <w:rPr>
        <w:rFonts w:hint="default"/>
      </w:r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2" w15:restartNumberingAfterBreak="0">
    <w:nsid w:val="5324422E"/>
    <w:multiLevelType w:val="hybridMultilevel"/>
    <w:tmpl w:val="26528D60"/>
    <w:lvl w:ilvl="0" w:tplc="B2D28F1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213" w:hanging="360"/>
      </w:pPr>
      <w:rPr>
        <w:rFonts w:ascii="Courier New" w:hAnsi="Courier New" w:cs="Courier New" w:hint="default"/>
      </w:rPr>
    </w:lvl>
    <w:lvl w:ilvl="2" w:tplc="0C090005" w:tentative="1">
      <w:start w:val="1"/>
      <w:numFmt w:val="bullet"/>
      <w:lvlText w:val=""/>
      <w:lvlJc w:val="left"/>
      <w:pPr>
        <w:ind w:left="1933" w:hanging="360"/>
      </w:pPr>
      <w:rPr>
        <w:rFonts w:ascii="Wingdings" w:hAnsi="Wingdings" w:hint="default"/>
      </w:rPr>
    </w:lvl>
    <w:lvl w:ilvl="3" w:tplc="0C090001" w:tentative="1">
      <w:start w:val="1"/>
      <w:numFmt w:val="bullet"/>
      <w:lvlText w:val=""/>
      <w:lvlJc w:val="left"/>
      <w:pPr>
        <w:ind w:left="2653" w:hanging="360"/>
      </w:pPr>
      <w:rPr>
        <w:rFonts w:ascii="Symbol" w:hAnsi="Symbol" w:hint="default"/>
      </w:rPr>
    </w:lvl>
    <w:lvl w:ilvl="4" w:tplc="0C090003" w:tentative="1">
      <w:start w:val="1"/>
      <w:numFmt w:val="bullet"/>
      <w:lvlText w:val="o"/>
      <w:lvlJc w:val="left"/>
      <w:pPr>
        <w:ind w:left="3373" w:hanging="360"/>
      </w:pPr>
      <w:rPr>
        <w:rFonts w:ascii="Courier New" w:hAnsi="Courier New" w:cs="Courier New" w:hint="default"/>
      </w:rPr>
    </w:lvl>
    <w:lvl w:ilvl="5" w:tplc="0C090005" w:tentative="1">
      <w:start w:val="1"/>
      <w:numFmt w:val="bullet"/>
      <w:lvlText w:val=""/>
      <w:lvlJc w:val="left"/>
      <w:pPr>
        <w:ind w:left="4093" w:hanging="360"/>
      </w:pPr>
      <w:rPr>
        <w:rFonts w:ascii="Wingdings" w:hAnsi="Wingdings" w:hint="default"/>
      </w:rPr>
    </w:lvl>
    <w:lvl w:ilvl="6" w:tplc="0C090001" w:tentative="1">
      <w:start w:val="1"/>
      <w:numFmt w:val="bullet"/>
      <w:lvlText w:val=""/>
      <w:lvlJc w:val="left"/>
      <w:pPr>
        <w:ind w:left="4813" w:hanging="360"/>
      </w:pPr>
      <w:rPr>
        <w:rFonts w:ascii="Symbol" w:hAnsi="Symbol" w:hint="default"/>
      </w:rPr>
    </w:lvl>
    <w:lvl w:ilvl="7" w:tplc="0C090003" w:tentative="1">
      <w:start w:val="1"/>
      <w:numFmt w:val="bullet"/>
      <w:lvlText w:val="o"/>
      <w:lvlJc w:val="left"/>
      <w:pPr>
        <w:ind w:left="5533" w:hanging="360"/>
      </w:pPr>
      <w:rPr>
        <w:rFonts w:ascii="Courier New" w:hAnsi="Courier New" w:cs="Courier New" w:hint="default"/>
      </w:rPr>
    </w:lvl>
    <w:lvl w:ilvl="8" w:tplc="0C090005" w:tentative="1">
      <w:start w:val="1"/>
      <w:numFmt w:val="bullet"/>
      <w:lvlText w:val=""/>
      <w:lvlJc w:val="left"/>
      <w:pPr>
        <w:ind w:left="6253" w:hanging="360"/>
      </w:pPr>
      <w:rPr>
        <w:rFonts w:ascii="Wingdings" w:hAnsi="Wingdings" w:hint="default"/>
      </w:rPr>
    </w:lvl>
  </w:abstractNum>
  <w:abstractNum w:abstractNumId="33" w15:restartNumberingAfterBreak="0">
    <w:nsid w:val="58C265F0"/>
    <w:multiLevelType w:val="hybridMultilevel"/>
    <w:tmpl w:val="D0D048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60457F2B"/>
    <w:multiLevelType w:val="multilevel"/>
    <w:tmpl w:val="56403A98"/>
    <w:lvl w:ilvl="0">
      <w:start w:val="1"/>
      <w:numFmt w:val="decimal"/>
      <w:lvlText w:val="%1."/>
      <w:lvlJc w:val="left"/>
      <w:pPr>
        <w:ind w:left="720" w:hanging="360"/>
      </w:pPr>
      <w:rPr>
        <w:rFonts w:hint="default"/>
      </w:rPr>
    </w:lvl>
    <w:lvl w:ilvl="1">
      <w:start w:val="1"/>
      <w:numFmt w:val="decimal"/>
      <w:isLgl/>
      <w:lvlText w:val="%1.%2."/>
      <w:lvlJc w:val="left"/>
      <w:pPr>
        <w:ind w:left="862" w:hanging="720"/>
      </w:pPr>
      <w:rPr>
        <w:rFonts w:asciiTheme="minorHAnsi" w:hAnsiTheme="minorHAnsi" w:cstheme="minorHAnsi" w:hint="default"/>
        <w:b/>
        <w:sz w:val="36"/>
        <w:szCs w:val="36"/>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09463CE"/>
    <w:multiLevelType w:val="hybridMultilevel"/>
    <w:tmpl w:val="D0CCC5C0"/>
    <w:lvl w:ilvl="0" w:tplc="B2D28F1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213" w:hanging="360"/>
      </w:pPr>
      <w:rPr>
        <w:rFonts w:ascii="Courier New" w:hAnsi="Courier New" w:cs="Courier New" w:hint="default"/>
      </w:rPr>
    </w:lvl>
    <w:lvl w:ilvl="2" w:tplc="0C090005" w:tentative="1">
      <w:start w:val="1"/>
      <w:numFmt w:val="bullet"/>
      <w:lvlText w:val=""/>
      <w:lvlJc w:val="left"/>
      <w:pPr>
        <w:ind w:left="1933" w:hanging="360"/>
      </w:pPr>
      <w:rPr>
        <w:rFonts w:ascii="Wingdings" w:hAnsi="Wingdings" w:hint="default"/>
      </w:rPr>
    </w:lvl>
    <w:lvl w:ilvl="3" w:tplc="0C090001" w:tentative="1">
      <w:start w:val="1"/>
      <w:numFmt w:val="bullet"/>
      <w:lvlText w:val=""/>
      <w:lvlJc w:val="left"/>
      <w:pPr>
        <w:ind w:left="2653" w:hanging="360"/>
      </w:pPr>
      <w:rPr>
        <w:rFonts w:ascii="Symbol" w:hAnsi="Symbol" w:hint="default"/>
      </w:rPr>
    </w:lvl>
    <w:lvl w:ilvl="4" w:tplc="0C090003" w:tentative="1">
      <w:start w:val="1"/>
      <w:numFmt w:val="bullet"/>
      <w:lvlText w:val="o"/>
      <w:lvlJc w:val="left"/>
      <w:pPr>
        <w:ind w:left="3373" w:hanging="360"/>
      </w:pPr>
      <w:rPr>
        <w:rFonts w:ascii="Courier New" w:hAnsi="Courier New" w:cs="Courier New" w:hint="default"/>
      </w:rPr>
    </w:lvl>
    <w:lvl w:ilvl="5" w:tplc="0C090005" w:tentative="1">
      <w:start w:val="1"/>
      <w:numFmt w:val="bullet"/>
      <w:lvlText w:val=""/>
      <w:lvlJc w:val="left"/>
      <w:pPr>
        <w:ind w:left="4093" w:hanging="360"/>
      </w:pPr>
      <w:rPr>
        <w:rFonts w:ascii="Wingdings" w:hAnsi="Wingdings" w:hint="default"/>
      </w:rPr>
    </w:lvl>
    <w:lvl w:ilvl="6" w:tplc="0C090001" w:tentative="1">
      <w:start w:val="1"/>
      <w:numFmt w:val="bullet"/>
      <w:lvlText w:val=""/>
      <w:lvlJc w:val="left"/>
      <w:pPr>
        <w:ind w:left="4813" w:hanging="360"/>
      </w:pPr>
      <w:rPr>
        <w:rFonts w:ascii="Symbol" w:hAnsi="Symbol" w:hint="default"/>
      </w:rPr>
    </w:lvl>
    <w:lvl w:ilvl="7" w:tplc="0C090003" w:tentative="1">
      <w:start w:val="1"/>
      <w:numFmt w:val="bullet"/>
      <w:lvlText w:val="o"/>
      <w:lvlJc w:val="left"/>
      <w:pPr>
        <w:ind w:left="5533" w:hanging="360"/>
      </w:pPr>
      <w:rPr>
        <w:rFonts w:ascii="Courier New" w:hAnsi="Courier New" w:cs="Courier New" w:hint="default"/>
      </w:rPr>
    </w:lvl>
    <w:lvl w:ilvl="8" w:tplc="0C090005" w:tentative="1">
      <w:start w:val="1"/>
      <w:numFmt w:val="bullet"/>
      <w:lvlText w:val=""/>
      <w:lvlJc w:val="left"/>
      <w:pPr>
        <w:ind w:left="6253" w:hanging="360"/>
      </w:pPr>
      <w:rPr>
        <w:rFonts w:ascii="Wingdings" w:hAnsi="Wingdings" w:hint="default"/>
      </w:rPr>
    </w:lvl>
  </w:abstractNum>
  <w:abstractNum w:abstractNumId="36" w15:restartNumberingAfterBreak="0">
    <w:nsid w:val="65AE1845"/>
    <w:multiLevelType w:val="hybridMultilevel"/>
    <w:tmpl w:val="8F5C4774"/>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37" w15:restartNumberingAfterBreak="0">
    <w:nsid w:val="66691F00"/>
    <w:multiLevelType w:val="hybridMultilevel"/>
    <w:tmpl w:val="D99835B8"/>
    <w:lvl w:ilvl="0" w:tplc="B2D28F1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213" w:hanging="360"/>
      </w:pPr>
      <w:rPr>
        <w:rFonts w:ascii="Courier New" w:hAnsi="Courier New" w:cs="Courier New" w:hint="default"/>
      </w:rPr>
    </w:lvl>
    <w:lvl w:ilvl="2" w:tplc="0C090005" w:tentative="1">
      <w:start w:val="1"/>
      <w:numFmt w:val="bullet"/>
      <w:lvlText w:val=""/>
      <w:lvlJc w:val="left"/>
      <w:pPr>
        <w:ind w:left="1933" w:hanging="360"/>
      </w:pPr>
      <w:rPr>
        <w:rFonts w:ascii="Wingdings" w:hAnsi="Wingdings" w:hint="default"/>
      </w:rPr>
    </w:lvl>
    <w:lvl w:ilvl="3" w:tplc="0C090001" w:tentative="1">
      <w:start w:val="1"/>
      <w:numFmt w:val="bullet"/>
      <w:lvlText w:val=""/>
      <w:lvlJc w:val="left"/>
      <w:pPr>
        <w:ind w:left="2653" w:hanging="360"/>
      </w:pPr>
      <w:rPr>
        <w:rFonts w:ascii="Symbol" w:hAnsi="Symbol" w:hint="default"/>
      </w:rPr>
    </w:lvl>
    <w:lvl w:ilvl="4" w:tplc="0C090003" w:tentative="1">
      <w:start w:val="1"/>
      <w:numFmt w:val="bullet"/>
      <w:lvlText w:val="o"/>
      <w:lvlJc w:val="left"/>
      <w:pPr>
        <w:ind w:left="3373" w:hanging="360"/>
      </w:pPr>
      <w:rPr>
        <w:rFonts w:ascii="Courier New" w:hAnsi="Courier New" w:cs="Courier New" w:hint="default"/>
      </w:rPr>
    </w:lvl>
    <w:lvl w:ilvl="5" w:tplc="0C090005" w:tentative="1">
      <w:start w:val="1"/>
      <w:numFmt w:val="bullet"/>
      <w:lvlText w:val=""/>
      <w:lvlJc w:val="left"/>
      <w:pPr>
        <w:ind w:left="4093" w:hanging="360"/>
      </w:pPr>
      <w:rPr>
        <w:rFonts w:ascii="Wingdings" w:hAnsi="Wingdings" w:hint="default"/>
      </w:rPr>
    </w:lvl>
    <w:lvl w:ilvl="6" w:tplc="0C090001" w:tentative="1">
      <w:start w:val="1"/>
      <w:numFmt w:val="bullet"/>
      <w:lvlText w:val=""/>
      <w:lvlJc w:val="left"/>
      <w:pPr>
        <w:ind w:left="4813" w:hanging="360"/>
      </w:pPr>
      <w:rPr>
        <w:rFonts w:ascii="Symbol" w:hAnsi="Symbol" w:hint="default"/>
      </w:rPr>
    </w:lvl>
    <w:lvl w:ilvl="7" w:tplc="0C090003" w:tentative="1">
      <w:start w:val="1"/>
      <w:numFmt w:val="bullet"/>
      <w:lvlText w:val="o"/>
      <w:lvlJc w:val="left"/>
      <w:pPr>
        <w:ind w:left="5533" w:hanging="360"/>
      </w:pPr>
      <w:rPr>
        <w:rFonts w:ascii="Courier New" w:hAnsi="Courier New" w:cs="Courier New" w:hint="default"/>
      </w:rPr>
    </w:lvl>
    <w:lvl w:ilvl="8" w:tplc="0C090005" w:tentative="1">
      <w:start w:val="1"/>
      <w:numFmt w:val="bullet"/>
      <w:lvlText w:val=""/>
      <w:lvlJc w:val="left"/>
      <w:pPr>
        <w:ind w:left="6253" w:hanging="360"/>
      </w:pPr>
      <w:rPr>
        <w:rFonts w:ascii="Wingdings" w:hAnsi="Wingdings" w:hint="default"/>
      </w:rPr>
    </w:lvl>
  </w:abstractNum>
  <w:abstractNum w:abstractNumId="38" w15:restartNumberingAfterBreak="0">
    <w:nsid w:val="66951F29"/>
    <w:multiLevelType w:val="hybridMultilevel"/>
    <w:tmpl w:val="1ED88D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69C04690"/>
    <w:multiLevelType w:val="hybridMultilevel"/>
    <w:tmpl w:val="65A6F708"/>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40" w15:restartNumberingAfterBreak="0">
    <w:nsid w:val="6CE85EB6"/>
    <w:multiLevelType w:val="hybridMultilevel"/>
    <w:tmpl w:val="7E04C800"/>
    <w:lvl w:ilvl="0" w:tplc="0C090001">
      <w:start w:val="1"/>
      <w:numFmt w:val="bullet"/>
      <w:lvlText w:val=""/>
      <w:lvlJc w:val="left"/>
      <w:pPr>
        <w:ind w:left="783" w:hanging="360"/>
      </w:pPr>
      <w:rPr>
        <w:rFonts w:ascii="Symbol" w:hAnsi="Symbol" w:hint="default"/>
      </w:rPr>
    </w:lvl>
    <w:lvl w:ilvl="1" w:tplc="0C090003">
      <w:start w:val="1"/>
      <w:numFmt w:val="bullet"/>
      <w:lvlText w:val="o"/>
      <w:lvlJc w:val="left"/>
      <w:pPr>
        <w:ind w:left="1503" w:hanging="360"/>
      </w:pPr>
      <w:rPr>
        <w:rFonts w:ascii="Courier New" w:hAnsi="Courier New" w:cs="Courier New" w:hint="default"/>
      </w:rPr>
    </w:lvl>
    <w:lvl w:ilvl="2" w:tplc="0C090005">
      <w:start w:val="1"/>
      <w:numFmt w:val="bullet"/>
      <w:lvlText w:val=""/>
      <w:lvlJc w:val="left"/>
      <w:pPr>
        <w:ind w:left="2223" w:hanging="360"/>
      </w:pPr>
      <w:rPr>
        <w:rFonts w:ascii="Wingdings" w:hAnsi="Wingdings" w:hint="default"/>
      </w:rPr>
    </w:lvl>
    <w:lvl w:ilvl="3" w:tplc="0C090001">
      <w:start w:val="1"/>
      <w:numFmt w:val="bullet"/>
      <w:lvlText w:val=""/>
      <w:lvlJc w:val="left"/>
      <w:pPr>
        <w:ind w:left="2943" w:hanging="360"/>
      </w:pPr>
      <w:rPr>
        <w:rFonts w:ascii="Symbol" w:hAnsi="Symbol" w:hint="default"/>
      </w:rPr>
    </w:lvl>
    <w:lvl w:ilvl="4" w:tplc="0C090003">
      <w:start w:val="1"/>
      <w:numFmt w:val="bullet"/>
      <w:lvlText w:val="o"/>
      <w:lvlJc w:val="left"/>
      <w:pPr>
        <w:ind w:left="3663" w:hanging="360"/>
      </w:pPr>
      <w:rPr>
        <w:rFonts w:ascii="Courier New" w:hAnsi="Courier New" w:cs="Courier New" w:hint="default"/>
      </w:rPr>
    </w:lvl>
    <w:lvl w:ilvl="5" w:tplc="0C090005">
      <w:start w:val="1"/>
      <w:numFmt w:val="bullet"/>
      <w:lvlText w:val=""/>
      <w:lvlJc w:val="left"/>
      <w:pPr>
        <w:ind w:left="4383" w:hanging="360"/>
      </w:pPr>
      <w:rPr>
        <w:rFonts w:ascii="Wingdings" w:hAnsi="Wingdings" w:hint="default"/>
      </w:rPr>
    </w:lvl>
    <w:lvl w:ilvl="6" w:tplc="0C090001">
      <w:start w:val="1"/>
      <w:numFmt w:val="bullet"/>
      <w:lvlText w:val=""/>
      <w:lvlJc w:val="left"/>
      <w:pPr>
        <w:ind w:left="5103" w:hanging="360"/>
      </w:pPr>
      <w:rPr>
        <w:rFonts w:ascii="Symbol" w:hAnsi="Symbol" w:hint="default"/>
      </w:rPr>
    </w:lvl>
    <w:lvl w:ilvl="7" w:tplc="0C090003">
      <w:start w:val="1"/>
      <w:numFmt w:val="bullet"/>
      <w:lvlText w:val="o"/>
      <w:lvlJc w:val="left"/>
      <w:pPr>
        <w:ind w:left="5823" w:hanging="360"/>
      </w:pPr>
      <w:rPr>
        <w:rFonts w:ascii="Courier New" w:hAnsi="Courier New" w:cs="Courier New" w:hint="default"/>
      </w:rPr>
    </w:lvl>
    <w:lvl w:ilvl="8" w:tplc="0C090005">
      <w:start w:val="1"/>
      <w:numFmt w:val="bullet"/>
      <w:lvlText w:val=""/>
      <w:lvlJc w:val="left"/>
      <w:pPr>
        <w:ind w:left="6543" w:hanging="360"/>
      </w:pPr>
      <w:rPr>
        <w:rFonts w:ascii="Wingdings" w:hAnsi="Wingdings" w:hint="default"/>
      </w:rPr>
    </w:lvl>
  </w:abstractNum>
  <w:abstractNum w:abstractNumId="41" w15:restartNumberingAfterBreak="0">
    <w:nsid w:val="6CF8287E"/>
    <w:multiLevelType w:val="hybridMultilevel"/>
    <w:tmpl w:val="A44C6632"/>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0275F0A"/>
    <w:multiLevelType w:val="hybridMultilevel"/>
    <w:tmpl w:val="C09EF7BA"/>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43" w15:restartNumberingAfterBreak="0">
    <w:nsid w:val="708B5BA0"/>
    <w:multiLevelType w:val="hybridMultilevel"/>
    <w:tmpl w:val="820686D8"/>
    <w:lvl w:ilvl="0" w:tplc="B2D28F12">
      <w:numFmt w:val="bullet"/>
      <w:lvlText w:val="•"/>
      <w:lvlJc w:val="left"/>
      <w:pPr>
        <w:ind w:left="1080" w:hanging="360"/>
      </w:pPr>
      <w:rPr>
        <w:rFonts w:ascii="Arial" w:eastAsia="Times New Roman" w:hAnsi="Arial" w:cs="Aria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44" w15:restartNumberingAfterBreak="0">
    <w:nsid w:val="74466F33"/>
    <w:multiLevelType w:val="hybridMultilevel"/>
    <w:tmpl w:val="DAE292BC"/>
    <w:lvl w:ilvl="0" w:tplc="C32264AE">
      <w:start w:val="3"/>
      <w:numFmt w:val="upperRoman"/>
      <w:lvlText w:val="%1&gt;"/>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4F400B1"/>
    <w:multiLevelType w:val="hybridMultilevel"/>
    <w:tmpl w:val="7C52C030"/>
    <w:lvl w:ilvl="0" w:tplc="B2D28F12">
      <w:numFmt w:val="bullet"/>
      <w:lvlText w:val="•"/>
      <w:lvlJc w:val="left"/>
      <w:pPr>
        <w:ind w:left="587" w:hanging="360"/>
      </w:pPr>
      <w:rPr>
        <w:rFonts w:ascii="Arial" w:eastAsia="Times New Roman" w:hAnsi="Arial" w:cs="Arial" w:hint="default"/>
      </w:rPr>
    </w:lvl>
    <w:lvl w:ilvl="1" w:tplc="0C090003">
      <w:start w:val="1"/>
      <w:numFmt w:val="bullet"/>
      <w:lvlText w:val="o"/>
      <w:lvlJc w:val="left"/>
      <w:pPr>
        <w:ind w:left="1307" w:hanging="360"/>
      </w:pPr>
      <w:rPr>
        <w:rFonts w:ascii="Courier New" w:hAnsi="Courier New" w:cs="Courier New" w:hint="default"/>
      </w:rPr>
    </w:lvl>
    <w:lvl w:ilvl="2" w:tplc="0C090005">
      <w:start w:val="1"/>
      <w:numFmt w:val="bullet"/>
      <w:lvlText w:val=""/>
      <w:lvlJc w:val="left"/>
      <w:pPr>
        <w:ind w:left="2027" w:hanging="360"/>
      </w:pPr>
      <w:rPr>
        <w:rFonts w:ascii="Wingdings" w:hAnsi="Wingdings" w:hint="default"/>
      </w:rPr>
    </w:lvl>
    <w:lvl w:ilvl="3" w:tplc="0C090001">
      <w:start w:val="1"/>
      <w:numFmt w:val="bullet"/>
      <w:lvlText w:val=""/>
      <w:lvlJc w:val="left"/>
      <w:pPr>
        <w:ind w:left="2747" w:hanging="360"/>
      </w:pPr>
      <w:rPr>
        <w:rFonts w:ascii="Symbol" w:hAnsi="Symbol" w:hint="default"/>
      </w:rPr>
    </w:lvl>
    <w:lvl w:ilvl="4" w:tplc="0C090003">
      <w:start w:val="1"/>
      <w:numFmt w:val="bullet"/>
      <w:lvlText w:val="o"/>
      <w:lvlJc w:val="left"/>
      <w:pPr>
        <w:ind w:left="3467" w:hanging="360"/>
      </w:pPr>
      <w:rPr>
        <w:rFonts w:ascii="Courier New" w:hAnsi="Courier New" w:cs="Courier New" w:hint="default"/>
      </w:rPr>
    </w:lvl>
    <w:lvl w:ilvl="5" w:tplc="0C090005">
      <w:start w:val="1"/>
      <w:numFmt w:val="bullet"/>
      <w:lvlText w:val=""/>
      <w:lvlJc w:val="left"/>
      <w:pPr>
        <w:ind w:left="4187" w:hanging="360"/>
      </w:pPr>
      <w:rPr>
        <w:rFonts w:ascii="Wingdings" w:hAnsi="Wingdings" w:hint="default"/>
      </w:rPr>
    </w:lvl>
    <w:lvl w:ilvl="6" w:tplc="0C090001">
      <w:start w:val="1"/>
      <w:numFmt w:val="bullet"/>
      <w:lvlText w:val=""/>
      <w:lvlJc w:val="left"/>
      <w:pPr>
        <w:ind w:left="4907" w:hanging="360"/>
      </w:pPr>
      <w:rPr>
        <w:rFonts w:ascii="Symbol" w:hAnsi="Symbol" w:hint="default"/>
      </w:rPr>
    </w:lvl>
    <w:lvl w:ilvl="7" w:tplc="0C090003">
      <w:start w:val="1"/>
      <w:numFmt w:val="bullet"/>
      <w:lvlText w:val="o"/>
      <w:lvlJc w:val="left"/>
      <w:pPr>
        <w:ind w:left="5627" w:hanging="360"/>
      </w:pPr>
      <w:rPr>
        <w:rFonts w:ascii="Courier New" w:hAnsi="Courier New" w:cs="Courier New" w:hint="default"/>
      </w:rPr>
    </w:lvl>
    <w:lvl w:ilvl="8" w:tplc="0C090005">
      <w:start w:val="1"/>
      <w:numFmt w:val="bullet"/>
      <w:lvlText w:val=""/>
      <w:lvlJc w:val="left"/>
      <w:pPr>
        <w:ind w:left="6347" w:hanging="360"/>
      </w:pPr>
      <w:rPr>
        <w:rFonts w:ascii="Wingdings" w:hAnsi="Wingdings" w:hint="default"/>
      </w:rPr>
    </w:lvl>
  </w:abstractNum>
  <w:abstractNum w:abstractNumId="46" w15:restartNumberingAfterBreak="0">
    <w:nsid w:val="75592CFD"/>
    <w:multiLevelType w:val="hybridMultilevel"/>
    <w:tmpl w:val="3DB6E17C"/>
    <w:lvl w:ilvl="0" w:tplc="B2D28F12">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7" w15:restartNumberingAfterBreak="0">
    <w:nsid w:val="76527D83"/>
    <w:multiLevelType w:val="hybridMultilevel"/>
    <w:tmpl w:val="A0D22D74"/>
    <w:lvl w:ilvl="0" w:tplc="B290C310">
      <w:start w:val="1"/>
      <w:numFmt w:val="lowerLetter"/>
      <w:lvlText w:val="(%1)"/>
      <w:lvlJc w:val="left"/>
      <w:pPr>
        <w:ind w:left="58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CA213C1"/>
    <w:multiLevelType w:val="hybridMultilevel"/>
    <w:tmpl w:val="0512C730"/>
    <w:lvl w:ilvl="0" w:tplc="B2D28F12">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9" w15:restartNumberingAfterBreak="0">
    <w:nsid w:val="7E391716"/>
    <w:multiLevelType w:val="hybridMultilevel"/>
    <w:tmpl w:val="D58A9240"/>
    <w:lvl w:ilvl="0" w:tplc="499A0734">
      <w:start w:val="1"/>
      <w:numFmt w:val="bullet"/>
      <w:pStyle w:val="ListBullet2"/>
      <w:lvlText w:val=""/>
      <w:lvlJc w:val="left"/>
      <w:pPr>
        <w:ind w:left="1004" w:hanging="360"/>
      </w:pPr>
      <w:rPr>
        <w:rFonts w:ascii="Symbol" w:hAnsi="Symbol" w:hint="default"/>
        <w:color w:val="010B24"/>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10"/>
  </w:num>
  <w:num w:numId="2">
    <w:abstractNumId w:val="49"/>
  </w:num>
  <w:num w:numId="3">
    <w:abstractNumId w:val="41"/>
  </w:num>
  <w:num w:numId="4">
    <w:abstractNumId w:val="3"/>
  </w:num>
  <w:num w:numId="5">
    <w:abstractNumId w:val="21"/>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num>
  <w:num w:numId="8">
    <w:abstractNumId w:val="26"/>
  </w:num>
  <w:num w:numId="9">
    <w:abstractNumId w:val="40"/>
  </w:num>
  <w:num w:numId="10">
    <w:abstractNumId w:val="20"/>
  </w:num>
  <w:num w:numId="11">
    <w:abstractNumId w:val="24"/>
  </w:num>
  <w:num w:numId="12">
    <w:abstractNumId w:val="17"/>
  </w:num>
  <w:num w:numId="13">
    <w:abstractNumId w:val="11"/>
  </w:num>
  <w:num w:numId="14">
    <w:abstractNumId w:val="38"/>
  </w:num>
  <w:num w:numId="15">
    <w:abstractNumId w:val="33"/>
  </w:num>
  <w:num w:numId="16">
    <w:abstractNumId w:val="5"/>
  </w:num>
  <w:num w:numId="17">
    <w:abstractNumId w:val="43"/>
  </w:num>
  <w:num w:numId="18">
    <w:abstractNumId w:val="45"/>
  </w:num>
  <w:num w:numId="19">
    <w:abstractNumId w:val="14"/>
  </w:num>
  <w:num w:numId="20">
    <w:abstractNumId w:val="2"/>
  </w:num>
  <w:num w:numId="21">
    <w:abstractNumId w:val="48"/>
  </w:num>
  <w:num w:numId="22">
    <w:abstractNumId w:val="27"/>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46"/>
  </w:num>
  <w:num w:numId="26">
    <w:abstractNumId w:val="1"/>
  </w:num>
  <w:num w:numId="27">
    <w:abstractNumId w:val="9"/>
  </w:num>
  <w:num w:numId="28">
    <w:abstractNumId w:val="39"/>
  </w:num>
  <w:num w:numId="29">
    <w:abstractNumId w:val="42"/>
  </w:num>
  <w:num w:numId="30">
    <w:abstractNumId w:val="36"/>
  </w:num>
  <w:num w:numId="31">
    <w:abstractNumId w:val="34"/>
  </w:num>
  <w:num w:numId="32">
    <w:abstractNumId w:val="4"/>
  </w:num>
  <w:num w:numId="33">
    <w:abstractNumId w:val="16"/>
  </w:num>
  <w:num w:numId="34">
    <w:abstractNumId w:val="18"/>
  </w:num>
  <w:num w:numId="35">
    <w:abstractNumId w:val="7"/>
  </w:num>
  <w:num w:numId="36">
    <w:abstractNumId w:val="23"/>
  </w:num>
  <w:num w:numId="37">
    <w:abstractNumId w:val="22"/>
  </w:num>
  <w:num w:numId="38">
    <w:abstractNumId w:val="6"/>
  </w:num>
  <w:num w:numId="39">
    <w:abstractNumId w:val="37"/>
  </w:num>
  <w:num w:numId="40">
    <w:abstractNumId w:val="0"/>
  </w:num>
  <w:num w:numId="41">
    <w:abstractNumId w:val="13"/>
  </w:num>
  <w:num w:numId="42">
    <w:abstractNumId w:val="35"/>
  </w:num>
  <w:num w:numId="43">
    <w:abstractNumId w:val="32"/>
  </w:num>
  <w:num w:numId="44">
    <w:abstractNumId w:val="29"/>
  </w:num>
  <w:num w:numId="45">
    <w:abstractNumId w:val="31"/>
  </w:num>
  <w:num w:numId="46">
    <w:abstractNumId w:val="15"/>
  </w:num>
  <w:num w:numId="47">
    <w:abstractNumId w:val="44"/>
  </w:num>
  <w:num w:numId="48">
    <w:abstractNumId w:val="19"/>
  </w:num>
  <w:num w:numId="49">
    <w:abstractNumId w:val="8"/>
  </w:num>
  <w:num w:numId="50">
    <w:abstractNumId w:val="25"/>
  </w:num>
  <w:num w:numId="51">
    <w:abstractNumId w:val="4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9A2"/>
    <w:rsid w:val="00003743"/>
    <w:rsid w:val="000047B4"/>
    <w:rsid w:val="00005712"/>
    <w:rsid w:val="00007FD8"/>
    <w:rsid w:val="000117F8"/>
    <w:rsid w:val="00013C6F"/>
    <w:rsid w:val="00020DD3"/>
    <w:rsid w:val="00026139"/>
    <w:rsid w:val="00027071"/>
    <w:rsid w:val="00027601"/>
    <w:rsid w:val="00033321"/>
    <w:rsid w:val="000338E5"/>
    <w:rsid w:val="00033ECC"/>
    <w:rsid w:val="0003422F"/>
    <w:rsid w:val="00036890"/>
    <w:rsid w:val="00040EE5"/>
    <w:rsid w:val="00046FF0"/>
    <w:rsid w:val="00050176"/>
    <w:rsid w:val="00060D23"/>
    <w:rsid w:val="00062B65"/>
    <w:rsid w:val="00067456"/>
    <w:rsid w:val="00070BE0"/>
    <w:rsid w:val="00071506"/>
    <w:rsid w:val="0007154F"/>
    <w:rsid w:val="00075953"/>
    <w:rsid w:val="00081AB1"/>
    <w:rsid w:val="00090316"/>
    <w:rsid w:val="00093981"/>
    <w:rsid w:val="00093CD9"/>
    <w:rsid w:val="000B067A"/>
    <w:rsid w:val="000B1540"/>
    <w:rsid w:val="000B33FD"/>
    <w:rsid w:val="000B4ABA"/>
    <w:rsid w:val="000C4B16"/>
    <w:rsid w:val="000C50C3"/>
    <w:rsid w:val="000C546B"/>
    <w:rsid w:val="000C5D9F"/>
    <w:rsid w:val="000D21F6"/>
    <w:rsid w:val="000D42C3"/>
    <w:rsid w:val="000D4323"/>
    <w:rsid w:val="000D4500"/>
    <w:rsid w:val="000D56E4"/>
    <w:rsid w:val="000D7AEA"/>
    <w:rsid w:val="000E01A9"/>
    <w:rsid w:val="000E01D0"/>
    <w:rsid w:val="000E14C6"/>
    <w:rsid w:val="000E2C66"/>
    <w:rsid w:val="000E6E7D"/>
    <w:rsid w:val="000F123C"/>
    <w:rsid w:val="000F2FED"/>
    <w:rsid w:val="00100F6D"/>
    <w:rsid w:val="0010616D"/>
    <w:rsid w:val="00110478"/>
    <w:rsid w:val="0011711B"/>
    <w:rsid w:val="00117F8A"/>
    <w:rsid w:val="00121B9B"/>
    <w:rsid w:val="00122ADC"/>
    <w:rsid w:val="00130F59"/>
    <w:rsid w:val="00131DD2"/>
    <w:rsid w:val="00133EC0"/>
    <w:rsid w:val="00136EBA"/>
    <w:rsid w:val="00140ED4"/>
    <w:rsid w:val="00141CE5"/>
    <w:rsid w:val="00144642"/>
    <w:rsid w:val="00144908"/>
    <w:rsid w:val="00150CD2"/>
    <w:rsid w:val="001571C7"/>
    <w:rsid w:val="00161094"/>
    <w:rsid w:val="001710C3"/>
    <w:rsid w:val="00172A55"/>
    <w:rsid w:val="001758CD"/>
    <w:rsid w:val="0017665C"/>
    <w:rsid w:val="00177AD2"/>
    <w:rsid w:val="001815A8"/>
    <w:rsid w:val="001838F9"/>
    <w:rsid w:val="001840FA"/>
    <w:rsid w:val="00190079"/>
    <w:rsid w:val="0019622E"/>
    <w:rsid w:val="001966A7"/>
    <w:rsid w:val="001A0639"/>
    <w:rsid w:val="001A4627"/>
    <w:rsid w:val="001A4979"/>
    <w:rsid w:val="001A4ED3"/>
    <w:rsid w:val="001B15D3"/>
    <w:rsid w:val="001B3443"/>
    <w:rsid w:val="001C0326"/>
    <w:rsid w:val="001C192F"/>
    <w:rsid w:val="001C3C42"/>
    <w:rsid w:val="001D39F3"/>
    <w:rsid w:val="001D7869"/>
    <w:rsid w:val="001F2F78"/>
    <w:rsid w:val="002026CD"/>
    <w:rsid w:val="002031F4"/>
    <w:rsid w:val="002033FC"/>
    <w:rsid w:val="002044BB"/>
    <w:rsid w:val="00205A93"/>
    <w:rsid w:val="00207793"/>
    <w:rsid w:val="00210B09"/>
    <w:rsid w:val="00210C9E"/>
    <w:rsid w:val="00211840"/>
    <w:rsid w:val="00220E5F"/>
    <w:rsid w:val="002212B5"/>
    <w:rsid w:val="00224DFC"/>
    <w:rsid w:val="00226617"/>
    <w:rsid w:val="00226668"/>
    <w:rsid w:val="00233809"/>
    <w:rsid w:val="00236073"/>
    <w:rsid w:val="00240046"/>
    <w:rsid w:val="002434B2"/>
    <w:rsid w:val="0024797F"/>
    <w:rsid w:val="0025119E"/>
    <w:rsid w:val="00251269"/>
    <w:rsid w:val="002535C0"/>
    <w:rsid w:val="002579FE"/>
    <w:rsid w:val="0026311C"/>
    <w:rsid w:val="0026668C"/>
    <w:rsid w:val="00266AC1"/>
    <w:rsid w:val="002703A0"/>
    <w:rsid w:val="0027178C"/>
    <w:rsid w:val="002719FA"/>
    <w:rsid w:val="00272668"/>
    <w:rsid w:val="0027330B"/>
    <w:rsid w:val="002803AD"/>
    <w:rsid w:val="00282052"/>
    <w:rsid w:val="00282AA9"/>
    <w:rsid w:val="00284592"/>
    <w:rsid w:val="0028519E"/>
    <w:rsid w:val="002856A5"/>
    <w:rsid w:val="002872ED"/>
    <w:rsid w:val="002905C2"/>
    <w:rsid w:val="00295AF2"/>
    <w:rsid w:val="00295C91"/>
    <w:rsid w:val="00297151"/>
    <w:rsid w:val="002A1C8D"/>
    <w:rsid w:val="002B20E6"/>
    <w:rsid w:val="002B42A3"/>
    <w:rsid w:val="002B5C97"/>
    <w:rsid w:val="002C0CDD"/>
    <w:rsid w:val="002C3422"/>
    <w:rsid w:val="002C353E"/>
    <w:rsid w:val="002C6531"/>
    <w:rsid w:val="002E1A1D"/>
    <w:rsid w:val="002E4081"/>
    <w:rsid w:val="002E5B78"/>
    <w:rsid w:val="002F3AE3"/>
    <w:rsid w:val="0030464B"/>
    <w:rsid w:val="0030786C"/>
    <w:rsid w:val="003233DE"/>
    <w:rsid w:val="00323C37"/>
    <w:rsid w:val="0032466B"/>
    <w:rsid w:val="003258E5"/>
    <w:rsid w:val="00325C77"/>
    <w:rsid w:val="00327B44"/>
    <w:rsid w:val="00330C78"/>
    <w:rsid w:val="003330EB"/>
    <w:rsid w:val="00336605"/>
    <w:rsid w:val="003415FD"/>
    <w:rsid w:val="003429F0"/>
    <w:rsid w:val="00346C4A"/>
    <w:rsid w:val="003473B9"/>
    <w:rsid w:val="0035097A"/>
    <w:rsid w:val="003540A4"/>
    <w:rsid w:val="00360E4E"/>
    <w:rsid w:val="00370AAA"/>
    <w:rsid w:val="00372278"/>
    <w:rsid w:val="00375F77"/>
    <w:rsid w:val="00377A78"/>
    <w:rsid w:val="00381BBE"/>
    <w:rsid w:val="00382903"/>
    <w:rsid w:val="003846FF"/>
    <w:rsid w:val="00385AD4"/>
    <w:rsid w:val="00387924"/>
    <w:rsid w:val="0039384D"/>
    <w:rsid w:val="00394A8D"/>
    <w:rsid w:val="00395C23"/>
    <w:rsid w:val="003A2E4F"/>
    <w:rsid w:val="003A4438"/>
    <w:rsid w:val="003A5013"/>
    <w:rsid w:val="003A5078"/>
    <w:rsid w:val="003A62DD"/>
    <w:rsid w:val="003A775A"/>
    <w:rsid w:val="003B0DAB"/>
    <w:rsid w:val="003B213A"/>
    <w:rsid w:val="003B43AD"/>
    <w:rsid w:val="003C0FEC"/>
    <w:rsid w:val="003C15B8"/>
    <w:rsid w:val="003C2AC8"/>
    <w:rsid w:val="003D0B05"/>
    <w:rsid w:val="003D17F9"/>
    <w:rsid w:val="003D1B2E"/>
    <w:rsid w:val="003D2D88"/>
    <w:rsid w:val="003D41EA"/>
    <w:rsid w:val="003D4850"/>
    <w:rsid w:val="003D535A"/>
    <w:rsid w:val="003E10B8"/>
    <w:rsid w:val="003E5265"/>
    <w:rsid w:val="003F0955"/>
    <w:rsid w:val="003F36A2"/>
    <w:rsid w:val="003F6FE1"/>
    <w:rsid w:val="00400F00"/>
    <w:rsid w:val="00404F8B"/>
    <w:rsid w:val="00405256"/>
    <w:rsid w:val="00410031"/>
    <w:rsid w:val="004115A2"/>
    <w:rsid w:val="00415C81"/>
    <w:rsid w:val="00416731"/>
    <w:rsid w:val="00432378"/>
    <w:rsid w:val="00440D65"/>
    <w:rsid w:val="004435E6"/>
    <w:rsid w:val="00447E31"/>
    <w:rsid w:val="00453923"/>
    <w:rsid w:val="004543DC"/>
    <w:rsid w:val="00454B9B"/>
    <w:rsid w:val="00457858"/>
    <w:rsid w:val="00460B0B"/>
    <w:rsid w:val="00461023"/>
    <w:rsid w:val="00461810"/>
    <w:rsid w:val="00462FAC"/>
    <w:rsid w:val="00464631"/>
    <w:rsid w:val="00464B79"/>
    <w:rsid w:val="00467BBF"/>
    <w:rsid w:val="004867E2"/>
    <w:rsid w:val="00486988"/>
    <w:rsid w:val="004918B7"/>
    <w:rsid w:val="004929A9"/>
    <w:rsid w:val="004A1972"/>
    <w:rsid w:val="004B39E8"/>
    <w:rsid w:val="004C2FEC"/>
    <w:rsid w:val="004C6BCF"/>
    <w:rsid w:val="004D1339"/>
    <w:rsid w:val="004D58BF"/>
    <w:rsid w:val="004E4335"/>
    <w:rsid w:val="004E5ACF"/>
    <w:rsid w:val="004F13EE"/>
    <w:rsid w:val="004F2022"/>
    <w:rsid w:val="004F7C05"/>
    <w:rsid w:val="00501C94"/>
    <w:rsid w:val="00502117"/>
    <w:rsid w:val="00502BF6"/>
    <w:rsid w:val="00506432"/>
    <w:rsid w:val="0051242B"/>
    <w:rsid w:val="00512BDD"/>
    <w:rsid w:val="0052051D"/>
    <w:rsid w:val="00527401"/>
    <w:rsid w:val="00531589"/>
    <w:rsid w:val="00545EE6"/>
    <w:rsid w:val="00552273"/>
    <w:rsid w:val="00553E8D"/>
    <w:rsid w:val="005550E7"/>
    <w:rsid w:val="005564FB"/>
    <w:rsid w:val="005572C7"/>
    <w:rsid w:val="00557D5A"/>
    <w:rsid w:val="00560C64"/>
    <w:rsid w:val="0056486D"/>
    <w:rsid w:val="005650ED"/>
    <w:rsid w:val="0056584A"/>
    <w:rsid w:val="00575754"/>
    <w:rsid w:val="00584752"/>
    <w:rsid w:val="00591E20"/>
    <w:rsid w:val="00595408"/>
    <w:rsid w:val="00595E84"/>
    <w:rsid w:val="005A0C59"/>
    <w:rsid w:val="005A48EB"/>
    <w:rsid w:val="005A6CFB"/>
    <w:rsid w:val="005C5AEB"/>
    <w:rsid w:val="005D5714"/>
    <w:rsid w:val="005E0A3F"/>
    <w:rsid w:val="005E6883"/>
    <w:rsid w:val="005E772F"/>
    <w:rsid w:val="005F4ECA"/>
    <w:rsid w:val="005F718D"/>
    <w:rsid w:val="006041BE"/>
    <w:rsid w:val="006043C7"/>
    <w:rsid w:val="00610159"/>
    <w:rsid w:val="00624B52"/>
    <w:rsid w:val="00626914"/>
    <w:rsid w:val="00631DF4"/>
    <w:rsid w:val="00634175"/>
    <w:rsid w:val="006408AC"/>
    <w:rsid w:val="006511B6"/>
    <w:rsid w:val="00652742"/>
    <w:rsid w:val="00656238"/>
    <w:rsid w:val="00657FF8"/>
    <w:rsid w:val="00670D99"/>
    <w:rsid w:val="00670E2B"/>
    <w:rsid w:val="006734BB"/>
    <w:rsid w:val="00681A34"/>
    <w:rsid w:val="006821EB"/>
    <w:rsid w:val="006B2286"/>
    <w:rsid w:val="006B56BB"/>
    <w:rsid w:val="006C027C"/>
    <w:rsid w:val="006C1EBF"/>
    <w:rsid w:val="006C77A8"/>
    <w:rsid w:val="006D4098"/>
    <w:rsid w:val="006D7681"/>
    <w:rsid w:val="006D7B2E"/>
    <w:rsid w:val="006E02EA"/>
    <w:rsid w:val="006E0968"/>
    <w:rsid w:val="006E2AF6"/>
    <w:rsid w:val="006E596C"/>
    <w:rsid w:val="006F1DCC"/>
    <w:rsid w:val="006F51E4"/>
    <w:rsid w:val="00701275"/>
    <w:rsid w:val="00707A50"/>
    <w:rsid w:val="00707E76"/>
    <w:rsid w:val="00707F56"/>
    <w:rsid w:val="00711226"/>
    <w:rsid w:val="00713558"/>
    <w:rsid w:val="00720D08"/>
    <w:rsid w:val="00722196"/>
    <w:rsid w:val="007263B9"/>
    <w:rsid w:val="007334F8"/>
    <w:rsid w:val="007339CD"/>
    <w:rsid w:val="007359D8"/>
    <w:rsid w:val="007362D4"/>
    <w:rsid w:val="00745222"/>
    <w:rsid w:val="00751A23"/>
    <w:rsid w:val="00760BAC"/>
    <w:rsid w:val="0076214C"/>
    <w:rsid w:val="007635BF"/>
    <w:rsid w:val="0076672A"/>
    <w:rsid w:val="00775E45"/>
    <w:rsid w:val="00776E74"/>
    <w:rsid w:val="00780D76"/>
    <w:rsid w:val="00785169"/>
    <w:rsid w:val="007954AB"/>
    <w:rsid w:val="007A14C5"/>
    <w:rsid w:val="007A3E38"/>
    <w:rsid w:val="007A4A10"/>
    <w:rsid w:val="007A6A6A"/>
    <w:rsid w:val="007B1760"/>
    <w:rsid w:val="007C6D9C"/>
    <w:rsid w:val="007C7DDB"/>
    <w:rsid w:val="007D0DC1"/>
    <w:rsid w:val="007D2CC7"/>
    <w:rsid w:val="007D673D"/>
    <w:rsid w:val="007F2220"/>
    <w:rsid w:val="007F4B3E"/>
    <w:rsid w:val="007F5730"/>
    <w:rsid w:val="007F588A"/>
    <w:rsid w:val="0080104E"/>
    <w:rsid w:val="0081000D"/>
    <w:rsid w:val="008127AF"/>
    <w:rsid w:val="00812B46"/>
    <w:rsid w:val="00815700"/>
    <w:rsid w:val="00817B70"/>
    <w:rsid w:val="00822E32"/>
    <w:rsid w:val="008264EB"/>
    <w:rsid w:val="00826B8F"/>
    <w:rsid w:val="00831E8A"/>
    <w:rsid w:val="00835C76"/>
    <w:rsid w:val="00841111"/>
    <w:rsid w:val="0084133D"/>
    <w:rsid w:val="00842C9C"/>
    <w:rsid w:val="00843049"/>
    <w:rsid w:val="00843D0E"/>
    <w:rsid w:val="00844DC4"/>
    <w:rsid w:val="0085209B"/>
    <w:rsid w:val="00852777"/>
    <w:rsid w:val="008552E6"/>
    <w:rsid w:val="00856B66"/>
    <w:rsid w:val="00861A5F"/>
    <w:rsid w:val="008644AD"/>
    <w:rsid w:val="00865735"/>
    <w:rsid w:val="00865DDB"/>
    <w:rsid w:val="00867538"/>
    <w:rsid w:val="00873D90"/>
    <w:rsid w:val="00873FC8"/>
    <w:rsid w:val="00877561"/>
    <w:rsid w:val="00884C63"/>
    <w:rsid w:val="00885908"/>
    <w:rsid w:val="008864B7"/>
    <w:rsid w:val="0089677E"/>
    <w:rsid w:val="00896E8C"/>
    <w:rsid w:val="008A7438"/>
    <w:rsid w:val="008B1334"/>
    <w:rsid w:val="008B382E"/>
    <w:rsid w:val="008C0278"/>
    <w:rsid w:val="008C24E9"/>
    <w:rsid w:val="008D0533"/>
    <w:rsid w:val="008D42CB"/>
    <w:rsid w:val="008D48C9"/>
    <w:rsid w:val="008D5B79"/>
    <w:rsid w:val="008D6381"/>
    <w:rsid w:val="008E0C77"/>
    <w:rsid w:val="008E625F"/>
    <w:rsid w:val="008E6697"/>
    <w:rsid w:val="008F12E9"/>
    <w:rsid w:val="008F264D"/>
    <w:rsid w:val="009074E1"/>
    <w:rsid w:val="009112F7"/>
    <w:rsid w:val="009122AF"/>
    <w:rsid w:val="009127BC"/>
    <w:rsid w:val="00912D54"/>
    <w:rsid w:val="0091389F"/>
    <w:rsid w:val="009208F7"/>
    <w:rsid w:val="00922517"/>
    <w:rsid w:val="00922722"/>
    <w:rsid w:val="009261E6"/>
    <w:rsid w:val="009268E1"/>
    <w:rsid w:val="00931DE4"/>
    <w:rsid w:val="00931DE6"/>
    <w:rsid w:val="009425D2"/>
    <w:rsid w:val="00945E7F"/>
    <w:rsid w:val="00950CF4"/>
    <w:rsid w:val="009557C1"/>
    <w:rsid w:val="00960D6E"/>
    <w:rsid w:val="00967D34"/>
    <w:rsid w:val="00972BC1"/>
    <w:rsid w:val="00974B59"/>
    <w:rsid w:val="0098340B"/>
    <w:rsid w:val="009859A2"/>
    <w:rsid w:val="00986830"/>
    <w:rsid w:val="009924C3"/>
    <w:rsid w:val="00993102"/>
    <w:rsid w:val="00993A38"/>
    <w:rsid w:val="00996430"/>
    <w:rsid w:val="009A52A0"/>
    <w:rsid w:val="009A72A2"/>
    <w:rsid w:val="009A79A5"/>
    <w:rsid w:val="009B0C3B"/>
    <w:rsid w:val="009B1266"/>
    <w:rsid w:val="009B6057"/>
    <w:rsid w:val="009B6380"/>
    <w:rsid w:val="009C4A39"/>
    <w:rsid w:val="009C6F10"/>
    <w:rsid w:val="009D148F"/>
    <w:rsid w:val="009D25BF"/>
    <w:rsid w:val="009D3D70"/>
    <w:rsid w:val="009E6170"/>
    <w:rsid w:val="009E6F7E"/>
    <w:rsid w:val="009E7A57"/>
    <w:rsid w:val="009F4F5B"/>
    <w:rsid w:val="009F4F6A"/>
    <w:rsid w:val="00A04084"/>
    <w:rsid w:val="00A0734C"/>
    <w:rsid w:val="00A10CB9"/>
    <w:rsid w:val="00A10DE8"/>
    <w:rsid w:val="00A16E36"/>
    <w:rsid w:val="00A1700C"/>
    <w:rsid w:val="00A24961"/>
    <w:rsid w:val="00A24B10"/>
    <w:rsid w:val="00A272C4"/>
    <w:rsid w:val="00A2769A"/>
    <w:rsid w:val="00A30E9B"/>
    <w:rsid w:val="00A40FC7"/>
    <w:rsid w:val="00A4512D"/>
    <w:rsid w:val="00A473DB"/>
    <w:rsid w:val="00A50244"/>
    <w:rsid w:val="00A56F17"/>
    <w:rsid w:val="00A627D7"/>
    <w:rsid w:val="00A656C7"/>
    <w:rsid w:val="00A705AF"/>
    <w:rsid w:val="00A72454"/>
    <w:rsid w:val="00A77696"/>
    <w:rsid w:val="00A80557"/>
    <w:rsid w:val="00A81D33"/>
    <w:rsid w:val="00A90E6C"/>
    <w:rsid w:val="00A930AE"/>
    <w:rsid w:val="00AA1A95"/>
    <w:rsid w:val="00AA260F"/>
    <w:rsid w:val="00AA592D"/>
    <w:rsid w:val="00AA763F"/>
    <w:rsid w:val="00AB0067"/>
    <w:rsid w:val="00AB1EE7"/>
    <w:rsid w:val="00AB4B37"/>
    <w:rsid w:val="00AB5762"/>
    <w:rsid w:val="00AC0C70"/>
    <w:rsid w:val="00AC2679"/>
    <w:rsid w:val="00AC4BE4"/>
    <w:rsid w:val="00AC6BF9"/>
    <w:rsid w:val="00AD05E6"/>
    <w:rsid w:val="00AD0D3F"/>
    <w:rsid w:val="00AE1D7D"/>
    <w:rsid w:val="00AE2A8B"/>
    <w:rsid w:val="00AE3F64"/>
    <w:rsid w:val="00AE67B0"/>
    <w:rsid w:val="00AF7386"/>
    <w:rsid w:val="00AF7934"/>
    <w:rsid w:val="00B00B81"/>
    <w:rsid w:val="00B04580"/>
    <w:rsid w:val="00B04B09"/>
    <w:rsid w:val="00B15EDD"/>
    <w:rsid w:val="00B16A51"/>
    <w:rsid w:val="00B25440"/>
    <w:rsid w:val="00B32222"/>
    <w:rsid w:val="00B35847"/>
    <w:rsid w:val="00B3618D"/>
    <w:rsid w:val="00B36233"/>
    <w:rsid w:val="00B42851"/>
    <w:rsid w:val="00B45AC7"/>
    <w:rsid w:val="00B50880"/>
    <w:rsid w:val="00B51E77"/>
    <w:rsid w:val="00B5372F"/>
    <w:rsid w:val="00B5628E"/>
    <w:rsid w:val="00B61129"/>
    <w:rsid w:val="00B6301D"/>
    <w:rsid w:val="00B67E7F"/>
    <w:rsid w:val="00B7222E"/>
    <w:rsid w:val="00B75A04"/>
    <w:rsid w:val="00B80BCA"/>
    <w:rsid w:val="00B839B2"/>
    <w:rsid w:val="00B94252"/>
    <w:rsid w:val="00B94828"/>
    <w:rsid w:val="00B9715A"/>
    <w:rsid w:val="00BA14BE"/>
    <w:rsid w:val="00BA2732"/>
    <w:rsid w:val="00BA293D"/>
    <w:rsid w:val="00BA49BC"/>
    <w:rsid w:val="00BA56B7"/>
    <w:rsid w:val="00BA70AB"/>
    <w:rsid w:val="00BA7A1E"/>
    <w:rsid w:val="00BA7CA9"/>
    <w:rsid w:val="00BB2F6C"/>
    <w:rsid w:val="00BB3875"/>
    <w:rsid w:val="00BB5860"/>
    <w:rsid w:val="00BB6AAD"/>
    <w:rsid w:val="00BC4A19"/>
    <w:rsid w:val="00BC4E6D"/>
    <w:rsid w:val="00BD0617"/>
    <w:rsid w:val="00BD2E9B"/>
    <w:rsid w:val="00BD394C"/>
    <w:rsid w:val="00BE35EF"/>
    <w:rsid w:val="00BE556B"/>
    <w:rsid w:val="00BF3C49"/>
    <w:rsid w:val="00C00930"/>
    <w:rsid w:val="00C060AD"/>
    <w:rsid w:val="00C0670D"/>
    <w:rsid w:val="00C113BF"/>
    <w:rsid w:val="00C2176E"/>
    <w:rsid w:val="00C23430"/>
    <w:rsid w:val="00C27D67"/>
    <w:rsid w:val="00C4631F"/>
    <w:rsid w:val="00C50E16"/>
    <w:rsid w:val="00C537D0"/>
    <w:rsid w:val="00C55258"/>
    <w:rsid w:val="00C552A3"/>
    <w:rsid w:val="00C66BFB"/>
    <w:rsid w:val="00C80A9D"/>
    <w:rsid w:val="00C82EEB"/>
    <w:rsid w:val="00C86FB6"/>
    <w:rsid w:val="00C93879"/>
    <w:rsid w:val="00C971DC"/>
    <w:rsid w:val="00CA16B7"/>
    <w:rsid w:val="00CA4BE3"/>
    <w:rsid w:val="00CA62AE"/>
    <w:rsid w:val="00CA79CF"/>
    <w:rsid w:val="00CB3720"/>
    <w:rsid w:val="00CB5B1A"/>
    <w:rsid w:val="00CB7202"/>
    <w:rsid w:val="00CC220B"/>
    <w:rsid w:val="00CC4523"/>
    <w:rsid w:val="00CC5A45"/>
    <w:rsid w:val="00CC5C43"/>
    <w:rsid w:val="00CD02AE"/>
    <w:rsid w:val="00CD2A4F"/>
    <w:rsid w:val="00CD79CA"/>
    <w:rsid w:val="00CE03CA"/>
    <w:rsid w:val="00CE0610"/>
    <w:rsid w:val="00CE22F1"/>
    <w:rsid w:val="00CE50F2"/>
    <w:rsid w:val="00CE6502"/>
    <w:rsid w:val="00CF14A6"/>
    <w:rsid w:val="00CF4510"/>
    <w:rsid w:val="00CF7D3C"/>
    <w:rsid w:val="00D147EB"/>
    <w:rsid w:val="00D16CCD"/>
    <w:rsid w:val="00D225DE"/>
    <w:rsid w:val="00D34667"/>
    <w:rsid w:val="00D401E1"/>
    <w:rsid w:val="00D408B4"/>
    <w:rsid w:val="00D45D94"/>
    <w:rsid w:val="00D524C8"/>
    <w:rsid w:val="00D53030"/>
    <w:rsid w:val="00D54D7C"/>
    <w:rsid w:val="00D60E25"/>
    <w:rsid w:val="00D70E24"/>
    <w:rsid w:val="00D716B3"/>
    <w:rsid w:val="00D72B61"/>
    <w:rsid w:val="00D74A63"/>
    <w:rsid w:val="00D94016"/>
    <w:rsid w:val="00DA1531"/>
    <w:rsid w:val="00DA3D1D"/>
    <w:rsid w:val="00DB0138"/>
    <w:rsid w:val="00DB6286"/>
    <w:rsid w:val="00DB645F"/>
    <w:rsid w:val="00DB76E9"/>
    <w:rsid w:val="00DC0A67"/>
    <w:rsid w:val="00DC1D5E"/>
    <w:rsid w:val="00DC2313"/>
    <w:rsid w:val="00DC5220"/>
    <w:rsid w:val="00DC7910"/>
    <w:rsid w:val="00DD2061"/>
    <w:rsid w:val="00DD7DAB"/>
    <w:rsid w:val="00DE3355"/>
    <w:rsid w:val="00DF486F"/>
    <w:rsid w:val="00DF5B5B"/>
    <w:rsid w:val="00DF7619"/>
    <w:rsid w:val="00E02367"/>
    <w:rsid w:val="00E042D8"/>
    <w:rsid w:val="00E0603E"/>
    <w:rsid w:val="00E07EE7"/>
    <w:rsid w:val="00E1103B"/>
    <w:rsid w:val="00E12657"/>
    <w:rsid w:val="00E15393"/>
    <w:rsid w:val="00E17B44"/>
    <w:rsid w:val="00E27FEA"/>
    <w:rsid w:val="00E4086F"/>
    <w:rsid w:val="00E4293C"/>
    <w:rsid w:val="00E43B3C"/>
    <w:rsid w:val="00E50188"/>
    <w:rsid w:val="00E515CB"/>
    <w:rsid w:val="00E51901"/>
    <w:rsid w:val="00E52260"/>
    <w:rsid w:val="00E639B6"/>
    <w:rsid w:val="00E6434B"/>
    <w:rsid w:val="00E6463D"/>
    <w:rsid w:val="00E72E9B"/>
    <w:rsid w:val="00E849DA"/>
    <w:rsid w:val="00E911F2"/>
    <w:rsid w:val="00E9462E"/>
    <w:rsid w:val="00EA4624"/>
    <w:rsid w:val="00EA470E"/>
    <w:rsid w:val="00EA47A7"/>
    <w:rsid w:val="00EA57EB"/>
    <w:rsid w:val="00EB3226"/>
    <w:rsid w:val="00EC213A"/>
    <w:rsid w:val="00EC2A09"/>
    <w:rsid w:val="00EC4F94"/>
    <w:rsid w:val="00EC6603"/>
    <w:rsid w:val="00EC7744"/>
    <w:rsid w:val="00ED0DAD"/>
    <w:rsid w:val="00ED0F46"/>
    <w:rsid w:val="00ED2373"/>
    <w:rsid w:val="00EE3E8A"/>
    <w:rsid w:val="00EF6ECA"/>
    <w:rsid w:val="00F024E1"/>
    <w:rsid w:val="00F06C10"/>
    <w:rsid w:val="00F07349"/>
    <w:rsid w:val="00F1096F"/>
    <w:rsid w:val="00F12589"/>
    <w:rsid w:val="00F12595"/>
    <w:rsid w:val="00F134D9"/>
    <w:rsid w:val="00F1403D"/>
    <w:rsid w:val="00F1463F"/>
    <w:rsid w:val="00F21302"/>
    <w:rsid w:val="00F2485B"/>
    <w:rsid w:val="00F321DE"/>
    <w:rsid w:val="00F33777"/>
    <w:rsid w:val="00F40648"/>
    <w:rsid w:val="00F40EE8"/>
    <w:rsid w:val="00F47DA2"/>
    <w:rsid w:val="00F519FC"/>
    <w:rsid w:val="00F6239D"/>
    <w:rsid w:val="00F715D2"/>
    <w:rsid w:val="00F721AB"/>
    <w:rsid w:val="00F7274F"/>
    <w:rsid w:val="00F76FA8"/>
    <w:rsid w:val="00F810EB"/>
    <w:rsid w:val="00F821D3"/>
    <w:rsid w:val="00F86F85"/>
    <w:rsid w:val="00F93F08"/>
    <w:rsid w:val="00F94CED"/>
    <w:rsid w:val="00FA2CEE"/>
    <w:rsid w:val="00FA318C"/>
    <w:rsid w:val="00FA45B4"/>
    <w:rsid w:val="00FB6F92"/>
    <w:rsid w:val="00FC026E"/>
    <w:rsid w:val="00FC5124"/>
    <w:rsid w:val="00FC7DF3"/>
    <w:rsid w:val="00FD4731"/>
    <w:rsid w:val="00FF0AB0"/>
    <w:rsid w:val="00FF28AC"/>
    <w:rsid w:val="00FF7815"/>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60F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070BE0"/>
    <w:pPr>
      <w:spacing w:before="180" w:after="120" w:line="259" w:lineRule="auto"/>
    </w:pPr>
    <w:rPr>
      <w:rFonts w:ascii="Arial" w:hAnsi="Arial"/>
      <w:color w:val="000000" w:themeColor="text1"/>
      <w:sz w:val="21"/>
      <w:szCs w:val="24"/>
      <w:lang w:eastAsia="en-US"/>
    </w:rPr>
  </w:style>
  <w:style w:type="paragraph" w:styleId="Heading1">
    <w:name w:val="heading 1"/>
    <w:next w:val="Normal"/>
    <w:link w:val="Heading1Char"/>
    <w:qFormat/>
    <w:rsid w:val="00070BE0"/>
    <w:pPr>
      <w:keepNext/>
      <w:spacing w:before="240" w:after="60"/>
      <w:outlineLvl w:val="0"/>
    </w:pPr>
    <w:rPr>
      <w:rFonts w:ascii="Arial" w:hAnsi="Arial" w:cs="Arial"/>
      <w:b/>
      <w:bCs/>
      <w:color w:val="50748A"/>
      <w:kern w:val="28"/>
      <w:sz w:val="44"/>
      <w:szCs w:val="36"/>
      <w:lang w:eastAsia="en-US"/>
    </w:rPr>
  </w:style>
  <w:style w:type="paragraph" w:styleId="Heading2">
    <w:name w:val="heading 2"/>
    <w:next w:val="Normal"/>
    <w:link w:val="Heading2Char"/>
    <w:qFormat/>
    <w:rsid w:val="00070BE0"/>
    <w:pPr>
      <w:keepNext/>
      <w:spacing w:before="240" w:after="60"/>
      <w:outlineLvl w:val="1"/>
    </w:pPr>
    <w:rPr>
      <w:rFonts w:ascii="Arial" w:hAnsi="Arial" w:cs="Arial"/>
      <w:b/>
      <w:bCs/>
      <w:iCs/>
      <w:color w:val="50748A"/>
      <w:sz w:val="36"/>
      <w:szCs w:val="28"/>
      <w:lang w:eastAsia="en-US"/>
    </w:rPr>
  </w:style>
  <w:style w:type="paragraph" w:styleId="Heading3">
    <w:name w:val="heading 3"/>
    <w:next w:val="Normal"/>
    <w:link w:val="Heading3Char"/>
    <w:qFormat/>
    <w:rsid w:val="00070BE0"/>
    <w:pPr>
      <w:keepNext/>
      <w:spacing w:before="180" w:after="60"/>
      <w:outlineLvl w:val="2"/>
    </w:pPr>
    <w:rPr>
      <w:rFonts w:ascii="Arial" w:hAnsi="Arial" w:cs="Arial"/>
      <w:bCs/>
      <w:color w:val="50748A"/>
      <w:sz w:val="32"/>
      <w:szCs w:val="26"/>
      <w:lang w:eastAsia="en-US"/>
    </w:rPr>
  </w:style>
  <w:style w:type="paragraph" w:styleId="Heading4">
    <w:name w:val="heading 4"/>
    <w:next w:val="Normal"/>
    <w:qFormat/>
    <w:rsid w:val="00070BE0"/>
    <w:pPr>
      <w:keepNext/>
      <w:spacing w:before="240" w:after="60"/>
      <w:outlineLvl w:val="3"/>
    </w:pPr>
    <w:rPr>
      <w:rFonts w:ascii="Arial" w:hAnsi="Arial"/>
      <w:bCs/>
      <w:i/>
      <w:color w:val="50748A"/>
      <w:sz w:val="28"/>
      <w:szCs w:val="28"/>
      <w:lang w:eastAsia="en-US"/>
    </w:rPr>
  </w:style>
  <w:style w:type="paragraph" w:styleId="Heading5">
    <w:name w:val="heading 5"/>
    <w:next w:val="Normal"/>
    <w:rsid w:val="00070BE0"/>
    <w:pPr>
      <w:keepNext/>
      <w:spacing w:before="240" w:after="60"/>
      <w:outlineLvl w:val="4"/>
    </w:pPr>
    <w:rPr>
      <w:rFonts w:ascii="Arial" w:hAnsi="Arial"/>
      <w:bCs/>
      <w:iCs/>
      <w:color w:val="7B9EB3"/>
      <w:sz w:val="24"/>
      <w:szCs w:val="26"/>
      <w:lang w:eastAsia="en-US"/>
    </w:rPr>
  </w:style>
  <w:style w:type="paragraph" w:styleId="Heading6">
    <w:name w:val="heading 6"/>
    <w:next w:val="Normal"/>
    <w:rsid w:val="002703A0"/>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2703A0"/>
    <w:pPr>
      <w:keepNext/>
      <w:keepLines/>
      <w:spacing w:before="40"/>
      <w:outlineLvl w:val="6"/>
    </w:pPr>
    <w:rPr>
      <w:rFonts w:ascii="Arial" w:eastAsiaTheme="majorEastAsia" w:hAnsi="Arial" w:cstheme="majorBidi"/>
      <w:b/>
      <w:i/>
      <w:iCs/>
      <w:color w:val="13053A"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2703A0"/>
    <w:rPr>
      <w:i/>
      <w:iCs/>
    </w:rPr>
  </w:style>
  <w:style w:type="character" w:styleId="Strong">
    <w:name w:val="Strong"/>
    <w:basedOn w:val="DefaultParagraphFont"/>
    <w:rsid w:val="002703A0"/>
    <w:rPr>
      <w:b/>
      <w:bCs/>
    </w:rPr>
  </w:style>
  <w:style w:type="paragraph" w:styleId="Subtitle">
    <w:name w:val="Subtitle"/>
    <w:next w:val="Normal"/>
    <w:link w:val="SubtitleChar"/>
    <w:qFormat/>
    <w:rsid w:val="002703A0"/>
    <w:pPr>
      <w:numPr>
        <w:ilvl w:val="1"/>
      </w:numPr>
      <w:spacing w:before="120" w:after="60"/>
    </w:pPr>
    <w:rPr>
      <w:rFonts w:ascii="Arial" w:eastAsiaTheme="majorEastAsia" w:hAnsi="Arial" w:cstheme="majorBidi"/>
      <w:iCs/>
      <w:color w:val="FFFFFF" w:themeColor="background1"/>
      <w:spacing w:val="15"/>
      <w:sz w:val="40"/>
      <w:szCs w:val="24"/>
      <w:lang w:eastAsia="en-US"/>
    </w:rPr>
  </w:style>
  <w:style w:type="character" w:customStyle="1" w:styleId="SubtitleChar">
    <w:name w:val="Subtitle Char"/>
    <w:basedOn w:val="DefaultParagraphFont"/>
    <w:link w:val="Subtitle"/>
    <w:rsid w:val="002703A0"/>
    <w:rPr>
      <w:rFonts w:ascii="Arial" w:eastAsiaTheme="majorEastAsia" w:hAnsi="Arial" w:cstheme="majorBidi"/>
      <w:iCs/>
      <w:color w:val="FFFFFF" w:themeColor="background1"/>
      <w:spacing w:val="15"/>
      <w:sz w:val="40"/>
      <w:szCs w:val="24"/>
      <w:lang w:eastAsia="en-US"/>
    </w:rPr>
  </w:style>
  <w:style w:type="paragraph" w:styleId="Title">
    <w:name w:val="Title"/>
    <w:basedOn w:val="Normal"/>
    <w:next w:val="Normal"/>
    <w:link w:val="TitleChar"/>
    <w:qFormat/>
    <w:rsid w:val="00C552A3"/>
    <w:pPr>
      <w:spacing w:line="320" w:lineRule="exact"/>
    </w:pPr>
    <w:rPr>
      <w:rFonts w:cs="Arial"/>
      <w:bCs/>
      <w:spacing w:val="-8"/>
      <w:kern w:val="28"/>
      <w:sz w:val="36"/>
      <w:szCs w:val="36"/>
    </w:rPr>
  </w:style>
  <w:style w:type="character" w:customStyle="1" w:styleId="TitleChar">
    <w:name w:val="Title Char"/>
    <w:basedOn w:val="DefaultParagraphFont"/>
    <w:link w:val="Title"/>
    <w:rsid w:val="00C552A3"/>
    <w:rPr>
      <w:rFonts w:ascii="Arial" w:hAnsi="Arial" w:cs="Arial"/>
      <w:bCs/>
      <w:color w:val="000000" w:themeColor="text1"/>
      <w:spacing w:val="-8"/>
      <w:kern w:val="28"/>
      <w:sz w:val="36"/>
      <w:szCs w:val="36"/>
      <w:lang w:eastAsia="en-US"/>
    </w:rPr>
  </w:style>
  <w:style w:type="paragraph" w:styleId="NoSpacing">
    <w:name w:val="No Spacing"/>
    <w:uiPriority w:val="1"/>
    <w:rsid w:val="002703A0"/>
    <w:rPr>
      <w:sz w:val="24"/>
      <w:szCs w:val="24"/>
      <w:lang w:eastAsia="en-US"/>
    </w:rPr>
  </w:style>
  <w:style w:type="character" w:styleId="SubtleEmphasis">
    <w:name w:val="Subtle Emphasis"/>
    <w:basedOn w:val="DefaultParagraphFont"/>
    <w:uiPriority w:val="19"/>
    <w:rsid w:val="002703A0"/>
    <w:rPr>
      <w:i/>
      <w:iCs/>
      <w:color w:val="808080" w:themeColor="text1" w:themeTint="7F"/>
    </w:rPr>
  </w:style>
  <w:style w:type="character" w:styleId="IntenseEmphasis">
    <w:name w:val="Intense Emphasis"/>
    <w:basedOn w:val="DefaultParagraphFont"/>
    <w:uiPriority w:val="21"/>
    <w:rsid w:val="00070BE0"/>
    <w:rPr>
      <w:rFonts w:ascii="Arial" w:hAnsi="Arial"/>
      <w:b/>
      <w:bCs/>
      <w:i/>
      <w:iCs/>
      <w:color w:val="50748A"/>
    </w:rPr>
  </w:style>
  <w:style w:type="paragraph" w:styleId="Quote">
    <w:name w:val="Quote"/>
    <w:next w:val="Normal"/>
    <w:link w:val="QuoteChar"/>
    <w:uiPriority w:val="29"/>
    <w:qFormat/>
    <w:rsid w:val="002703A0"/>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2703A0"/>
    <w:rPr>
      <w:rFonts w:ascii="Arial" w:hAnsi="Arial"/>
      <w:i/>
      <w:iCs/>
      <w:color w:val="000000" w:themeColor="text1"/>
      <w:sz w:val="22"/>
      <w:szCs w:val="24"/>
      <w:lang w:eastAsia="en-US"/>
    </w:rPr>
  </w:style>
  <w:style w:type="paragraph" w:styleId="IntenseQuote">
    <w:name w:val="Intense Quote"/>
    <w:next w:val="Normal"/>
    <w:link w:val="IntenseQuoteChar"/>
    <w:uiPriority w:val="30"/>
    <w:rsid w:val="00070BE0"/>
    <w:pPr>
      <w:pBdr>
        <w:bottom w:val="single" w:sz="4" w:space="4" w:color="50748A"/>
      </w:pBdr>
      <w:spacing w:before="200" w:after="280"/>
      <w:ind w:left="936" w:right="936"/>
    </w:pPr>
    <w:rPr>
      <w:rFonts w:ascii="Arial" w:hAnsi="Arial"/>
      <w:b/>
      <w:bCs/>
      <w:i/>
      <w:iCs/>
      <w:color w:val="7B9EB3"/>
      <w:sz w:val="22"/>
      <w:szCs w:val="24"/>
      <w:lang w:eastAsia="en-US"/>
    </w:rPr>
  </w:style>
  <w:style w:type="character" w:customStyle="1" w:styleId="IntenseQuoteChar">
    <w:name w:val="Intense Quote Char"/>
    <w:basedOn w:val="DefaultParagraphFont"/>
    <w:link w:val="IntenseQuote"/>
    <w:uiPriority w:val="30"/>
    <w:rsid w:val="00070BE0"/>
    <w:rPr>
      <w:rFonts w:ascii="Arial" w:hAnsi="Arial"/>
      <w:b/>
      <w:bCs/>
      <w:i/>
      <w:iCs/>
      <w:color w:val="7B9EB3"/>
      <w:sz w:val="22"/>
      <w:szCs w:val="24"/>
      <w:lang w:eastAsia="en-US"/>
    </w:rPr>
  </w:style>
  <w:style w:type="character" w:styleId="SubtleReference">
    <w:name w:val="Subtle Reference"/>
    <w:basedOn w:val="DefaultParagraphFont"/>
    <w:uiPriority w:val="31"/>
    <w:rsid w:val="00070BE0"/>
    <w:rPr>
      <w:rFonts w:ascii="Arial" w:hAnsi="Arial"/>
      <w:smallCaps/>
      <w:color w:val="50748A"/>
      <w:u w:val="single"/>
    </w:rPr>
  </w:style>
  <w:style w:type="character" w:styleId="IntenseReference">
    <w:name w:val="Intense Reference"/>
    <w:basedOn w:val="DefaultParagraphFont"/>
    <w:uiPriority w:val="32"/>
    <w:rsid w:val="00070BE0"/>
    <w:rPr>
      <w:b/>
      <w:bCs/>
      <w:i/>
      <w:smallCaps/>
      <w:color w:val="50748A"/>
      <w:spacing w:val="5"/>
      <w:u w:val="none"/>
    </w:rPr>
  </w:style>
  <w:style w:type="paragraph" w:styleId="ListBullet2">
    <w:name w:val="List Bullet 2"/>
    <w:basedOn w:val="ListNumber2"/>
    <w:rsid w:val="00852777"/>
    <w:pPr>
      <w:numPr>
        <w:numId w:val="2"/>
      </w:numPr>
    </w:pPr>
  </w:style>
  <w:style w:type="paragraph" w:styleId="ListNumber2">
    <w:name w:val="List Number 2"/>
    <w:basedOn w:val="ListBullet"/>
    <w:qFormat/>
    <w:rsid w:val="001A0639"/>
  </w:style>
  <w:style w:type="paragraph" w:styleId="ListBullet">
    <w:name w:val="List Bullet"/>
    <w:basedOn w:val="Normal"/>
    <w:qFormat/>
    <w:rsid w:val="00852777"/>
    <w:pPr>
      <w:numPr>
        <w:numId w:val="1"/>
      </w:numPr>
      <w:tabs>
        <w:tab w:val="left" w:pos="340"/>
        <w:tab w:val="left" w:pos="680"/>
      </w:tabs>
      <w:spacing w:before="60" w:after="60"/>
    </w:pPr>
  </w:style>
  <w:style w:type="paragraph" w:styleId="ListParagraph">
    <w:name w:val="List Paragraph"/>
    <w:basedOn w:val="Normal"/>
    <w:uiPriority w:val="34"/>
    <w:qFormat/>
    <w:rsid w:val="002703A0"/>
    <w:pPr>
      <w:ind w:left="720"/>
      <w:contextualSpacing/>
    </w:pPr>
  </w:style>
  <w:style w:type="paragraph" w:styleId="ListNumber3">
    <w:name w:val="List Number 3"/>
    <w:aliases w:val="List Third Level"/>
    <w:basedOn w:val="ListBullet2"/>
    <w:rsid w:val="004918B7"/>
    <w:pPr>
      <w:tabs>
        <w:tab w:val="clear" w:pos="680"/>
        <w:tab w:val="left" w:pos="851"/>
      </w:tabs>
      <w:ind w:left="709" w:hanging="283"/>
    </w:pPr>
  </w:style>
  <w:style w:type="paragraph" w:customStyle="1" w:styleId="ImageTitle">
    <w:name w:val="Image Title"/>
    <w:locked/>
    <w:rsid w:val="00070BE0"/>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70BE0"/>
    <w:rPr>
      <w:rFonts w:cs="Tahoma"/>
      <w:sz w:val="16"/>
      <w:szCs w:val="16"/>
    </w:rPr>
  </w:style>
  <w:style w:type="character" w:customStyle="1" w:styleId="BalloonTextChar">
    <w:name w:val="Balloon Text Char"/>
    <w:basedOn w:val="DefaultParagraphFont"/>
    <w:link w:val="BalloonText"/>
    <w:rsid w:val="00070BE0"/>
    <w:rPr>
      <w:rFonts w:ascii="Arial" w:hAnsi="Arial" w:cs="Tahoma"/>
      <w:color w:val="000000" w:themeColor="text1"/>
      <w:sz w:val="16"/>
      <w:szCs w:val="16"/>
      <w:lang w:eastAsia="en-US"/>
    </w:rPr>
  </w:style>
  <w:style w:type="table" w:styleId="TableGrid">
    <w:name w:val="Table Grid"/>
    <w:basedOn w:val="TableNormal"/>
    <w:locked/>
    <w:rsid w:val="002703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2703A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2703A0"/>
    <w:pPr>
      <w:spacing w:before="60" w:after="60"/>
    </w:pPr>
    <w:rPr>
      <w:rFonts w:ascii="Arial" w:hAnsi="Arial"/>
      <w:color w:val="000000" w:themeColor="text1"/>
      <w:szCs w:val="24"/>
      <w:lang w:eastAsia="en-US"/>
    </w:rPr>
  </w:style>
  <w:style w:type="table" w:styleId="TableColumns2">
    <w:name w:val="Table Columns 2"/>
    <w:basedOn w:val="TableNormal"/>
    <w:locked/>
    <w:rsid w:val="002703A0"/>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2703A0"/>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2703A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2703A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2703A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2703A0"/>
    <w:pPr>
      <w:spacing w:before="120" w:after="120"/>
    </w:pPr>
    <w:rPr>
      <w:rFonts w:ascii="DINOT-Bold" w:hAnsi="DINOT-Bold"/>
      <w:color w:val="000000" w:themeColor="text1"/>
      <w:sz w:val="22"/>
      <w:szCs w:val="24"/>
      <w:lang w:val="en-US" w:eastAsia="en-US"/>
    </w:rPr>
  </w:style>
  <w:style w:type="paragraph" w:styleId="Header">
    <w:name w:val="header"/>
    <w:link w:val="HeaderChar"/>
    <w:qFormat/>
    <w:rsid w:val="002703A0"/>
    <w:pPr>
      <w:tabs>
        <w:tab w:val="center" w:pos="4513"/>
        <w:tab w:val="right" w:pos="9026"/>
      </w:tabs>
    </w:pPr>
    <w:rPr>
      <w:rFonts w:ascii="DINOT-Light" w:hAnsi="DINOT-Light"/>
      <w:sz w:val="22"/>
      <w:szCs w:val="24"/>
      <w:lang w:eastAsia="en-US"/>
    </w:rPr>
  </w:style>
  <w:style w:type="character" w:customStyle="1" w:styleId="HeaderChar">
    <w:name w:val="Header Char"/>
    <w:basedOn w:val="DefaultParagraphFont"/>
    <w:link w:val="Header"/>
    <w:rsid w:val="002703A0"/>
    <w:rPr>
      <w:rFonts w:ascii="DINOT-Light" w:hAnsi="DINOT-Light"/>
      <w:sz w:val="22"/>
      <w:szCs w:val="24"/>
      <w:lang w:eastAsia="en-US"/>
    </w:rPr>
  </w:style>
  <w:style w:type="paragraph" w:styleId="Footer">
    <w:name w:val="footer"/>
    <w:link w:val="FooterChar"/>
    <w:uiPriority w:val="99"/>
    <w:qFormat/>
    <w:rsid w:val="00070BE0"/>
    <w:pPr>
      <w:pBdr>
        <w:top w:val="single" w:sz="6" w:space="1" w:color="50748A"/>
      </w:pBd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070BE0"/>
    <w:rPr>
      <w:rFonts w:ascii="Arial" w:hAnsi="Arial"/>
      <w:szCs w:val="24"/>
      <w:lang w:eastAsia="en-US"/>
    </w:rPr>
  </w:style>
  <w:style w:type="paragraph" w:customStyle="1" w:styleId="TableHeaderWhite">
    <w:name w:val="Table Header White"/>
    <w:basedOn w:val="Normal"/>
    <w:next w:val="Tabletextleft"/>
    <w:qFormat/>
    <w:rsid w:val="008552E6"/>
    <w:pPr>
      <w:spacing w:before="80" w:after="80"/>
    </w:pPr>
    <w:rPr>
      <w:rFonts w:eastAsia="Cambria"/>
      <w:b/>
      <w:color w:val="FFFFFF" w:themeColor="background1"/>
      <w:szCs w:val="22"/>
      <w:lang w:val="en-US"/>
    </w:rPr>
  </w:style>
  <w:style w:type="table" w:styleId="TableGrid7">
    <w:name w:val="Table Grid 7"/>
    <w:basedOn w:val="TableNormal"/>
    <w:locked/>
    <w:rsid w:val="002703A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2703A0"/>
    <w:pPr>
      <w:spacing w:before="60"/>
    </w:pPr>
    <w:rPr>
      <w:rFonts w:cs="Arial"/>
      <w:b/>
      <w:sz w:val="20"/>
    </w:rPr>
  </w:style>
  <w:style w:type="paragraph" w:customStyle="1" w:styleId="FigureTitle">
    <w:name w:val="Figure Title"/>
    <w:next w:val="Normal"/>
    <w:qFormat/>
    <w:rsid w:val="002703A0"/>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2703A0"/>
    <w:pPr>
      <w:spacing w:before="100" w:beforeAutospacing="1" w:after="100" w:afterAutospacing="1"/>
    </w:pPr>
    <w:rPr>
      <w:rFonts w:ascii="DINOT" w:hAnsi="DINOT"/>
      <w:sz w:val="24"/>
      <w:lang w:eastAsia="en-AU"/>
    </w:rPr>
  </w:style>
  <w:style w:type="paragraph" w:customStyle="1" w:styleId="Headertext">
    <w:name w:val="Header text"/>
    <w:rsid w:val="002703A0"/>
    <w:pPr>
      <w:jc w:val="right"/>
    </w:pPr>
    <w:rPr>
      <w:rFonts w:ascii="Arial" w:hAnsi="Arial"/>
      <w:szCs w:val="24"/>
      <w:lang w:eastAsia="en-US"/>
    </w:rPr>
  </w:style>
  <w:style w:type="character" w:styleId="Hyperlink">
    <w:name w:val="Hyperlink"/>
    <w:basedOn w:val="DefaultParagraphFont"/>
    <w:uiPriority w:val="99"/>
    <w:qFormat/>
    <w:rsid w:val="00070BE0"/>
    <w:rPr>
      <w:rFonts w:ascii="Arial" w:hAnsi="Arial"/>
      <w:color w:val="0000BF" w:themeColor="hyperlink"/>
      <w:u w:val="single"/>
    </w:rPr>
  </w:style>
  <w:style w:type="table" w:customStyle="1" w:styleId="PHNGreyTable">
    <w:name w:val="PHN Grey Table"/>
    <w:basedOn w:val="TableNormal"/>
    <w:uiPriority w:val="99"/>
    <w:rsid w:val="002703A0"/>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2703A0"/>
    <w:pPr>
      <w:numPr>
        <w:numId w:val="3"/>
      </w:numPr>
    </w:pPr>
    <w:rPr>
      <w:szCs w:val="20"/>
    </w:rPr>
  </w:style>
  <w:style w:type="paragraph" w:customStyle="1" w:styleId="Tablelistnumber">
    <w:name w:val="Table list number"/>
    <w:basedOn w:val="Tabletextleft"/>
    <w:qFormat/>
    <w:rsid w:val="002703A0"/>
    <w:pPr>
      <w:numPr>
        <w:numId w:val="4"/>
      </w:numPr>
    </w:pPr>
    <w:rPr>
      <w:bCs/>
      <w14:numSpacing w14:val="proportional"/>
    </w:rPr>
  </w:style>
  <w:style w:type="paragraph" w:customStyle="1" w:styleId="TableHeader">
    <w:name w:val="Table Header"/>
    <w:basedOn w:val="Normal"/>
    <w:next w:val="Tabletextleft"/>
    <w:qFormat/>
    <w:rsid w:val="002703A0"/>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2703A0"/>
    <w:rPr>
      <w:szCs w:val="32"/>
    </w:rPr>
  </w:style>
  <w:style w:type="paragraph" w:styleId="FootnoteText">
    <w:name w:val="footnote text"/>
    <w:link w:val="FootnoteTextChar"/>
    <w:rsid w:val="00070BE0"/>
    <w:rPr>
      <w:rFonts w:ascii="Arial" w:hAnsi="Arial"/>
      <w:lang w:eastAsia="en-US"/>
    </w:rPr>
  </w:style>
  <w:style w:type="character" w:customStyle="1" w:styleId="FootnoteTextChar">
    <w:name w:val="Footnote Text Char"/>
    <w:basedOn w:val="DefaultParagraphFont"/>
    <w:link w:val="FootnoteText"/>
    <w:rsid w:val="00070BE0"/>
    <w:rPr>
      <w:rFonts w:ascii="Arial" w:hAnsi="Arial"/>
      <w:lang w:eastAsia="en-US"/>
    </w:rPr>
  </w:style>
  <w:style w:type="paragraph" w:styleId="Caption">
    <w:name w:val="caption"/>
    <w:basedOn w:val="Normal"/>
    <w:next w:val="Normal"/>
    <w:unhideWhenUsed/>
    <w:rsid w:val="00070BE0"/>
    <w:pPr>
      <w:spacing w:after="200"/>
    </w:pPr>
    <w:rPr>
      <w:b/>
      <w:bCs/>
      <w:color w:val="50748A"/>
      <w:sz w:val="18"/>
      <w:szCs w:val="18"/>
    </w:rPr>
  </w:style>
  <w:style w:type="paragraph" w:customStyle="1" w:styleId="VisionBox">
    <w:name w:val="VisionBox"/>
    <w:basedOn w:val="Normal"/>
    <w:qFormat/>
    <w:rsid w:val="00552273"/>
    <w:pPr>
      <w:pBdr>
        <w:top w:val="single" w:sz="4" w:space="6" w:color="50748A"/>
        <w:bottom w:val="single" w:sz="4" w:space="10" w:color="50748A"/>
      </w:pBdr>
      <w:spacing w:before="360" w:after="240" w:line="340" w:lineRule="exact"/>
    </w:pPr>
    <w:rPr>
      <w:rFonts w:eastAsiaTheme="minorHAnsi"/>
      <w:color w:val="3C5768"/>
    </w:rPr>
  </w:style>
  <w:style w:type="paragraph" w:customStyle="1" w:styleId="Style1">
    <w:name w:val="Style1"/>
    <w:next w:val="Normal"/>
    <w:rsid w:val="002703A0"/>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852777"/>
    <w:pPr>
      <w:pBdr>
        <w:top w:val="single" w:sz="8" w:space="10" w:color="50748A"/>
        <w:left w:val="single" w:sz="4" w:space="14" w:color="F2F2F2" w:themeColor="background1" w:themeShade="F2"/>
        <w:bottom w:val="single" w:sz="8" w:space="10" w:color="50748A"/>
        <w:right w:val="single" w:sz="4" w:space="14" w:color="F2F2F2" w:themeColor="background1" w:themeShade="F2"/>
      </w:pBdr>
      <w:shd w:val="clear" w:color="auto" w:fill="E7EDF1"/>
      <w:spacing w:before="240" w:line="260" w:lineRule="auto"/>
      <w:ind w:left="227" w:right="227"/>
    </w:pPr>
    <w:rPr>
      <w:color w:val="3C5768"/>
    </w:rPr>
  </w:style>
  <w:style w:type="table" w:customStyle="1" w:styleId="DepartmentofHealthtable">
    <w:name w:val="Department of Health table"/>
    <w:basedOn w:val="TableNormal"/>
    <w:uiPriority w:val="99"/>
    <w:rsid w:val="002703A0"/>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2703A0"/>
    <w:rPr>
      <w:rFonts w:ascii="DINOT-Bold" w:hAnsi="DINOT-Bold"/>
      <w:color w:val="000000" w:themeColor="text1"/>
      <w:sz w:val="22"/>
      <w:szCs w:val="24"/>
      <w:lang w:val="en-US" w:eastAsia="en-US"/>
    </w:rPr>
  </w:style>
  <w:style w:type="paragraph" w:customStyle="1" w:styleId="IntroPara">
    <w:name w:val="Intro Para"/>
    <w:basedOn w:val="Normal"/>
    <w:next w:val="Normal"/>
    <w:qFormat/>
    <w:rsid w:val="00852777"/>
    <w:pPr>
      <w:spacing w:before="480" w:line="400" w:lineRule="exact"/>
    </w:pPr>
    <w:rPr>
      <w:color w:val="3C5768"/>
      <w:sz w:val="28"/>
    </w:rPr>
  </w:style>
  <w:style w:type="paragraph" w:customStyle="1" w:styleId="TableTextright">
    <w:name w:val="Table Text right"/>
    <w:basedOn w:val="Tabletextleft"/>
    <w:rsid w:val="002703A0"/>
    <w:pPr>
      <w:jc w:val="right"/>
    </w:pPr>
  </w:style>
  <w:style w:type="paragraph" w:customStyle="1" w:styleId="Tabletextright0">
    <w:name w:val="Table text right"/>
    <w:basedOn w:val="Tabletextleft"/>
    <w:rsid w:val="002703A0"/>
    <w:pPr>
      <w:jc w:val="right"/>
    </w:pPr>
  </w:style>
  <w:style w:type="paragraph" w:customStyle="1" w:styleId="Tabletextcentre">
    <w:name w:val="Table text centre"/>
    <w:basedOn w:val="Tabletextleft"/>
    <w:rsid w:val="002703A0"/>
    <w:pPr>
      <w:jc w:val="center"/>
    </w:pPr>
  </w:style>
  <w:style w:type="paragraph" w:customStyle="1" w:styleId="Boxheading">
    <w:name w:val="Box heading"/>
    <w:basedOn w:val="Boxtype"/>
    <w:qFormat/>
    <w:rsid w:val="00070BE0"/>
    <w:pPr>
      <w:pBdr>
        <w:top w:val="single" w:sz="6" w:space="10" w:color="50748A"/>
        <w:left w:val="single" w:sz="6" w:space="10" w:color="50748A"/>
        <w:bottom w:val="single" w:sz="6" w:space="10" w:color="50748A"/>
        <w:right w:val="single" w:sz="6" w:space="10" w:color="50748A"/>
      </w:pBdr>
      <w:spacing w:before="240"/>
    </w:pPr>
    <w:rPr>
      <w:rFonts w:cs="Times New Roman"/>
      <w:bCs/>
      <w:caps/>
      <w:color w:val="50748A"/>
      <w:szCs w:val="20"/>
    </w:rPr>
  </w:style>
  <w:style w:type="paragraph" w:customStyle="1" w:styleId="Boxtype">
    <w:name w:val="Box type"/>
    <w:next w:val="Normal"/>
    <w:qFormat/>
    <w:rsid w:val="00070BE0"/>
    <w:pPr>
      <w:pBdr>
        <w:top w:val="single" w:sz="6" w:space="10" w:color="270B75"/>
        <w:left w:val="single" w:sz="6" w:space="10" w:color="270B75"/>
        <w:bottom w:val="single" w:sz="6" w:space="10" w:color="270B75"/>
        <w:right w:val="single" w:sz="6" w:space="10" w:color="270B75"/>
      </w:pBdr>
      <w:spacing w:after="240" w:line="276" w:lineRule="auto"/>
      <w:ind w:left="227" w:right="227"/>
    </w:pPr>
    <w:rPr>
      <w:rFonts w:ascii="Arial" w:hAnsi="Arial" w:cs="Arial"/>
      <w:color w:val="000000" w:themeColor="text1"/>
      <w:sz w:val="21"/>
      <w:szCs w:val="24"/>
      <w:lang w:val="en" w:eastAsia="en-US"/>
    </w:rPr>
  </w:style>
  <w:style w:type="paragraph" w:customStyle="1" w:styleId="Footerrightpage">
    <w:name w:val="Footer right page"/>
    <w:basedOn w:val="Footer"/>
    <w:rsid w:val="00512BDD"/>
  </w:style>
  <w:style w:type="paragraph" w:customStyle="1" w:styleId="URL">
    <w:name w:val="URL"/>
    <w:basedOn w:val="Normal"/>
    <w:rsid w:val="002703A0"/>
    <w:pPr>
      <w:spacing w:before="3120"/>
      <w:jc w:val="center"/>
    </w:pPr>
    <w:rPr>
      <w:b/>
      <w:bCs/>
      <w:sz w:val="24"/>
      <w:szCs w:val="20"/>
    </w:rPr>
  </w:style>
  <w:style w:type="paragraph" w:styleId="BodyText">
    <w:name w:val="Body Text"/>
    <w:basedOn w:val="Normal"/>
    <w:link w:val="BodyTextChar"/>
    <w:semiHidden/>
    <w:unhideWhenUsed/>
    <w:rsid w:val="002703A0"/>
  </w:style>
  <w:style w:type="character" w:customStyle="1" w:styleId="BodyTextChar">
    <w:name w:val="Body Text Char"/>
    <w:basedOn w:val="DefaultParagraphFont"/>
    <w:link w:val="BodyText"/>
    <w:semiHidden/>
    <w:rsid w:val="002703A0"/>
    <w:rPr>
      <w:rFonts w:ascii="Arial" w:hAnsi="Arial"/>
      <w:color w:val="000000" w:themeColor="text1"/>
      <w:sz w:val="21"/>
      <w:szCs w:val="24"/>
      <w:lang w:eastAsia="en-US"/>
    </w:rPr>
  </w:style>
  <w:style w:type="character" w:customStyle="1" w:styleId="Heading7Char">
    <w:name w:val="Heading 7 Char"/>
    <w:basedOn w:val="DefaultParagraphFont"/>
    <w:link w:val="Heading7"/>
    <w:semiHidden/>
    <w:rsid w:val="002703A0"/>
    <w:rPr>
      <w:rFonts w:ascii="Arial" w:eastAsiaTheme="majorEastAsia" w:hAnsi="Arial" w:cstheme="majorBidi"/>
      <w:b/>
      <w:i/>
      <w:iCs/>
      <w:color w:val="13053A" w:themeColor="accent1" w:themeShade="7F"/>
      <w:sz w:val="22"/>
      <w:szCs w:val="24"/>
      <w:lang w:eastAsia="en-US"/>
    </w:rPr>
  </w:style>
  <w:style w:type="character" w:customStyle="1" w:styleId="BoldAllCaps">
    <w:name w:val="Bold All Caps"/>
    <w:basedOn w:val="DefaultParagraphFont"/>
    <w:uiPriority w:val="1"/>
    <w:qFormat/>
    <w:rsid w:val="00070BE0"/>
    <w:rPr>
      <w:rFonts w:ascii="Arial" w:hAnsi="Arial"/>
      <w:b/>
      <w:caps/>
      <w:smallCaps w:val="0"/>
      <w:color w:val="50748A"/>
      <w:bdr w:val="none" w:sz="0" w:space="0" w:color="auto"/>
    </w:rPr>
  </w:style>
  <w:style w:type="paragraph" w:customStyle="1" w:styleId="Intropara0">
    <w:name w:val="Intro para"/>
    <w:basedOn w:val="VisionBox"/>
    <w:rsid w:val="00852777"/>
    <w:pPr>
      <w:pBdr>
        <w:top w:val="none" w:sz="0" w:space="0" w:color="auto"/>
        <w:bottom w:val="none" w:sz="0" w:space="0" w:color="auto"/>
      </w:pBdr>
      <w:spacing w:before="480" w:line="400" w:lineRule="exact"/>
    </w:pPr>
    <w:rPr>
      <w:sz w:val="28"/>
    </w:rPr>
  </w:style>
  <w:style w:type="paragraph" w:customStyle="1" w:styleId="Tableheader0">
    <w:name w:val="Table header"/>
    <w:basedOn w:val="Normal"/>
    <w:rsid w:val="002703A0"/>
    <w:pPr>
      <w:spacing w:before="80" w:after="80"/>
    </w:pPr>
    <w:rPr>
      <w:b/>
      <w:bCs/>
      <w:color w:val="FFFFFF" w:themeColor="background1"/>
      <w:szCs w:val="20"/>
    </w:rPr>
  </w:style>
  <w:style w:type="paragraph" w:customStyle="1" w:styleId="TableText">
    <w:name w:val="Table Text"/>
    <w:autoRedefine/>
    <w:qFormat/>
    <w:locked/>
    <w:rsid w:val="002703A0"/>
    <w:pPr>
      <w:spacing w:before="60" w:after="60"/>
    </w:pPr>
    <w:rPr>
      <w:rFonts w:ascii="Arial" w:hAnsi="Arial"/>
      <w:color w:val="000000" w:themeColor="text1"/>
      <w:szCs w:val="24"/>
      <w:lang w:eastAsia="en-US"/>
    </w:rPr>
  </w:style>
  <w:style w:type="paragraph" w:customStyle="1" w:styleId="TabletextRight1">
    <w:name w:val="Table text Right"/>
    <w:basedOn w:val="Tabletextleft"/>
    <w:rsid w:val="002703A0"/>
    <w:pPr>
      <w:jc w:val="right"/>
    </w:pPr>
  </w:style>
  <w:style w:type="paragraph" w:customStyle="1" w:styleId="Tabletitle0">
    <w:name w:val="Table title"/>
    <w:basedOn w:val="Normal"/>
    <w:rsid w:val="002703A0"/>
    <w:rPr>
      <w:b/>
      <w:bCs/>
      <w:szCs w:val="20"/>
    </w:rPr>
  </w:style>
  <w:style w:type="character" w:customStyle="1" w:styleId="Style">
    <w:name w:val="Style"/>
    <w:basedOn w:val="DefaultParagraphFont"/>
    <w:rsid w:val="00512BDD"/>
    <w:rPr>
      <w:rFonts w:ascii="Calibri" w:hAnsi="Calibri"/>
      <w:b/>
      <w:bCs/>
      <w:color w:val="FFFFFF" w:themeColor="background1"/>
    </w:rPr>
  </w:style>
  <w:style w:type="paragraph" w:customStyle="1" w:styleId="StyleHeading4Arial">
    <w:name w:val="Style Heading 4 + Arial"/>
    <w:basedOn w:val="Heading4"/>
    <w:rsid w:val="00552273"/>
    <w:rPr>
      <w:bCs w:val="0"/>
      <w:iCs/>
      <w:color w:val="3C5768"/>
    </w:rPr>
  </w:style>
  <w:style w:type="paragraph" w:customStyle="1" w:styleId="StyleBefore0ptAfter0ptLinespacingsingle">
    <w:name w:val="Style Before:  0 pt After:  0 pt Line spacing:  single"/>
    <w:basedOn w:val="Normal"/>
    <w:rsid w:val="00070BE0"/>
    <w:pPr>
      <w:spacing w:before="0" w:after="0" w:line="240" w:lineRule="auto"/>
    </w:pPr>
    <w:rPr>
      <w:szCs w:val="20"/>
    </w:rPr>
  </w:style>
  <w:style w:type="character" w:customStyle="1" w:styleId="Heading1Char">
    <w:name w:val="Heading 1 Char"/>
    <w:basedOn w:val="DefaultParagraphFont"/>
    <w:link w:val="Heading1"/>
    <w:rsid w:val="00040EE5"/>
    <w:rPr>
      <w:rFonts w:ascii="Arial" w:hAnsi="Arial" w:cs="Arial"/>
      <w:b/>
      <w:bCs/>
      <w:color w:val="50748A"/>
      <w:kern w:val="28"/>
      <w:sz w:val="44"/>
      <w:szCs w:val="36"/>
      <w:lang w:eastAsia="en-US"/>
    </w:rPr>
  </w:style>
  <w:style w:type="character" w:customStyle="1" w:styleId="Heading2Char">
    <w:name w:val="Heading 2 Char"/>
    <w:basedOn w:val="DefaultParagraphFont"/>
    <w:link w:val="Heading2"/>
    <w:rsid w:val="00040EE5"/>
    <w:rPr>
      <w:rFonts w:ascii="Arial" w:hAnsi="Arial" w:cs="Arial"/>
      <w:b/>
      <w:bCs/>
      <w:iCs/>
      <w:color w:val="50748A"/>
      <w:sz w:val="36"/>
      <w:szCs w:val="28"/>
      <w:lang w:eastAsia="en-US"/>
    </w:rPr>
  </w:style>
  <w:style w:type="character" w:customStyle="1" w:styleId="Heading3Char">
    <w:name w:val="Heading 3 Char"/>
    <w:basedOn w:val="DefaultParagraphFont"/>
    <w:link w:val="Heading3"/>
    <w:rsid w:val="00040EE5"/>
    <w:rPr>
      <w:rFonts w:ascii="Arial" w:hAnsi="Arial" w:cs="Arial"/>
      <w:bCs/>
      <w:color w:val="50748A"/>
      <w:sz w:val="32"/>
      <w:szCs w:val="26"/>
      <w:lang w:eastAsia="en-US"/>
    </w:rPr>
  </w:style>
  <w:style w:type="character" w:styleId="FootnoteReference">
    <w:name w:val="footnote reference"/>
    <w:basedOn w:val="DefaultParagraphFont"/>
    <w:semiHidden/>
    <w:unhideWhenUsed/>
    <w:rsid w:val="00040EE5"/>
    <w:rPr>
      <w:vertAlign w:val="superscript"/>
    </w:rPr>
  </w:style>
  <w:style w:type="character" w:styleId="UnresolvedMention">
    <w:name w:val="Unresolved Mention"/>
    <w:basedOn w:val="DefaultParagraphFont"/>
    <w:uiPriority w:val="99"/>
    <w:semiHidden/>
    <w:unhideWhenUsed/>
    <w:rsid w:val="00A90E6C"/>
    <w:rPr>
      <w:color w:val="605E5C"/>
      <w:shd w:val="clear" w:color="auto" w:fill="E1DFDD"/>
    </w:rPr>
  </w:style>
  <w:style w:type="paragraph" w:styleId="TOCHeading">
    <w:name w:val="TOC Heading"/>
    <w:basedOn w:val="Heading1"/>
    <w:next w:val="Normal"/>
    <w:uiPriority w:val="39"/>
    <w:unhideWhenUsed/>
    <w:qFormat/>
    <w:rsid w:val="00877561"/>
    <w:pPr>
      <w:keepLines/>
      <w:spacing w:after="0" w:line="259" w:lineRule="auto"/>
      <w:outlineLvl w:val="9"/>
    </w:pPr>
    <w:rPr>
      <w:rFonts w:asciiTheme="majorHAnsi" w:eastAsiaTheme="majorEastAsia" w:hAnsiTheme="majorHAnsi" w:cstheme="majorBidi"/>
      <w:b w:val="0"/>
      <w:bCs w:val="0"/>
      <w:color w:val="1D0857" w:themeColor="accent1" w:themeShade="BF"/>
      <w:kern w:val="0"/>
      <w:sz w:val="32"/>
      <w:szCs w:val="32"/>
      <w:lang w:val="en-US"/>
    </w:rPr>
  </w:style>
  <w:style w:type="paragraph" w:styleId="TOC1">
    <w:name w:val="toc 1"/>
    <w:basedOn w:val="Normal"/>
    <w:next w:val="Normal"/>
    <w:autoRedefine/>
    <w:uiPriority w:val="39"/>
    <w:unhideWhenUsed/>
    <w:rsid w:val="00A10DE8"/>
    <w:pPr>
      <w:tabs>
        <w:tab w:val="left" w:pos="880"/>
        <w:tab w:val="right" w:leader="dot" w:pos="9060"/>
      </w:tabs>
      <w:spacing w:after="100"/>
      <w:ind w:left="142"/>
    </w:pPr>
    <w:rPr>
      <w:rFonts w:cstheme="minorHAnsi"/>
      <w:noProof/>
    </w:rPr>
  </w:style>
  <w:style w:type="paragraph" w:styleId="TOC2">
    <w:name w:val="toc 2"/>
    <w:basedOn w:val="Normal"/>
    <w:next w:val="Normal"/>
    <w:autoRedefine/>
    <w:uiPriority w:val="39"/>
    <w:unhideWhenUsed/>
    <w:rsid w:val="00877561"/>
    <w:pPr>
      <w:spacing w:after="100"/>
      <w:ind w:left="210"/>
    </w:pPr>
  </w:style>
  <w:style w:type="paragraph" w:styleId="TOC3">
    <w:name w:val="toc 3"/>
    <w:basedOn w:val="Normal"/>
    <w:next w:val="Normal"/>
    <w:autoRedefine/>
    <w:uiPriority w:val="39"/>
    <w:unhideWhenUsed/>
    <w:rsid w:val="00877561"/>
    <w:pPr>
      <w:spacing w:after="100"/>
      <w:ind w:left="420"/>
    </w:pPr>
  </w:style>
  <w:style w:type="character" w:styleId="CommentReference">
    <w:name w:val="annotation reference"/>
    <w:basedOn w:val="DefaultParagraphFont"/>
    <w:semiHidden/>
    <w:unhideWhenUsed/>
    <w:rsid w:val="00EC4F94"/>
    <w:rPr>
      <w:sz w:val="16"/>
      <w:szCs w:val="16"/>
    </w:rPr>
  </w:style>
  <w:style w:type="paragraph" w:styleId="CommentText">
    <w:name w:val="annotation text"/>
    <w:basedOn w:val="Normal"/>
    <w:link w:val="CommentTextChar"/>
    <w:semiHidden/>
    <w:unhideWhenUsed/>
    <w:rsid w:val="00EC4F94"/>
    <w:pPr>
      <w:spacing w:line="240" w:lineRule="auto"/>
    </w:pPr>
    <w:rPr>
      <w:sz w:val="20"/>
      <w:szCs w:val="20"/>
    </w:rPr>
  </w:style>
  <w:style w:type="character" w:customStyle="1" w:styleId="CommentTextChar">
    <w:name w:val="Comment Text Char"/>
    <w:basedOn w:val="DefaultParagraphFont"/>
    <w:link w:val="CommentText"/>
    <w:semiHidden/>
    <w:rsid w:val="00EC4F94"/>
    <w:rPr>
      <w:rFonts w:ascii="Arial" w:hAnsi="Arial"/>
      <w:color w:val="000000" w:themeColor="text1"/>
      <w:lang w:eastAsia="en-US"/>
    </w:rPr>
  </w:style>
  <w:style w:type="paragraph" w:styleId="CommentSubject">
    <w:name w:val="annotation subject"/>
    <w:basedOn w:val="CommentText"/>
    <w:next w:val="CommentText"/>
    <w:link w:val="CommentSubjectChar"/>
    <w:semiHidden/>
    <w:unhideWhenUsed/>
    <w:rsid w:val="00EC4F94"/>
    <w:rPr>
      <w:b/>
      <w:bCs/>
    </w:rPr>
  </w:style>
  <w:style w:type="character" w:customStyle="1" w:styleId="CommentSubjectChar">
    <w:name w:val="Comment Subject Char"/>
    <w:basedOn w:val="CommentTextChar"/>
    <w:link w:val="CommentSubject"/>
    <w:semiHidden/>
    <w:rsid w:val="00EC4F94"/>
    <w:rPr>
      <w:rFonts w:ascii="Arial" w:hAnsi="Arial"/>
      <w:b/>
      <w:bCs/>
      <w:color w:val="000000" w:themeColor="text1"/>
      <w:lang w:eastAsia="en-US"/>
    </w:rPr>
  </w:style>
  <w:style w:type="character" w:styleId="FollowedHyperlink">
    <w:name w:val="FollowedHyperlink"/>
    <w:basedOn w:val="DefaultParagraphFont"/>
    <w:semiHidden/>
    <w:unhideWhenUsed/>
    <w:rsid w:val="00A1700C"/>
    <w:rPr>
      <w:color w:val="800080" w:themeColor="followedHyperlink"/>
      <w:u w:val="single"/>
    </w:rPr>
  </w:style>
  <w:style w:type="paragraph" w:styleId="Revision">
    <w:name w:val="Revision"/>
    <w:hidden/>
    <w:uiPriority w:val="99"/>
    <w:semiHidden/>
    <w:rsid w:val="00A10DE8"/>
    <w:rPr>
      <w:rFonts w:ascii="Arial" w:hAnsi="Arial"/>
      <w:color w:val="000000" w:themeColor="text1"/>
      <w:sz w:val="21"/>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848282">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144156414">
      <w:bodyDiv w:val="1"/>
      <w:marLeft w:val="0"/>
      <w:marRight w:val="0"/>
      <w:marTop w:val="0"/>
      <w:marBottom w:val="0"/>
      <w:divBdr>
        <w:top w:val="none" w:sz="0" w:space="0" w:color="auto"/>
        <w:left w:val="none" w:sz="0" w:space="0" w:color="auto"/>
        <w:bottom w:val="none" w:sz="0" w:space="0" w:color="auto"/>
        <w:right w:val="none" w:sz="0" w:space="0" w:color="auto"/>
      </w:divBdr>
    </w:div>
    <w:div w:id="1202863234">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955364005">
      <w:bodyDiv w:val="1"/>
      <w:marLeft w:val="0"/>
      <w:marRight w:val="0"/>
      <w:marTop w:val="0"/>
      <w:marBottom w:val="0"/>
      <w:divBdr>
        <w:top w:val="none" w:sz="0" w:space="0" w:color="auto"/>
        <w:left w:val="none" w:sz="0" w:space="0" w:color="auto"/>
        <w:bottom w:val="none" w:sz="0" w:space="0" w:color="auto"/>
        <w:right w:val="none" w:sz="0" w:space="0" w:color="auto"/>
      </w:divBdr>
    </w:div>
    <w:div w:id="1995376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2.xml"/><Relationship Id="rId18" Type="http://schemas.openxmlformats.org/officeDocument/2006/relationships/hyperlink" Target="https://undocs.org/A/RES/60/21" TargetMode="External"/><Relationship Id="rId3" Type="http://schemas.openxmlformats.org/officeDocument/2006/relationships/settings" Target="settings.xml"/><Relationship Id="rId21" Type="http://schemas.openxmlformats.org/officeDocument/2006/relationships/hyperlink" Target="http://undocs.org/A/CN.9/920" TargetMode="Externa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yperlink" Target="https://undocs.org/A/72/458"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ag.gov.au/legal-system/electronic-signatures-documents-and-transactions" TargetMode="External"/><Relationship Id="rId20" Type="http://schemas.openxmlformats.org/officeDocument/2006/relationships/hyperlink" Target="https://undocs.org/A/RES/51/16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mc.gov.au/resources/commonwealth-coat-arms-information-and-guideline"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MLETR@ag.gov.au" TargetMode="External"/><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https://undocs.org/A/RES/56/80" TargetMode="Externa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yperlink" Target="https://consultations.ag.gov.au/international-relations/mletr" TargetMode="External"/><Relationship Id="rId22" Type="http://schemas.openxmlformats.org/officeDocument/2006/relationships/header" Target="header5.xml"/></Relationships>
</file>

<file path=word/_rels/footnotes.xml.rels><?xml version="1.0" encoding="UTF-8" standalone="yes"?>
<Relationships xmlns="http://schemas.openxmlformats.org/package/2006/relationships"><Relationship Id="rId8" Type="http://schemas.openxmlformats.org/officeDocument/2006/relationships/hyperlink" Target="https://www.digitalizetrade.org/MLETR" TargetMode="External"/><Relationship Id="rId13" Type="http://schemas.openxmlformats.org/officeDocument/2006/relationships/hyperlink" Target="https://undocs.org/A/66/17" TargetMode="External"/><Relationship Id="rId18" Type="http://schemas.openxmlformats.org/officeDocument/2006/relationships/hyperlink" Target="http://undocs.org/A/RES/60/21" TargetMode="External"/><Relationship Id="rId3" Type="http://schemas.openxmlformats.org/officeDocument/2006/relationships/hyperlink" Target="https://uncitral.un.org/en/texts/ecommerce/modellaw/electronic_commerce/status" TargetMode="External"/><Relationship Id="rId21" Type="http://schemas.openxmlformats.org/officeDocument/2006/relationships/hyperlink" Target="http://undocs.org/A/66/17" TargetMode="External"/><Relationship Id="rId7" Type="http://schemas.openxmlformats.org/officeDocument/2006/relationships/hyperlink" Target="https://www.apec.org/docs/default-source/publications/2024/3/224_psu_pb-59.pdf?sfvrsn=a05bd6ea_8" TargetMode="External"/><Relationship Id="rId12" Type="http://schemas.openxmlformats.org/officeDocument/2006/relationships/hyperlink" Target="https://www.dsi.iccwbo.org/" TargetMode="External"/><Relationship Id="rId17" Type="http://schemas.openxmlformats.org/officeDocument/2006/relationships/hyperlink" Target="https://undocs.org/A/RES/56/80" TargetMode="External"/><Relationship Id="rId2" Type="http://schemas.openxmlformats.org/officeDocument/2006/relationships/hyperlink" Target="https://uncitral.un.org/sites/uncitral.un.org/files/media-documents/uncitral/en/mletr_ebook_e.pdf" TargetMode="External"/><Relationship Id="rId16" Type="http://schemas.openxmlformats.org/officeDocument/2006/relationships/hyperlink" Target="https://undocs.org/A/RES/51/162" TargetMode="External"/><Relationship Id="rId20" Type="http://schemas.openxmlformats.org/officeDocument/2006/relationships/hyperlink" Target="http://undocs.org/A/RES/51/162" TargetMode="External"/><Relationship Id="rId1" Type="http://schemas.openxmlformats.org/officeDocument/2006/relationships/hyperlink" Target="https://www.austrade.gov.au/en/how-we-can-help-you/programs-and-services/simplified-trade-system" TargetMode="External"/><Relationship Id="rId6" Type="http://schemas.openxmlformats.org/officeDocument/2006/relationships/hyperlink" Target="https://www.nortonrosefulbright.com/en-au/knowledge/publications/b20094b6/e-bills-of-lading" TargetMode="External"/><Relationship Id="rId11" Type="http://schemas.openxmlformats.org/officeDocument/2006/relationships/hyperlink" Target="https://www.tradetrust.io/legality" TargetMode="External"/><Relationship Id="rId5" Type="http://schemas.openxmlformats.org/officeDocument/2006/relationships/hyperlink" Target="https://www.apec.org/docs/default-source/publications/2024/3/224_psu_pb-59.pdf?sfvrsn=a05bd6ea_8" TargetMode="External"/><Relationship Id="rId15" Type="http://schemas.openxmlformats.org/officeDocument/2006/relationships/hyperlink" Target="https://undocs.org/A/RES/60/21" TargetMode="External"/><Relationship Id="rId23" Type="http://schemas.openxmlformats.org/officeDocument/2006/relationships/hyperlink" Target="http://undocs.org/A/CN.9/921" TargetMode="External"/><Relationship Id="rId10" Type="http://schemas.openxmlformats.org/officeDocument/2006/relationships/hyperlink" Target="https://www.digitalizetrade.org/MLETR" TargetMode="External"/><Relationship Id="rId19" Type="http://schemas.openxmlformats.org/officeDocument/2006/relationships/hyperlink" Target="http://undocs.org/A/RES/56/80" TargetMode="External"/><Relationship Id="rId4" Type="http://schemas.openxmlformats.org/officeDocument/2006/relationships/hyperlink" Target="https://uncitral.un.org/en/texts/ecommerce/modellaw/electronic_commerce/status" TargetMode="External"/><Relationship Id="rId9" Type="http://schemas.openxmlformats.org/officeDocument/2006/relationships/hyperlink" Target="https://cloud-platform-e218f50a4812967ba1215eaecede923f.s3.amazonaws.com/uploads/sites/30/2021/04/Electronic-trade-documents-CP.pdf" TargetMode="External"/><Relationship Id="rId14" Type="http://schemas.openxmlformats.org/officeDocument/2006/relationships/hyperlink" Target="https://undocs.org/A/72/17" TargetMode="External"/><Relationship Id="rId22" Type="http://schemas.openxmlformats.org/officeDocument/2006/relationships/hyperlink" Target="http://undocs.org/A/CN.9/9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eme1">
  <a:themeElements>
    <a:clrScheme name="INSLM">
      <a:dk1>
        <a:sysClr val="windowText" lastClr="000000"/>
      </a:dk1>
      <a:lt1>
        <a:sysClr val="window" lastClr="FFFFFF"/>
      </a:lt1>
      <a:dk2>
        <a:srgbClr val="270B75"/>
      </a:dk2>
      <a:lt2>
        <a:srgbClr val="9385BA"/>
      </a:lt2>
      <a:accent1>
        <a:srgbClr val="270B75"/>
      </a:accent1>
      <a:accent2>
        <a:srgbClr val="C24C9B"/>
      </a:accent2>
      <a:accent3>
        <a:srgbClr val="EFC638"/>
      </a:accent3>
      <a:accent4>
        <a:srgbClr val="0AB1BF"/>
      </a:accent4>
      <a:accent5>
        <a:srgbClr val="7F7F7F"/>
      </a:accent5>
      <a:accent6>
        <a:srgbClr val="D8D8D8"/>
      </a:accent6>
      <a:hlink>
        <a:srgbClr val="0000B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64</Pages>
  <Words>16997</Words>
  <Characters>96887</Characters>
  <Application>Microsoft Office Word</Application>
  <DocSecurity>0</DocSecurity>
  <Lines>807</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to inform options for implementing the Model Law on Electronic Transferable Records in Australia</dc:title>
  <dc:subject/>
  <dc:creator/>
  <cp:keywords/>
  <cp:lastModifiedBy/>
  <cp:revision>1</cp:revision>
  <dcterms:created xsi:type="dcterms:W3CDTF">2024-09-13T00:15:00Z</dcterms:created>
  <dcterms:modified xsi:type="dcterms:W3CDTF">2024-09-13T00:15:00Z</dcterms:modified>
</cp:coreProperties>
</file>