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381E5" w14:textId="5DBCC2EB" w:rsidR="00751A23" w:rsidRDefault="00B23086" w:rsidP="00A701FA">
      <w:pPr>
        <w:pStyle w:val="Title"/>
      </w:pPr>
      <w:r w:rsidRPr="00CE3B04">
        <w:rPr>
          <w:noProof/>
        </w:rPr>
        <w:drawing>
          <wp:anchor distT="0" distB="0" distL="114300" distR="114300" simplePos="0" relativeHeight="251661312" behindDoc="1" locked="0" layoutInCell="1" allowOverlap="1" wp14:anchorId="6917F54B" wp14:editId="78535E91">
            <wp:simplePos x="0" y="0"/>
            <wp:positionH relativeFrom="page">
              <wp:posOffset>-76200</wp:posOffset>
            </wp:positionH>
            <wp:positionV relativeFrom="margin">
              <wp:posOffset>-1085850</wp:posOffset>
            </wp:positionV>
            <wp:extent cx="7667625" cy="10845165"/>
            <wp:effectExtent l="0" t="0" r="952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ront cover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67625" cy="10845165"/>
                    </a:xfrm>
                    <a:prstGeom prst="rect">
                      <a:avLst/>
                    </a:prstGeom>
                  </pic:spPr>
                </pic:pic>
              </a:graphicData>
            </a:graphic>
            <wp14:sizeRelH relativeFrom="page">
              <wp14:pctWidth>0</wp14:pctWidth>
            </wp14:sizeRelH>
            <wp14:sizeRelV relativeFrom="page">
              <wp14:pctHeight>0</wp14:pctHeight>
            </wp14:sizeRelV>
          </wp:anchor>
        </w:drawing>
      </w:r>
      <w:r w:rsidR="0016236D">
        <w:t>Administrative Review Council: Social security inquiry</w:t>
      </w:r>
    </w:p>
    <w:p w14:paraId="55DB0F86" w14:textId="77777777" w:rsidR="00CA79CF" w:rsidRDefault="0016236D" w:rsidP="00A701FA">
      <w:pPr>
        <w:pStyle w:val="Subtitle"/>
      </w:pPr>
      <w:r>
        <w:t>Issues Paper</w:t>
      </w:r>
    </w:p>
    <w:p w14:paraId="4FEF5FA5" w14:textId="77777777" w:rsidR="00CA79CF" w:rsidRDefault="00CA79CF" w:rsidP="00CA79CF">
      <w:pPr>
        <w:pStyle w:val="Subtitle"/>
        <w:sectPr w:rsidR="00CA79CF" w:rsidSect="00A701FA">
          <w:headerReference w:type="default" r:id="rId8"/>
          <w:headerReference w:type="first" r:id="rId9"/>
          <w:type w:val="continuous"/>
          <w:pgSz w:w="11906" w:h="16838" w:code="9"/>
          <w:pgMar w:top="1701" w:right="567" w:bottom="1418" w:left="567" w:header="709" w:footer="709" w:gutter="0"/>
          <w:cols w:space="708"/>
          <w:vAlign w:val="center"/>
          <w:titlePg/>
          <w:docGrid w:linePitch="360"/>
        </w:sectPr>
      </w:pPr>
    </w:p>
    <w:p w14:paraId="2D352039" w14:textId="77777777" w:rsidR="00100F6D" w:rsidRPr="004D1339" w:rsidRDefault="00100F6D" w:rsidP="00346C4A">
      <w:pPr>
        <w:sectPr w:rsidR="00100F6D" w:rsidRPr="004D1339" w:rsidSect="00CF14A6">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418" w:left="1418" w:header="709" w:footer="709" w:gutter="0"/>
          <w:pgNumType w:fmt="lowerRoman"/>
          <w:cols w:space="708"/>
          <w:docGrid w:linePitch="360"/>
        </w:sectPr>
      </w:pPr>
    </w:p>
    <w:sdt>
      <w:sdtPr>
        <w:rPr>
          <w:rFonts w:ascii="Arial" w:hAnsi="Arial" w:cs="Times New Roman"/>
          <w:b w:val="0"/>
          <w:bCs w:val="0"/>
          <w:color w:val="000000" w:themeColor="text1"/>
          <w:kern w:val="0"/>
          <w:sz w:val="21"/>
          <w:szCs w:val="24"/>
        </w:rPr>
        <w:id w:val="249161601"/>
        <w:docPartObj>
          <w:docPartGallery w:val="Table of Contents"/>
          <w:docPartUnique/>
        </w:docPartObj>
      </w:sdtPr>
      <w:sdtEndPr>
        <w:rPr>
          <w:noProof/>
        </w:rPr>
      </w:sdtEndPr>
      <w:sdtContent>
        <w:p w14:paraId="6A21F808" w14:textId="77777777" w:rsidR="00A701FA" w:rsidRPr="00A701FA" w:rsidRDefault="00A701FA" w:rsidP="00A701FA">
          <w:pPr>
            <w:pStyle w:val="TOCHeading"/>
          </w:pPr>
          <w:r w:rsidRPr="00A701FA">
            <w:t>Contents</w:t>
          </w:r>
        </w:p>
        <w:p w14:paraId="7344C60A" w14:textId="72D95CA2" w:rsidR="00E23F7A" w:rsidRDefault="00A701FA">
          <w:pPr>
            <w:pStyle w:val="TOC1"/>
            <w:tabs>
              <w:tab w:val="right" w:leader="dot" w:pos="9060"/>
            </w:tabs>
            <w:rPr>
              <w:rFonts w:asciiTheme="minorHAnsi" w:eastAsiaTheme="minorEastAsia" w:hAnsiTheme="minorHAnsi" w:cstheme="minorBidi"/>
              <w:b w:val="0"/>
              <w:noProof/>
              <w:color w:val="auto"/>
              <w:sz w:val="22"/>
              <w:szCs w:val="22"/>
              <w:lang w:eastAsia="en-AU"/>
            </w:rPr>
          </w:pPr>
          <w:r>
            <w:fldChar w:fldCharType="begin"/>
          </w:r>
          <w:r>
            <w:instrText xml:space="preserve"> TOC \o "1-3" \h \z \u </w:instrText>
          </w:r>
          <w:r>
            <w:fldChar w:fldCharType="separate"/>
          </w:r>
          <w:hyperlink w:anchor="_Toc205997089" w:history="1">
            <w:r w:rsidR="00E23F7A" w:rsidRPr="0006384D">
              <w:rPr>
                <w:rStyle w:val="Hyperlink"/>
                <w:noProof/>
              </w:rPr>
              <w:t>Glossary</w:t>
            </w:r>
            <w:r w:rsidR="00E23F7A">
              <w:rPr>
                <w:noProof/>
                <w:webHidden/>
              </w:rPr>
              <w:tab/>
            </w:r>
            <w:r w:rsidR="00E23F7A">
              <w:rPr>
                <w:noProof/>
                <w:webHidden/>
              </w:rPr>
              <w:fldChar w:fldCharType="begin"/>
            </w:r>
            <w:r w:rsidR="00E23F7A">
              <w:rPr>
                <w:noProof/>
                <w:webHidden/>
              </w:rPr>
              <w:instrText xml:space="preserve"> PAGEREF _Toc205997089 \h </w:instrText>
            </w:r>
            <w:r w:rsidR="00E23F7A">
              <w:rPr>
                <w:noProof/>
                <w:webHidden/>
              </w:rPr>
            </w:r>
            <w:r w:rsidR="00E23F7A">
              <w:rPr>
                <w:noProof/>
                <w:webHidden/>
              </w:rPr>
              <w:fldChar w:fldCharType="separate"/>
            </w:r>
            <w:r w:rsidR="00E23F7A">
              <w:rPr>
                <w:noProof/>
                <w:webHidden/>
              </w:rPr>
              <w:t>5</w:t>
            </w:r>
            <w:r w:rsidR="00E23F7A">
              <w:rPr>
                <w:noProof/>
                <w:webHidden/>
              </w:rPr>
              <w:fldChar w:fldCharType="end"/>
            </w:r>
          </w:hyperlink>
        </w:p>
        <w:p w14:paraId="306E6465" w14:textId="653C4673" w:rsidR="00E23F7A" w:rsidRDefault="00E23F7A">
          <w:pPr>
            <w:pStyle w:val="TOC3"/>
            <w:tabs>
              <w:tab w:val="right" w:leader="dot" w:pos="9060"/>
            </w:tabs>
            <w:rPr>
              <w:rFonts w:asciiTheme="minorHAnsi" w:eastAsiaTheme="minorEastAsia" w:hAnsiTheme="minorHAnsi" w:cstheme="minorBidi"/>
              <w:noProof/>
              <w:color w:val="auto"/>
              <w:sz w:val="22"/>
              <w:szCs w:val="22"/>
              <w:lang w:eastAsia="en-AU"/>
            </w:rPr>
          </w:pPr>
          <w:hyperlink w:anchor="_Toc205997090" w:history="1">
            <w:r w:rsidRPr="0006384D">
              <w:rPr>
                <w:rStyle w:val="Hyperlink"/>
                <w:noProof/>
              </w:rPr>
              <w:t>Legislation</w:t>
            </w:r>
            <w:r>
              <w:rPr>
                <w:noProof/>
                <w:webHidden/>
              </w:rPr>
              <w:tab/>
            </w:r>
            <w:r>
              <w:rPr>
                <w:noProof/>
                <w:webHidden/>
              </w:rPr>
              <w:fldChar w:fldCharType="begin"/>
            </w:r>
            <w:r>
              <w:rPr>
                <w:noProof/>
                <w:webHidden/>
              </w:rPr>
              <w:instrText xml:space="preserve"> PAGEREF _Toc205997090 \h </w:instrText>
            </w:r>
            <w:r>
              <w:rPr>
                <w:noProof/>
                <w:webHidden/>
              </w:rPr>
            </w:r>
            <w:r>
              <w:rPr>
                <w:noProof/>
                <w:webHidden/>
              </w:rPr>
              <w:fldChar w:fldCharType="separate"/>
            </w:r>
            <w:r>
              <w:rPr>
                <w:noProof/>
                <w:webHidden/>
              </w:rPr>
              <w:t>5</w:t>
            </w:r>
            <w:r>
              <w:rPr>
                <w:noProof/>
                <w:webHidden/>
              </w:rPr>
              <w:fldChar w:fldCharType="end"/>
            </w:r>
          </w:hyperlink>
        </w:p>
        <w:p w14:paraId="160E4CC9" w14:textId="7E3872D5" w:rsidR="00E23F7A" w:rsidRDefault="00E23F7A">
          <w:pPr>
            <w:pStyle w:val="TOC3"/>
            <w:tabs>
              <w:tab w:val="right" w:leader="dot" w:pos="9060"/>
            </w:tabs>
            <w:rPr>
              <w:rFonts w:asciiTheme="minorHAnsi" w:eastAsiaTheme="minorEastAsia" w:hAnsiTheme="minorHAnsi" w:cstheme="minorBidi"/>
              <w:noProof/>
              <w:color w:val="auto"/>
              <w:sz w:val="22"/>
              <w:szCs w:val="22"/>
              <w:lang w:eastAsia="en-AU"/>
            </w:rPr>
          </w:pPr>
          <w:hyperlink w:anchor="_Toc205997091" w:history="1">
            <w:r w:rsidRPr="0006384D">
              <w:rPr>
                <w:rStyle w:val="Hyperlink"/>
                <w:noProof/>
              </w:rPr>
              <w:t>Other terms</w:t>
            </w:r>
            <w:r>
              <w:rPr>
                <w:noProof/>
                <w:webHidden/>
              </w:rPr>
              <w:tab/>
            </w:r>
            <w:r>
              <w:rPr>
                <w:noProof/>
                <w:webHidden/>
              </w:rPr>
              <w:fldChar w:fldCharType="begin"/>
            </w:r>
            <w:r>
              <w:rPr>
                <w:noProof/>
                <w:webHidden/>
              </w:rPr>
              <w:instrText xml:space="preserve"> PAGEREF _Toc205997091 \h </w:instrText>
            </w:r>
            <w:r>
              <w:rPr>
                <w:noProof/>
                <w:webHidden/>
              </w:rPr>
            </w:r>
            <w:r>
              <w:rPr>
                <w:noProof/>
                <w:webHidden/>
              </w:rPr>
              <w:fldChar w:fldCharType="separate"/>
            </w:r>
            <w:r>
              <w:rPr>
                <w:noProof/>
                <w:webHidden/>
              </w:rPr>
              <w:t>5</w:t>
            </w:r>
            <w:r>
              <w:rPr>
                <w:noProof/>
                <w:webHidden/>
              </w:rPr>
              <w:fldChar w:fldCharType="end"/>
            </w:r>
          </w:hyperlink>
        </w:p>
        <w:p w14:paraId="3DA4898B" w14:textId="31BFCEE5" w:rsidR="00E23F7A" w:rsidRDefault="00E23F7A">
          <w:pPr>
            <w:pStyle w:val="TOC1"/>
            <w:tabs>
              <w:tab w:val="left" w:pos="568"/>
              <w:tab w:val="right" w:leader="dot" w:pos="9060"/>
            </w:tabs>
            <w:rPr>
              <w:rFonts w:asciiTheme="minorHAnsi" w:eastAsiaTheme="minorEastAsia" w:hAnsiTheme="minorHAnsi" w:cstheme="minorBidi"/>
              <w:b w:val="0"/>
              <w:noProof/>
              <w:color w:val="auto"/>
              <w:sz w:val="22"/>
              <w:szCs w:val="22"/>
              <w:lang w:eastAsia="en-AU"/>
            </w:rPr>
          </w:pPr>
          <w:hyperlink w:anchor="_Toc205997092" w:history="1">
            <w:r w:rsidRPr="0006384D">
              <w:rPr>
                <w:rStyle w:val="Hyperlink"/>
                <w:noProof/>
              </w:rPr>
              <w:t>1.</w:t>
            </w:r>
            <w:r>
              <w:rPr>
                <w:rFonts w:asciiTheme="minorHAnsi" w:eastAsiaTheme="minorEastAsia" w:hAnsiTheme="minorHAnsi" w:cstheme="minorBidi"/>
                <w:b w:val="0"/>
                <w:noProof/>
                <w:color w:val="auto"/>
                <w:sz w:val="22"/>
                <w:szCs w:val="22"/>
                <w:lang w:eastAsia="en-AU"/>
              </w:rPr>
              <w:tab/>
            </w:r>
            <w:r w:rsidRPr="0006384D">
              <w:rPr>
                <w:rStyle w:val="Hyperlink"/>
                <w:noProof/>
              </w:rPr>
              <w:t>Introduction</w:t>
            </w:r>
            <w:r>
              <w:rPr>
                <w:noProof/>
                <w:webHidden/>
              </w:rPr>
              <w:tab/>
            </w:r>
            <w:r>
              <w:rPr>
                <w:noProof/>
                <w:webHidden/>
              </w:rPr>
              <w:fldChar w:fldCharType="begin"/>
            </w:r>
            <w:r>
              <w:rPr>
                <w:noProof/>
                <w:webHidden/>
              </w:rPr>
              <w:instrText xml:space="preserve"> PAGEREF _Toc205997092 \h </w:instrText>
            </w:r>
            <w:r>
              <w:rPr>
                <w:noProof/>
                <w:webHidden/>
              </w:rPr>
            </w:r>
            <w:r>
              <w:rPr>
                <w:noProof/>
                <w:webHidden/>
              </w:rPr>
              <w:fldChar w:fldCharType="separate"/>
            </w:r>
            <w:r>
              <w:rPr>
                <w:noProof/>
                <w:webHidden/>
              </w:rPr>
              <w:t>7</w:t>
            </w:r>
            <w:r>
              <w:rPr>
                <w:noProof/>
                <w:webHidden/>
              </w:rPr>
              <w:fldChar w:fldCharType="end"/>
            </w:r>
          </w:hyperlink>
        </w:p>
        <w:p w14:paraId="6C3D811F" w14:textId="2067311E" w:rsidR="00E23F7A" w:rsidRDefault="00E23F7A">
          <w:pPr>
            <w:pStyle w:val="TOC3"/>
            <w:tabs>
              <w:tab w:val="right" w:leader="dot" w:pos="9060"/>
            </w:tabs>
            <w:rPr>
              <w:rFonts w:asciiTheme="minorHAnsi" w:eastAsiaTheme="minorEastAsia" w:hAnsiTheme="minorHAnsi" w:cstheme="minorBidi"/>
              <w:noProof/>
              <w:color w:val="auto"/>
              <w:sz w:val="22"/>
              <w:szCs w:val="22"/>
              <w:lang w:eastAsia="en-AU"/>
            </w:rPr>
          </w:pPr>
          <w:hyperlink w:anchor="_Toc205997093" w:history="1">
            <w:r w:rsidRPr="0006384D">
              <w:rPr>
                <w:rStyle w:val="Hyperlink"/>
                <w:noProof/>
              </w:rPr>
              <w:t>Scope</w:t>
            </w:r>
            <w:r>
              <w:rPr>
                <w:noProof/>
                <w:webHidden/>
              </w:rPr>
              <w:tab/>
            </w:r>
            <w:r>
              <w:rPr>
                <w:noProof/>
                <w:webHidden/>
              </w:rPr>
              <w:fldChar w:fldCharType="begin"/>
            </w:r>
            <w:r>
              <w:rPr>
                <w:noProof/>
                <w:webHidden/>
              </w:rPr>
              <w:instrText xml:space="preserve"> PAGEREF _Toc205997093 \h </w:instrText>
            </w:r>
            <w:r>
              <w:rPr>
                <w:noProof/>
                <w:webHidden/>
              </w:rPr>
            </w:r>
            <w:r>
              <w:rPr>
                <w:noProof/>
                <w:webHidden/>
              </w:rPr>
              <w:fldChar w:fldCharType="separate"/>
            </w:r>
            <w:r>
              <w:rPr>
                <w:noProof/>
                <w:webHidden/>
              </w:rPr>
              <w:t>7</w:t>
            </w:r>
            <w:r>
              <w:rPr>
                <w:noProof/>
                <w:webHidden/>
              </w:rPr>
              <w:fldChar w:fldCharType="end"/>
            </w:r>
          </w:hyperlink>
        </w:p>
        <w:p w14:paraId="0E8F641F" w14:textId="4C3DEB30" w:rsidR="00E23F7A" w:rsidRDefault="00E23F7A">
          <w:pPr>
            <w:pStyle w:val="TOC3"/>
            <w:tabs>
              <w:tab w:val="right" w:leader="dot" w:pos="9060"/>
            </w:tabs>
            <w:rPr>
              <w:rFonts w:asciiTheme="minorHAnsi" w:eastAsiaTheme="minorEastAsia" w:hAnsiTheme="minorHAnsi" w:cstheme="minorBidi"/>
              <w:noProof/>
              <w:color w:val="auto"/>
              <w:sz w:val="22"/>
              <w:szCs w:val="22"/>
              <w:lang w:eastAsia="en-AU"/>
            </w:rPr>
          </w:pPr>
          <w:hyperlink w:anchor="_Toc205997094" w:history="1">
            <w:r w:rsidRPr="0006384D">
              <w:rPr>
                <w:rStyle w:val="Hyperlink"/>
                <w:noProof/>
              </w:rPr>
              <w:t>Making a submission</w:t>
            </w:r>
            <w:r>
              <w:rPr>
                <w:noProof/>
                <w:webHidden/>
              </w:rPr>
              <w:tab/>
            </w:r>
            <w:r>
              <w:rPr>
                <w:noProof/>
                <w:webHidden/>
              </w:rPr>
              <w:fldChar w:fldCharType="begin"/>
            </w:r>
            <w:r>
              <w:rPr>
                <w:noProof/>
                <w:webHidden/>
              </w:rPr>
              <w:instrText xml:space="preserve"> PAGEREF _Toc205997094 \h </w:instrText>
            </w:r>
            <w:r>
              <w:rPr>
                <w:noProof/>
                <w:webHidden/>
              </w:rPr>
            </w:r>
            <w:r>
              <w:rPr>
                <w:noProof/>
                <w:webHidden/>
              </w:rPr>
              <w:fldChar w:fldCharType="separate"/>
            </w:r>
            <w:r>
              <w:rPr>
                <w:noProof/>
                <w:webHidden/>
              </w:rPr>
              <w:t>8</w:t>
            </w:r>
            <w:r>
              <w:rPr>
                <w:noProof/>
                <w:webHidden/>
              </w:rPr>
              <w:fldChar w:fldCharType="end"/>
            </w:r>
          </w:hyperlink>
        </w:p>
        <w:p w14:paraId="2E00B56E" w14:textId="2A80E1A1" w:rsidR="00E23F7A" w:rsidRDefault="00E23F7A">
          <w:pPr>
            <w:pStyle w:val="TOC2"/>
            <w:tabs>
              <w:tab w:val="right" w:leader="dot" w:pos="9060"/>
            </w:tabs>
            <w:rPr>
              <w:rFonts w:asciiTheme="minorHAnsi" w:eastAsiaTheme="minorEastAsia" w:hAnsiTheme="minorHAnsi" w:cstheme="minorBidi"/>
              <w:b w:val="0"/>
              <w:noProof/>
              <w:color w:val="auto"/>
              <w:sz w:val="22"/>
              <w:szCs w:val="22"/>
              <w:lang w:eastAsia="en-AU"/>
            </w:rPr>
          </w:pPr>
          <w:hyperlink w:anchor="_Toc205997095" w:history="1">
            <w:r w:rsidRPr="0006384D">
              <w:rPr>
                <w:rStyle w:val="Hyperlink"/>
                <w:noProof/>
              </w:rPr>
              <w:t>List of questions</w:t>
            </w:r>
            <w:r>
              <w:rPr>
                <w:noProof/>
                <w:webHidden/>
              </w:rPr>
              <w:tab/>
            </w:r>
            <w:r>
              <w:rPr>
                <w:noProof/>
                <w:webHidden/>
              </w:rPr>
              <w:fldChar w:fldCharType="begin"/>
            </w:r>
            <w:r>
              <w:rPr>
                <w:noProof/>
                <w:webHidden/>
              </w:rPr>
              <w:instrText xml:space="preserve"> PAGEREF _Toc205997095 \h </w:instrText>
            </w:r>
            <w:r>
              <w:rPr>
                <w:noProof/>
                <w:webHidden/>
              </w:rPr>
            </w:r>
            <w:r>
              <w:rPr>
                <w:noProof/>
                <w:webHidden/>
              </w:rPr>
              <w:fldChar w:fldCharType="separate"/>
            </w:r>
            <w:r>
              <w:rPr>
                <w:noProof/>
                <w:webHidden/>
              </w:rPr>
              <w:t>9</w:t>
            </w:r>
            <w:r>
              <w:rPr>
                <w:noProof/>
                <w:webHidden/>
              </w:rPr>
              <w:fldChar w:fldCharType="end"/>
            </w:r>
          </w:hyperlink>
        </w:p>
        <w:p w14:paraId="6C3D1154" w14:textId="4AE23337" w:rsidR="00E23F7A" w:rsidRDefault="00E23F7A">
          <w:pPr>
            <w:pStyle w:val="TOC1"/>
            <w:tabs>
              <w:tab w:val="left" w:pos="568"/>
              <w:tab w:val="right" w:leader="dot" w:pos="9060"/>
            </w:tabs>
            <w:rPr>
              <w:rFonts w:asciiTheme="minorHAnsi" w:eastAsiaTheme="minorEastAsia" w:hAnsiTheme="minorHAnsi" w:cstheme="minorBidi"/>
              <w:b w:val="0"/>
              <w:noProof/>
              <w:color w:val="auto"/>
              <w:sz w:val="22"/>
              <w:szCs w:val="22"/>
              <w:lang w:eastAsia="en-AU"/>
            </w:rPr>
          </w:pPr>
          <w:hyperlink w:anchor="_Toc205997096" w:history="1">
            <w:r w:rsidRPr="0006384D">
              <w:rPr>
                <w:rStyle w:val="Hyperlink"/>
                <w:noProof/>
              </w:rPr>
              <w:t>2.</w:t>
            </w:r>
            <w:r>
              <w:rPr>
                <w:rFonts w:asciiTheme="minorHAnsi" w:eastAsiaTheme="minorEastAsia" w:hAnsiTheme="minorHAnsi" w:cstheme="minorBidi"/>
                <w:b w:val="0"/>
                <w:noProof/>
                <w:color w:val="auto"/>
                <w:sz w:val="22"/>
                <w:szCs w:val="22"/>
                <w:lang w:eastAsia="en-AU"/>
              </w:rPr>
              <w:tab/>
            </w:r>
            <w:r w:rsidRPr="0006384D">
              <w:rPr>
                <w:rStyle w:val="Hyperlink"/>
                <w:noProof/>
              </w:rPr>
              <w:t>Background</w:t>
            </w:r>
            <w:r>
              <w:rPr>
                <w:noProof/>
                <w:webHidden/>
              </w:rPr>
              <w:tab/>
            </w:r>
            <w:r>
              <w:rPr>
                <w:noProof/>
                <w:webHidden/>
              </w:rPr>
              <w:fldChar w:fldCharType="begin"/>
            </w:r>
            <w:r>
              <w:rPr>
                <w:noProof/>
                <w:webHidden/>
              </w:rPr>
              <w:instrText xml:space="preserve"> PAGEREF _Toc205997096 \h </w:instrText>
            </w:r>
            <w:r>
              <w:rPr>
                <w:noProof/>
                <w:webHidden/>
              </w:rPr>
            </w:r>
            <w:r>
              <w:rPr>
                <w:noProof/>
                <w:webHidden/>
              </w:rPr>
              <w:fldChar w:fldCharType="separate"/>
            </w:r>
            <w:r>
              <w:rPr>
                <w:noProof/>
                <w:webHidden/>
              </w:rPr>
              <w:t>11</w:t>
            </w:r>
            <w:r>
              <w:rPr>
                <w:noProof/>
                <w:webHidden/>
              </w:rPr>
              <w:fldChar w:fldCharType="end"/>
            </w:r>
          </w:hyperlink>
        </w:p>
        <w:p w14:paraId="7DCEB195" w14:textId="38DF524D" w:rsidR="00E23F7A" w:rsidRDefault="00E23F7A">
          <w:pPr>
            <w:pStyle w:val="TOC3"/>
            <w:tabs>
              <w:tab w:val="right" w:leader="dot" w:pos="9060"/>
            </w:tabs>
            <w:rPr>
              <w:rFonts w:asciiTheme="minorHAnsi" w:eastAsiaTheme="minorEastAsia" w:hAnsiTheme="minorHAnsi" w:cstheme="minorBidi"/>
              <w:noProof/>
              <w:color w:val="auto"/>
              <w:sz w:val="22"/>
              <w:szCs w:val="22"/>
              <w:lang w:eastAsia="en-AU"/>
            </w:rPr>
          </w:pPr>
          <w:hyperlink w:anchor="_Toc205997097" w:history="1">
            <w:r w:rsidRPr="0006384D">
              <w:rPr>
                <w:rStyle w:val="Hyperlink"/>
                <w:noProof/>
              </w:rPr>
              <w:t>Administrative Review Tribunal reforms</w:t>
            </w:r>
            <w:r>
              <w:rPr>
                <w:noProof/>
                <w:webHidden/>
              </w:rPr>
              <w:tab/>
            </w:r>
            <w:r>
              <w:rPr>
                <w:noProof/>
                <w:webHidden/>
              </w:rPr>
              <w:fldChar w:fldCharType="begin"/>
            </w:r>
            <w:r>
              <w:rPr>
                <w:noProof/>
                <w:webHidden/>
              </w:rPr>
              <w:instrText xml:space="preserve"> PAGEREF _Toc205997097 \h </w:instrText>
            </w:r>
            <w:r>
              <w:rPr>
                <w:noProof/>
                <w:webHidden/>
              </w:rPr>
            </w:r>
            <w:r>
              <w:rPr>
                <w:noProof/>
                <w:webHidden/>
              </w:rPr>
              <w:fldChar w:fldCharType="separate"/>
            </w:r>
            <w:r>
              <w:rPr>
                <w:noProof/>
                <w:webHidden/>
              </w:rPr>
              <w:t>11</w:t>
            </w:r>
            <w:r>
              <w:rPr>
                <w:noProof/>
                <w:webHidden/>
              </w:rPr>
              <w:fldChar w:fldCharType="end"/>
            </w:r>
          </w:hyperlink>
        </w:p>
        <w:p w14:paraId="7D7F9AE2" w14:textId="436C7A32" w:rsidR="00E23F7A" w:rsidRDefault="00E23F7A">
          <w:pPr>
            <w:pStyle w:val="TOC3"/>
            <w:tabs>
              <w:tab w:val="right" w:leader="dot" w:pos="9060"/>
            </w:tabs>
            <w:rPr>
              <w:rFonts w:asciiTheme="minorHAnsi" w:eastAsiaTheme="minorEastAsia" w:hAnsiTheme="minorHAnsi" w:cstheme="minorBidi"/>
              <w:noProof/>
              <w:color w:val="auto"/>
              <w:sz w:val="22"/>
              <w:szCs w:val="22"/>
              <w:lang w:eastAsia="en-AU"/>
            </w:rPr>
          </w:pPr>
          <w:hyperlink w:anchor="_Toc205997098" w:history="1">
            <w:r w:rsidRPr="0006384D">
              <w:rPr>
                <w:rStyle w:val="Hyperlink"/>
                <w:noProof/>
              </w:rPr>
              <w:t>Social security review process</w:t>
            </w:r>
            <w:r>
              <w:rPr>
                <w:noProof/>
                <w:webHidden/>
              </w:rPr>
              <w:tab/>
            </w:r>
            <w:r>
              <w:rPr>
                <w:noProof/>
                <w:webHidden/>
              </w:rPr>
              <w:fldChar w:fldCharType="begin"/>
            </w:r>
            <w:r>
              <w:rPr>
                <w:noProof/>
                <w:webHidden/>
              </w:rPr>
              <w:instrText xml:space="preserve"> PAGEREF _Toc205997098 \h </w:instrText>
            </w:r>
            <w:r>
              <w:rPr>
                <w:noProof/>
                <w:webHidden/>
              </w:rPr>
            </w:r>
            <w:r>
              <w:rPr>
                <w:noProof/>
                <w:webHidden/>
              </w:rPr>
              <w:fldChar w:fldCharType="separate"/>
            </w:r>
            <w:r>
              <w:rPr>
                <w:noProof/>
                <w:webHidden/>
              </w:rPr>
              <w:t>12</w:t>
            </w:r>
            <w:r>
              <w:rPr>
                <w:noProof/>
                <w:webHidden/>
              </w:rPr>
              <w:fldChar w:fldCharType="end"/>
            </w:r>
          </w:hyperlink>
        </w:p>
        <w:p w14:paraId="2365D6C0" w14:textId="035E47EE" w:rsidR="00E23F7A" w:rsidRDefault="00E23F7A">
          <w:pPr>
            <w:pStyle w:val="TOC3"/>
            <w:tabs>
              <w:tab w:val="right" w:leader="dot" w:pos="9060"/>
            </w:tabs>
            <w:rPr>
              <w:rFonts w:asciiTheme="minorHAnsi" w:eastAsiaTheme="minorEastAsia" w:hAnsiTheme="minorHAnsi" w:cstheme="minorBidi"/>
              <w:noProof/>
              <w:color w:val="auto"/>
              <w:sz w:val="22"/>
              <w:szCs w:val="22"/>
              <w:lang w:eastAsia="en-AU"/>
            </w:rPr>
          </w:pPr>
          <w:hyperlink w:anchor="_Toc205997099" w:history="1">
            <w:r w:rsidRPr="0006384D">
              <w:rPr>
                <w:rStyle w:val="Hyperlink"/>
                <w:noProof/>
              </w:rPr>
              <w:t>Challenges facing social security administrative review</w:t>
            </w:r>
            <w:r>
              <w:rPr>
                <w:noProof/>
                <w:webHidden/>
              </w:rPr>
              <w:tab/>
            </w:r>
            <w:r>
              <w:rPr>
                <w:noProof/>
                <w:webHidden/>
              </w:rPr>
              <w:fldChar w:fldCharType="begin"/>
            </w:r>
            <w:r>
              <w:rPr>
                <w:noProof/>
                <w:webHidden/>
              </w:rPr>
              <w:instrText xml:space="preserve"> PAGEREF _Toc205997099 \h </w:instrText>
            </w:r>
            <w:r>
              <w:rPr>
                <w:noProof/>
                <w:webHidden/>
              </w:rPr>
            </w:r>
            <w:r>
              <w:rPr>
                <w:noProof/>
                <w:webHidden/>
              </w:rPr>
              <w:fldChar w:fldCharType="separate"/>
            </w:r>
            <w:r>
              <w:rPr>
                <w:noProof/>
                <w:webHidden/>
              </w:rPr>
              <w:t>13</w:t>
            </w:r>
            <w:r>
              <w:rPr>
                <w:noProof/>
                <w:webHidden/>
              </w:rPr>
              <w:fldChar w:fldCharType="end"/>
            </w:r>
          </w:hyperlink>
        </w:p>
        <w:p w14:paraId="14EC46F7" w14:textId="55816FC5" w:rsidR="00E23F7A" w:rsidRDefault="00E23F7A">
          <w:pPr>
            <w:pStyle w:val="TOC1"/>
            <w:tabs>
              <w:tab w:val="left" w:pos="568"/>
              <w:tab w:val="right" w:leader="dot" w:pos="9060"/>
            </w:tabs>
            <w:rPr>
              <w:rFonts w:asciiTheme="minorHAnsi" w:eastAsiaTheme="minorEastAsia" w:hAnsiTheme="minorHAnsi" w:cstheme="minorBidi"/>
              <w:b w:val="0"/>
              <w:noProof/>
              <w:color w:val="auto"/>
              <w:sz w:val="22"/>
              <w:szCs w:val="22"/>
              <w:lang w:eastAsia="en-AU"/>
            </w:rPr>
          </w:pPr>
          <w:hyperlink w:anchor="_Toc205997100" w:history="1">
            <w:r w:rsidRPr="0006384D">
              <w:rPr>
                <w:rStyle w:val="Hyperlink"/>
                <w:noProof/>
              </w:rPr>
              <w:t>3.</w:t>
            </w:r>
            <w:r>
              <w:rPr>
                <w:rFonts w:asciiTheme="minorHAnsi" w:eastAsiaTheme="minorEastAsia" w:hAnsiTheme="minorHAnsi" w:cstheme="minorBidi"/>
                <w:b w:val="0"/>
                <w:noProof/>
                <w:color w:val="auto"/>
                <w:sz w:val="22"/>
                <w:szCs w:val="22"/>
                <w:lang w:eastAsia="en-AU"/>
              </w:rPr>
              <w:tab/>
            </w:r>
            <w:r w:rsidRPr="0006384D">
              <w:rPr>
                <w:rStyle w:val="Hyperlink"/>
                <w:noProof/>
              </w:rPr>
              <w:t>Key issues</w:t>
            </w:r>
            <w:r>
              <w:rPr>
                <w:noProof/>
                <w:webHidden/>
              </w:rPr>
              <w:tab/>
            </w:r>
            <w:r>
              <w:rPr>
                <w:noProof/>
                <w:webHidden/>
              </w:rPr>
              <w:fldChar w:fldCharType="begin"/>
            </w:r>
            <w:r>
              <w:rPr>
                <w:noProof/>
                <w:webHidden/>
              </w:rPr>
              <w:instrText xml:space="preserve"> PAGEREF _Toc205997100 \h </w:instrText>
            </w:r>
            <w:r>
              <w:rPr>
                <w:noProof/>
                <w:webHidden/>
              </w:rPr>
            </w:r>
            <w:r>
              <w:rPr>
                <w:noProof/>
                <w:webHidden/>
              </w:rPr>
              <w:fldChar w:fldCharType="separate"/>
            </w:r>
            <w:r>
              <w:rPr>
                <w:noProof/>
                <w:webHidden/>
              </w:rPr>
              <w:t>15</w:t>
            </w:r>
            <w:r>
              <w:rPr>
                <w:noProof/>
                <w:webHidden/>
              </w:rPr>
              <w:fldChar w:fldCharType="end"/>
            </w:r>
          </w:hyperlink>
        </w:p>
        <w:p w14:paraId="476B2295" w14:textId="4C85D666" w:rsidR="00E23F7A" w:rsidRDefault="00E23F7A">
          <w:pPr>
            <w:pStyle w:val="TOC2"/>
            <w:tabs>
              <w:tab w:val="right" w:leader="dot" w:pos="9060"/>
            </w:tabs>
            <w:rPr>
              <w:rFonts w:asciiTheme="minorHAnsi" w:eastAsiaTheme="minorEastAsia" w:hAnsiTheme="minorHAnsi" w:cstheme="minorBidi"/>
              <w:b w:val="0"/>
              <w:noProof/>
              <w:color w:val="auto"/>
              <w:sz w:val="22"/>
              <w:szCs w:val="22"/>
              <w:lang w:eastAsia="en-AU"/>
            </w:rPr>
          </w:pPr>
          <w:hyperlink w:anchor="_Toc205997101" w:history="1">
            <w:r w:rsidRPr="0006384D">
              <w:rPr>
                <w:rStyle w:val="Hyperlink"/>
                <w:noProof/>
              </w:rPr>
              <w:t>Key Issue 1: Internal review processes</w:t>
            </w:r>
            <w:r>
              <w:rPr>
                <w:noProof/>
                <w:webHidden/>
              </w:rPr>
              <w:tab/>
            </w:r>
            <w:r>
              <w:rPr>
                <w:noProof/>
                <w:webHidden/>
              </w:rPr>
              <w:fldChar w:fldCharType="begin"/>
            </w:r>
            <w:r>
              <w:rPr>
                <w:noProof/>
                <w:webHidden/>
              </w:rPr>
              <w:instrText xml:space="preserve"> PAGEREF _Toc205997101 \h </w:instrText>
            </w:r>
            <w:r>
              <w:rPr>
                <w:noProof/>
                <w:webHidden/>
              </w:rPr>
            </w:r>
            <w:r>
              <w:rPr>
                <w:noProof/>
                <w:webHidden/>
              </w:rPr>
              <w:fldChar w:fldCharType="separate"/>
            </w:r>
            <w:r>
              <w:rPr>
                <w:noProof/>
                <w:webHidden/>
              </w:rPr>
              <w:t>15</w:t>
            </w:r>
            <w:r>
              <w:rPr>
                <w:noProof/>
                <w:webHidden/>
              </w:rPr>
              <w:fldChar w:fldCharType="end"/>
            </w:r>
          </w:hyperlink>
        </w:p>
        <w:p w14:paraId="741A9873" w14:textId="2F6C1027" w:rsidR="00E23F7A" w:rsidRDefault="00E23F7A">
          <w:pPr>
            <w:pStyle w:val="TOC3"/>
            <w:tabs>
              <w:tab w:val="right" w:leader="dot" w:pos="9060"/>
            </w:tabs>
            <w:rPr>
              <w:rFonts w:asciiTheme="minorHAnsi" w:eastAsiaTheme="minorEastAsia" w:hAnsiTheme="minorHAnsi" w:cstheme="minorBidi"/>
              <w:noProof/>
              <w:color w:val="auto"/>
              <w:sz w:val="22"/>
              <w:szCs w:val="22"/>
              <w:lang w:eastAsia="en-AU"/>
            </w:rPr>
          </w:pPr>
          <w:hyperlink w:anchor="_Toc205997102" w:history="1">
            <w:r w:rsidRPr="0006384D">
              <w:rPr>
                <w:rStyle w:val="Hyperlink"/>
                <w:noProof/>
              </w:rPr>
              <w:t>Robodebt and concerns with ARO review process</w:t>
            </w:r>
            <w:r>
              <w:rPr>
                <w:noProof/>
                <w:webHidden/>
              </w:rPr>
              <w:tab/>
            </w:r>
            <w:r>
              <w:rPr>
                <w:noProof/>
                <w:webHidden/>
              </w:rPr>
              <w:fldChar w:fldCharType="begin"/>
            </w:r>
            <w:r>
              <w:rPr>
                <w:noProof/>
                <w:webHidden/>
              </w:rPr>
              <w:instrText xml:space="preserve"> PAGEREF _Toc205997102 \h </w:instrText>
            </w:r>
            <w:r>
              <w:rPr>
                <w:noProof/>
                <w:webHidden/>
              </w:rPr>
            </w:r>
            <w:r>
              <w:rPr>
                <w:noProof/>
                <w:webHidden/>
              </w:rPr>
              <w:fldChar w:fldCharType="separate"/>
            </w:r>
            <w:r>
              <w:rPr>
                <w:noProof/>
                <w:webHidden/>
              </w:rPr>
              <w:t>16</w:t>
            </w:r>
            <w:r>
              <w:rPr>
                <w:noProof/>
                <w:webHidden/>
              </w:rPr>
              <w:fldChar w:fldCharType="end"/>
            </w:r>
          </w:hyperlink>
        </w:p>
        <w:p w14:paraId="3B576A51" w14:textId="75B24B8E" w:rsidR="00E23F7A" w:rsidRDefault="00E23F7A">
          <w:pPr>
            <w:pStyle w:val="TOC3"/>
            <w:tabs>
              <w:tab w:val="right" w:leader="dot" w:pos="9060"/>
            </w:tabs>
            <w:rPr>
              <w:rFonts w:asciiTheme="minorHAnsi" w:eastAsiaTheme="minorEastAsia" w:hAnsiTheme="minorHAnsi" w:cstheme="minorBidi"/>
              <w:noProof/>
              <w:color w:val="auto"/>
              <w:sz w:val="22"/>
              <w:szCs w:val="22"/>
              <w:lang w:eastAsia="en-AU"/>
            </w:rPr>
          </w:pPr>
          <w:hyperlink w:anchor="_Toc205997103" w:history="1">
            <w:r w:rsidRPr="0006384D">
              <w:rPr>
                <w:rStyle w:val="Hyperlink"/>
                <w:noProof/>
              </w:rPr>
              <w:t>Timeliness and accessibility of decision-making</w:t>
            </w:r>
            <w:r>
              <w:rPr>
                <w:noProof/>
                <w:webHidden/>
              </w:rPr>
              <w:tab/>
            </w:r>
            <w:r>
              <w:rPr>
                <w:noProof/>
                <w:webHidden/>
              </w:rPr>
              <w:fldChar w:fldCharType="begin"/>
            </w:r>
            <w:r>
              <w:rPr>
                <w:noProof/>
                <w:webHidden/>
              </w:rPr>
              <w:instrText xml:space="preserve"> PAGEREF _Toc205997103 \h </w:instrText>
            </w:r>
            <w:r>
              <w:rPr>
                <w:noProof/>
                <w:webHidden/>
              </w:rPr>
            </w:r>
            <w:r>
              <w:rPr>
                <w:noProof/>
                <w:webHidden/>
              </w:rPr>
              <w:fldChar w:fldCharType="separate"/>
            </w:r>
            <w:r>
              <w:rPr>
                <w:noProof/>
                <w:webHidden/>
              </w:rPr>
              <w:t>16</w:t>
            </w:r>
            <w:r>
              <w:rPr>
                <w:noProof/>
                <w:webHidden/>
              </w:rPr>
              <w:fldChar w:fldCharType="end"/>
            </w:r>
          </w:hyperlink>
        </w:p>
        <w:p w14:paraId="239666B1" w14:textId="2AD282B4" w:rsidR="00E23F7A" w:rsidRDefault="00E23F7A">
          <w:pPr>
            <w:pStyle w:val="TOC3"/>
            <w:tabs>
              <w:tab w:val="right" w:leader="dot" w:pos="9060"/>
            </w:tabs>
            <w:rPr>
              <w:rFonts w:asciiTheme="minorHAnsi" w:eastAsiaTheme="minorEastAsia" w:hAnsiTheme="minorHAnsi" w:cstheme="minorBidi"/>
              <w:noProof/>
              <w:color w:val="auto"/>
              <w:sz w:val="22"/>
              <w:szCs w:val="22"/>
              <w:lang w:eastAsia="en-AU"/>
            </w:rPr>
          </w:pPr>
          <w:hyperlink w:anchor="_Toc205997104" w:history="1">
            <w:r w:rsidRPr="0006384D">
              <w:rPr>
                <w:rStyle w:val="Hyperlink"/>
                <w:noProof/>
              </w:rPr>
              <w:t>Impact on applications for external merits review</w:t>
            </w:r>
            <w:r>
              <w:rPr>
                <w:noProof/>
                <w:webHidden/>
              </w:rPr>
              <w:tab/>
            </w:r>
            <w:r>
              <w:rPr>
                <w:noProof/>
                <w:webHidden/>
              </w:rPr>
              <w:fldChar w:fldCharType="begin"/>
            </w:r>
            <w:r>
              <w:rPr>
                <w:noProof/>
                <w:webHidden/>
              </w:rPr>
              <w:instrText xml:space="preserve"> PAGEREF _Toc205997104 \h </w:instrText>
            </w:r>
            <w:r>
              <w:rPr>
                <w:noProof/>
                <w:webHidden/>
              </w:rPr>
            </w:r>
            <w:r>
              <w:rPr>
                <w:noProof/>
                <w:webHidden/>
              </w:rPr>
              <w:fldChar w:fldCharType="separate"/>
            </w:r>
            <w:r>
              <w:rPr>
                <w:noProof/>
                <w:webHidden/>
              </w:rPr>
              <w:t>17</w:t>
            </w:r>
            <w:r>
              <w:rPr>
                <w:noProof/>
                <w:webHidden/>
              </w:rPr>
              <w:fldChar w:fldCharType="end"/>
            </w:r>
          </w:hyperlink>
        </w:p>
        <w:p w14:paraId="5BEE4FCB" w14:textId="0FCF08BD" w:rsidR="00E23F7A" w:rsidRDefault="00E23F7A">
          <w:pPr>
            <w:pStyle w:val="TOC3"/>
            <w:tabs>
              <w:tab w:val="right" w:leader="dot" w:pos="9060"/>
            </w:tabs>
            <w:rPr>
              <w:rFonts w:asciiTheme="minorHAnsi" w:eastAsiaTheme="minorEastAsia" w:hAnsiTheme="minorHAnsi" w:cstheme="minorBidi"/>
              <w:noProof/>
              <w:color w:val="auto"/>
              <w:sz w:val="22"/>
              <w:szCs w:val="22"/>
              <w:lang w:eastAsia="en-AU"/>
            </w:rPr>
          </w:pPr>
          <w:hyperlink w:anchor="_Toc205997105" w:history="1">
            <w:r w:rsidRPr="0006384D">
              <w:rPr>
                <w:rStyle w:val="Hyperlink"/>
                <w:noProof/>
              </w:rPr>
              <w:t>Council consideration and questions</w:t>
            </w:r>
            <w:r>
              <w:rPr>
                <w:noProof/>
                <w:webHidden/>
              </w:rPr>
              <w:tab/>
            </w:r>
            <w:r>
              <w:rPr>
                <w:noProof/>
                <w:webHidden/>
              </w:rPr>
              <w:fldChar w:fldCharType="begin"/>
            </w:r>
            <w:r>
              <w:rPr>
                <w:noProof/>
                <w:webHidden/>
              </w:rPr>
              <w:instrText xml:space="preserve"> PAGEREF _Toc205997105 \h </w:instrText>
            </w:r>
            <w:r>
              <w:rPr>
                <w:noProof/>
                <w:webHidden/>
              </w:rPr>
            </w:r>
            <w:r>
              <w:rPr>
                <w:noProof/>
                <w:webHidden/>
              </w:rPr>
              <w:fldChar w:fldCharType="separate"/>
            </w:r>
            <w:r>
              <w:rPr>
                <w:noProof/>
                <w:webHidden/>
              </w:rPr>
              <w:t>18</w:t>
            </w:r>
            <w:r>
              <w:rPr>
                <w:noProof/>
                <w:webHidden/>
              </w:rPr>
              <w:fldChar w:fldCharType="end"/>
            </w:r>
          </w:hyperlink>
        </w:p>
        <w:p w14:paraId="60780120" w14:textId="5ABFB617" w:rsidR="00E23F7A" w:rsidRDefault="00E23F7A">
          <w:pPr>
            <w:pStyle w:val="TOC2"/>
            <w:tabs>
              <w:tab w:val="right" w:leader="dot" w:pos="9060"/>
            </w:tabs>
            <w:rPr>
              <w:rFonts w:asciiTheme="minorHAnsi" w:eastAsiaTheme="minorEastAsia" w:hAnsiTheme="minorHAnsi" w:cstheme="minorBidi"/>
              <w:b w:val="0"/>
              <w:noProof/>
              <w:color w:val="auto"/>
              <w:sz w:val="22"/>
              <w:szCs w:val="22"/>
              <w:lang w:eastAsia="en-AU"/>
            </w:rPr>
          </w:pPr>
          <w:hyperlink w:anchor="_Toc205997106" w:history="1">
            <w:r w:rsidRPr="0006384D">
              <w:rPr>
                <w:rStyle w:val="Hyperlink"/>
                <w:noProof/>
              </w:rPr>
              <w:t>Key Issue 2: ART social security merits review structure</w:t>
            </w:r>
            <w:r>
              <w:rPr>
                <w:noProof/>
                <w:webHidden/>
              </w:rPr>
              <w:tab/>
            </w:r>
            <w:r>
              <w:rPr>
                <w:noProof/>
                <w:webHidden/>
              </w:rPr>
              <w:fldChar w:fldCharType="begin"/>
            </w:r>
            <w:r>
              <w:rPr>
                <w:noProof/>
                <w:webHidden/>
              </w:rPr>
              <w:instrText xml:space="preserve"> PAGEREF _Toc205997106 \h </w:instrText>
            </w:r>
            <w:r>
              <w:rPr>
                <w:noProof/>
                <w:webHidden/>
              </w:rPr>
            </w:r>
            <w:r>
              <w:rPr>
                <w:noProof/>
                <w:webHidden/>
              </w:rPr>
              <w:fldChar w:fldCharType="separate"/>
            </w:r>
            <w:r>
              <w:rPr>
                <w:noProof/>
                <w:webHidden/>
              </w:rPr>
              <w:t>19</w:t>
            </w:r>
            <w:r>
              <w:rPr>
                <w:noProof/>
                <w:webHidden/>
              </w:rPr>
              <w:fldChar w:fldCharType="end"/>
            </w:r>
          </w:hyperlink>
        </w:p>
        <w:p w14:paraId="76D0156B" w14:textId="681CAE9E" w:rsidR="00E23F7A" w:rsidRDefault="00E23F7A">
          <w:pPr>
            <w:pStyle w:val="TOC3"/>
            <w:tabs>
              <w:tab w:val="right" w:leader="dot" w:pos="9060"/>
            </w:tabs>
            <w:rPr>
              <w:rFonts w:asciiTheme="minorHAnsi" w:eastAsiaTheme="minorEastAsia" w:hAnsiTheme="minorHAnsi" w:cstheme="minorBidi"/>
              <w:noProof/>
              <w:color w:val="auto"/>
              <w:sz w:val="22"/>
              <w:szCs w:val="22"/>
              <w:lang w:eastAsia="en-AU"/>
            </w:rPr>
          </w:pPr>
          <w:hyperlink w:anchor="_Toc205997107" w:history="1">
            <w:r w:rsidRPr="0006384D">
              <w:rPr>
                <w:rStyle w:val="Hyperlink"/>
                <w:noProof/>
              </w:rPr>
              <w:t>Current review structure</w:t>
            </w:r>
            <w:r>
              <w:rPr>
                <w:noProof/>
                <w:webHidden/>
              </w:rPr>
              <w:tab/>
            </w:r>
            <w:r>
              <w:rPr>
                <w:noProof/>
                <w:webHidden/>
              </w:rPr>
              <w:fldChar w:fldCharType="begin"/>
            </w:r>
            <w:r>
              <w:rPr>
                <w:noProof/>
                <w:webHidden/>
              </w:rPr>
              <w:instrText xml:space="preserve"> PAGEREF _Toc205997107 \h </w:instrText>
            </w:r>
            <w:r>
              <w:rPr>
                <w:noProof/>
                <w:webHidden/>
              </w:rPr>
            </w:r>
            <w:r>
              <w:rPr>
                <w:noProof/>
                <w:webHidden/>
              </w:rPr>
              <w:fldChar w:fldCharType="separate"/>
            </w:r>
            <w:r>
              <w:rPr>
                <w:noProof/>
                <w:webHidden/>
              </w:rPr>
              <w:t>19</w:t>
            </w:r>
            <w:r>
              <w:rPr>
                <w:noProof/>
                <w:webHidden/>
              </w:rPr>
              <w:fldChar w:fldCharType="end"/>
            </w:r>
          </w:hyperlink>
        </w:p>
        <w:p w14:paraId="27D2A02F" w14:textId="4B55DC19" w:rsidR="00E23F7A" w:rsidRDefault="00E23F7A">
          <w:pPr>
            <w:pStyle w:val="TOC3"/>
            <w:tabs>
              <w:tab w:val="right" w:leader="dot" w:pos="9060"/>
            </w:tabs>
            <w:rPr>
              <w:rFonts w:asciiTheme="minorHAnsi" w:eastAsiaTheme="minorEastAsia" w:hAnsiTheme="minorHAnsi" w:cstheme="minorBidi"/>
              <w:noProof/>
              <w:color w:val="auto"/>
              <w:sz w:val="22"/>
              <w:szCs w:val="22"/>
              <w:lang w:eastAsia="en-AU"/>
            </w:rPr>
          </w:pPr>
          <w:hyperlink w:anchor="_Toc205997108" w:history="1">
            <w:r w:rsidRPr="0006384D">
              <w:rPr>
                <w:rStyle w:val="Hyperlink"/>
                <w:noProof/>
              </w:rPr>
              <w:t>Arguments for and against the two-tier structure</w:t>
            </w:r>
            <w:r>
              <w:rPr>
                <w:noProof/>
                <w:webHidden/>
              </w:rPr>
              <w:tab/>
            </w:r>
            <w:r>
              <w:rPr>
                <w:noProof/>
                <w:webHidden/>
              </w:rPr>
              <w:fldChar w:fldCharType="begin"/>
            </w:r>
            <w:r>
              <w:rPr>
                <w:noProof/>
                <w:webHidden/>
              </w:rPr>
              <w:instrText xml:space="preserve"> PAGEREF _Toc205997108 \h </w:instrText>
            </w:r>
            <w:r>
              <w:rPr>
                <w:noProof/>
                <w:webHidden/>
              </w:rPr>
            </w:r>
            <w:r>
              <w:rPr>
                <w:noProof/>
                <w:webHidden/>
              </w:rPr>
              <w:fldChar w:fldCharType="separate"/>
            </w:r>
            <w:r>
              <w:rPr>
                <w:noProof/>
                <w:webHidden/>
              </w:rPr>
              <w:t>20</w:t>
            </w:r>
            <w:r>
              <w:rPr>
                <w:noProof/>
                <w:webHidden/>
              </w:rPr>
              <w:fldChar w:fldCharType="end"/>
            </w:r>
          </w:hyperlink>
        </w:p>
        <w:p w14:paraId="5657FDB8" w14:textId="35FC71A0" w:rsidR="00E23F7A" w:rsidRDefault="00E23F7A">
          <w:pPr>
            <w:pStyle w:val="TOC3"/>
            <w:tabs>
              <w:tab w:val="right" w:leader="dot" w:pos="9060"/>
            </w:tabs>
            <w:rPr>
              <w:rFonts w:asciiTheme="minorHAnsi" w:eastAsiaTheme="minorEastAsia" w:hAnsiTheme="minorHAnsi" w:cstheme="minorBidi"/>
              <w:noProof/>
              <w:color w:val="auto"/>
              <w:sz w:val="22"/>
              <w:szCs w:val="22"/>
              <w:lang w:eastAsia="en-AU"/>
            </w:rPr>
          </w:pPr>
          <w:hyperlink w:anchor="_Toc205997109" w:history="1">
            <w:r w:rsidRPr="0006384D">
              <w:rPr>
                <w:rStyle w:val="Hyperlink"/>
                <w:noProof/>
              </w:rPr>
              <w:t>Council consideration and questions</w:t>
            </w:r>
            <w:r>
              <w:rPr>
                <w:noProof/>
                <w:webHidden/>
              </w:rPr>
              <w:tab/>
            </w:r>
            <w:r>
              <w:rPr>
                <w:noProof/>
                <w:webHidden/>
              </w:rPr>
              <w:fldChar w:fldCharType="begin"/>
            </w:r>
            <w:r>
              <w:rPr>
                <w:noProof/>
                <w:webHidden/>
              </w:rPr>
              <w:instrText xml:space="preserve"> PAGEREF _Toc205997109 \h </w:instrText>
            </w:r>
            <w:r>
              <w:rPr>
                <w:noProof/>
                <w:webHidden/>
              </w:rPr>
            </w:r>
            <w:r>
              <w:rPr>
                <w:noProof/>
                <w:webHidden/>
              </w:rPr>
              <w:fldChar w:fldCharType="separate"/>
            </w:r>
            <w:r>
              <w:rPr>
                <w:noProof/>
                <w:webHidden/>
              </w:rPr>
              <w:t>23</w:t>
            </w:r>
            <w:r>
              <w:rPr>
                <w:noProof/>
                <w:webHidden/>
              </w:rPr>
              <w:fldChar w:fldCharType="end"/>
            </w:r>
          </w:hyperlink>
        </w:p>
        <w:p w14:paraId="08AD6319" w14:textId="600D8988" w:rsidR="00E23F7A" w:rsidRDefault="00E23F7A">
          <w:pPr>
            <w:pStyle w:val="TOC2"/>
            <w:tabs>
              <w:tab w:val="right" w:leader="dot" w:pos="9060"/>
            </w:tabs>
            <w:rPr>
              <w:rFonts w:asciiTheme="minorHAnsi" w:eastAsiaTheme="minorEastAsia" w:hAnsiTheme="minorHAnsi" w:cstheme="minorBidi"/>
              <w:b w:val="0"/>
              <w:noProof/>
              <w:color w:val="auto"/>
              <w:sz w:val="22"/>
              <w:szCs w:val="22"/>
              <w:lang w:eastAsia="en-AU"/>
            </w:rPr>
          </w:pPr>
          <w:hyperlink w:anchor="_Toc205997110" w:history="1">
            <w:r w:rsidRPr="0006384D">
              <w:rPr>
                <w:rStyle w:val="Hyperlink"/>
                <w:noProof/>
              </w:rPr>
              <w:t>Key Issue 3: Role of the Department in the ART</w:t>
            </w:r>
            <w:r>
              <w:rPr>
                <w:noProof/>
                <w:webHidden/>
              </w:rPr>
              <w:tab/>
            </w:r>
            <w:r>
              <w:rPr>
                <w:noProof/>
                <w:webHidden/>
              </w:rPr>
              <w:fldChar w:fldCharType="begin"/>
            </w:r>
            <w:r>
              <w:rPr>
                <w:noProof/>
                <w:webHidden/>
              </w:rPr>
              <w:instrText xml:space="preserve"> PAGEREF _Toc205997110 \h </w:instrText>
            </w:r>
            <w:r>
              <w:rPr>
                <w:noProof/>
                <w:webHidden/>
              </w:rPr>
            </w:r>
            <w:r>
              <w:rPr>
                <w:noProof/>
                <w:webHidden/>
              </w:rPr>
              <w:fldChar w:fldCharType="separate"/>
            </w:r>
            <w:r>
              <w:rPr>
                <w:noProof/>
                <w:webHidden/>
              </w:rPr>
              <w:t>24</w:t>
            </w:r>
            <w:r>
              <w:rPr>
                <w:noProof/>
                <w:webHidden/>
              </w:rPr>
              <w:fldChar w:fldCharType="end"/>
            </w:r>
          </w:hyperlink>
        </w:p>
        <w:p w14:paraId="7EBF7518" w14:textId="59AA6915" w:rsidR="00E23F7A" w:rsidRDefault="00E23F7A">
          <w:pPr>
            <w:pStyle w:val="TOC3"/>
            <w:tabs>
              <w:tab w:val="right" w:leader="dot" w:pos="9060"/>
            </w:tabs>
            <w:rPr>
              <w:rFonts w:asciiTheme="minorHAnsi" w:eastAsiaTheme="minorEastAsia" w:hAnsiTheme="minorHAnsi" w:cstheme="minorBidi"/>
              <w:noProof/>
              <w:color w:val="auto"/>
              <w:sz w:val="22"/>
              <w:szCs w:val="22"/>
              <w:lang w:eastAsia="en-AU"/>
            </w:rPr>
          </w:pPr>
          <w:hyperlink w:anchor="_Toc205997111" w:history="1">
            <w:r w:rsidRPr="0006384D">
              <w:rPr>
                <w:rStyle w:val="Hyperlink"/>
                <w:noProof/>
              </w:rPr>
              <w:t>Current procedures</w:t>
            </w:r>
            <w:r>
              <w:rPr>
                <w:noProof/>
                <w:webHidden/>
              </w:rPr>
              <w:tab/>
            </w:r>
            <w:r>
              <w:rPr>
                <w:noProof/>
                <w:webHidden/>
              </w:rPr>
              <w:fldChar w:fldCharType="begin"/>
            </w:r>
            <w:r>
              <w:rPr>
                <w:noProof/>
                <w:webHidden/>
              </w:rPr>
              <w:instrText xml:space="preserve"> PAGEREF _Toc205997111 \h </w:instrText>
            </w:r>
            <w:r>
              <w:rPr>
                <w:noProof/>
                <w:webHidden/>
              </w:rPr>
            </w:r>
            <w:r>
              <w:rPr>
                <w:noProof/>
                <w:webHidden/>
              </w:rPr>
              <w:fldChar w:fldCharType="separate"/>
            </w:r>
            <w:r>
              <w:rPr>
                <w:noProof/>
                <w:webHidden/>
              </w:rPr>
              <w:t>24</w:t>
            </w:r>
            <w:r>
              <w:rPr>
                <w:noProof/>
                <w:webHidden/>
              </w:rPr>
              <w:fldChar w:fldCharType="end"/>
            </w:r>
          </w:hyperlink>
        </w:p>
        <w:p w14:paraId="11FC10B5" w14:textId="2461FC96" w:rsidR="00E23F7A" w:rsidRDefault="00E23F7A">
          <w:pPr>
            <w:pStyle w:val="TOC3"/>
            <w:tabs>
              <w:tab w:val="right" w:leader="dot" w:pos="9060"/>
            </w:tabs>
            <w:rPr>
              <w:rFonts w:asciiTheme="minorHAnsi" w:eastAsiaTheme="minorEastAsia" w:hAnsiTheme="minorHAnsi" w:cstheme="minorBidi"/>
              <w:noProof/>
              <w:color w:val="auto"/>
              <w:sz w:val="22"/>
              <w:szCs w:val="22"/>
              <w:lang w:eastAsia="en-AU"/>
            </w:rPr>
          </w:pPr>
          <w:hyperlink w:anchor="_Toc205997112" w:history="1">
            <w:r w:rsidRPr="0006384D">
              <w:rPr>
                <w:rStyle w:val="Hyperlink"/>
                <w:noProof/>
              </w:rPr>
              <w:t>Council consideration and questions</w:t>
            </w:r>
            <w:r>
              <w:rPr>
                <w:noProof/>
                <w:webHidden/>
              </w:rPr>
              <w:tab/>
            </w:r>
            <w:r>
              <w:rPr>
                <w:noProof/>
                <w:webHidden/>
              </w:rPr>
              <w:fldChar w:fldCharType="begin"/>
            </w:r>
            <w:r>
              <w:rPr>
                <w:noProof/>
                <w:webHidden/>
              </w:rPr>
              <w:instrText xml:space="preserve"> PAGEREF _Toc205997112 \h </w:instrText>
            </w:r>
            <w:r>
              <w:rPr>
                <w:noProof/>
                <w:webHidden/>
              </w:rPr>
            </w:r>
            <w:r>
              <w:rPr>
                <w:noProof/>
                <w:webHidden/>
              </w:rPr>
              <w:fldChar w:fldCharType="separate"/>
            </w:r>
            <w:r>
              <w:rPr>
                <w:noProof/>
                <w:webHidden/>
              </w:rPr>
              <w:t>28</w:t>
            </w:r>
            <w:r>
              <w:rPr>
                <w:noProof/>
                <w:webHidden/>
              </w:rPr>
              <w:fldChar w:fldCharType="end"/>
            </w:r>
          </w:hyperlink>
        </w:p>
        <w:p w14:paraId="0E19B451" w14:textId="5B777E0B" w:rsidR="00E23F7A" w:rsidRDefault="00E23F7A">
          <w:pPr>
            <w:pStyle w:val="TOC2"/>
            <w:tabs>
              <w:tab w:val="right" w:leader="dot" w:pos="9060"/>
            </w:tabs>
            <w:rPr>
              <w:rFonts w:asciiTheme="minorHAnsi" w:eastAsiaTheme="minorEastAsia" w:hAnsiTheme="minorHAnsi" w:cstheme="minorBidi"/>
              <w:b w:val="0"/>
              <w:noProof/>
              <w:color w:val="auto"/>
              <w:sz w:val="22"/>
              <w:szCs w:val="22"/>
              <w:lang w:eastAsia="en-AU"/>
            </w:rPr>
          </w:pPr>
          <w:hyperlink w:anchor="_Toc205997113" w:history="1">
            <w:r w:rsidRPr="0006384D">
              <w:rPr>
                <w:rStyle w:val="Hyperlink"/>
                <w:noProof/>
              </w:rPr>
              <w:t>Key Issue 4: Role of alternative dispute resolution in the ART</w:t>
            </w:r>
            <w:r>
              <w:rPr>
                <w:noProof/>
                <w:webHidden/>
              </w:rPr>
              <w:tab/>
            </w:r>
            <w:r>
              <w:rPr>
                <w:noProof/>
                <w:webHidden/>
              </w:rPr>
              <w:fldChar w:fldCharType="begin"/>
            </w:r>
            <w:r>
              <w:rPr>
                <w:noProof/>
                <w:webHidden/>
              </w:rPr>
              <w:instrText xml:space="preserve"> PAGEREF _Toc205997113 \h </w:instrText>
            </w:r>
            <w:r>
              <w:rPr>
                <w:noProof/>
                <w:webHidden/>
              </w:rPr>
            </w:r>
            <w:r>
              <w:rPr>
                <w:noProof/>
                <w:webHidden/>
              </w:rPr>
              <w:fldChar w:fldCharType="separate"/>
            </w:r>
            <w:r>
              <w:rPr>
                <w:noProof/>
                <w:webHidden/>
              </w:rPr>
              <w:t>28</w:t>
            </w:r>
            <w:r>
              <w:rPr>
                <w:noProof/>
                <w:webHidden/>
              </w:rPr>
              <w:fldChar w:fldCharType="end"/>
            </w:r>
          </w:hyperlink>
        </w:p>
        <w:p w14:paraId="0B27429F" w14:textId="0FF09908" w:rsidR="00E23F7A" w:rsidRDefault="00E23F7A">
          <w:pPr>
            <w:pStyle w:val="TOC3"/>
            <w:tabs>
              <w:tab w:val="right" w:leader="dot" w:pos="9060"/>
            </w:tabs>
            <w:rPr>
              <w:rFonts w:asciiTheme="minorHAnsi" w:eastAsiaTheme="minorEastAsia" w:hAnsiTheme="minorHAnsi" w:cstheme="minorBidi"/>
              <w:noProof/>
              <w:color w:val="auto"/>
              <w:sz w:val="22"/>
              <w:szCs w:val="22"/>
              <w:lang w:eastAsia="en-AU"/>
            </w:rPr>
          </w:pPr>
          <w:hyperlink w:anchor="_Toc205997114" w:history="1">
            <w:r w:rsidRPr="0006384D">
              <w:rPr>
                <w:rStyle w:val="Hyperlink"/>
                <w:noProof/>
              </w:rPr>
              <w:t>Should dispute resolution be used in first review?</w:t>
            </w:r>
            <w:r>
              <w:rPr>
                <w:noProof/>
                <w:webHidden/>
              </w:rPr>
              <w:tab/>
            </w:r>
            <w:r>
              <w:rPr>
                <w:noProof/>
                <w:webHidden/>
              </w:rPr>
              <w:fldChar w:fldCharType="begin"/>
            </w:r>
            <w:r>
              <w:rPr>
                <w:noProof/>
                <w:webHidden/>
              </w:rPr>
              <w:instrText xml:space="preserve"> PAGEREF _Toc205997114 \h </w:instrText>
            </w:r>
            <w:r>
              <w:rPr>
                <w:noProof/>
                <w:webHidden/>
              </w:rPr>
            </w:r>
            <w:r>
              <w:rPr>
                <w:noProof/>
                <w:webHidden/>
              </w:rPr>
              <w:fldChar w:fldCharType="separate"/>
            </w:r>
            <w:r>
              <w:rPr>
                <w:noProof/>
                <w:webHidden/>
              </w:rPr>
              <w:t>30</w:t>
            </w:r>
            <w:r>
              <w:rPr>
                <w:noProof/>
                <w:webHidden/>
              </w:rPr>
              <w:fldChar w:fldCharType="end"/>
            </w:r>
          </w:hyperlink>
        </w:p>
        <w:p w14:paraId="7C339444" w14:textId="783C84A8" w:rsidR="00E23F7A" w:rsidRDefault="00E23F7A">
          <w:pPr>
            <w:pStyle w:val="TOC3"/>
            <w:tabs>
              <w:tab w:val="right" w:leader="dot" w:pos="9060"/>
            </w:tabs>
            <w:rPr>
              <w:rFonts w:asciiTheme="minorHAnsi" w:eastAsiaTheme="minorEastAsia" w:hAnsiTheme="minorHAnsi" w:cstheme="minorBidi"/>
              <w:noProof/>
              <w:color w:val="auto"/>
              <w:sz w:val="22"/>
              <w:szCs w:val="22"/>
              <w:lang w:eastAsia="en-AU"/>
            </w:rPr>
          </w:pPr>
          <w:hyperlink w:anchor="_Toc205997115" w:history="1">
            <w:r w:rsidRPr="0006384D">
              <w:rPr>
                <w:rStyle w:val="Hyperlink"/>
                <w:noProof/>
              </w:rPr>
              <w:t>Council consideration and questions</w:t>
            </w:r>
            <w:r>
              <w:rPr>
                <w:noProof/>
                <w:webHidden/>
              </w:rPr>
              <w:tab/>
            </w:r>
            <w:r>
              <w:rPr>
                <w:noProof/>
                <w:webHidden/>
              </w:rPr>
              <w:fldChar w:fldCharType="begin"/>
            </w:r>
            <w:r>
              <w:rPr>
                <w:noProof/>
                <w:webHidden/>
              </w:rPr>
              <w:instrText xml:space="preserve"> PAGEREF _Toc205997115 \h </w:instrText>
            </w:r>
            <w:r>
              <w:rPr>
                <w:noProof/>
                <w:webHidden/>
              </w:rPr>
            </w:r>
            <w:r>
              <w:rPr>
                <w:noProof/>
                <w:webHidden/>
              </w:rPr>
              <w:fldChar w:fldCharType="separate"/>
            </w:r>
            <w:r>
              <w:rPr>
                <w:noProof/>
                <w:webHidden/>
              </w:rPr>
              <w:t>30</w:t>
            </w:r>
            <w:r>
              <w:rPr>
                <w:noProof/>
                <w:webHidden/>
              </w:rPr>
              <w:fldChar w:fldCharType="end"/>
            </w:r>
          </w:hyperlink>
        </w:p>
        <w:p w14:paraId="61CBF1FB" w14:textId="3D0AD470" w:rsidR="00E23F7A" w:rsidRDefault="00E23F7A">
          <w:pPr>
            <w:pStyle w:val="TOC2"/>
            <w:tabs>
              <w:tab w:val="right" w:leader="dot" w:pos="9060"/>
            </w:tabs>
            <w:rPr>
              <w:rFonts w:asciiTheme="minorHAnsi" w:eastAsiaTheme="minorEastAsia" w:hAnsiTheme="minorHAnsi" w:cstheme="minorBidi"/>
              <w:b w:val="0"/>
              <w:noProof/>
              <w:color w:val="auto"/>
              <w:sz w:val="22"/>
              <w:szCs w:val="22"/>
              <w:lang w:eastAsia="en-AU"/>
            </w:rPr>
          </w:pPr>
          <w:hyperlink w:anchor="_Toc205997116" w:history="1">
            <w:r w:rsidRPr="0006384D">
              <w:rPr>
                <w:rStyle w:val="Hyperlink"/>
                <w:noProof/>
              </w:rPr>
              <w:t>Key Issue 5: Role of the Guidance and Appeals Panel</w:t>
            </w:r>
            <w:r>
              <w:rPr>
                <w:noProof/>
                <w:webHidden/>
              </w:rPr>
              <w:tab/>
            </w:r>
            <w:r>
              <w:rPr>
                <w:noProof/>
                <w:webHidden/>
              </w:rPr>
              <w:fldChar w:fldCharType="begin"/>
            </w:r>
            <w:r>
              <w:rPr>
                <w:noProof/>
                <w:webHidden/>
              </w:rPr>
              <w:instrText xml:space="preserve"> PAGEREF _Toc205997116 \h </w:instrText>
            </w:r>
            <w:r>
              <w:rPr>
                <w:noProof/>
                <w:webHidden/>
              </w:rPr>
            </w:r>
            <w:r>
              <w:rPr>
                <w:noProof/>
                <w:webHidden/>
              </w:rPr>
              <w:fldChar w:fldCharType="separate"/>
            </w:r>
            <w:r>
              <w:rPr>
                <w:noProof/>
                <w:webHidden/>
              </w:rPr>
              <w:t>31</w:t>
            </w:r>
            <w:r>
              <w:rPr>
                <w:noProof/>
                <w:webHidden/>
              </w:rPr>
              <w:fldChar w:fldCharType="end"/>
            </w:r>
          </w:hyperlink>
        </w:p>
        <w:p w14:paraId="680F1EFF" w14:textId="0EC204F3" w:rsidR="00E23F7A" w:rsidRDefault="00E23F7A">
          <w:pPr>
            <w:pStyle w:val="TOC3"/>
            <w:tabs>
              <w:tab w:val="right" w:leader="dot" w:pos="9060"/>
            </w:tabs>
            <w:rPr>
              <w:rFonts w:asciiTheme="minorHAnsi" w:eastAsiaTheme="minorEastAsia" w:hAnsiTheme="minorHAnsi" w:cstheme="minorBidi"/>
              <w:noProof/>
              <w:color w:val="auto"/>
              <w:sz w:val="22"/>
              <w:szCs w:val="22"/>
              <w:lang w:eastAsia="en-AU"/>
            </w:rPr>
          </w:pPr>
          <w:hyperlink w:anchor="_Toc205997117" w:history="1">
            <w:r w:rsidRPr="0006384D">
              <w:rPr>
                <w:rStyle w:val="Hyperlink"/>
                <w:noProof/>
              </w:rPr>
              <w:t>Overview of the Guidance and Appeals Panel</w:t>
            </w:r>
            <w:r>
              <w:rPr>
                <w:noProof/>
                <w:webHidden/>
              </w:rPr>
              <w:tab/>
            </w:r>
            <w:r>
              <w:rPr>
                <w:noProof/>
                <w:webHidden/>
              </w:rPr>
              <w:fldChar w:fldCharType="begin"/>
            </w:r>
            <w:r>
              <w:rPr>
                <w:noProof/>
                <w:webHidden/>
              </w:rPr>
              <w:instrText xml:space="preserve"> PAGEREF _Toc205997117 \h </w:instrText>
            </w:r>
            <w:r>
              <w:rPr>
                <w:noProof/>
                <w:webHidden/>
              </w:rPr>
            </w:r>
            <w:r>
              <w:rPr>
                <w:noProof/>
                <w:webHidden/>
              </w:rPr>
              <w:fldChar w:fldCharType="separate"/>
            </w:r>
            <w:r>
              <w:rPr>
                <w:noProof/>
                <w:webHidden/>
              </w:rPr>
              <w:t>31</w:t>
            </w:r>
            <w:r>
              <w:rPr>
                <w:noProof/>
                <w:webHidden/>
              </w:rPr>
              <w:fldChar w:fldCharType="end"/>
            </w:r>
          </w:hyperlink>
        </w:p>
        <w:p w14:paraId="2724FD4C" w14:textId="0B91662F" w:rsidR="00E23F7A" w:rsidRDefault="00E23F7A">
          <w:pPr>
            <w:pStyle w:val="TOC3"/>
            <w:tabs>
              <w:tab w:val="right" w:leader="dot" w:pos="9060"/>
            </w:tabs>
            <w:rPr>
              <w:rFonts w:asciiTheme="minorHAnsi" w:eastAsiaTheme="minorEastAsia" w:hAnsiTheme="minorHAnsi" w:cstheme="minorBidi"/>
              <w:noProof/>
              <w:color w:val="auto"/>
              <w:sz w:val="22"/>
              <w:szCs w:val="22"/>
              <w:lang w:eastAsia="en-AU"/>
            </w:rPr>
          </w:pPr>
          <w:hyperlink w:anchor="_Toc205997118" w:history="1">
            <w:r w:rsidRPr="0006384D">
              <w:rPr>
                <w:rStyle w:val="Hyperlink"/>
                <w:noProof/>
              </w:rPr>
              <w:t>Current role of the GAP in social security matters</w:t>
            </w:r>
            <w:r>
              <w:rPr>
                <w:noProof/>
                <w:webHidden/>
              </w:rPr>
              <w:tab/>
            </w:r>
            <w:r>
              <w:rPr>
                <w:noProof/>
                <w:webHidden/>
              </w:rPr>
              <w:fldChar w:fldCharType="begin"/>
            </w:r>
            <w:r>
              <w:rPr>
                <w:noProof/>
                <w:webHidden/>
              </w:rPr>
              <w:instrText xml:space="preserve"> PAGEREF _Toc205997118 \h </w:instrText>
            </w:r>
            <w:r>
              <w:rPr>
                <w:noProof/>
                <w:webHidden/>
              </w:rPr>
            </w:r>
            <w:r>
              <w:rPr>
                <w:noProof/>
                <w:webHidden/>
              </w:rPr>
              <w:fldChar w:fldCharType="separate"/>
            </w:r>
            <w:r>
              <w:rPr>
                <w:noProof/>
                <w:webHidden/>
              </w:rPr>
              <w:t>32</w:t>
            </w:r>
            <w:r>
              <w:rPr>
                <w:noProof/>
                <w:webHidden/>
              </w:rPr>
              <w:fldChar w:fldCharType="end"/>
            </w:r>
          </w:hyperlink>
        </w:p>
        <w:p w14:paraId="51160C39" w14:textId="2E3C0C8E" w:rsidR="00E23F7A" w:rsidRDefault="00E23F7A">
          <w:pPr>
            <w:pStyle w:val="TOC3"/>
            <w:tabs>
              <w:tab w:val="right" w:leader="dot" w:pos="9060"/>
            </w:tabs>
            <w:rPr>
              <w:rFonts w:asciiTheme="minorHAnsi" w:eastAsiaTheme="minorEastAsia" w:hAnsiTheme="minorHAnsi" w:cstheme="minorBidi"/>
              <w:noProof/>
              <w:color w:val="auto"/>
              <w:sz w:val="22"/>
              <w:szCs w:val="22"/>
              <w:lang w:eastAsia="en-AU"/>
            </w:rPr>
          </w:pPr>
          <w:hyperlink w:anchor="_Toc205997119" w:history="1">
            <w:r w:rsidRPr="0006384D">
              <w:rPr>
                <w:rStyle w:val="Hyperlink"/>
                <w:noProof/>
              </w:rPr>
              <w:t>Previous proposal for the GAP to conduct second review</w:t>
            </w:r>
            <w:r>
              <w:rPr>
                <w:noProof/>
                <w:webHidden/>
              </w:rPr>
              <w:tab/>
            </w:r>
            <w:r>
              <w:rPr>
                <w:noProof/>
                <w:webHidden/>
              </w:rPr>
              <w:fldChar w:fldCharType="begin"/>
            </w:r>
            <w:r>
              <w:rPr>
                <w:noProof/>
                <w:webHidden/>
              </w:rPr>
              <w:instrText xml:space="preserve"> PAGEREF _Toc205997119 \h </w:instrText>
            </w:r>
            <w:r>
              <w:rPr>
                <w:noProof/>
                <w:webHidden/>
              </w:rPr>
            </w:r>
            <w:r>
              <w:rPr>
                <w:noProof/>
                <w:webHidden/>
              </w:rPr>
              <w:fldChar w:fldCharType="separate"/>
            </w:r>
            <w:r>
              <w:rPr>
                <w:noProof/>
                <w:webHidden/>
              </w:rPr>
              <w:t>33</w:t>
            </w:r>
            <w:r>
              <w:rPr>
                <w:noProof/>
                <w:webHidden/>
              </w:rPr>
              <w:fldChar w:fldCharType="end"/>
            </w:r>
          </w:hyperlink>
        </w:p>
        <w:p w14:paraId="55DFC8B6" w14:textId="74C26E89" w:rsidR="00E23F7A" w:rsidRDefault="00E23F7A">
          <w:pPr>
            <w:pStyle w:val="TOC3"/>
            <w:tabs>
              <w:tab w:val="right" w:leader="dot" w:pos="9060"/>
            </w:tabs>
            <w:rPr>
              <w:rFonts w:asciiTheme="minorHAnsi" w:eastAsiaTheme="minorEastAsia" w:hAnsiTheme="minorHAnsi" w:cstheme="minorBidi"/>
              <w:noProof/>
              <w:color w:val="auto"/>
              <w:sz w:val="22"/>
              <w:szCs w:val="22"/>
              <w:lang w:eastAsia="en-AU"/>
            </w:rPr>
          </w:pPr>
          <w:hyperlink w:anchor="_Toc205997120" w:history="1">
            <w:r w:rsidRPr="0006384D">
              <w:rPr>
                <w:rStyle w:val="Hyperlink"/>
                <w:noProof/>
              </w:rPr>
              <w:t>Council consideration and questions</w:t>
            </w:r>
            <w:r>
              <w:rPr>
                <w:noProof/>
                <w:webHidden/>
              </w:rPr>
              <w:tab/>
            </w:r>
            <w:r>
              <w:rPr>
                <w:noProof/>
                <w:webHidden/>
              </w:rPr>
              <w:fldChar w:fldCharType="begin"/>
            </w:r>
            <w:r>
              <w:rPr>
                <w:noProof/>
                <w:webHidden/>
              </w:rPr>
              <w:instrText xml:space="preserve"> PAGEREF _Toc205997120 \h </w:instrText>
            </w:r>
            <w:r>
              <w:rPr>
                <w:noProof/>
                <w:webHidden/>
              </w:rPr>
            </w:r>
            <w:r>
              <w:rPr>
                <w:noProof/>
                <w:webHidden/>
              </w:rPr>
              <w:fldChar w:fldCharType="separate"/>
            </w:r>
            <w:r>
              <w:rPr>
                <w:noProof/>
                <w:webHidden/>
              </w:rPr>
              <w:t>34</w:t>
            </w:r>
            <w:r>
              <w:rPr>
                <w:noProof/>
                <w:webHidden/>
              </w:rPr>
              <w:fldChar w:fldCharType="end"/>
            </w:r>
          </w:hyperlink>
        </w:p>
        <w:p w14:paraId="0523DE70" w14:textId="3C6E699C" w:rsidR="00E23F7A" w:rsidRDefault="00E23F7A">
          <w:pPr>
            <w:pStyle w:val="TOC1"/>
            <w:tabs>
              <w:tab w:val="right" w:leader="dot" w:pos="9060"/>
            </w:tabs>
            <w:rPr>
              <w:rFonts w:asciiTheme="minorHAnsi" w:eastAsiaTheme="minorEastAsia" w:hAnsiTheme="minorHAnsi" w:cstheme="minorBidi"/>
              <w:b w:val="0"/>
              <w:noProof/>
              <w:color w:val="auto"/>
              <w:sz w:val="22"/>
              <w:szCs w:val="22"/>
              <w:lang w:eastAsia="en-AU"/>
            </w:rPr>
          </w:pPr>
          <w:hyperlink w:anchor="_Toc205997121" w:history="1">
            <w:r w:rsidRPr="0006384D">
              <w:rPr>
                <w:rStyle w:val="Hyperlink"/>
                <w:noProof/>
              </w:rPr>
              <w:t>Appendix A: History of social security review</w:t>
            </w:r>
            <w:r>
              <w:rPr>
                <w:noProof/>
                <w:webHidden/>
              </w:rPr>
              <w:tab/>
            </w:r>
            <w:r>
              <w:rPr>
                <w:noProof/>
                <w:webHidden/>
              </w:rPr>
              <w:fldChar w:fldCharType="begin"/>
            </w:r>
            <w:r>
              <w:rPr>
                <w:noProof/>
                <w:webHidden/>
              </w:rPr>
              <w:instrText xml:space="preserve"> PAGEREF _Toc205997121 \h </w:instrText>
            </w:r>
            <w:r>
              <w:rPr>
                <w:noProof/>
                <w:webHidden/>
              </w:rPr>
            </w:r>
            <w:r>
              <w:rPr>
                <w:noProof/>
                <w:webHidden/>
              </w:rPr>
              <w:fldChar w:fldCharType="separate"/>
            </w:r>
            <w:r>
              <w:rPr>
                <w:noProof/>
                <w:webHidden/>
              </w:rPr>
              <w:t>35</w:t>
            </w:r>
            <w:r>
              <w:rPr>
                <w:noProof/>
                <w:webHidden/>
              </w:rPr>
              <w:fldChar w:fldCharType="end"/>
            </w:r>
          </w:hyperlink>
        </w:p>
        <w:p w14:paraId="4C192CE1" w14:textId="432C167A" w:rsidR="00E23F7A" w:rsidRDefault="00E23F7A">
          <w:pPr>
            <w:pStyle w:val="TOC3"/>
            <w:tabs>
              <w:tab w:val="right" w:leader="dot" w:pos="9060"/>
            </w:tabs>
            <w:rPr>
              <w:rFonts w:asciiTheme="minorHAnsi" w:eastAsiaTheme="minorEastAsia" w:hAnsiTheme="minorHAnsi" w:cstheme="minorBidi"/>
              <w:noProof/>
              <w:color w:val="auto"/>
              <w:sz w:val="22"/>
              <w:szCs w:val="22"/>
              <w:lang w:eastAsia="en-AU"/>
            </w:rPr>
          </w:pPr>
          <w:hyperlink w:anchor="_Toc205997122" w:history="1">
            <w:r w:rsidRPr="0006384D">
              <w:rPr>
                <w:rStyle w:val="Hyperlink"/>
                <w:noProof/>
              </w:rPr>
              <w:t>Social Security Appeals Tribunal</w:t>
            </w:r>
            <w:r>
              <w:rPr>
                <w:noProof/>
                <w:webHidden/>
              </w:rPr>
              <w:tab/>
            </w:r>
            <w:r>
              <w:rPr>
                <w:noProof/>
                <w:webHidden/>
              </w:rPr>
              <w:fldChar w:fldCharType="begin"/>
            </w:r>
            <w:r>
              <w:rPr>
                <w:noProof/>
                <w:webHidden/>
              </w:rPr>
              <w:instrText xml:space="preserve"> PAGEREF _Toc205997122 \h </w:instrText>
            </w:r>
            <w:r>
              <w:rPr>
                <w:noProof/>
                <w:webHidden/>
              </w:rPr>
            </w:r>
            <w:r>
              <w:rPr>
                <w:noProof/>
                <w:webHidden/>
              </w:rPr>
              <w:fldChar w:fldCharType="separate"/>
            </w:r>
            <w:r>
              <w:rPr>
                <w:noProof/>
                <w:webHidden/>
              </w:rPr>
              <w:t>35</w:t>
            </w:r>
            <w:r>
              <w:rPr>
                <w:noProof/>
                <w:webHidden/>
              </w:rPr>
              <w:fldChar w:fldCharType="end"/>
            </w:r>
          </w:hyperlink>
        </w:p>
        <w:p w14:paraId="7CDB846F" w14:textId="68A2B5AE" w:rsidR="00E23F7A" w:rsidRDefault="00E23F7A">
          <w:pPr>
            <w:pStyle w:val="TOC3"/>
            <w:tabs>
              <w:tab w:val="right" w:leader="dot" w:pos="9060"/>
            </w:tabs>
            <w:rPr>
              <w:rFonts w:asciiTheme="minorHAnsi" w:eastAsiaTheme="minorEastAsia" w:hAnsiTheme="minorHAnsi" w:cstheme="minorBidi"/>
              <w:noProof/>
              <w:color w:val="auto"/>
              <w:sz w:val="22"/>
              <w:szCs w:val="22"/>
              <w:lang w:eastAsia="en-AU"/>
            </w:rPr>
          </w:pPr>
          <w:hyperlink w:anchor="_Toc205997123" w:history="1">
            <w:r w:rsidRPr="0006384D">
              <w:rPr>
                <w:rStyle w:val="Hyperlink"/>
                <w:noProof/>
              </w:rPr>
              <w:t>2015 Tribunal amalgamation</w:t>
            </w:r>
            <w:r>
              <w:rPr>
                <w:noProof/>
                <w:webHidden/>
              </w:rPr>
              <w:tab/>
            </w:r>
            <w:r>
              <w:rPr>
                <w:noProof/>
                <w:webHidden/>
              </w:rPr>
              <w:fldChar w:fldCharType="begin"/>
            </w:r>
            <w:r>
              <w:rPr>
                <w:noProof/>
                <w:webHidden/>
              </w:rPr>
              <w:instrText xml:space="preserve"> PAGEREF _Toc205997123 \h </w:instrText>
            </w:r>
            <w:r>
              <w:rPr>
                <w:noProof/>
                <w:webHidden/>
              </w:rPr>
            </w:r>
            <w:r>
              <w:rPr>
                <w:noProof/>
                <w:webHidden/>
              </w:rPr>
              <w:fldChar w:fldCharType="separate"/>
            </w:r>
            <w:r>
              <w:rPr>
                <w:noProof/>
                <w:webHidden/>
              </w:rPr>
              <w:t>35</w:t>
            </w:r>
            <w:r>
              <w:rPr>
                <w:noProof/>
                <w:webHidden/>
              </w:rPr>
              <w:fldChar w:fldCharType="end"/>
            </w:r>
          </w:hyperlink>
        </w:p>
        <w:p w14:paraId="0C748838" w14:textId="5D5501C2" w:rsidR="00E23F7A" w:rsidRDefault="00E23F7A">
          <w:pPr>
            <w:pStyle w:val="TOC3"/>
            <w:tabs>
              <w:tab w:val="right" w:leader="dot" w:pos="9060"/>
            </w:tabs>
            <w:rPr>
              <w:rFonts w:asciiTheme="minorHAnsi" w:eastAsiaTheme="minorEastAsia" w:hAnsiTheme="minorHAnsi" w:cstheme="minorBidi"/>
              <w:noProof/>
              <w:color w:val="auto"/>
              <w:sz w:val="22"/>
              <w:szCs w:val="22"/>
              <w:lang w:eastAsia="en-AU"/>
            </w:rPr>
          </w:pPr>
          <w:hyperlink w:anchor="_Toc205997124" w:history="1">
            <w:r w:rsidRPr="0006384D">
              <w:rPr>
                <w:rStyle w:val="Hyperlink"/>
                <w:noProof/>
              </w:rPr>
              <w:t>Robodebt Royal Commission</w:t>
            </w:r>
            <w:r>
              <w:rPr>
                <w:noProof/>
                <w:webHidden/>
              </w:rPr>
              <w:tab/>
            </w:r>
            <w:r>
              <w:rPr>
                <w:noProof/>
                <w:webHidden/>
              </w:rPr>
              <w:fldChar w:fldCharType="begin"/>
            </w:r>
            <w:r>
              <w:rPr>
                <w:noProof/>
                <w:webHidden/>
              </w:rPr>
              <w:instrText xml:space="preserve"> PAGEREF _Toc205997124 \h </w:instrText>
            </w:r>
            <w:r>
              <w:rPr>
                <w:noProof/>
                <w:webHidden/>
              </w:rPr>
            </w:r>
            <w:r>
              <w:rPr>
                <w:noProof/>
                <w:webHidden/>
              </w:rPr>
              <w:fldChar w:fldCharType="separate"/>
            </w:r>
            <w:r>
              <w:rPr>
                <w:noProof/>
                <w:webHidden/>
              </w:rPr>
              <w:t>36</w:t>
            </w:r>
            <w:r>
              <w:rPr>
                <w:noProof/>
                <w:webHidden/>
              </w:rPr>
              <w:fldChar w:fldCharType="end"/>
            </w:r>
          </w:hyperlink>
        </w:p>
        <w:p w14:paraId="090A7F0C" w14:textId="5458F1E5" w:rsidR="00A701FA" w:rsidRDefault="00A701FA">
          <w:r>
            <w:rPr>
              <w:b/>
              <w:bCs/>
              <w:noProof/>
            </w:rPr>
            <w:fldChar w:fldCharType="end"/>
          </w:r>
        </w:p>
      </w:sdtContent>
    </w:sdt>
    <w:p w14:paraId="72B8B258" w14:textId="77777777" w:rsidR="00CF14A6" w:rsidRDefault="00CF14A6" w:rsidP="00346C4A"/>
    <w:p w14:paraId="329EC2A5" w14:textId="77777777" w:rsidR="00A701FA" w:rsidRPr="004D1339" w:rsidRDefault="00A701FA" w:rsidP="00346C4A">
      <w:pPr>
        <w:sectPr w:rsidR="00A701FA" w:rsidRPr="004D1339" w:rsidSect="00CF14A6">
          <w:pgSz w:w="11906" w:h="16838"/>
          <w:pgMar w:top="1701" w:right="1418" w:bottom="1418" w:left="1418" w:header="709" w:footer="709" w:gutter="0"/>
          <w:pgNumType w:fmt="lowerRoman"/>
          <w:cols w:space="708"/>
          <w:docGrid w:linePitch="360"/>
        </w:sectPr>
      </w:pPr>
    </w:p>
    <w:p w14:paraId="66D9C15B" w14:textId="420A1A3F" w:rsidR="00DF0064" w:rsidRDefault="0016236D" w:rsidP="00AC6E76">
      <w:pPr>
        <w:pStyle w:val="Heading1"/>
      </w:pPr>
      <w:bookmarkStart w:id="0" w:name="_Toc205997089"/>
      <w:r>
        <w:lastRenderedPageBreak/>
        <w:t>Glossary</w:t>
      </w:r>
      <w:bookmarkEnd w:id="0"/>
      <w:r>
        <w:t xml:space="preserve"> </w:t>
      </w:r>
    </w:p>
    <w:p w14:paraId="189DC3B2" w14:textId="7274E10E" w:rsidR="00AC6E76" w:rsidRPr="00AC6E76" w:rsidRDefault="00AC6E76" w:rsidP="00AC6E76">
      <w:pPr>
        <w:pStyle w:val="Heading3"/>
      </w:pPr>
      <w:bookmarkStart w:id="1" w:name="_Toc205997090"/>
      <w:r>
        <w:t>Legislation</w:t>
      </w:r>
      <w:bookmarkEnd w:id="1"/>
    </w:p>
    <w:tbl>
      <w:tblPr>
        <w:tblStyle w:val="TableGrid"/>
        <w:tblW w:w="0" w:type="auto"/>
        <w:tblLook w:val="04A0" w:firstRow="1" w:lastRow="0" w:firstColumn="1" w:lastColumn="0" w:noHBand="0" w:noVBand="1"/>
      </w:tblPr>
      <w:tblGrid>
        <w:gridCol w:w="3705"/>
        <w:gridCol w:w="4370"/>
      </w:tblGrid>
      <w:tr w:rsidR="00F16B94" w14:paraId="6937E833" w14:textId="77777777" w:rsidTr="00F16B94">
        <w:trPr>
          <w:trHeight w:val="580"/>
        </w:trPr>
        <w:tc>
          <w:tcPr>
            <w:tcW w:w="3705" w:type="dxa"/>
          </w:tcPr>
          <w:p w14:paraId="61F64EFA" w14:textId="08EACEB9" w:rsidR="00F16B94" w:rsidRPr="00DF0064" w:rsidRDefault="00F16B94" w:rsidP="00AD0AEF">
            <w:pPr>
              <w:rPr>
                <w:b/>
              </w:rPr>
            </w:pPr>
            <w:r>
              <w:rPr>
                <w:b/>
              </w:rPr>
              <w:t>Abbreviation</w:t>
            </w:r>
          </w:p>
        </w:tc>
        <w:tc>
          <w:tcPr>
            <w:tcW w:w="4370" w:type="dxa"/>
          </w:tcPr>
          <w:p w14:paraId="4140ACF4" w14:textId="77777777" w:rsidR="00F16B94" w:rsidRPr="00DF0064" w:rsidRDefault="00F16B94" w:rsidP="00AD0AEF">
            <w:pPr>
              <w:rPr>
                <w:b/>
              </w:rPr>
            </w:pPr>
            <w:r>
              <w:rPr>
                <w:b/>
              </w:rPr>
              <w:t>Definition</w:t>
            </w:r>
          </w:p>
        </w:tc>
      </w:tr>
      <w:tr w:rsidR="00F16B94" w14:paraId="179108AB" w14:textId="77777777" w:rsidTr="00F16B94">
        <w:trPr>
          <w:trHeight w:val="580"/>
        </w:trPr>
        <w:tc>
          <w:tcPr>
            <w:tcW w:w="3705" w:type="dxa"/>
          </w:tcPr>
          <w:p w14:paraId="20D3EB62" w14:textId="77777777" w:rsidR="00F16B94" w:rsidRDefault="00F16B94" w:rsidP="00AD0AEF">
            <w:r>
              <w:t xml:space="preserve">AAT Act </w:t>
            </w:r>
          </w:p>
        </w:tc>
        <w:tc>
          <w:tcPr>
            <w:tcW w:w="4370" w:type="dxa"/>
          </w:tcPr>
          <w:p w14:paraId="7CF9D5EE" w14:textId="77777777" w:rsidR="00F16B94" w:rsidRPr="00DF0064" w:rsidRDefault="00F16B94" w:rsidP="00AD0AEF">
            <w:pPr>
              <w:rPr>
                <w:i/>
              </w:rPr>
            </w:pPr>
            <w:r>
              <w:rPr>
                <w:i/>
              </w:rPr>
              <w:t xml:space="preserve">Administrative Appeals Tribunal Act </w:t>
            </w:r>
            <w:r w:rsidRPr="006A233C">
              <w:rPr>
                <w:i/>
              </w:rPr>
              <w:t>1975</w:t>
            </w:r>
          </w:p>
        </w:tc>
      </w:tr>
      <w:tr w:rsidR="00F16B94" w14:paraId="1C9727B4" w14:textId="77777777" w:rsidTr="00F16B94">
        <w:trPr>
          <w:trHeight w:val="580"/>
        </w:trPr>
        <w:tc>
          <w:tcPr>
            <w:tcW w:w="3705" w:type="dxa"/>
          </w:tcPr>
          <w:p w14:paraId="32064FAE" w14:textId="77777777" w:rsidR="00F16B94" w:rsidRDefault="00F16B94" w:rsidP="00AD0AEF">
            <w:r>
              <w:t>ART Act</w:t>
            </w:r>
          </w:p>
        </w:tc>
        <w:tc>
          <w:tcPr>
            <w:tcW w:w="4370" w:type="dxa"/>
          </w:tcPr>
          <w:p w14:paraId="372B8B98" w14:textId="77777777" w:rsidR="00F16B94" w:rsidRPr="00DF0064" w:rsidRDefault="00F16B94" w:rsidP="00AD0AEF">
            <w:r>
              <w:rPr>
                <w:i/>
              </w:rPr>
              <w:t xml:space="preserve">Administrative Review Tribunal Act </w:t>
            </w:r>
            <w:r w:rsidRPr="006A233C">
              <w:rPr>
                <w:i/>
              </w:rPr>
              <w:t>2024</w:t>
            </w:r>
          </w:p>
        </w:tc>
      </w:tr>
      <w:tr w:rsidR="00F16B94" w14:paraId="66F188A6" w14:textId="77777777" w:rsidTr="00F16B94">
        <w:trPr>
          <w:trHeight w:val="580"/>
        </w:trPr>
        <w:tc>
          <w:tcPr>
            <w:tcW w:w="3705" w:type="dxa"/>
          </w:tcPr>
          <w:p w14:paraId="6DDAE3ED" w14:textId="77777777" w:rsidR="00F16B94" w:rsidRDefault="00F16B94" w:rsidP="00AD0AEF">
            <w:r>
              <w:t>ART Bill</w:t>
            </w:r>
          </w:p>
        </w:tc>
        <w:tc>
          <w:tcPr>
            <w:tcW w:w="4370" w:type="dxa"/>
          </w:tcPr>
          <w:p w14:paraId="0166FC81" w14:textId="77777777" w:rsidR="00F16B94" w:rsidRPr="006A233C" w:rsidRDefault="00F16B94" w:rsidP="00AD0AEF">
            <w:r w:rsidRPr="006A233C">
              <w:rPr>
                <w:iCs/>
              </w:rPr>
              <w:t>Administrative Review Tribunal Bill</w:t>
            </w:r>
            <w:r w:rsidRPr="005D518E">
              <w:t xml:space="preserve"> 2024</w:t>
            </w:r>
          </w:p>
        </w:tc>
      </w:tr>
      <w:tr w:rsidR="00F16B94" w14:paraId="6BB505E1" w14:textId="77777777" w:rsidTr="00F16B94">
        <w:trPr>
          <w:trHeight w:val="580"/>
        </w:trPr>
        <w:tc>
          <w:tcPr>
            <w:tcW w:w="3705" w:type="dxa"/>
          </w:tcPr>
          <w:p w14:paraId="5B143374" w14:textId="77777777" w:rsidR="00F16B94" w:rsidRDefault="00F16B94" w:rsidP="00AD0AEF">
            <w:r>
              <w:t>ART (CTP 1) Bill</w:t>
            </w:r>
          </w:p>
        </w:tc>
        <w:tc>
          <w:tcPr>
            <w:tcW w:w="4370" w:type="dxa"/>
          </w:tcPr>
          <w:p w14:paraId="3106C4B4" w14:textId="77777777" w:rsidR="00F16B94" w:rsidRPr="005D518E" w:rsidRDefault="00F16B94" w:rsidP="00AD0AEF">
            <w:r w:rsidRPr="006A233C">
              <w:rPr>
                <w:iCs/>
              </w:rPr>
              <w:t>Administrative Review Tribunal (Consequential and Transitional Provisions No 1) Bill</w:t>
            </w:r>
            <w:r w:rsidRPr="005D518E">
              <w:t xml:space="preserve"> 2024</w:t>
            </w:r>
          </w:p>
        </w:tc>
      </w:tr>
      <w:tr w:rsidR="00F16B94" w14:paraId="5C9FD41A" w14:textId="77777777" w:rsidTr="00F16B94">
        <w:trPr>
          <w:trHeight w:val="580"/>
        </w:trPr>
        <w:tc>
          <w:tcPr>
            <w:tcW w:w="3705" w:type="dxa"/>
          </w:tcPr>
          <w:p w14:paraId="1AAF7670" w14:textId="77777777" w:rsidR="00F16B94" w:rsidRPr="003A7874" w:rsidRDefault="00F16B94" w:rsidP="00AD0AEF">
            <w:r w:rsidRPr="003A7874">
              <w:t>Legal Services Directions</w:t>
            </w:r>
          </w:p>
        </w:tc>
        <w:tc>
          <w:tcPr>
            <w:tcW w:w="4370" w:type="dxa"/>
          </w:tcPr>
          <w:p w14:paraId="585F572A" w14:textId="77777777" w:rsidR="00F16B94" w:rsidRPr="003A7874" w:rsidRDefault="00F16B94" w:rsidP="00AD0AEF">
            <w:r>
              <w:rPr>
                <w:i/>
              </w:rPr>
              <w:t xml:space="preserve">Legal Services Directions </w:t>
            </w:r>
            <w:r w:rsidRPr="006A233C">
              <w:rPr>
                <w:i/>
              </w:rPr>
              <w:t>2017</w:t>
            </w:r>
          </w:p>
        </w:tc>
      </w:tr>
      <w:tr w:rsidR="00071CBE" w14:paraId="127838B6" w14:textId="77777777" w:rsidTr="00F16B94">
        <w:trPr>
          <w:trHeight w:val="580"/>
        </w:trPr>
        <w:tc>
          <w:tcPr>
            <w:tcW w:w="3705" w:type="dxa"/>
          </w:tcPr>
          <w:p w14:paraId="0749BA7E" w14:textId="2924502C" w:rsidR="00071CBE" w:rsidRPr="003A7874" w:rsidRDefault="00071CBE" w:rsidP="00AD0AEF">
            <w:r w:rsidRPr="003A4541">
              <w:rPr>
                <w:iCs/>
              </w:rPr>
              <w:t>SSA Act</w:t>
            </w:r>
          </w:p>
        </w:tc>
        <w:tc>
          <w:tcPr>
            <w:tcW w:w="4370" w:type="dxa"/>
          </w:tcPr>
          <w:p w14:paraId="3284247A" w14:textId="1AF8BCA1" w:rsidR="00071CBE" w:rsidRPr="005D518E" w:rsidRDefault="005D518E" w:rsidP="00AD0AEF">
            <w:pPr>
              <w:rPr>
                <w:i/>
              </w:rPr>
            </w:pPr>
            <w:r w:rsidRPr="006A233C">
              <w:rPr>
                <w:i/>
              </w:rPr>
              <w:t>Social Services (Administration) Act 1999</w:t>
            </w:r>
          </w:p>
        </w:tc>
      </w:tr>
    </w:tbl>
    <w:p w14:paraId="7A98CE38" w14:textId="5EFC3809" w:rsidR="00F16B94" w:rsidRPr="00DF0064" w:rsidRDefault="00F16B94" w:rsidP="00F16B94">
      <w:pPr>
        <w:pStyle w:val="Heading3"/>
      </w:pPr>
      <w:bookmarkStart w:id="2" w:name="_Toc205997091"/>
      <w:r>
        <w:t>Other terms</w:t>
      </w:r>
      <w:bookmarkEnd w:id="2"/>
    </w:p>
    <w:tbl>
      <w:tblPr>
        <w:tblStyle w:val="TableGrid"/>
        <w:tblW w:w="0" w:type="auto"/>
        <w:tblLook w:val="04A0" w:firstRow="1" w:lastRow="0" w:firstColumn="1" w:lastColumn="0" w:noHBand="0" w:noVBand="1"/>
      </w:tblPr>
      <w:tblGrid>
        <w:gridCol w:w="3705"/>
        <w:gridCol w:w="4370"/>
      </w:tblGrid>
      <w:tr w:rsidR="00F16B94" w14:paraId="1FBD8B7E" w14:textId="77777777" w:rsidTr="00F16B94">
        <w:trPr>
          <w:trHeight w:val="580"/>
        </w:trPr>
        <w:tc>
          <w:tcPr>
            <w:tcW w:w="3705" w:type="dxa"/>
          </w:tcPr>
          <w:p w14:paraId="7AE5BC3E" w14:textId="135FC04F" w:rsidR="00F16B94" w:rsidRDefault="00F16B94" w:rsidP="00F16B94">
            <w:r>
              <w:rPr>
                <w:b/>
              </w:rPr>
              <w:t>Abbreviation</w:t>
            </w:r>
          </w:p>
        </w:tc>
        <w:tc>
          <w:tcPr>
            <w:tcW w:w="4370" w:type="dxa"/>
          </w:tcPr>
          <w:p w14:paraId="5A7398E6" w14:textId="5B614095" w:rsidR="00F16B94" w:rsidRDefault="00F16B94" w:rsidP="00F16B94">
            <w:r>
              <w:rPr>
                <w:b/>
              </w:rPr>
              <w:t>Definition</w:t>
            </w:r>
          </w:p>
        </w:tc>
      </w:tr>
      <w:tr w:rsidR="00547A29" w14:paraId="1A41FF68" w14:textId="77777777" w:rsidTr="00F16B94">
        <w:trPr>
          <w:trHeight w:val="580"/>
        </w:trPr>
        <w:tc>
          <w:tcPr>
            <w:tcW w:w="3705" w:type="dxa"/>
          </w:tcPr>
          <w:p w14:paraId="2E2F3A27" w14:textId="0B225DEC" w:rsidR="00547A29" w:rsidRPr="006A233C" w:rsidRDefault="00547A29" w:rsidP="00F16B94">
            <w:r w:rsidRPr="006A233C">
              <w:t>AAT</w:t>
            </w:r>
          </w:p>
        </w:tc>
        <w:tc>
          <w:tcPr>
            <w:tcW w:w="4370" w:type="dxa"/>
          </w:tcPr>
          <w:p w14:paraId="64D6A9EE" w14:textId="38C944EE" w:rsidR="00547A29" w:rsidRPr="006A233C" w:rsidRDefault="00547A29" w:rsidP="00F16B94">
            <w:r w:rsidRPr="006A233C">
              <w:t>Administrative Appeals Tribunal</w:t>
            </w:r>
          </w:p>
        </w:tc>
      </w:tr>
      <w:tr w:rsidR="00F16B94" w14:paraId="566AD1A1" w14:textId="77777777" w:rsidTr="00F16B94">
        <w:trPr>
          <w:trHeight w:val="580"/>
        </w:trPr>
        <w:tc>
          <w:tcPr>
            <w:tcW w:w="3705" w:type="dxa"/>
          </w:tcPr>
          <w:p w14:paraId="532C464F" w14:textId="77777777" w:rsidR="00F16B94" w:rsidRDefault="00F16B94" w:rsidP="00AD0AEF">
            <w:r>
              <w:t>AAT1</w:t>
            </w:r>
          </w:p>
        </w:tc>
        <w:tc>
          <w:tcPr>
            <w:tcW w:w="4370" w:type="dxa"/>
          </w:tcPr>
          <w:p w14:paraId="64922A3A" w14:textId="77777777" w:rsidR="00F16B94" w:rsidRDefault="00F16B94" w:rsidP="00AD0AEF">
            <w:r>
              <w:t>First stage of social security merits review in the former AAT</w:t>
            </w:r>
          </w:p>
        </w:tc>
      </w:tr>
      <w:tr w:rsidR="00F16B94" w14:paraId="162C00EE" w14:textId="77777777" w:rsidTr="00F16B94">
        <w:trPr>
          <w:trHeight w:val="580"/>
        </w:trPr>
        <w:tc>
          <w:tcPr>
            <w:tcW w:w="3705" w:type="dxa"/>
          </w:tcPr>
          <w:p w14:paraId="5AF8F02B" w14:textId="77777777" w:rsidR="00F16B94" w:rsidRDefault="00F16B94" w:rsidP="00AD0AEF">
            <w:r>
              <w:t>AAT2</w:t>
            </w:r>
          </w:p>
        </w:tc>
        <w:tc>
          <w:tcPr>
            <w:tcW w:w="4370" w:type="dxa"/>
          </w:tcPr>
          <w:p w14:paraId="1B2283EE" w14:textId="77777777" w:rsidR="00F16B94" w:rsidRDefault="00F16B94" w:rsidP="00AD0AEF">
            <w:r>
              <w:t>Second stage of social security merits review in the former AAT</w:t>
            </w:r>
          </w:p>
        </w:tc>
      </w:tr>
      <w:tr w:rsidR="00F16B94" w14:paraId="4DE6A4BB" w14:textId="77777777" w:rsidTr="00F16B94">
        <w:trPr>
          <w:trHeight w:val="580"/>
        </w:trPr>
        <w:tc>
          <w:tcPr>
            <w:tcW w:w="3705" w:type="dxa"/>
          </w:tcPr>
          <w:p w14:paraId="312C582B" w14:textId="77777777" w:rsidR="00F16B94" w:rsidRDefault="00F16B94" w:rsidP="00AD0AEF">
            <w:r>
              <w:t>ADR</w:t>
            </w:r>
          </w:p>
        </w:tc>
        <w:tc>
          <w:tcPr>
            <w:tcW w:w="4370" w:type="dxa"/>
          </w:tcPr>
          <w:p w14:paraId="0D3F3BD2" w14:textId="77777777" w:rsidR="00F16B94" w:rsidRDefault="00F16B94" w:rsidP="00AD0AEF">
            <w:r>
              <w:t>Alternative Dispute Resolution</w:t>
            </w:r>
          </w:p>
        </w:tc>
      </w:tr>
      <w:tr w:rsidR="00071CBE" w14:paraId="017E1B9F" w14:textId="77777777" w:rsidTr="00F16B94">
        <w:trPr>
          <w:trHeight w:val="580"/>
        </w:trPr>
        <w:tc>
          <w:tcPr>
            <w:tcW w:w="3705" w:type="dxa"/>
          </w:tcPr>
          <w:p w14:paraId="0E78583B" w14:textId="17B57B42" w:rsidR="00071CBE" w:rsidRDefault="00071CBE" w:rsidP="00AD0AEF">
            <w:r>
              <w:t>AGD</w:t>
            </w:r>
          </w:p>
        </w:tc>
        <w:tc>
          <w:tcPr>
            <w:tcW w:w="4370" w:type="dxa"/>
          </w:tcPr>
          <w:p w14:paraId="39DD7FD7" w14:textId="0F594C7A" w:rsidR="00071CBE" w:rsidRDefault="00071CBE" w:rsidP="00AD0AEF">
            <w:r>
              <w:t>Attorney General’s Department</w:t>
            </w:r>
          </w:p>
        </w:tc>
      </w:tr>
      <w:tr w:rsidR="00F16B94" w14:paraId="7AC90C65" w14:textId="77777777" w:rsidTr="00F16B94">
        <w:trPr>
          <w:trHeight w:val="580"/>
        </w:trPr>
        <w:tc>
          <w:tcPr>
            <w:tcW w:w="3705" w:type="dxa"/>
          </w:tcPr>
          <w:p w14:paraId="244A71AD" w14:textId="77777777" w:rsidR="00F16B94" w:rsidRDefault="00F16B94" w:rsidP="00AD0AEF">
            <w:r>
              <w:t>ARO</w:t>
            </w:r>
          </w:p>
        </w:tc>
        <w:tc>
          <w:tcPr>
            <w:tcW w:w="4370" w:type="dxa"/>
          </w:tcPr>
          <w:p w14:paraId="56F7C839" w14:textId="77777777" w:rsidR="00F16B94" w:rsidRDefault="00F16B94" w:rsidP="00AD0AEF">
            <w:r>
              <w:t>Authorised Review Officer (Services Australia)</w:t>
            </w:r>
          </w:p>
        </w:tc>
      </w:tr>
      <w:tr w:rsidR="00F16B94" w14:paraId="2EB339EE" w14:textId="77777777" w:rsidTr="00F16B94">
        <w:trPr>
          <w:trHeight w:val="580"/>
        </w:trPr>
        <w:tc>
          <w:tcPr>
            <w:tcW w:w="3705" w:type="dxa"/>
          </w:tcPr>
          <w:p w14:paraId="0DED68CB" w14:textId="77777777" w:rsidR="00F16B94" w:rsidRDefault="00F16B94" w:rsidP="00AD0AEF">
            <w:r>
              <w:t>ART</w:t>
            </w:r>
          </w:p>
        </w:tc>
        <w:tc>
          <w:tcPr>
            <w:tcW w:w="4370" w:type="dxa"/>
          </w:tcPr>
          <w:p w14:paraId="67D9EF03" w14:textId="77777777" w:rsidR="00F16B94" w:rsidRDefault="00F16B94" w:rsidP="00AD0AEF">
            <w:r>
              <w:t>Administrative Review Tribunal</w:t>
            </w:r>
          </w:p>
        </w:tc>
      </w:tr>
      <w:tr w:rsidR="00F16B94" w14:paraId="2239819C" w14:textId="77777777" w:rsidTr="00F16B94">
        <w:trPr>
          <w:trHeight w:val="580"/>
        </w:trPr>
        <w:tc>
          <w:tcPr>
            <w:tcW w:w="3705" w:type="dxa"/>
          </w:tcPr>
          <w:p w14:paraId="2CC23242" w14:textId="77777777" w:rsidR="00F16B94" w:rsidRDefault="00F16B94" w:rsidP="00AD0AEF">
            <w:r>
              <w:t>Callinan Report</w:t>
            </w:r>
          </w:p>
        </w:tc>
        <w:tc>
          <w:tcPr>
            <w:tcW w:w="4370" w:type="dxa"/>
          </w:tcPr>
          <w:p w14:paraId="310EDCCD" w14:textId="5FC55071" w:rsidR="00F16B94" w:rsidRDefault="00F16B94" w:rsidP="00AD0AEF">
            <w:r>
              <w:t>I</w:t>
            </w:r>
            <w:r w:rsidR="00017BE8">
              <w:t xml:space="preserve"> </w:t>
            </w:r>
            <w:r>
              <w:t>D</w:t>
            </w:r>
            <w:r w:rsidR="00017BE8">
              <w:t xml:space="preserve"> </w:t>
            </w:r>
            <w:r>
              <w:t xml:space="preserve">F Callinan AC </w:t>
            </w:r>
            <w:r w:rsidRPr="00997922">
              <w:rPr>
                <w:i/>
              </w:rPr>
              <w:t>Review: section 4 of the Tribunals Amalgamation Act 2015</w:t>
            </w:r>
            <w:r>
              <w:t xml:space="preserve"> (</w:t>
            </w:r>
            <w:proofErr w:type="spellStart"/>
            <w:r>
              <w:t>Cth</w:t>
            </w:r>
            <w:proofErr w:type="spellEnd"/>
            <w:r>
              <w:t>)</w:t>
            </w:r>
          </w:p>
        </w:tc>
      </w:tr>
      <w:tr w:rsidR="00F16B94" w14:paraId="5908FC15" w14:textId="77777777" w:rsidTr="00F16B94">
        <w:trPr>
          <w:trHeight w:val="580"/>
        </w:trPr>
        <w:tc>
          <w:tcPr>
            <w:tcW w:w="3705" w:type="dxa"/>
          </w:tcPr>
          <w:p w14:paraId="132E0F0C" w14:textId="77777777" w:rsidR="00F16B94" w:rsidRDefault="00F16B94" w:rsidP="00AD0AEF">
            <w:r>
              <w:lastRenderedPageBreak/>
              <w:t>Council</w:t>
            </w:r>
          </w:p>
        </w:tc>
        <w:tc>
          <w:tcPr>
            <w:tcW w:w="4370" w:type="dxa"/>
          </w:tcPr>
          <w:p w14:paraId="6903FCE0" w14:textId="77777777" w:rsidR="00F16B94" w:rsidRDefault="00F16B94" w:rsidP="00AD0AEF">
            <w:r>
              <w:t xml:space="preserve">Administrative Review Council </w:t>
            </w:r>
          </w:p>
        </w:tc>
      </w:tr>
      <w:tr w:rsidR="00F16B94" w14:paraId="413264DB" w14:textId="77777777" w:rsidTr="00F16B94">
        <w:trPr>
          <w:trHeight w:val="580"/>
        </w:trPr>
        <w:tc>
          <w:tcPr>
            <w:tcW w:w="3705" w:type="dxa"/>
          </w:tcPr>
          <w:p w14:paraId="48BBA23F" w14:textId="77777777" w:rsidR="00F16B94" w:rsidRDefault="00F16B94" w:rsidP="00AD0AEF">
            <w:r>
              <w:t>First review</w:t>
            </w:r>
          </w:p>
        </w:tc>
        <w:tc>
          <w:tcPr>
            <w:tcW w:w="4370" w:type="dxa"/>
          </w:tcPr>
          <w:p w14:paraId="614C24F3" w14:textId="77777777" w:rsidR="00F16B94" w:rsidRDefault="00F16B94" w:rsidP="00AD0AEF">
            <w:r>
              <w:t>First stage of social security merits review in the ART</w:t>
            </w:r>
          </w:p>
        </w:tc>
      </w:tr>
      <w:tr w:rsidR="00F16B94" w14:paraId="2A67A6A8" w14:textId="77777777" w:rsidTr="00F16B94">
        <w:trPr>
          <w:trHeight w:val="580"/>
        </w:trPr>
        <w:tc>
          <w:tcPr>
            <w:tcW w:w="3705" w:type="dxa"/>
          </w:tcPr>
          <w:p w14:paraId="4553F296" w14:textId="77777777" w:rsidR="00F16B94" w:rsidRDefault="00F16B94" w:rsidP="00AD0AEF">
            <w:r>
              <w:t>GAP</w:t>
            </w:r>
          </w:p>
        </w:tc>
        <w:tc>
          <w:tcPr>
            <w:tcW w:w="4370" w:type="dxa"/>
          </w:tcPr>
          <w:p w14:paraId="408E33D7" w14:textId="77777777" w:rsidR="00F16B94" w:rsidRDefault="00F16B94" w:rsidP="00AD0AEF">
            <w:r>
              <w:t>Guidance and Appeals Panel</w:t>
            </w:r>
          </w:p>
        </w:tc>
      </w:tr>
      <w:tr w:rsidR="00F16B94" w14:paraId="5CB39D6E" w14:textId="77777777" w:rsidTr="00F16B94">
        <w:trPr>
          <w:trHeight w:val="580"/>
        </w:trPr>
        <w:tc>
          <w:tcPr>
            <w:tcW w:w="3705" w:type="dxa"/>
          </w:tcPr>
          <w:p w14:paraId="657155EB" w14:textId="6AC13E8E" w:rsidR="00F16B94" w:rsidRDefault="00F16B94" w:rsidP="00AD0AEF">
            <w:r>
              <w:t>Parliamentary Committee inquiries</w:t>
            </w:r>
          </w:p>
        </w:tc>
        <w:tc>
          <w:tcPr>
            <w:tcW w:w="4370" w:type="dxa"/>
          </w:tcPr>
          <w:p w14:paraId="47F9FEDF" w14:textId="77777777" w:rsidR="00F16B94" w:rsidRPr="003A7874" w:rsidRDefault="00F16B94" w:rsidP="00AD0AEF">
            <w:r>
              <w:t xml:space="preserve">House of Representatives Standing Committee on Social Policy and Legal Affairs, </w:t>
            </w:r>
            <w:r w:rsidRPr="003A7874">
              <w:rPr>
                <w:i/>
              </w:rPr>
              <w:t>Inquiry into the Administrative Review Tribunal Bill 2023 and the Administrative Review Tribunal (Consequential and Transitional Provisions No.1) Bill 2023</w:t>
            </w:r>
            <w:r>
              <w:t xml:space="preserve"> and Senate Standing Committee on Legal and Constitutional Affairs, </w:t>
            </w:r>
            <w:r w:rsidRPr="003A7874">
              <w:rPr>
                <w:i/>
              </w:rPr>
              <w:t>Inquiry into Administrative Review Tribunal Bill 2023 [Provisions] and related bills</w:t>
            </w:r>
          </w:p>
        </w:tc>
      </w:tr>
      <w:tr w:rsidR="00F16B94" w14:paraId="45C4F438" w14:textId="77777777" w:rsidTr="00F16B94">
        <w:trPr>
          <w:trHeight w:val="580"/>
        </w:trPr>
        <w:tc>
          <w:tcPr>
            <w:tcW w:w="3705" w:type="dxa"/>
          </w:tcPr>
          <w:p w14:paraId="71AB7ECB" w14:textId="77777777" w:rsidR="00F16B94" w:rsidRDefault="00F16B94" w:rsidP="00AD0AEF">
            <w:r>
              <w:t>Second review</w:t>
            </w:r>
          </w:p>
        </w:tc>
        <w:tc>
          <w:tcPr>
            <w:tcW w:w="4370" w:type="dxa"/>
          </w:tcPr>
          <w:p w14:paraId="5B2C18EC" w14:textId="77777777" w:rsidR="00F16B94" w:rsidRDefault="00F16B94" w:rsidP="00AD0AEF">
            <w:r>
              <w:t>Second stage of social security merits review in the ART</w:t>
            </w:r>
          </w:p>
        </w:tc>
      </w:tr>
      <w:tr w:rsidR="00F16B94" w14:paraId="34D52E0B" w14:textId="77777777" w:rsidTr="00F16B94">
        <w:trPr>
          <w:trHeight w:val="580"/>
        </w:trPr>
        <w:tc>
          <w:tcPr>
            <w:tcW w:w="3705" w:type="dxa"/>
          </w:tcPr>
          <w:p w14:paraId="2FD9E40F" w14:textId="77777777" w:rsidR="00F16B94" w:rsidRDefault="00F16B94" w:rsidP="00AD0AEF">
            <w:r>
              <w:t>SME</w:t>
            </w:r>
          </w:p>
        </w:tc>
        <w:tc>
          <w:tcPr>
            <w:tcW w:w="4370" w:type="dxa"/>
          </w:tcPr>
          <w:p w14:paraId="550ED383" w14:textId="46A3A9DD" w:rsidR="00F16B94" w:rsidRPr="00CA38EA" w:rsidRDefault="00F16B94" w:rsidP="00AD0AEF">
            <w:r>
              <w:t xml:space="preserve">Subject </w:t>
            </w:r>
            <w:r w:rsidR="00547A29">
              <w:t>m</w:t>
            </w:r>
            <w:r>
              <w:t xml:space="preserve">atter </w:t>
            </w:r>
            <w:r w:rsidR="00547A29">
              <w:t>e</w:t>
            </w:r>
            <w:r>
              <w:t>xpert within Services Australia</w:t>
            </w:r>
          </w:p>
        </w:tc>
      </w:tr>
      <w:tr w:rsidR="00F16B94" w14:paraId="691B672D" w14:textId="77777777" w:rsidTr="00F16B94">
        <w:trPr>
          <w:trHeight w:val="580"/>
        </w:trPr>
        <w:tc>
          <w:tcPr>
            <w:tcW w:w="3705" w:type="dxa"/>
          </w:tcPr>
          <w:p w14:paraId="71543396" w14:textId="77777777" w:rsidR="00F16B94" w:rsidRPr="00AE007B" w:rsidRDefault="00F16B94" w:rsidP="00AD0AEF">
            <w:r>
              <w:t>SSAT</w:t>
            </w:r>
          </w:p>
        </w:tc>
        <w:tc>
          <w:tcPr>
            <w:tcW w:w="4370" w:type="dxa"/>
          </w:tcPr>
          <w:p w14:paraId="464BE84B" w14:textId="77777777" w:rsidR="00F16B94" w:rsidRDefault="00F16B94" w:rsidP="00AD0AEF">
            <w:r>
              <w:t>Social Security Appeals Tribunal</w:t>
            </w:r>
          </w:p>
        </w:tc>
      </w:tr>
      <w:tr w:rsidR="00F16B94" w14:paraId="11531CEF" w14:textId="77777777" w:rsidTr="00F16B94">
        <w:trPr>
          <w:trHeight w:val="580"/>
        </w:trPr>
        <w:tc>
          <w:tcPr>
            <w:tcW w:w="3705" w:type="dxa"/>
          </w:tcPr>
          <w:p w14:paraId="5B5212B2" w14:textId="77777777" w:rsidR="00F16B94" w:rsidRDefault="00F16B94" w:rsidP="00AD0AEF">
            <w:r w:rsidRPr="00AE007B">
              <w:t>SSCSD</w:t>
            </w:r>
          </w:p>
        </w:tc>
        <w:tc>
          <w:tcPr>
            <w:tcW w:w="4370" w:type="dxa"/>
          </w:tcPr>
          <w:p w14:paraId="76A41F56" w14:textId="77777777" w:rsidR="00F16B94" w:rsidRDefault="00F16B94" w:rsidP="00AD0AEF">
            <w:r>
              <w:t>Social Security and Child Support Division of former AAT</w:t>
            </w:r>
          </w:p>
        </w:tc>
      </w:tr>
    </w:tbl>
    <w:p w14:paraId="3C89A583" w14:textId="5A18F6A4" w:rsidR="002A000E" w:rsidRDefault="002A000E" w:rsidP="00F16B94"/>
    <w:p w14:paraId="0ABAE38C" w14:textId="77777777" w:rsidR="002A000E" w:rsidRDefault="002A000E">
      <w:pPr>
        <w:spacing w:before="0" w:after="0" w:line="240" w:lineRule="auto"/>
      </w:pPr>
      <w:r>
        <w:br w:type="page"/>
      </w:r>
    </w:p>
    <w:p w14:paraId="32A9E8AF" w14:textId="18ABA7EF" w:rsidR="00CF14A6" w:rsidRDefault="0016236D" w:rsidP="00CD1087">
      <w:pPr>
        <w:pStyle w:val="Heading1"/>
        <w:numPr>
          <w:ilvl w:val="0"/>
          <w:numId w:val="26"/>
        </w:numPr>
      </w:pPr>
      <w:bookmarkStart w:id="3" w:name="_Toc205997092"/>
      <w:r>
        <w:lastRenderedPageBreak/>
        <w:t>Introduction</w:t>
      </w:r>
      <w:bookmarkEnd w:id="3"/>
    </w:p>
    <w:p w14:paraId="6E4B87B9" w14:textId="7731E9DF" w:rsidR="00CD1087" w:rsidRDefault="00E07027" w:rsidP="006A233C">
      <w:pPr>
        <w:pStyle w:val="ListParagraph"/>
        <w:numPr>
          <w:ilvl w:val="1"/>
          <w:numId w:val="26"/>
        </w:numPr>
        <w:jc w:val="both"/>
      </w:pPr>
      <w:r>
        <w:t xml:space="preserve">On 4 March 2025, </w:t>
      </w:r>
      <w:r w:rsidRPr="00AE007B">
        <w:t xml:space="preserve">the </w:t>
      </w:r>
      <w:r>
        <w:t xml:space="preserve">former </w:t>
      </w:r>
      <w:r w:rsidRPr="00AE007B">
        <w:t>Attorney-General</w:t>
      </w:r>
      <w:r>
        <w:t>, the Hon Mark Dreyfus KC MP,</w:t>
      </w:r>
      <w:r w:rsidRPr="00AE007B">
        <w:t xml:space="preserve"> wrote to the Chair of the Administrative Review Council (</w:t>
      </w:r>
      <w:r w:rsidR="00172717">
        <w:t>“</w:t>
      </w:r>
      <w:r w:rsidRPr="00435117">
        <w:t>Council</w:t>
      </w:r>
      <w:r w:rsidR="00172717">
        <w:t>”</w:t>
      </w:r>
      <w:r w:rsidRPr="00AE007B">
        <w:t>) to request that the Council inquire into</w:t>
      </w:r>
      <w:r>
        <w:t xml:space="preserve"> </w:t>
      </w:r>
      <w:r w:rsidRPr="00AE007B">
        <w:t xml:space="preserve">the operation of the social security related provisions in the </w:t>
      </w:r>
      <w:r w:rsidRPr="00CD1087">
        <w:rPr>
          <w:i/>
          <w:iCs/>
        </w:rPr>
        <w:t>Administrative Review Tribunal Bill</w:t>
      </w:r>
      <w:r w:rsidRPr="00AE007B">
        <w:t xml:space="preserve"> 2024 (</w:t>
      </w:r>
      <w:proofErr w:type="spellStart"/>
      <w:r w:rsidRPr="00AE007B">
        <w:t>Cth</w:t>
      </w:r>
      <w:proofErr w:type="spellEnd"/>
      <w:r w:rsidRPr="00AE007B">
        <w:t>) (</w:t>
      </w:r>
      <w:r w:rsidR="00315C31">
        <w:t>“</w:t>
      </w:r>
      <w:r w:rsidRPr="00435117">
        <w:t>ART Bill</w:t>
      </w:r>
      <w:r w:rsidR="00315C31">
        <w:t>”</w:t>
      </w:r>
      <w:r w:rsidRPr="00315C31">
        <w:t>) and the</w:t>
      </w:r>
      <w:r w:rsidRPr="00CD1087">
        <w:rPr>
          <w:i/>
          <w:iCs/>
        </w:rPr>
        <w:t xml:space="preserve"> Administrative Review Tribunal (Consequential and Transitional Provisions No 1) Bill</w:t>
      </w:r>
      <w:r w:rsidRPr="00AE007B">
        <w:t xml:space="preserve"> 2024 (</w:t>
      </w:r>
      <w:proofErr w:type="spellStart"/>
      <w:r w:rsidRPr="00AE007B">
        <w:t>Cth</w:t>
      </w:r>
      <w:proofErr w:type="spellEnd"/>
      <w:r w:rsidRPr="00AE007B">
        <w:t>) (</w:t>
      </w:r>
      <w:r w:rsidR="00315C31">
        <w:t>“</w:t>
      </w:r>
      <w:r w:rsidRPr="00435117">
        <w:t>ART (CTP 1) Bill</w:t>
      </w:r>
      <w:r w:rsidR="00315C31">
        <w:t>”</w:t>
      </w:r>
      <w:r w:rsidRPr="00AE007B">
        <w:t xml:space="preserve">). </w:t>
      </w:r>
    </w:p>
    <w:p w14:paraId="1A10996A" w14:textId="77777777" w:rsidR="00CD1087" w:rsidRDefault="00CD1087" w:rsidP="00CD1087">
      <w:pPr>
        <w:pStyle w:val="ListParagraph"/>
        <w:jc w:val="both"/>
      </w:pPr>
    </w:p>
    <w:p w14:paraId="6D36E5DC" w14:textId="1B1E23AE" w:rsidR="00E07027" w:rsidRDefault="00E07027" w:rsidP="006A233C">
      <w:pPr>
        <w:pStyle w:val="ListParagraph"/>
        <w:numPr>
          <w:ilvl w:val="1"/>
          <w:numId w:val="26"/>
        </w:numPr>
        <w:jc w:val="both"/>
      </w:pPr>
      <w:r w:rsidRPr="00AE007B">
        <w:t xml:space="preserve">The Attorney-General’s request </w:t>
      </w:r>
      <w:r>
        <w:t>followed</w:t>
      </w:r>
      <w:r w:rsidRPr="00AE007B">
        <w:t xml:space="preserve"> a recommendation of the Senate Committee for Legal and Constitutional Affairs in its inquiry into the ART Bills</w:t>
      </w:r>
      <w:r>
        <w:t>:</w:t>
      </w:r>
    </w:p>
    <w:p w14:paraId="33A70409" w14:textId="77777777" w:rsidR="00CD1087" w:rsidRDefault="00E07027" w:rsidP="00CD1087">
      <w:pPr>
        <w:ind w:left="1440"/>
        <w:jc w:val="both"/>
      </w:pPr>
      <w:r w:rsidRPr="00E07027">
        <w:t xml:space="preserve">The committee recommends that, following the establishment of the Administrative Review Council, the Australian Government should also consider referring to the Council the operation of the social security-related provisions as set out in the Administrative Review Tribunal Bill 2024 and the Administrative Review Tribunal (Consequential and Transitional Provisions No. 1) Bill 2024, having regard to the findings of the </w:t>
      </w:r>
      <w:proofErr w:type="spellStart"/>
      <w:r w:rsidRPr="00E07027">
        <w:t>Robodebt</w:t>
      </w:r>
      <w:proofErr w:type="spellEnd"/>
      <w:r w:rsidRPr="00E07027">
        <w:t xml:space="preserve"> Royal Commission.</w:t>
      </w:r>
      <w:r>
        <w:rPr>
          <w:rStyle w:val="FootnoteReference"/>
        </w:rPr>
        <w:footnoteReference w:id="2"/>
      </w:r>
    </w:p>
    <w:p w14:paraId="34FCE475" w14:textId="6A6CE0B3" w:rsidR="00E07027" w:rsidRPr="00E07027" w:rsidRDefault="00E07027" w:rsidP="006A233C">
      <w:pPr>
        <w:pStyle w:val="ListParagraph"/>
        <w:numPr>
          <w:ilvl w:val="1"/>
          <w:numId w:val="26"/>
        </w:numPr>
        <w:jc w:val="both"/>
      </w:pPr>
      <w:r>
        <w:t>On 1</w:t>
      </w:r>
      <w:r w:rsidR="003F282F">
        <w:t>9</w:t>
      </w:r>
      <w:r>
        <w:t xml:space="preserve"> May 2025, the Council </w:t>
      </w:r>
      <w:r w:rsidR="00637C8C">
        <w:t>decided</w:t>
      </w:r>
      <w:r>
        <w:t xml:space="preserve"> to </w:t>
      </w:r>
      <w:r w:rsidR="00637C8C">
        <w:t xml:space="preserve">inquire and report </w:t>
      </w:r>
      <w:r w:rsidR="00E06247">
        <w:t>on this issue.</w:t>
      </w:r>
    </w:p>
    <w:p w14:paraId="0F0DAB6D" w14:textId="434F5FE7" w:rsidR="00AE007B" w:rsidRDefault="00276E84" w:rsidP="00AE007B">
      <w:pPr>
        <w:pStyle w:val="Heading3"/>
      </w:pPr>
      <w:bookmarkStart w:id="4" w:name="_Toc205997093"/>
      <w:r>
        <w:t>Scope</w:t>
      </w:r>
      <w:bookmarkEnd w:id="4"/>
    </w:p>
    <w:p w14:paraId="571EE686" w14:textId="37E5DD1C" w:rsidR="00E07027" w:rsidRDefault="00E06247" w:rsidP="006A233C">
      <w:pPr>
        <w:pStyle w:val="ListParagraph"/>
        <w:numPr>
          <w:ilvl w:val="1"/>
          <w:numId w:val="26"/>
        </w:numPr>
        <w:jc w:val="both"/>
      </w:pPr>
      <w:r>
        <w:t>The Council’s inquiry will consider whether the current structures and procedures in place for the review</w:t>
      </w:r>
      <w:r w:rsidR="00315C31">
        <w:t xml:space="preserve"> by the </w:t>
      </w:r>
      <w:r w:rsidR="00DF0064">
        <w:t>Administrative Review Tribunal (“</w:t>
      </w:r>
      <w:r w:rsidR="00315C31">
        <w:t>ART</w:t>
      </w:r>
      <w:r w:rsidR="00DF0064">
        <w:t>”)</w:t>
      </w:r>
      <w:r>
        <w:t xml:space="preserve"> of social security </w:t>
      </w:r>
      <w:r w:rsidR="00315C31">
        <w:t xml:space="preserve">and family assistance </w:t>
      </w:r>
      <w:r>
        <w:t>decisions are effectively delivering the objectives of the</w:t>
      </w:r>
      <w:r w:rsidR="005A6F34">
        <w:t xml:space="preserve"> </w:t>
      </w:r>
      <w:r w:rsidR="00B84FB7">
        <w:t xml:space="preserve">ART under the </w:t>
      </w:r>
      <w:r w:rsidR="005A6F34" w:rsidRPr="00CD1087">
        <w:rPr>
          <w:i/>
        </w:rPr>
        <w:t xml:space="preserve">Administrative Review Tribunal Act </w:t>
      </w:r>
      <w:r w:rsidR="005A6F34" w:rsidRPr="00CD1087">
        <w:rPr>
          <w:iCs/>
        </w:rPr>
        <w:t>2024</w:t>
      </w:r>
      <w:r w:rsidRPr="00CD1087">
        <w:rPr>
          <w:iCs/>
        </w:rPr>
        <w:t xml:space="preserve"> </w:t>
      </w:r>
      <w:r w:rsidR="005A6F34">
        <w:t>(</w:t>
      </w:r>
      <w:proofErr w:type="spellStart"/>
      <w:r w:rsidR="005A6F34">
        <w:t>Cth</w:t>
      </w:r>
      <w:proofErr w:type="spellEnd"/>
      <w:r w:rsidR="005A6F34">
        <w:t>) (</w:t>
      </w:r>
      <w:r w:rsidR="00315C31">
        <w:t>“</w:t>
      </w:r>
      <w:r>
        <w:t>ART Act</w:t>
      </w:r>
      <w:r w:rsidR="00315C31">
        <w:t>”</w:t>
      </w:r>
      <w:r w:rsidR="005A6F34">
        <w:t>)</w:t>
      </w:r>
      <w:r>
        <w:t xml:space="preserve">. </w:t>
      </w:r>
      <w:r w:rsidR="00B84FB7">
        <w:t xml:space="preserve">Unlike other jurisdictional areas of the ART, there is a two-tier system for merits review by the ART of </w:t>
      </w:r>
      <w:r w:rsidR="003E6D7D">
        <w:t xml:space="preserve">“eligible </w:t>
      </w:r>
      <w:r w:rsidR="00B84FB7">
        <w:t xml:space="preserve">social </w:t>
      </w:r>
      <w:r w:rsidR="003E6D7D">
        <w:t>services decisions”, which includes social</w:t>
      </w:r>
      <w:r w:rsidR="00F779E8">
        <w:t xml:space="preserve"> </w:t>
      </w:r>
      <w:r w:rsidR="00B84FB7">
        <w:t>security</w:t>
      </w:r>
      <w:r w:rsidR="00F779E8">
        <w:t>, child support,</w:t>
      </w:r>
      <w:r w:rsidR="00B84FB7">
        <w:t xml:space="preserve"> family assistance decisions</w:t>
      </w:r>
      <w:r w:rsidR="00F779E8">
        <w:t xml:space="preserve"> and other reviewable social security decisions, as defined</w:t>
      </w:r>
      <w:r w:rsidR="00B84FB7">
        <w:t>.</w:t>
      </w:r>
      <w:r w:rsidR="003E6D7D">
        <w:rPr>
          <w:rStyle w:val="FootnoteReference"/>
        </w:rPr>
        <w:footnoteReference w:id="3"/>
      </w:r>
      <w:r w:rsidR="00B84FB7">
        <w:t xml:space="preserve"> </w:t>
      </w:r>
      <w:r w:rsidR="00315C31">
        <w:t>T</w:t>
      </w:r>
      <w:r>
        <w:t>he inquiry will consider the rationale for, and performance of, the two-tier system of social security merits review in the ART and the desirability of retaining this model</w:t>
      </w:r>
      <w:r w:rsidR="00B84FB7">
        <w:t xml:space="preserve">. This requires consideration of </w:t>
      </w:r>
      <w:r w:rsidR="00E82D9F">
        <w:t xml:space="preserve">other elements of the complete scheme for review </w:t>
      </w:r>
      <w:r w:rsidR="00B84FB7">
        <w:t xml:space="preserve">of social security and family assistance decisions </w:t>
      </w:r>
      <w:r w:rsidR="00E82D9F">
        <w:t>that are inter-related with the ART review. In particular, the inquiry will consider:</w:t>
      </w:r>
    </w:p>
    <w:p w14:paraId="346F557A" w14:textId="70C2CFE6" w:rsidR="00E82D9F" w:rsidRDefault="00E82D9F" w:rsidP="00E82D9F">
      <w:pPr>
        <w:pStyle w:val="ListParagraph"/>
        <w:numPr>
          <w:ilvl w:val="0"/>
          <w:numId w:val="21"/>
        </w:numPr>
        <w:jc w:val="both"/>
      </w:pPr>
      <w:r>
        <w:t xml:space="preserve">the desirability of retaining the two-tier system of merits review in the </w:t>
      </w:r>
      <w:r w:rsidRPr="00E82D9F">
        <w:t xml:space="preserve">ART </w:t>
      </w:r>
      <w:r>
        <w:t>of social security and family assistance decisions, having regard to the rationale for this model;</w:t>
      </w:r>
    </w:p>
    <w:p w14:paraId="2E2EE7A9" w14:textId="77777777" w:rsidR="00E82D9F" w:rsidRDefault="00E82D9F" w:rsidP="001A7A64">
      <w:pPr>
        <w:pStyle w:val="ListParagraph"/>
        <w:ind w:left="1512"/>
        <w:jc w:val="both"/>
      </w:pPr>
    </w:p>
    <w:p w14:paraId="587A1D07" w14:textId="77F711F2" w:rsidR="00E82D9F" w:rsidRPr="004E04FE" w:rsidRDefault="00E82D9F" w:rsidP="00E82D9F">
      <w:pPr>
        <w:pStyle w:val="ListParagraph"/>
        <w:numPr>
          <w:ilvl w:val="0"/>
          <w:numId w:val="21"/>
        </w:numPr>
        <w:jc w:val="both"/>
      </w:pPr>
      <w:r w:rsidRPr="004E04FE">
        <w:rPr>
          <w:szCs w:val="21"/>
        </w:rPr>
        <w:t xml:space="preserve">the role of the Department </w:t>
      </w:r>
      <w:r w:rsidR="00172717">
        <w:rPr>
          <w:szCs w:val="21"/>
        </w:rPr>
        <w:t xml:space="preserve">of Social Services </w:t>
      </w:r>
      <w:r w:rsidRPr="004E04FE">
        <w:rPr>
          <w:szCs w:val="21"/>
        </w:rPr>
        <w:t>as a non-participating party in existing first</w:t>
      </w:r>
      <w:r w:rsidR="00E31FA1">
        <w:rPr>
          <w:szCs w:val="21"/>
        </w:rPr>
        <w:t xml:space="preserve"> </w:t>
      </w:r>
      <w:r w:rsidRPr="004E04FE">
        <w:rPr>
          <w:szCs w:val="21"/>
        </w:rPr>
        <w:t>review in the ART;</w:t>
      </w:r>
    </w:p>
    <w:p w14:paraId="5FB87F31" w14:textId="77777777" w:rsidR="00E82D9F" w:rsidRDefault="00E82D9F" w:rsidP="001A7A64">
      <w:pPr>
        <w:pStyle w:val="ListParagraph"/>
      </w:pPr>
    </w:p>
    <w:p w14:paraId="43F458FC" w14:textId="52908E8D" w:rsidR="00E82D9F" w:rsidRPr="004E04FE" w:rsidRDefault="00E82D9F" w:rsidP="00E82D9F">
      <w:pPr>
        <w:pStyle w:val="ListParagraph"/>
        <w:numPr>
          <w:ilvl w:val="0"/>
          <w:numId w:val="21"/>
        </w:numPr>
        <w:jc w:val="both"/>
      </w:pPr>
      <w:r w:rsidRPr="004E04FE">
        <w:rPr>
          <w:szCs w:val="21"/>
        </w:rPr>
        <w:lastRenderedPageBreak/>
        <w:t>the availability of referrals to the Guidance and Appeals Panel (</w:t>
      </w:r>
      <w:r>
        <w:rPr>
          <w:szCs w:val="21"/>
        </w:rPr>
        <w:t>“</w:t>
      </w:r>
      <w:r w:rsidRPr="00E82D9F">
        <w:rPr>
          <w:szCs w:val="21"/>
        </w:rPr>
        <w:t>GAP</w:t>
      </w:r>
      <w:r>
        <w:rPr>
          <w:szCs w:val="21"/>
        </w:rPr>
        <w:t>”</w:t>
      </w:r>
      <w:r w:rsidRPr="004E04FE">
        <w:rPr>
          <w:szCs w:val="21"/>
        </w:rPr>
        <w:t>);</w:t>
      </w:r>
    </w:p>
    <w:p w14:paraId="1006A1C1" w14:textId="77777777" w:rsidR="00E82D9F" w:rsidRDefault="00E82D9F" w:rsidP="001A7A64">
      <w:pPr>
        <w:pStyle w:val="ListParagraph"/>
      </w:pPr>
    </w:p>
    <w:p w14:paraId="6978134C" w14:textId="677FDA27" w:rsidR="00E82D9F" w:rsidRPr="004E04FE" w:rsidRDefault="00E82D9F" w:rsidP="00E82D9F">
      <w:pPr>
        <w:pStyle w:val="ListParagraph"/>
        <w:numPr>
          <w:ilvl w:val="0"/>
          <w:numId w:val="21"/>
        </w:numPr>
        <w:jc w:val="both"/>
      </w:pPr>
      <w:r w:rsidRPr="004E04FE">
        <w:rPr>
          <w:szCs w:val="21"/>
        </w:rPr>
        <w:t>the ability to engage in alternative dispute resolution</w:t>
      </w:r>
      <w:r w:rsidR="00DB2A26">
        <w:rPr>
          <w:szCs w:val="21"/>
        </w:rPr>
        <w:t xml:space="preserve"> (“ADR”)</w:t>
      </w:r>
      <w:r w:rsidRPr="004E04FE">
        <w:rPr>
          <w:szCs w:val="21"/>
        </w:rPr>
        <w:t>;</w:t>
      </w:r>
      <w:r>
        <w:rPr>
          <w:szCs w:val="21"/>
        </w:rPr>
        <w:t xml:space="preserve"> and</w:t>
      </w:r>
    </w:p>
    <w:p w14:paraId="3E892E90" w14:textId="77777777" w:rsidR="00E82D9F" w:rsidRDefault="00E82D9F" w:rsidP="001A7A64">
      <w:pPr>
        <w:pStyle w:val="ListParagraph"/>
      </w:pPr>
    </w:p>
    <w:p w14:paraId="77501217" w14:textId="2EEB133D" w:rsidR="00980AB2" w:rsidRDefault="00E82D9F" w:rsidP="00980AB2">
      <w:pPr>
        <w:pStyle w:val="ListParagraph"/>
        <w:numPr>
          <w:ilvl w:val="0"/>
          <w:numId w:val="21"/>
        </w:numPr>
        <w:jc w:val="both"/>
      </w:pPr>
      <w:r w:rsidRPr="004E04FE">
        <w:rPr>
          <w:szCs w:val="21"/>
        </w:rPr>
        <w:t>the avenue of internal review of social security and family assistance decisions by an authorised review officer (</w:t>
      </w:r>
      <w:r>
        <w:rPr>
          <w:szCs w:val="21"/>
        </w:rPr>
        <w:t>“</w:t>
      </w:r>
      <w:r w:rsidRPr="00E82D9F">
        <w:rPr>
          <w:szCs w:val="21"/>
        </w:rPr>
        <w:t>ARO</w:t>
      </w:r>
      <w:r>
        <w:rPr>
          <w:szCs w:val="21"/>
        </w:rPr>
        <w:t>”</w:t>
      </w:r>
      <w:r w:rsidRPr="004E04FE">
        <w:rPr>
          <w:szCs w:val="21"/>
        </w:rPr>
        <w:t>)</w:t>
      </w:r>
      <w:r>
        <w:t xml:space="preserve">. </w:t>
      </w:r>
      <w:r w:rsidR="00980AB2">
        <w:tab/>
      </w:r>
      <w:r w:rsidR="00980AB2">
        <w:br/>
      </w:r>
    </w:p>
    <w:p w14:paraId="35EA4C0A" w14:textId="7E68BB26" w:rsidR="00E06247" w:rsidRDefault="00E06247" w:rsidP="00ED35E7">
      <w:pPr>
        <w:pStyle w:val="ListParagraph"/>
        <w:numPr>
          <w:ilvl w:val="1"/>
          <w:numId w:val="26"/>
        </w:numPr>
        <w:jc w:val="both"/>
      </w:pPr>
      <w:r>
        <w:t>As part of its inquiry, the Council will consider:</w:t>
      </w:r>
    </w:p>
    <w:p w14:paraId="18BD33CE" w14:textId="5EDF0BFB" w:rsidR="00E06247" w:rsidRDefault="00E06247" w:rsidP="00CF4EC4">
      <w:pPr>
        <w:pStyle w:val="ListParagraph"/>
        <w:numPr>
          <w:ilvl w:val="0"/>
          <w:numId w:val="13"/>
        </w:numPr>
        <w:jc w:val="both"/>
      </w:pPr>
      <w:r>
        <w:t xml:space="preserve">The effectiveness of </w:t>
      </w:r>
      <w:r w:rsidR="00E82D9F">
        <w:t xml:space="preserve">the </w:t>
      </w:r>
      <w:r>
        <w:t>internal review process</w:t>
      </w:r>
      <w:r w:rsidR="00E82D9F">
        <w:t xml:space="preserve"> conducted by AROs in </w:t>
      </w:r>
      <w:r>
        <w:t>Services Australia in resolving matters prior to external merits review.</w:t>
      </w:r>
    </w:p>
    <w:p w14:paraId="2D791A36" w14:textId="5A0EB609" w:rsidR="00E06247" w:rsidRDefault="00E06247" w:rsidP="00CF4EC4">
      <w:pPr>
        <w:pStyle w:val="ListParagraph"/>
        <w:numPr>
          <w:ilvl w:val="0"/>
          <w:numId w:val="13"/>
        </w:numPr>
        <w:jc w:val="both"/>
      </w:pPr>
      <w:r>
        <w:t>The effectiveness of first and second</w:t>
      </w:r>
      <w:r w:rsidR="00E31FA1">
        <w:t xml:space="preserve"> </w:t>
      </w:r>
      <w:r>
        <w:t>review in the ART in finalising matters in accordance with the objectives of the ART Act.</w:t>
      </w:r>
    </w:p>
    <w:p w14:paraId="19EF622F" w14:textId="69F24B98" w:rsidR="00E06247" w:rsidRDefault="00E06247" w:rsidP="005306B5">
      <w:pPr>
        <w:pStyle w:val="ListParagraph"/>
        <w:numPr>
          <w:ilvl w:val="0"/>
          <w:numId w:val="13"/>
        </w:numPr>
        <w:jc w:val="both"/>
      </w:pPr>
      <w:r>
        <w:t xml:space="preserve">The experience of parties to social security and family assistance reviews </w:t>
      </w:r>
      <w:r w:rsidR="00E82D9F">
        <w:t xml:space="preserve">by AROs </w:t>
      </w:r>
      <w:r>
        <w:t xml:space="preserve">and </w:t>
      </w:r>
      <w:r w:rsidR="00E82D9F">
        <w:t xml:space="preserve">by </w:t>
      </w:r>
      <w:r w:rsidR="00004586">
        <w:t xml:space="preserve">the </w:t>
      </w:r>
      <w:r>
        <w:t>ART, including any challenges faced by applicants in accessing or exercising their review rights.</w:t>
      </w:r>
      <w:bookmarkStart w:id="5" w:name="_Hlk203736612"/>
      <w:r w:rsidR="005306B5" w:rsidRPr="005306B5">
        <w:t xml:space="preserve"> This will include consideration of prospective applicants and reasons they may not seek to challenge decisions through available review processes, either internally or in the ART</w:t>
      </w:r>
      <w:bookmarkEnd w:id="5"/>
      <w:r w:rsidR="005306B5">
        <w:t>.</w:t>
      </w:r>
    </w:p>
    <w:p w14:paraId="0F967361" w14:textId="4C8CF702" w:rsidR="00E06247" w:rsidRDefault="00E06247" w:rsidP="00CF4EC4">
      <w:pPr>
        <w:pStyle w:val="ListParagraph"/>
        <w:numPr>
          <w:ilvl w:val="0"/>
          <w:numId w:val="13"/>
        </w:numPr>
        <w:jc w:val="both"/>
      </w:pPr>
      <w:r>
        <w:t xml:space="preserve">The impact of non-participation </w:t>
      </w:r>
      <w:r w:rsidR="00E82D9F">
        <w:t xml:space="preserve">by the Department of Social Services </w:t>
      </w:r>
      <w:r>
        <w:t>at the ART first</w:t>
      </w:r>
      <w:r w:rsidR="00E31FA1">
        <w:t xml:space="preserve"> review </w:t>
      </w:r>
      <w:r>
        <w:t>stage.</w:t>
      </w:r>
    </w:p>
    <w:p w14:paraId="1EF6AA79" w14:textId="58822A40" w:rsidR="00F53E2C" w:rsidRDefault="00F53E2C" w:rsidP="00F53E2C">
      <w:pPr>
        <w:pStyle w:val="ListParagraph"/>
        <w:numPr>
          <w:ilvl w:val="0"/>
          <w:numId w:val="13"/>
        </w:numPr>
        <w:jc w:val="both"/>
      </w:pPr>
      <w:r>
        <w:t xml:space="preserve">The current use of </w:t>
      </w:r>
      <w:r w:rsidR="00DB2A26">
        <w:t>ADR</w:t>
      </w:r>
      <w:r>
        <w:t xml:space="preserve"> in social security reviews before the ART and whether there are changes that would facilitate the timely resolution of matters.</w:t>
      </w:r>
    </w:p>
    <w:p w14:paraId="19D4FC99" w14:textId="149BCF7D" w:rsidR="00E06247" w:rsidRDefault="00E06247" w:rsidP="00CF4EC4">
      <w:pPr>
        <w:pStyle w:val="ListParagraph"/>
        <w:numPr>
          <w:ilvl w:val="0"/>
          <w:numId w:val="13"/>
        </w:numPr>
        <w:jc w:val="both"/>
      </w:pPr>
      <w:r>
        <w:t xml:space="preserve">The role of the ART’s GAP and whether the current </w:t>
      </w:r>
      <w:r w:rsidR="00E82D9F">
        <w:t xml:space="preserve">provisions restricting </w:t>
      </w:r>
      <w:r>
        <w:t>access to the GAP in social security matters are appropriate.</w:t>
      </w:r>
    </w:p>
    <w:p w14:paraId="3D72D56E" w14:textId="5C159704" w:rsidR="00E07027" w:rsidRDefault="00E07027" w:rsidP="00E07027">
      <w:pPr>
        <w:pStyle w:val="Heading3"/>
      </w:pPr>
      <w:bookmarkStart w:id="6" w:name="_Toc205997094"/>
      <w:r>
        <w:t>Making a submission</w:t>
      </w:r>
      <w:bookmarkEnd w:id="6"/>
    </w:p>
    <w:p w14:paraId="65CDCD92" w14:textId="12C9E5CF" w:rsidR="00637C8C" w:rsidRDefault="00637C8C" w:rsidP="00ED35E7">
      <w:pPr>
        <w:pStyle w:val="ListParagraph"/>
        <w:numPr>
          <w:ilvl w:val="1"/>
          <w:numId w:val="26"/>
        </w:numPr>
        <w:jc w:val="both"/>
      </w:pPr>
      <w:r>
        <w:t xml:space="preserve">The Council invites submissions responding to the questions in this Issues Paper. You do not need to answer every question, and </w:t>
      </w:r>
      <w:r w:rsidR="00172717">
        <w:t xml:space="preserve">you </w:t>
      </w:r>
      <w:r>
        <w:t xml:space="preserve">are welcome to respond </w:t>
      </w:r>
      <w:r w:rsidR="00315C31">
        <w:t xml:space="preserve">only </w:t>
      </w:r>
      <w:r>
        <w:t>to those questions that are relevant to you or your organisation.</w:t>
      </w:r>
    </w:p>
    <w:p w14:paraId="6681E507" w14:textId="77777777" w:rsidR="00980AB2" w:rsidRDefault="00980AB2" w:rsidP="00980AB2">
      <w:pPr>
        <w:pStyle w:val="ListParagraph"/>
        <w:jc w:val="both"/>
      </w:pPr>
    </w:p>
    <w:p w14:paraId="6B55F2DA" w14:textId="1F3E5766" w:rsidR="00A171A6" w:rsidRDefault="00637C8C" w:rsidP="00ED35E7">
      <w:pPr>
        <w:pStyle w:val="ListParagraph"/>
        <w:numPr>
          <w:ilvl w:val="1"/>
          <w:numId w:val="26"/>
        </w:numPr>
        <w:jc w:val="both"/>
      </w:pPr>
      <w:r>
        <w:t xml:space="preserve">You can provide a submission </w:t>
      </w:r>
      <w:r w:rsidR="00304D29">
        <w:t xml:space="preserve">via the consultation webpage at </w:t>
      </w:r>
      <w:r w:rsidR="00304D29" w:rsidRPr="00304D29">
        <w:t>https://consultations.ag.gov.au/</w:t>
      </w:r>
      <w:r>
        <w:t>.</w:t>
      </w:r>
      <w:r w:rsidR="00304D29">
        <w:t xml:space="preserve"> We encourage you to provide a response to the consultation questions through the online form. Alternatively, you may upload a written submission.</w:t>
      </w:r>
      <w:r>
        <w:t xml:space="preserve"> </w:t>
      </w:r>
    </w:p>
    <w:p w14:paraId="3F885ED9" w14:textId="77777777" w:rsidR="00A171A6" w:rsidRDefault="00A171A6" w:rsidP="00A171A6">
      <w:pPr>
        <w:pStyle w:val="ListParagraph"/>
        <w:ind w:left="1080"/>
      </w:pPr>
    </w:p>
    <w:p w14:paraId="6C824A86" w14:textId="5B527B2C" w:rsidR="00A171A6" w:rsidRDefault="00A171A6" w:rsidP="00ED35E7">
      <w:pPr>
        <w:pStyle w:val="ListParagraph"/>
        <w:numPr>
          <w:ilvl w:val="1"/>
          <w:numId w:val="26"/>
        </w:numPr>
      </w:pPr>
      <w:r>
        <w:t xml:space="preserve">Submissions received will be handled by the Administrative Review Council Secretariat within the Attorney-General’s Department and shared with the Council. </w:t>
      </w:r>
    </w:p>
    <w:p w14:paraId="064C2912" w14:textId="77777777" w:rsidR="00A171A6" w:rsidRDefault="00A171A6" w:rsidP="00ED35E7">
      <w:pPr>
        <w:pStyle w:val="ListParagraph"/>
      </w:pPr>
    </w:p>
    <w:p w14:paraId="158630C7" w14:textId="4FA7E809" w:rsidR="00637C8C" w:rsidRPr="00637C8C" w:rsidRDefault="00637C8C" w:rsidP="00ED35E7">
      <w:pPr>
        <w:pStyle w:val="ListParagraph"/>
        <w:numPr>
          <w:ilvl w:val="1"/>
          <w:numId w:val="26"/>
        </w:numPr>
      </w:pPr>
      <w:r>
        <w:t xml:space="preserve">Consultation closes on </w:t>
      </w:r>
      <w:r w:rsidRPr="00980AB2">
        <w:rPr>
          <w:b/>
        </w:rPr>
        <w:t xml:space="preserve">Friday, </w:t>
      </w:r>
      <w:r w:rsidR="00411B02" w:rsidRPr="00411B02">
        <w:rPr>
          <w:b/>
        </w:rPr>
        <w:t>26</w:t>
      </w:r>
      <w:r w:rsidR="00411B02" w:rsidRPr="00980AB2">
        <w:rPr>
          <w:b/>
        </w:rPr>
        <w:t xml:space="preserve"> </w:t>
      </w:r>
      <w:r w:rsidRPr="00980AB2">
        <w:rPr>
          <w:b/>
        </w:rPr>
        <w:t>September 2025</w:t>
      </w:r>
      <w:r>
        <w:t xml:space="preserve">. </w:t>
      </w:r>
    </w:p>
    <w:p w14:paraId="6990D45F" w14:textId="3A3D4307" w:rsidR="00F06217" w:rsidRDefault="00F06217" w:rsidP="001C6922">
      <w:pPr>
        <w:pStyle w:val="Heading4"/>
      </w:pPr>
      <w:r>
        <w:t>Publication of submissions</w:t>
      </w:r>
    </w:p>
    <w:p w14:paraId="60FD111B" w14:textId="36AC851F" w:rsidR="00A96196" w:rsidRDefault="00E07027" w:rsidP="00ED35E7">
      <w:pPr>
        <w:pStyle w:val="ListParagraph"/>
        <w:numPr>
          <w:ilvl w:val="1"/>
          <w:numId w:val="26"/>
        </w:numPr>
        <w:jc w:val="both"/>
      </w:pPr>
      <w:r>
        <w:t xml:space="preserve">You can submit your response under your name or anonymously. </w:t>
      </w:r>
      <w:r w:rsidR="00A171A6">
        <w:t>Your submission may be published unless you request that your submission be kept confidential or if the Council considers that the submission should not be made public. The Council may also refer to responses, and the names of submitters (if provided) in its inquiry report.</w:t>
      </w:r>
    </w:p>
    <w:p w14:paraId="431E4E30" w14:textId="3B1273AE" w:rsidR="00A171A6" w:rsidRDefault="00A171A6" w:rsidP="00A171A6">
      <w:pPr>
        <w:pStyle w:val="ListParagraph"/>
        <w:jc w:val="both"/>
      </w:pPr>
    </w:p>
    <w:p w14:paraId="1DF656EF" w14:textId="137BB97A" w:rsidR="00A96196" w:rsidRDefault="00A171A6" w:rsidP="00ED35E7">
      <w:pPr>
        <w:pStyle w:val="ListParagraph"/>
        <w:numPr>
          <w:ilvl w:val="1"/>
          <w:numId w:val="26"/>
        </w:numPr>
        <w:jc w:val="both"/>
      </w:pPr>
      <w:r>
        <w:t xml:space="preserve">The Council reserves the right not to publish submissions which contain personal information, inappropriate or defamatory content, or which may otherwise be unlawful to </w:t>
      </w:r>
      <w:r>
        <w:lastRenderedPageBreak/>
        <w:t xml:space="preserve">publish. The Council may also redact parts of published submissions if appropriate. </w:t>
      </w:r>
      <w:r>
        <w:br/>
      </w:r>
    </w:p>
    <w:p w14:paraId="5CF47464" w14:textId="0C872E2D" w:rsidR="00980AB2" w:rsidRDefault="00A171A6" w:rsidP="00ED35E7">
      <w:pPr>
        <w:pStyle w:val="ListParagraph"/>
        <w:numPr>
          <w:ilvl w:val="1"/>
          <w:numId w:val="26"/>
        </w:numPr>
        <w:jc w:val="both"/>
      </w:pPr>
      <w:r>
        <w:t xml:space="preserve">Please do not provide detailed information about personal legal matters or cases, or personal information relating to third parties. Please do not provide information that is the subject of legal restriction (for example, under section 204 of the </w:t>
      </w:r>
      <w:r w:rsidRPr="00A171A6">
        <w:rPr>
          <w:i/>
        </w:rPr>
        <w:t>Social Security (Administration) Act 1999</w:t>
      </w:r>
      <w:r w:rsidR="00474F09">
        <w:rPr>
          <w:iCs/>
        </w:rPr>
        <w:t xml:space="preserve"> (</w:t>
      </w:r>
      <w:proofErr w:type="spellStart"/>
      <w:r w:rsidR="00474F09">
        <w:rPr>
          <w:iCs/>
        </w:rPr>
        <w:t>Cth</w:t>
      </w:r>
      <w:proofErr w:type="spellEnd"/>
      <w:r w:rsidR="00474F09">
        <w:rPr>
          <w:iCs/>
        </w:rPr>
        <w:t>)</w:t>
      </w:r>
      <w:r>
        <w:t>). Where that information is provided, the Council may not be able to consider your submission in its review.</w:t>
      </w:r>
      <w:r w:rsidR="00DB36EA">
        <w:t xml:space="preserve"> If we receive a high volume of identical or </w:t>
      </w:r>
      <w:r w:rsidR="002F32B8">
        <w:t>template</w:t>
      </w:r>
      <w:r w:rsidR="00DB36EA">
        <w:t xml:space="preserve"> responses we may publish a representative sample.</w:t>
      </w:r>
      <w:r w:rsidR="00E07027">
        <w:t xml:space="preserve"> Submissions may</w:t>
      </w:r>
      <w:r w:rsidR="00F06217">
        <w:t xml:space="preserve"> </w:t>
      </w:r>
      <w:r w:rsidR="00E07027">
        <w:t xml:space="preserve">be subject to freedom of information requests, or requests from the Parliament. </w:t>
      </w:r>
    </w:p>
    <w:p w14:paraId="1BF0C278" w14:textId="77777777" w:rsidR="00980AB2" w:rsidRDefault="00980AB2" w:rsidP="00980AB2">
      <w:pPr>
        <w:pStyle w:val="ListParagraph"/>
        <w:jc w:val="both"/>
      </w:pPr>
    </w:p>
    <w:p w14:paraId="33C0D44C" w14:textId="13C86810" w:rsidR="00E07027" w:rsidRDefault="00E07027" w:rsidP="00ED35E7">
      <w:pPr>
        <w:pStyle w:val="ListParagraph"/>
        <w:numPr>
          <w:ilvl w:val="1"/>
          <w:numId w:val="26"/>
        </w:numPr>
        <w:jc w:val="both"/>
      </w:pPr>
      <w:r>
        <w:t xml:space="preserve">Personal information shared through the consultation process will be treated in accordance with the </w:t>
      </w:r>
      <w:r w:rsidRPr="00980AB2">
        <w:rPr>
          <w:i/>
        </w:rPr>
        <w:t xml:space="preserve">Privacy </w:t>
      </w:r>
      <w:r w:rsidRPr="00075E40">
        <w:rPr>
          <w:i/>
        </w:rPr>
        <w:t xml:space="preserve">Act </w:t>
      </w:r>
      <w:r w:rsidRPr="00612450">
        <w:rPr>
          <w:i/>
        </w:rPr>
        <w:t>1988</w:t>
      </w:r>
      <w:r w:rsidR="00E82D9F" w:rsidRPr="00980AB2">
        <w:rPr>
          <w:iCs/>
        </w:rPr>
        <w:t xml:space="preserve"> </w:t>
      </w:r>
      <w:r w:rsidR="00315C31" w:rsidRPr="00980AB2">
        <w:rPr>
          <w:iCs/>
        </w:rPr>
        <w:t>(</w:t>
      </w:r>
      <w:proofErr w:type="spellStart"/>
      <w:r w:rsidR="00315C31" w:rsidRPr="00980AB2">
        <w:rPr>
          <w:iCs/>
        </w:rPr>
        <w:t>Cth</w:t>
      </w:r>
      <w:proofErr w:type="spellEnd"/>
      <w:r w:rsidR="00315C31" w:rsidRPr="00980AB2">
        <w:rPr>
          <w:iCs/>
        </w:rPr>
        <w:t>)</w:t>
      </w:r>
      <w:r w:rsidRPr="00980AB2">
        <w:rPr>
          <w:iCs/>
        </w:rPr>
        <w:t>.</w:t>
      </w:r>
      <w:r>
        <w:t xml:space="preserve"> For more information on how the Attorney-General’s Department collects, stores and uses personal information, please visit the Attorney-General’s Department’s Privacy Policy at www.ag.gov.au/about-us/accountability-and-reporting/privacy-policy</w:t>
      </w:r>
      <w:r w:rsidR="00637C8C">
        <w:t>.</w:t>
      </w:r>
      <w:r w:rsidR="00FB6E61">
        <w:t xml:space="preserve"> A Privacy collection notice, available on the consultation webpage, outlines how </w:t>
      </w:r>
      <w:r w:rsidR="00FB6E61" w:rsidRPr="00AD15C0">
        <w:t xml:space="preserve">we will collect your personal information, how it will be used and who it may be disclosed to. By participating in the </w:t>
      </w:r>
      <w:r w:rsidR="00E23F7A" w:rsidRPr="00AD15C0">
        <w:t>consultation,</w:t>
      </w:r>
      <w:r w:rsidR="00E23F7A">
        <w:t xml:space="preserve"> </w:t>
      </w:r>
      <w:r w:rsidR="00FB6E61" w:rsidRPr="00AD15C0">
        <w:t>you are indicating you have read and agree to the Privacy collection notice.</w:t>
      </w:r>
    </w:p>
    <w:p w14:paraId="687E7B7C" w14:textId="1D1E8B0E" w:rsidR="00E07027" w:rsidRDefault="00E07027" w:rsidP="00214E14">
      <w:pPr>
        <w:pStyle w:val="Heading2"/>
      </w:pPr>
      <w:bookmarkStart w:id="7" w:name="_Toc205997095"/>
      <w:r w:rsidRPr="00922F53">
        <w:t>List of questions</w:t>
      </w:r>
      <w:bookmarkEnd w:id="7"/>
    </w:p>
    <w:p w14:paraId="78D606F9" w14:textId="516351B8" w:rsidR="0039087A" w:rsidRDefault="0039087A" w:rsidP="00E944DC">
      <w:pPr>
        <w:pStyle w:val="Heading4"/>
      </w:pPr>
      <w:r>
        <w:t>Internal review processes</w:t>
      </w:r>
    </w:p>
    <w:p w14:paraId="49EEF705" w14:textId="2094FB66" w:rsidR="000D1BC4" w:rsidRDefault="000D1BC4" w:rsidP="000D1BC4">
      <w:pPr>
        <w:jc w:val="both"/>
      </w:pPr>
      <w:r>
        <w:t xml:space="preserve">1. </w:t>
      </w:r>
      <w:r w:rsidRPr="000D1BC4">
        <w:t xml:space="preserve">What is your experience with the </w:t>
      </w:r>
      <w:r>
        <w:t>Authorised Review Officer (</w:t>
      </w:r>
      <w:r w:rsidRPr="000D1BC4">
        <w:t>ARO</w:t>
      </w:r>
      <w:r>
        <w:t>)</w:t>
      </w:r>
      <w:r w:rsidRPr="000D1BC4">
        <w:t xml:space="preserve"> review process in Services Australia after 7 July 2023 (when the </w:t>
      </w:r>
      <w:proofErr w:type="spellStart"/>
      <w:r w:rsidRPr="000D1BC4">
        <w:t>Robodebt</w:t>
      </w:r>
      <w:proofErr w:type="spellEnd"/>
      <w:r w:rsidRPr="000D1BC4">
        <w:t xml:space="preserve"> Royal Commission reported)</w:t>
      </w:r>
      <w:r>
        <w:t>?</w:t>
      </w:r>
    </w:p>
    <w:p w14:paraId="07DE94BF" w14:textId="4DB89FC1" w:rsidR="0039087A" w:rsidRDefault="000D1BC4" w:rsidP="000D1BC4">
      <w:r>
        <w:t>Provide details particularly in relation to:</w:t>
      </w:r>
      <w:r w:rsidR="0039087A" w:rsidRPr="00206A97">
        <w:t xml:space="preserve"> </w:t>
      </w:r>
    </w:p>
    <w:p w14:paraId="00FD29D3" w14:textId="06A76C6B" w:rsidR="0039087A" w:rsidRDefault="00B36E62" w:rsidP="0039087A">
      <w:pPr>
        <w:ind w:left="720"/>
      </w:pPr>
      <w:r>
        <w:t>1</w:t>
      </w:r>
      <w:r w:rsidR="0039087A" w:rsidRPr="00206A97">
        <w:t>.1. access</w:t>
      </w:r>
      <w:r w:rsidR="00172717">
        <w:t xml:space="preserve"> to</w:t>
      </w:r>
      <w:r w:rsidR="0039087A" w:rsidRPr="00206A97">
        <w:t xml:space="preserve"> review</w:t>
      </w:r>
      <w:r w:rsidR="001A7A64" w:rsidRPr="001A7A64">
        <w:t>;</w:t>
      </w:r>
    </w:p>
    <w:p w14:paraId="0B3A2D3E" w14:textId="5D75E3F4" w:rsidR="0039087A" w:rsidRDefault="00B36E62" w:rsidP="0039087A">
      <w:pPr>
        <w:ind w:left="720"/>
      </w:pPr>
      <w:r>
        <w:t>1.</w:t>
      </w:r>
      <w:r w:rsidR="0039087A" w:rsidRPr="00206A97">
        <w:t>2. timeliness of review; and</w:t>
      </w:r>
    </w:p>
    <w:p w14:paraId="51E64FBB" w14:textId="5FF6E6BD" w:rsidR="0039087A" w:rsidRPr="00206A97" w:rsidRDefault="00B36E62" w:rsidP="0039087A">
      <w:pPr>
        <w:ind w:left="720"/>
      </w:pPr>
      <w:r>
        <w:t>1</w:t>
      </w:r>
      <w:r w:rsidR="0039087A" w:rsidRPr="00206A97">
        <w:t>.3. the communication of reasons for decisions and further review rights?</w:t>
      </w:r>
    </w:p>
    <w:p w14:paraId="460FD378" w14:textId="77777777" w:rsidR="000D1BC4" w:rsidRDefault="000D1BC4" w:rsidP="00ED35E7">
      <w:pPr>
        <w:jc w:val="both"/>
      </w:pPr>
      <w:r w:rsidRPr="000D1BC4">
        <w:t>2. Are there any changes to the process or arrangements for ARO review that could improve this avenue for review in terms of process or outcomes for individuals?</w:t>
      </w:r>
    </w:p>
    <w:p w14:paraId="00A321E3" w14:textId="7C418586" w:rsidR="009D345E" w:rsidRDefault="000D1BC4" w:rsidP="00ED35E7">
      <w:pPr>
        <w:jc w:val="both"/>
      </w:pPr>
      <w:r w:rsidRPr="000D1BC4">
        <w:t xml:space="preserve">3. Should there be statutory time limits on applying for ARO reviews and/or for an ARO to </w:t>
      </w:r>
      <w:proofErr w:type="gramStart"/>
      <w:r w:rsidRPr="000D1BC4">
        <w:t>make a decision</w:t>
      </w:r>
      <w:proofErr w:type="gramEnd"/>
      <w:r w:rsidRPr="000D1BC4">
        <w:t>?</w:t>
      </w:r>
      <w:r>
        <w:t xml:space="preserve"> </w:t>
      </w:r>
      <w:r w:rsidR="009D345E" w:rsidRPr="00E73C4D">
        <w:t>Please explain why or why not.</w:t>
      </w:r>
    </w:p>
    <w:p w14:paraId="1666FC02" w14:textId="74CF438C" w:rsidR="0039087A" w:rsidRDefault="0039087A" w:rsidP="00E944DC">
      <w:pPr>
        <w:pStyle w:val="Heading4"/>
      </w:pPr>
      <w:r>
        <w:t>ART social security review structure</w:t>
      </w:r>
    </w:p>
    <w:p w14:paraId="5E88084C" w14:textId="4B80BB82" w:rsidR="000D1BC4" w:rsidRDefault="000D1BC4" w:rsidP="000D1BC4">
      <w:pPr>
        <w:jc w:val="both"/>
      </w:pPr>
      <w:bookmarkStart w:id="8" w:name="_Hlk202450444"/>
      <w:r>
        <w:t xml:space="preserve">4. Have you observed changes to how the review of social security matters </w:t>
      </w:r>
      <w:r w:rsidR="008A339D">
        <w:t>is</w:t>
      </w:r>
      <w:r>
        <w:t xml:space="preserve"> being carried out in the ART, compared with in the former AAT? If so, what are these changes?</w:t>
      </w:r>
    </w:p>
    <w:p w14:paraId="4F50AAAA" w14:textId="24A648A3" w:rsidR="00B61921" w:rsidRDefault="009D345E" w:rsidP="000D1BC4">
      <w:pPr>
        <w:jc w:val="both"/>
      </w:pPr>
      <w:r>
        <w:lastRenderedPageBreak/>
        <w:t>5</w:t>
      </w:r>
      <w:r w:rsidR="00206A97" w:rsidRPr="00206A97">
        <w:t xml:space="preserve">. </w:t>
      </w:r>
      <w:r w:rsidR="000D1BC4">
        <w:t>Do the current structure and procedures for social security review in the ART promote the ART’s objectives under the ART Act?</w:t>
      </w:r>
      <w:r w:rsidR="008A339D">
        <w:rPr>
          <w:rStyle w:val="FootnoteReference"/>
        </w:rPr>
        <w:footnoteReference w:id="4"/>
      </w:r>
      <w:r w:rsidR="000D1BC4">
        <w:t xml:space="preserve"> If not, what do you think are the key impediments hindering this?</w:t>
      </w:r>
    </w:p>
    <w:p w14:paraId="650FA8E2" w14:textId="77777777" w:rsidR="000D1BC4" w:rsidRDefault="009D345E" w:rsidP="00ED35E7">
      <w:pPr>
        <w:jc w:val="both"/>
      </w:pPr>
      <w:r>
        <w:t>6</w:t>
      </w:r>
      <w:r w:rsidR="00DB36EA">
        <w:t xml:space="preserve">. </w:t>
      </w:r>
      <w:r w:rsidR="000D1BC4" w:rsidRPr="000D1BC4">
        <w:t>What aspects of the current first review in the ART are working well?</w:t>
      </w:r>
    </w:p>
    <w:p w14:paraId="2E5DC76B" w14:textId="2441D0EC" w:rsidR="000D1BC4" w:rsidRDefault="009D345E" w:rsidP="00ED35E7">
      <w:pPr>
        <w:jc w:val="both"/>
      </w:pPr>
      <w:r>
        <w:t>7</w:t>
      </w:r>
      <w:r w:rsidR="00650582" w:rsidRPr="00650582">
        <w:t xml:space="preserve">. </w:t>
      </w:r>
      <w:r w:rsidR="000D1BC4" w:rsidRPr="000D1BC4">
        <w:t>Do you believe a single tier of review in the ART could promote the objectives of the ART?</w:t>
      </w:r>
    </w:p>
    <w:p w14:paraId="74386E3F" w14:textId="6ED19228" w:rsidR="00264ED8" w:rsidRDefault="000D1BC4" w:rsidP="00ED35E7">
      <w:pPr>
        <w:jc w:val="both"/>
      </w:pPr>
      <w:r>
        <w:t xml:space="preserve">8. </w:t>
      </w:r>
      <w:r w:rsidRPr="000D1BC4">
        <w:t>If there were a single tier of review in the ART, would particular measures or safeguards be needed to ensure that review remains accessible and responsive to the diverse needs of parties to proceedings?</w:t>
      </w:r>
    </w:p>
    <w:bookmarkEnd w:id="8"/>
    <w:p w14:paraId="4096A2B6" w14:textId="4E29B711" w:rsidR="0039087A" w:rsidRPr="00206A97" w:rsidRDefault="0039087A" w:rsidP="00E944DC">
      <w:pPr>
        <w:pStyle w:val="Heading4"/>
      </w:pPr>
      <w:r>
        <w:t xml:space="preserve">Role of the Department </w:t>
      </w:r>
      <w:r w:rsidR="000D1BC4">
        <w:t xml:space="preserve">of Social Services (“DSS”) </w:t>
      </w:r>
      <w:r>
        <w:t>in the ART</w:t>
      </w:r>
    </w:p>
    <w:p w14:paraId="1CDA03C5" w14:textId="17FBD5E1" w:rsidR="000D1BC4" w:rsidRDefault="000D1BC4" w:rsidP="00ED35E7">
      <w:pPr>
        <w:jc w:val="both"/>
      </w:pPr>
      <w:r>
        <w:t xml:space="preserve">9. </w:t>
      </w:r>
      <w:r w:rsidRPr="000D1BC4">
        <w:t xml:space="preserve">How would you describe your experience of </w:t>
      </w:r>
      <w:r>
        <w:t>DSS’s</w:t>
      </w:r>
      <w:r w:rsidRPr="000D1BC4">
        <w:t xml:space="preserve"> role at first review and second review?</w:t>
      </w:r>
    </w:p>
    <w:p w14:paraId="65D945BA" w14:textId="16321534" w:rsidR="00B61921" w:rsidRDefault="000D1BC4" w:rsidP="00ED35E7">
      <w:pPr>
        <w:jc w:val="both"/>
      </w:pPr>
      <w:r>
        <w:t>10</w:t>
      </w:r>
      <w:r w:rsidR="00A622C5">
        <w:t xml:space="preserve">. </w:t>
      </w:r>
      <w:r w:rsidRPr="000D1BC4">
        <w:t>What impact does DSS's non-participation during first review have on the ART’s ability to resolve matters in accordance with its statutory objectives?</w:t>
      </w:r>
    </w:p>
    <w:p w14:paraId="39375AD7" w14:textId="77777777" w:rsidR="000D1BC4" w:rsidRDefault="009D345E" w:rsidP="000D1BC4">
      <w:pPr>
        <w:jc w:val="both"/>
      </w:pPr>
      <w:r>
        <w:t>1</w:t>
      </w:r>
      <w:r w:rsidR="000D1BC4">
        <w:t>1</w:t>
      </w:r>
      <w:r w:rsidR="00A622C5">
        <w:t xml:space="preserve">. </w:t>
      </w:r>
      <w:r w:rsidR="000D1BC4">
        <w:t>Are there any changes you think should be made to DSS's role before the ART to improve or better support the timely and effective resolution of matters at first review?</w:t>
      </w:r>
    </w:p>
    <w:p w14:paraId="6AC28290" w14:textId="52CB35A5" w:rsidR="0039087A" w:rsidRDefault="0039087A" w:rsidP="00E944DC">
      <w:pPr>
        <w:pStyle w:val="Heading4"/>
      </w:pPr>
      <w:r>
        <w:t xml:space="preserve">Role of </w:t>
      </w:r>
      <w:r w:rsidR="00301658">
        <w:t xml:space="preserve">alternative </w:t>
      </w:r>
      <w:r>
        <w:t>dispute resolution in the ART</w:t>
      </w:r>
    </w:p>
    <w:p w14:paraId="45F5B9B5" w14:textId="59A211E9" w:rsidR="00B61921" w:rsidRPr="0052293F" w:rsidRDefault="008544F4" w:rsidP="00ED35E7">
      <w:pPr>
        <w:jc w:val="both"/>
      </w:pPr>
      <w:r>
        <w:t>1</w:t>
      </w:r>
      <w:r w:rsidR="000D1BC4">
        <w:t>2</w:t>
      </w:r>
      <w:r w:rsidR="0052293F" w:rsidRPr="0052293F">
        <w:t xml:space="preserve">. </w:t>
      </w:r>
      <w:r w:rsidR="000D1BC4" w:rsidRPr="000D1BC4">
        <w:t>What is your experience of alternative dispute resolution (ADR) processes during ART review of social security matters?</w:t>
      </w:r>
    </w:p>
    <w:p w14:paraId="40E400A8" w14:textId="710504AF" w:rsidR="00922F53" w:rsidRDefault="0052293F" w:rsidP="00ED35E7">
      <w:pPr>
        <w:jc w:val="both"/>
      </w:pPr>
      <w:r w:rsidRPr="0052293F">
        <w:t>1</w:t>
      </w:r>
      <w:r w:rsidR="000D1BC4">
        <w:t>3</w:t>
      </w:r>
      <w:r w:rsidRPr="0052293F">
        <w:t xml:space="preserve">. </w:t>
      </w:r>
      <w:r w:rsidR="000D1BC4" w:rsidRPr="000D1BC4">
        <w:t>Are there any changes you would suggest to the ADR process to support the ART’s objectives in relation to accessibility, responsiveness and the quick and informal resolution of applications?</w:t>
      </w:r>
    </w:p>
    <w:p w14:paraId="4CB20C0C" w14:textId="179A6148" w:rsidR="0039087A" w:rsidRDefault="0039087A" w:rsidP="00E944DC">
      <w:pPr>
        <w:pStyle w:val="Heading4"/>
      </w:pPr>
      <w:r>
        <w:t>Role of the Guidance and Appeals Panel</w:t>
      </w:r>
      <w:r w:rsidR="000D1BC4">
        <w:t xml:space="preserve"> (“GAP”)</w:t>
      </w:r>
    </w:p>
    <w:p w14:paraId="44F19C99" w14:textId="0BF8533D" w:rsidR="00B61921" w:rsidRDefault="009950B3" w:rsidP="00ED35E7">
      <w:pPr>
        <w:jc w:val="both"/>
      </w:pPr>
      <w:r>
        <w:t>1</w:t>
      </w:r>
      <w:r w:rsidR="000D1BC4">
        <w:t>4</w:t>
      </w:r>
      <w:r w:rsidR="00922F53">
        <w:t xml:space="preserve">. </w:t>
      </w:r>
      <w:r w:rsidR="000D1BC4" w:rsidRPr="000D1BC4">
        <w:t>What is your view of the current provisions for access to the GAP in the ART?</w:t>
      </w:r>
      <w:r w:rsidR="000D1BC4">
        <w:t xml:space="preserve"> </w:t>
      </w:r>
      <w:r w:rsidR="000D1BC4" w:rsidRPr="000D1BC4">
        <w:t>Do they support the intended role of the GAP in ensuring that significant and emerging issues are quickly dealt with at a higher level and in promoting consistent ART decision-making?</w:t>
      </w:r>
    </w:p>
    <w:p w14:paraId="7BFACF1F" w14:textId="39E7A4E0" w:rsidR="00922F53" w:rsidRPr="00922F53" w:rsidRDefault="009950B3" w:rsidP="00ED35E7">
      <w:pPr>
        <w:jc w:val="both"/>
      </w:pPr>
      <w:r>
        <w:t>1</w:t>
      </w:r>
      <w:r w:rsidR="000D1BC4">
        <w:t>5</w:t>
      </w:r>
      <w:r w:rsidR="00922F53">
        <w:t xml:space="preserve">. </w:t>
      </w:r>
      <w:r w:rsidR="000D1BC4" w:rsidRPr="000D1BC4">
        <w:t>If a single-tier system of review were introduced, would any changes be needed to the provisions and criteria for referrals to the GAP?</w:t>
      </w:r>
    </w:p>
    <w:p w14:paraId="4B83F6FC" w14:textId="4819BDF5" w:rsidR="00E06247" w:rsidRPr="00E944DC" w:rsidRDefault="00AE007B" w:rsidP="00ED35E7">
      <w:pPr>
        <w:pStyle w:val="Heading1"/>
        <w:numPr>
          <w:ilvl w:val="0"/>
          <w:numId w:val="26"/>
        </w:numPr>
      </w:pPr>
      <w:bookmarkStart w:id="9" w:name="_Toc205997096"/>
      <w:r>
        <w:lastRenderedPageBreak/>
        <w:t>Background</w:t>
      </w:r>
      <w:bookmarkEnd w:id="9"/>
    </w:p>
    <w:p w14:paraId="021EEF30" w14:textId="77777777" w:rsidR="00CD1087" w:rsidRDefault="001F4544" w:rsidP="00CD1087">
      <w:pPr>
        <w:pStyle w:val="Heading3"/>
      </w:pPr>
      <w:bookmarkStart w:id="10" w:name="_Toc205997097"/>
      <w:r>
        <w:t>Administrative Review Tribunal</w:t>
      </w:r>
      <w:r w:rsidR="003B2081">
        <w:t xml:space="preserve"> reforms</w:t>
      </w:r>
      <w:bookmarkEnd w:id="10"/>
      <w:r w:rsidR="003B2081">
        <w:t xml:space="preserve"> </w:t>
      </w:r>
    </w:p>
    <w:p w14:paraId="28E1906A" w14:textId="47695B63" w:rsidR="009F3A66" w:rsidRDefault="00D73A48" w:rsidP="00ED35E7">
      <w:pPr>
        <w:pStyle w:val="ListParagraph"/>
        <w:numPr>
          <w:ilvl w:val="1"/>
          <w:numId w:val="34"/>
        </w:numPr>
        <w:jc w:val="both"/>
      </w:pPr>
      <w:r>
        <w:t xml:space="preserve">The Council’s inquiry has arisen in the context of reforms to Australia’s administrative review system in 2024. </w:t>
      </w:r>
      <w:r w:rsidR="009F3A66">
        <w:t xml:space="preserve">The </w:t>
      </w:r>
      <w:r w:rsidR="0036669C">
        <w:t>ART Act</w:t>
      </w:r>
      <w:r>
        <w:t>, which came into effect on 14 October 2024,</w:t>
      </w:r>
      <w:r w:rsidR="009F3A66">
        <w:t xml:space="preserve"> established the </w:t>
      </w:r>
      <w:r w:rsidR="0036669C">
        <w:t>ART</w:t>
      </w:r>
      <w:r w:rsidR="00E4505E">
        <w:t xml:space="preserve"> </w:t>
      </w:r>
      <w:r w:rsidR="009F3A66">
        <w:t xml:space="preserve">to replace the </w:t>
      </w:r>
      <w:r>
        <w:t xml:space="preserve">former </w:t>
      </w:r>
      <w:r w:rsidR="009F3A66">
        <w:t>A</w:t>
      </w:r>
      <w:r>
        <w:t xml:space="preserve">dministrative </w:t>
      </w:r>
      <w:r w:rsidR="009F3A66">
        <w:t>A</w:t>
      </w:r>
      <w:r>
        <w:t xml:space="preserve">ppeals </w:t>
      </w:r>
      <w:r w:rsidR="009F3A66">
        <w:t>T</w:t>
      </w:r>
      <w:r>
        <w:t>ribunal (</w:t>
      </w:r>
      <w:r w:rsidR="00E82D9F">
        <w:t>“</w:t>
      </w:r>
      <w:r>
        <w:t>AAT</w:t>
      </w:r>
      <w:r w:rsidR="00E82D9F">
        <w:t>”</w:t>
      </w:r>
      <w:r>
        <w:t>)</w:t>
      </w:r>
      <w:r w:rsidR="009F3A66">
        <w:t xml:space="preserve">, and implemented recommendations of the </w:t>
      </w:r>
      <w:r w:rsidR="00F2385F">
        <w:t xml:space="preserve">Final Report of the </w:t>
      </w:r>
      <w:r w:rsidR="005A6F34" w:rsidRPr="00E17FA4">
        <w:t xml:space="preserve">Royal Commission into the </w:t>
      </w:r>
      <w:proofErr w:type="spellStart"/>
      <w:r w:rsidR="005A6F34" w:rsidRPr="00E17FA4">
        <w:t>Robodebt</w:t>
      </w:r>
      <w:proofErr w:type="spellEnd"/>
      <w:r w:rsidR="005A6F34" w:rsidRPr="00E17FA4">
        <w:t xml:space="preserve"> Scheme</w:t>
      </w:r>
      <w:r w:rsidR="009F3A66">
        <w:t>.</w:t>
      </w:r>
      <w:r w:rsidR="00E4505E">
        <w:t xml:space="preserve"> The ART Act requires the ART to pursue the objective of providing an independent mechanism of review that:</w:t>
      </w:r>
    </w:p>
    <w:p w14:paraId="0517E587" w14:textId="16889802" w:rsidR="00E4505E" w:rsidRDefault="00E4505E" w:rsidP="00ED35E7">
      <w:pPr>
        <w:pStyle w:val="ListParagraph"/>
        <w:numPr>
          <w:ilvl w:val="2"/>
          <w:numId w:val="37"/>
        </w:numPr>
        <w:jc w:val="both"/>
      </w:pPr>
      <w:r>
        <w:t>is fair and just; and</w:t>
      </w:r>
    </w:p>
    <w:p w14:paraId="00CD23CB" w14:textId="47D7C315" w:rsidR="00E4505E" w:rsidRDefault="00E4505E" w:rsidP="00ED35E7">
      <w:pPr>
        <w:pStyle w:val="ListParagraph"/>
        <w:numPr>
          <w:ilvl w:val="2"/>
          <w:numId w:val="37"/>
        </w:numPr>
        <w:jc w:val="both"/>
      </w:pPr>
      <w:r>
        <w:t>ensures that applications to the Tribunal are resolved as quickly, and with as little formality and expense, as a proper consideration of the matters before the Tribunal permits; and</w:t>
      </w:r>
    </w:p>
    <w:p w14:paraId="12101112" w14:textId="01658C58" w:rsidR="00E4505E" w:rsidRDefault="00E4505E" w:rsidP="00ED35E7">
      <w:pPr>
        <w:pStyle w:val="ListParagraph"/>
        <w:numPr>
          <w:ilvl w:val="2"/>
          <w:numId w:val="37"/>
        </w:numPr>
        <w:jc w:val="both"/>
      </w:pPr>
      <w:r>
        <w:t>is accessible and responsive to the diverse needs of parties to proceedings; and</w:t>
      </w:r>
    </w:p>
    <w:p w14:paraId="76214D86" w14:textId="691914CA" w:rsidR="00E4505E" w:rsidRDefault="00E4505E" w:rsidP="00ED35E7">
      <w:pPr>
        <w:pStyle w:val="ListParagraph"/>
        <w:numPr>
          <w:ilvl w:val="2"/>
          <w:numId w:val="37"/>
        </w:numPr>
        <w:jc w:val="both"/>
      </w:pPr>
      <w:r>
        <w:t>improves the transparency and quality of government decision</w:t>
      </w:r>
      <w:r w:rsidRPr="00CE7B1B">
        <w:rPr>
          <w:rFonts w:ascii="Cambria Math" w:hAnsi="Cambria Math" w:cs="Cambria Math"/>
        </w:rPr>
        <w:t>‑</w:t>
      </w:r>
      <w:r>
        <w:t>making; and</w:t>
      </w:r>
    </w:p>
    <w:p w14:paraId="674912D8" w14:textId="60A1B5A3" w:rsidR="00E4505E" w:rsidRDefault="00E4505E" w:rsidP="00ED35E7">
      <w:pPr>
        <w:pStyle w:val="ListParagraph"/>
        <w:numPr>
          <w:ilvl w:val="2"/>
          <w:numId w:val="37"/>
        </w:numPr>
        <w:jc w:val="both"/>
      </w:pPr>
      <w:r>
        <w:t>promotes public trust and confidence in the Tribunal.</w:t>
      </w:r>
      <w:r>
        <w:rPr>
          <w:rStyle w:val="FootnoteReference"/>
        </w:rPr>
        <w:footnoteReference w:id="5"/>
      </w:r>
    </w:p>
    <w:p w14:paraId="36C225E0" w14:textId="77777777" w:rsidR="00CD1087" w:rsidRDefault="00CD1087" w:rsidP="00CD1087">
      <w:pPr>
        <w:pStyle w:val="ListParagraph"/>
        <w:ind w:left="1440"/>
        <w:jc w:val="both"/>
      </w:pPr>
    </w:p>
    <w:p w14:paraId="6DB5E5CF" w14:textId="6695D5B1" w:rsidR="00CD1087" w:rsidRDefault="00E56A3F" w:rsidP="00ED35E7">
      <w:pPr>
        <w:pStyle w:val="ListParagraph"/>
        <w:numPr>
          <w:ilvl w:val="1"/>
          <w:numId w:val="34"/>
        </w:numPr>
        <w:jc w:val="both"/>
      </w:pPr>
      <w:r>
        <w:t xml:space="preserve">This </w:t>
      </w:r>
      <w:r w:rsidR="00013AAE">
        <w:t>differs</w:t>
      </w:r>
      <w:r>
        <w:t xml:space="preserve"> from the objective of the </w:t>
      </w:r>
      <w:r w:rsidR="00013AAE">
        <w:t xml:space="preserve">former </w:t>
      </w:r>
      <w:r>
        <w:t xml:space="preserve">AAT </w:t>
      </w:r>
      <w:r w:rsidR="00013AAE">
        <w:t xml:space="preserve">in </w:t>
      </w:r>
      <w:r w:rsidR="00B84FB7">
        <w:t xml:space="preserve">that it </w:t>
      </w:r>
      <w:r w:rsidR="00013AAE">
        <w:t>emphasis</w:t>
      </w:r>
      <w:r w:rsidR="00B84FB7">
        <w:t>es</w:t>
      </w:r>
      <w:r w:rsidR="00013AAE">
        <w:t xml:space="preserve"> the need to respond to the diverse needs of parties in the </w:t>
      </w:r>
      <w:r w:rsidR="00B84FB7">
        <w:t>AR</w:t>
      </w:r>
      <w:r w:rsidR="00013AAE">
        <w:t>T process and recognis</w:t>
      </w:r>
      <w:r w:rsidR="00B84FB7">
        <w:t>es</w:t>
      </w:r>
      <w:r w:rsidR="00013AAE">
        <w:t xml:space="preserve"> the important role of the ART in promoting transparent and high-quality government decision-making.</w:t>
      </w:r>
      <w:r w:rsidR="00013AAE">
        <w:rPr>
          <w:rStyle w:val="FootnoteReference"/>
        </w:rPr>
        <w:footnoteReference w:id="6"/>
      </w:r>
      <w:r w:rsidR="005F2BC3">
        <w:t xml:space="preserve"> The </w:t>
      </w:r>
      <w:r w:rsidR="00EE6933">
        <w:t>revised objective</w:t>
      </w:r>
      <w:r w:rsidR="005F2BC3">
        <w:t xml:space="preserve"> also places clear limits on the ART’s objective of resolving applications quickly and informally</w:t>
      </w:r>
      <w:r w:rsidR="00B84FB7">
        <w:t>,</w:t>
      </w:r>
      <w:r w:rsidR="005F2BC3">
        <w:t xml:space="preserve"> by clarifying that this goal must be balanced by the need to properly consider the issues in each particular case.</w:t>
      </w:r>
      <w:r w:rsidR="005F2BC3" w:rsidRPr="002A000E">
        <w:rPr>
          <w:rStyle w:val="FootnoteReference"/>
        </w:rPr>
        <w:footnoteReference w:id="7"/>
      </w:r>
    </w:p>
    <w:p w14:paraId="5C3FA8B3" w14:textId="77777777" w:rsidR="00CD1087" w:rsidRDefault="00CD1087" w:rsidP="00ED35E7">
      <w:pPr>
        <w:pStyle w:val="ListParagraph"/>
        <w:jc w:val="both"/>
      </w:pPr>
    </w:p>
    <w:p w14:paraId="30623582" w14:textId="77777777" w:rsidR="00ED35E7" w:rsidRDefault="00D73A48" w:rsidP="00ED35E7">
      <w:pPr>
        <w:pStyle w:val="ListParagraph"/>
        <w:numPr>
          <w:ilvl w:val="1"/>
          <w:numId w:val="34"/>
        </w:numPr>
        <w:jc w:val="both"/>
      </w:pPr>
      <w:r>
        <w:t xml:space="preserve">The ART Bill initially proposed significant reforms to the review structure for social security matters, by removing the two-tier review structure that had existed in the AAT and reflected the two levels of merits review which had been in place for social security matters since the late 1980s. </w:t>
      </w:r>
      <w:r w:rsidR="00435EFA">
        <w:t xml:space="preserve">The proposed single tier structure was intended to be consistent with the conduct of review in the rest of the </w:t>
      </w:r>
      <w:r w:rsidR="00075E40">
        <w:t>AR</w:t>
      </w:r>
      <w:r w:rsidR="00435EFA">
        <w:t xml:space="preserve">T’s caseload, and reflect the aim of the reforms to harmonise processes and procedures.  </w:t>
      </w:r>
      <w:r w:rsidR="00832A88">
        <w:t xml:space="preserve">Further detail about the history of social security merits review is at </w:t>
      </w:r>
      <w:r w:rsidR="00832A88" w:rsidRPr="00CD1087">
        <w:rPr>
          <w:b/>
        </w:rPr>
        <w:t>Appendix A</w:t>
      </w:r>
      <w:r w:rsidR="00832A88">
        <w:t>.</w:t>
      </w:r>
      <w:r w:rsidR="00435EFA">
        <w:tab/>
      </w:r>
    </w:p>
    <w:p w14:paraId="42AB7DCA" w14:textId="77777777" w:rsidR="00ED35E7" w:rsidRDefault="00ED35E7" w:rsidP="00ED35E7">
      <w:pPr>
        <w:pStyle w:val="ListParagraph"/>
      </w:pPr>
    </w:p>
    <w:p w14:paraId="11799DCE" w14:textId="14E500F3" w:rsidR="00F53E2C" w:rsidRDefault="00832A88" w:rsidP="00ED35E7">
      <w:pPr>
        <w:pStyle w:val="ListParagraph"/>
        <w:numPr>
          <w:ilvl w:val="1"/>
          <w:numId w:val="34"/>
        </w:numPr>
        <w:jc w:val="both"/>
      </w:pPr>
      <w:r>
        <w:t>Despite this proposal, the ART Bill</w:t>
      </w:r>
      <w:r w:rsidR="006F431C">
        <w:t xml:space="preserve"> was ultimately amended to retain the two-tier system for social security matters</w:t>
      </w:r>
      <w:r w:rsidR="00FB3C31">
        <w:t>, retaining many of the key features of first and second review</w:t>
      </w:r>
      <w:r>
        <w:t xml:space="preserve"> </w:t>
      </w:r>
      <w:r w:rsidR="006F02D0">
        <w:t xml:space="preserve">that had applied in </w:t>
      </w:r>
      <w:r>
        <w:t>the AAT</w:t>
      </w:r>
      <w:r w:rsidR="006F431C">
        <w:t>.</w:t>
      </w:r>
      <w:r w:rsidR="006F431C" w:rsidRPr="008A1DF0">
        <w:rPr>
          <w:rStyle w:val="FootnoteReference"/>
        </w:rPr>
        <w:footnoteReference w:id="8"/>
      </w:r>
      <w:r w:rsidR="006F431C">
        <w:t xml:space="preserve"> </w:t>
      </w:r>
    </w:p>
    <w:p w14:paraId="410544CC" w14:textId="41CF80C0" w:rsidR="00CD1087" w:rsidRDefault="00CD1087" w:rsidP="00ED35E7">
      <w:pPr>
        <w:pStyle w:val="ListParagraph"/>
        <w:jc w:val="both"/>
      </w:pPr>
    </w:p>
    <w:p w14:paraId="16387596" w14:textId="28D9EE3E" w:rsidR="00CD1087" w:rsidRDefault="00FF008D" w:rsidP="00ED35E7">
      <w:pPr>
        <w:pStyle w:val="ListParagraph"/>
        <w:numPr>
          <w:ilvl w:val="1"/>
          <w:numId w:val="34"/>
        </w:numPr>
        <w:jc w:val="both"/>
      </w:pPr>
      <w:r w:rsidRPr="00CA38EA">
        <w:t>The ART Bills were the subject of inquir</w:t>
      </w:r>
      <w:r w:rsidR="006F02D0">
        <w:t>y</w:t>
      </w:r>
      <w:r w:rsidRPr="00CA38EA">
        <w:t xml:space="preserve"> by the House of Representatives </w:t>
      </w:r>
      <w:r w:rsidR="00CA38EA" w:rsidRPr="00CA38EA">
        <w:t xml:space="preserve">Standing Committee on Social Policy and Legal Affairs and </w:t>
      </w:r>
      <w:bookmarkStart w:id="11" w:name="_Hlk201672787"/>
      <w:r w:rsidR="006F02D0">
        <w:t xml:space="preserve">by </w:t>
      </w:r>
      <w:r w:rsidR="00CA38EA" w:rsidRPr="00CA38EA">
        <w:t>the Senate Constitutional and Legal Affairs Legislation Committee</w:t>
      </w:r>
      <w:bookmarkEnd w:id="11"/>
      <w:r w:rsidR="00CA38EA" w:rsidRPr="00CA38EA">
        <w:t>.</w:t>
      </w:r>
      <w:r w:rsidR="00CA38EA" w:rsidRPr="00CA38EA">
        <w:rPr>
          <w:rStyle w:val="FootnoteReference"/>
        </w:rPr>
        <w:footnoteReference w:id="9"/>
      </w:r>
      <w:r w:rsidRPr="00CA38EA">
        <w:t xml:space="preserve"> </w:t>
      </w:r>
      <w:r w:rsidR="00CA38EA">
        <w:t>The Senate Committee recommended the social security-related amendments be referred to the Council</w:t>
      </w:r>
      <w:r w:rsidR="001F4544">
        <w:t>, noting:</w:t>
      </w:r>
      <w:r w:rsidR="00CD1087">
        <w:tab/>
      </w:r>
      <w:r w:rsidR="00CD1087">
        <w:br/>
      </w:r>
    </w:p>
    <w:p w14:paraId="5C860B5B" w14:textId="4B957CC4" w:rsidR="001F4544" w:rsidRDefault="001F4544" w:rsidP="00CD1087">
      <w:pPr>
        <w:pStyle w:val="ListParagraph"/>
        <w:ind w:left="1440"/>
        <w:jc w:val="both"/>
      </w:pPr>
      <w:r>
        <w:t>The committee recognises that, while there was near-universal agreement that the bills represent a significant improvement on the current system of administrative review, some submitters would have liked the committee to recommend further amendments, particularly in the areas of social security and migration</w:t>
      </w:r>
      <w:r w:rsidR="00CD1087">
        <w:t>.</w:t>
      </w:r>
    </w:p>
    <w:p w14:paraId="2F5CF596" w14:textId="6062D538" w:rsidR="00FF008D" w:rsidRDefault="001F4544" w:rsidP="00CD1087">
      <w:pPr>
        <w:ind w:left="1440"/>
        <w:jc w:val="both"/>
      </w:pPr>
      <w:r>
        <w:t xml:space="preserve">Importantly, the committee notes that the Administrative Review Council </w:t>
      </w:r>
      <w:r w:rsidR="00FF008D">
        <w:t>will be tasked with keeping the Commonwealth administrative law system under review, and will be well-placed to consider further improvements to the system after the bills are enacted (and ahead of the five-year statutory review provided for in the bills</w:t>
      </w:r>
      <w:r>
        <w:t>).</w:t>
      </w:r>
      <w:r>
        <w:rPr>
          <w:rStyle w:val="FootnoteReference"/>
        </w:rPr>
        <w:footnoteReference w:id="10"/>
      </w:r>
      <w:r w:rsidR="00FF008D">
        <w:t xml:space="preserve"> </w:t>
      </w:r>
    </w:p>
    <w:p w14:paraId="33A46CC6" w14:textId="10496492" w:rsidR="003D3D4E" w:rsidRDefault="003D3D4E" w:rsidP="00AE007B">
      <w:pPr>
        <w:pStyle w:val="Heading3"/>
      </w:pPr>
      <w:bookmarkStart w:id="12" w:name="_Toc205997098"/>
      <w:r>
        <w:t>Social security review process</w:t>
      </w:r>
      <w:bookmarkEnd w:id="12"/>
    </w:p>
    <w:p w14:paraId="6AA3E404" w14:textId="0A16F997" w:rsidR="003D3D4E" w:rsidRDefault="00212B2E" w:rsidP="00ED35E7">
      <w:pPr>
        <w:pStyle w:val="ListParagraph"/>
        <w:numPr>
          <w:ilvl w:val="1"/>
          <w:numId w:val="34"/>
        </w:numPr>
      </w:pPr>
      <w:r>
        <w:t>There are currently three levels of administrative review of social security</w:t>
      </w:r>
      <w:r w:rsidR="006F02D0">
        <w:t xml:space="preserve"> primary</w:t>
      </w:r>
      <w:r>
        <w:t xml:space="preserve"> decisions:</w:t>
      </w:r>
    </w:p>
    <w:p w14:paraId="2E71D146" w14:textId="77777777" w:rsidR="00CD1087" w:rsidRDefault="00CD1087" w:rsidP="00CD1087">
      <w:pPr>
        <w:pStyle w:val="ListParagraph"/>
      </w:pPr>
    </w:p>
    <w:p w14:paraId="7E97C37A" w14:textId="5F7645D7" w:rsidR="00212B2E" w:rsidRDefault="00212B2E" w:rsidP="00AC6E76">
      <w:pPr>
        <w:pStyle w:val="ListParagraph"/>
        <w:numPr>
          <w:ilvl w:val="0"/>
          <w:numId w:val="20"/>
        </w:numPr>
        <w:jc w:val="both"/>
      </w:pPr>
      <w:r w:rsidRPr="00E944DC">
        <w:rPr>
          <w:b/>
        </w:rPr>
        <w:t>Internal review within Services Australia</w:t>
      </w:r>
      <w:r>
        <w:t>. An applicant may request an explanation of the original decision by a subject matter expert and/or seek formal review of the decision by an A</w:t>
      </w:r>
      <w:r w:rsidR="006F02D0">
        <w:t>RO</w:t>
      </w:r>
      <w:r>
        <w:t>;</w:t>
      </w:r>
      <w:r w:rsidR="00CD1087">
        <w:tab/>
      </w:r>
      <w:r w:rsidR="003500A3">
        <w:br/>
      </w:r>
    </w:p>
    <w:p w14:paraId="5E90CA5F" w14:textId="1E72651B" w:rsidR="008A1DF0" w:rsidRDefault="00212B2E" w:rsidP="00ED35E7">
      <w:pPr>
        <w:pStyle w:val="ListParagraph"/>
        <w:numPr>
          <w:ilvl w:val="0"/>
          <w:numId w:val="20"/>
        </w:numPr>
        <w:jc w:val="both"/>
      </w:pPr>
      <w:r w:rsidRPr="00E944DC">
        <w:rPr>
          <w:b/>
        </w:rPr>
        <w:t>First</w:t>
      </w:r>
      <w:r w:rsidR="00F16B94">
        <w:rPr>
          <w:b/>
        </w:rPr>
        <w:t xml:space="preserve"> </w:t>
      </w:r>
      <w:r w:rsidRPr="00E944DC">
        <w:rPr>
          <w:b/>
        </w:rPr>
        <w:t>review in the ART</w:t>
      </w:r>
      <w:r>
        <w:t xml:space="preserve">. This is intended to be </w:t>
      </w:r>
      <w:r w:rsidR="006F02D0">
        <w:t>“</w:t>
      </w:r>
      <w:r w:rsidR="00832A88">
        <w:t>informal, accessible, trauma-informed and quick</w:t>
      </w:r>
      <w:r w:rsidR="006F02D0">
        <w:t>”</w:t>
      </w:r>
      <w:r w:rsidR="00832A88">
        <w:t>, with an aim of ensuring that revi</w:t>
      </w:r>
      <w:r w:rsidR="00431D39">
        <w:t>e</w:t>
      </w:r>
      <w:r w:rsidR="00832A88">
        <w:t xml:space="preserve">ws </w:t>
      </w:r>
      <w:r w:rsidR="006F02D0">
        <w:t>“</w:t>
      </w:r>
      <w:r w:rsidR="00832A88">
        <w:t>are as efficient and effective as possible, minimising the burden on applicants</w:t>
      </w:r>
      <w:r w:rsidR="006F02D0">
        <w:t>”</w:t>
      </w:r>
      <w:r w:rsidR="00832A88">
        <w:t>.</w:t>
      </w:r>
      <w:r w:rsidR="00832A88">
        <w:rPr>
          <w:rStyle w:val="FootnoteReference"/>
        </w:rPr>
        <w:footnoteReference w:id="11"/>
      </w:r>
      <w:r w:rsidR="00832A88">
        <w:t xml:space="preserve"> The applicant will usually be the only participating party;</w:t>
      </w:r>
      <w:r w:rsidR="003500A3">
        <w:br/>
      </w:r>
    </w:p>
    <w:p w14:paraId="1965001B" w14:textId="1AACB4C1" w:rsidR="0056199D" w:rsidRDefault="00212B2E" w:rsidP="00AC6E76">
      <w:pPr>
        <w:pStyle w:val="ListParagraph"/>
        <w:numPr>
          <w:ilvl w:val="0"/>
          <w:numId w:val="20"/>
        </w:numPr>
        <w:jc w:val="both"/>
      </w:pPr>
      <w:r w:rsidRPr="00E944DC">
        <w:rPr>
          <w:b/>
        </w:rPr>
        <w:t>Second</w:t>
      </w:r>
      <w:r w:rsidR="00F16B94">
        <w:rPr>
          <w:b/>
        </w:rPr>
        <w:t xml:space="preserve"> </w:t>
      </w:r>
      <w:r w:rsidRPr="00E944DC">
        <w:rPr>
          <w:b/>
        </w:rPr>
        <w:t>review in the ART</w:t>
      </w:r>
      <w:r>
        <w:t xml:space="preserve">. The Department of Social Services will usually participate in the review as the respondent agency, and </w:t>
      </w:r>
      <w:r w:rsidR="0056199D">
        <w:t>there may be some form of dispute resolution process such as case conferencing, mediation or conciliation to seek to resolve the matter. If the matter is not resolved</w:t>
      </w:r>
      <w:r w:rsidR="0060064C">
        <w:t>,</w:t>
      </w:r>
      <w:r w:rsidR="0056199D">
        <w:t xml:space="preserve"> it will proceed to a hearing.</w:t>
      </w:r>
    </w:p>
    <w:p w14:paraId="6E9F053C" w14:textId="77777777" w:rsidR="00CD1087" w:rsidRDefault="00CD1087" w:rsidP="00CD1087">
      <w:pPr>
        <w:pStyle w:val="ListParagraph"/>
        <w:ind w:left="1080"/>
        <w:jc w:val="both"/>
      </w:pPr>
    </w:p>
    <w:p w14:paraId="4B8E2E17" w14:textId="288B0FAF" w:rsidR="00CD1087" w:rsidRPr="002A000E" w:rsidRDefault="00A17E57" w:rsidP="00ED35E7">
      <w:pPr>
        <w:pStyle w:val="ListParagraph"/>
        <w:numPr>
          <w:ilvl w:val="1"/>
          <w:numId w:val="34"/>
        </w:numPr>
        <w:jc w:val="both"/>
      </w:pPr>
      <w:r>
        <w:t>In limited circumstances, the G</w:t>
      </w:r>
      <w:r w:rsidR="006F02D0">
        <w:t>AP</w:t>
      </w:r>
      <w:r>
        <w:t xml:space="preserve"> in the ART may review a social security matter where the President of the ART believes the application</w:t>
      </w:r>
      <w:r w:rsidRPr="00CE7B1B">
        <w:t xml:space="preserve"> raises an issue of significance to administrative decision</w:t>
      </w:r>
      <w:r w:rsidRPr="008A1DF0">
        <w:rPr>
          <w:rFonts w:ascii="Cambria Math" w:hAnsi="Cambria Math" w:cs="Cambria Math"/>
        </w:rPr>
        <w:t>‑</w:t>
      </w:r>
      <w:r w:rsidRPr="002A000E">
        <w:t>making.</w:t>
      </w:r>
    </w:p>
    <w:p w14:paraId="79E5728E" w14:textId="508B219D" w:rsidR="00CD1087" w:rsidRPr="008A1DF0" w:rsidRDefault="00CD1087" w:rsidP="00ED35E7">
      <w:pPr>
        <w:pStyle w:val="ListParagraph"/>
        <w:jc w:val="both"/>
      </w:pPr>
    </w:p>
    <w:p w14:paraId="6911BA91" w14:textId="28811D4D" w:rsidR="003D3D4E" w:rsidRPr="00CD1087" w:rsidRDefault="0056199D" w:rsidP="00ED35E7">
      <w:pPr>
        <w:pStyle w:val="ListParagraph"/>
        <w:numPr>
          <w:ilvl w:val="1"/>
          <w:numId w:val="34"/>
        </w:numPr>
        <w:jc w:val="both"/>
        <w:rPr>
          <w:szCs w:val="21"/>
        </w:rPr>
      </w:pPr>
      <w:r>
        <w:t>The Council is seeking views on how each stage of the review process is currently working</w:t>
      </w:r>
      <w:r w:rsidR="003500A3">
        <w:t xml:space="preserve"> and whether there are any changes that should be made</w:t>
      </w:r>
      <w:r>
        <w:t>. T</w:t>
      </w:r>
      <w:r w:rsidR="003500A3">
        <w:t>o guide consideration, this</w:t>
      </w:r>
      <w:r>
        <w:t xml:space="preserve"> Issues Paper </w:t>
      </w:r>
      <w:r w:rsidR="00747540">
        <w:t>sets out some of the</w:t>
      </w:r>
      <w:r w:rsidR="003500A3">
        <w:t xml:space="preserve"> key</w:t>
      </w:r>
      <w:r w:rsidR="00747540">
        <w:t xml:space="preserve"> issues </w:t>
      </w:r>
      <w:r w:rsidR="003500A3">
        <w:t>and debates arising in connection with the various stages of review.</w:t>
      </w:r>
      <w:r>
        <w:t xml:space="preserve"> </w:t>
      </w:r>
    </w:p>
    <w:p w14:paraId="048F881E" w14:textId="74992EC7" w:rsidR="00AE007B" w:rsidRDefault="00AE007B" w:rsidP="00AE007B">
      <w:pPr>
        <w:pStyle w:val="Heading3"/>
      </w:pPr>
      <w:bookmarkStart w:id="13" w:name="_Toc205997099"/>
      <w:r>
        <w:t>Challenges facing social security administrative review</w:t>
      </w:r>
      <w:bookmarkEnd w:id="13"/>
    </w:p>
    <w:p w14:paraId="6F3EFDA2" w14:textId="77777777" w:rsidR="009F3105" w:rsidRPr="00AE007B" w:rsidRDefault="009F3105" w:rsidP="009F3105">
      <w:pPr>
        <w:pStyle w:val="Heading4"/>
      </w:pPr>
      <w:r w:rsidRPr="00AE007B">
        <w:t>High volume caseload and finalisation times</w:t>
      </w:r>
    </w:p>
    <w:p w14:paraId="46B52A7A" w14:textId="419A4B8E" w:rsidR="003B2081" w:rsidRDefault="009F3105" w:rsidP="006A233C">
      <w:pPr>
        <w:pStyle w:val="ListParagraph"/>
        <w:numPr>
          <w:ilvl w:val="1"/>
          <w:numId w:val="34"/>
        </w:numPr>
        <w:jc w:val="both"/>
      </w:pPr>
      <w:r>
        <w:t>An inherent challenge facing the social security jurisdiction</w:t>
      </w:r>
      <w:r w:rsidR="0060064C">
        <w:t>al area of the ART</w:t>
      </w:r>
      <w:r>
        <w:t xml:space="preserve"> is the high volume of </w:t>
      </w:r>
      <w:r w:rsidR="00BE7CD6">
        <w:t>decision-making, which</w:t>
      </w:r>
      <w:r>
        <w:t xml:space="preserve"> </w:t>
      </w:r>
      <w:r w:rsidR="00BE7CD6">
        <w:t>can result in a large number of matters proceeding to internal and external review</w:t>
      </w:r>
      <w:r>
        <w:t>.</w:t>
      </w:r>
      <w:r w:rsidR="00D846AF">
        <w:t xml:space="preserve"> </w:t>
      </w:r>
      <w:r w:rsidR="003B2081" w:rsidRPr="000F2DE0">
        <w:t xml:space="preserve">Annual report data </w:t>
      </w:r>
      <w:r w:rsidR="000F2DE0" w:rsidRPr="000F2DE0">
        <w:t>from Services Australia shows that in 2023-24, the agency processed around 3.7 million claims for social security and welfare, and approximately 3.6 million claims in 2022-23.</w:t>
      </w:r>
    </w:p>
    <w:p w14:paraId="55B8E6E1" w14:textId="77777777" w:rsidR="00876846" w:rsidRDefault="00876846" w:rsidP="00ED35E7">
      <w:pPr>
        <w:pStyle w:val="ListParagraph"/>
        <w:jc w:val="both"/>
      </w:pPr>
    </w:p>
    <w:p w14:paraId="5E951454" w14:textId="5F2199A3" w:rsidR="009F3105" w:rsidRDefault="00D846AF" w:rsidP="00ED35E7">
      <w:pPr>
        <w:pStyle w:val="ListParagraph"/>
        <w:numPr>
          <w:ilvl w:val="1"/>
          <w:numId w:val="34"/>
        </w:numPr>
        <w:jc w:val="both"/>
      </w:pPr>
      <w:r>
        <w:t>Data from the former AAT shows that</w:t>
      </w:r>
      <w:r w:rsidR="005A6F34">
        <w:t xml:space="preserve"> first</w:t>
      </w:r>
      <w:r w:rsidR="00E31FA1">
        <w:t xml:space="preserve"> review </w:t>
      </w:r>
      <w:r w:rsidR="005A6F34">
        <w:t>social security (</w:t>
      </w:r>
      <w:r w:rsidR="00DB2A26">
        <w:t>“</w:t>
      </w:r>
      <w:r w:rsidR="002317AD">
        <w:t>AAT1</w:t>
      </w:r>
      <w:r w:rsidR="00DB2A26">
        <w:t>”</w:t>
      </w:r>
      <w:r w:rsidR="005A6F34">
        <w:t>)</w:t>
      </w:r>
      <w:r w:rsidR="002317AD">
        <w:t xml:space="preserve"> </w:t>
      </w:r>
      <w:proofErr w:type="spellStart"/>
      <w:r w:rsidR="002317AD">
        <w:t>lodgments</w:t>
      </w:r>
      <w:proofErr w:type="spellEnd"/>
      <w:r>
        <w:t xml:space="preserve"> typically constituted almost one-third of all matters lodged in the AAT annually, though this</w:t>
      </w:r>
      <w:r w:rsidR="007741E2">
        <w:t xml:space="preserve"> proportion</w:t>
      </w:r>
      <w:r>
        <w:t xml:space="preserve"> </w:t>
      </w:r>
      <w:r w:rsidR="007741E2">
        <w:t>fell</w:t>
      </w:r>
      <w:r>
        <w:t xml:space="preserve"> in 2023/24.</w:t>
      </w:r>
    </w:p>
    <w:p w14:paraId="399CCAA3" w14:textId="270FDC95" w:rsidR="00D846AF" w:rsidRPr="00557D5A" w:rsidRDefault="00D846AF" w:rsidP="00D846AF">
      <w:pPr>
        <w:pStyle w:val="TableTitle"/>
      </w:pPr>
      <w:r w:rsidRPr="00E22A4B">
        <w:t xml:space="preserve">Table </w:t>
      </w:r>
      <w:r w:rsidR="00411B02" w:rsidRPr="00F67DB1">
        <w:t>1</w:t>
      </w:r>
      <w:r w:rsidRPr="00E22A4B">
        <w:t>:</w:t>
      </w:r>
      <w:r>
        <w:t xml:space="preserve"> </w:t>
      </w:r>
      <w:r w:rsidR="00282F6D">
        <w:t xml:space="preserve">AAT </w:t>
      </w:r>
      <w:r>
        <w:t xml:space="preserve">Social security lodgments </w:t>
      </w:r>
      <w:r w:rsidR="005F2BC3">
        <w:t xml:space="preserve">and </w:t>
      </w:r>
      <w:proofErr w:type="spellStart"/>
      <w:r w:rsidR="005F2BC3">
        <w:t>finalisations</w:t>
      </w:r>
      <w:proofErr w:type="spellEnd"/>
    </w:p>
    <w:tbl>
      <w:tblPr>
        <w:tblStyle w:val="DepartmentofHealthtable"/>
        <w:tblW w:w="0" w:type="auto"/>
        <w:tblLook w:val="04A0" w:firstRow="1" w:lastRow="0" w:firstColumn="1" w:lastColumn="0" w:noHBand="0" w:noVBand="1"/>
        <w:tblDescription w:val="Add Alt Text describing the content of the table"/>
      </w:tblPr>
      <w:tblGrid>
        <w:gridCol w:w="1958"/>
        <w:gridCol w:w="1839"/>
        <w:gridCol w:w="1587"/>
        <w:gridCol w:w="1839"/>
        <w:gridCol w:w="1847"/>
      </w:tblGrid>
      <w:tr w:rsidR="00D846AF" w:rsidRPr="00557D5A" w14:paraId="2703F4F5" w14:textId="77777777" w:rsidTr="00D846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8" w:type="dxa"/>
            <w:shd w:val="clear" w:color="auto" w:fill="335DA5" w:themeFill="accent1"/>
          </w:tcPr>
          <w:p w14:paraId="4F16A455" w14:textId="219D461C" w:rsidR="00D846AF" w:rsidRPr="00557D5A" w:rsidRDefault="00D846AF" w:rsidP="00054D11">
            <w:pPr>
              <w:pStyle w:val="TableHeaderWhite"/>
            </w:pPr>
          </w:p>
        </w:tc>
        <w:tc>
          <w:tcPr>
            <w:tcW w:w="1839" w:type="dxa"/>
            <w:shd w:val="clear" w:color="auto" w:fill="335DA5" w:themeFill="accent1"/>
          </w:tcPr>
          <w:p w14:paraId="32AB37E8" w14:textId="0AF18746" w:rsidR="00D846AF" w:rsidRPr="00557D5A" w:rsidRDefault="00D846AF" w:rsidP="00D846AF">
            <w:pPr>
              <w:pStyle w:val="TableHeader"/>
              <w:jc w:val="right"/>
              <w:cnfStyle w:val="100000000000" w:firstRow="1" w:lastRow="0" w:firstColumn="0" w:lastColumn="0" w:oddVBand="0" w:evenVBand="0" w:oddHBand="0" w:evenHBand="0" w:firstRowFirstColumn="0" w:firstRowLastColumn="0" w:lastRowFirstColumn="0" w:lastRowLastColumn="0"/>
            </w:pPr>
            <w:r>
              <w:t>2020/21</w:t>
            </w:r>
          </w:p>
        </w:tc>
        <w:tc>
          <w:tcPr>
            <w:tcW w:w="1587" w:type="dxa"/>
            <w:shd w:val="clear" w:color="auto" w:fill="335DA5" w:themeFill="accent1"/>
          </w:tcPr>
          <w:p w14:paraId="74580EC6" w14:textId="1B1F0F3A" w:rsidR="00D846AF" w:rsidRDefault="00D846AF" w:rsidP="00D846AF">
            <w:pPr>
              <w:pStyle w:val="TableHeader"/>
              <w:jc w:val="right"/>
              <w:cnfStyle w:val="100000000000" w:firstRow="1" w:lastRow="0" w:firstColumn="0" w:lastColumn="0" w:oddVBand="0" w:evenVBand="0" w:oddHBand="0" w:evenHBand="0" w:firstRowFirstColumn="0" w:firstRowLastColumn="0" w:lastRowFirstColumn="0" w:lastRowLastColumn="0"/>
            </w:pPr>
            <w:r>
              <w:t>2021/22</w:t>
            </w:r>
          </w:p>
        </w:tc>
        <w:tc>
          <w:tcPr>
            <w:tcW w:w="1839" w:type="dxa"/>
            <w:shd w:val="clear" w:color="auto" w:fill="335DA5" w:themeFill="accent1"/>
          </w:tcPr>
          <w:p w14:paraId="6D8C8FC0" w14:textId="1E09ADAA" w:rsidR="00D846AF" w:rsidRPr="00557D5A" w:rsidRDefault="00D846AF" w:rsidP="00D846AF">
            <w:pPr>
              <w:pStyle w:val="TableHeader"/>
              <w:jc w:val="right"/>
              <w:cnfStyle w:val="100000000000" w:firstRow="1" w:lastRow="0" w:firstColumn="0" w:lastColumn="0" w:oddVBand="0" w:evenVBand="0" w:oddHBand="0" w:evenHBand="0" w:firstRowFirstColumn="0" w:firstRowLastColumn="0" w:lastRowFirstColumn="0" w:lastRowLastColumn="0"/>
            </w:pPr>
            <w:r>
              <w:t>2022/23</w:t>
            </w:r>
          </w:p>
        </w:tc>
        <w:tc>
          <w:tcPr>
            <w:tcW w:w="1847" w:type="dxa"/>
            <w:shd w:val="clear" w:color="auto" w:fill="335DA5" w:themeFill="accent1"/>
          </w:tcPr>
          <w:p w14:paraId="4473BC19" w14:textId="77777777" w:rsidR="00D846AF" w:rsidRPr="00557D5A" w:rsidRDefault="00D846AF" w:rsidP="00D846AF">
            <w:pPr>
              <w:pStyle w:val="TableHeader"/>
              <w:jc w:val="right"/>
              <w:cnfStyle w:val="100000000000" w:firstRow="1" w:lastRow="0" w:firstColumn="0" w:lastColumn="0" w:oddVBand="0" w:evenVBand="0" w:oddHBand="0" w:evenHBand="0" w:firstRowFirstColumn="0" w:firstRowLastColumn="0" w:lastRowFirstColumn="0" w:lastRowLastColumn="0"/>
            </w:pPr>
            <w:r>
              <w:t>2023/24</w:t>
            </w:r>
          </w:p>
        </w:tc>
      </w:tr>
      <w:tr w:rsidR="00D846AF" w:rsidRPr="00557D5A" w14:paraId="61FDE135" w14:textId="77777777" w:rsidTr="00D84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tcPr>
          <w:p w14:paraId="5DD927BB" w14:textId="268DF5DB" w:rsidR="00D846AF" w:rsidRPr="001A2E97" w:rsidRDefault="002317AD" w:rsidP="00E62DA5">
            <w:pPr>
              <w:pStyle w:val="Tabletextleft"/>
            </w:pPr>
            <w:r>
              <w:t xml:space="preserve">AAT1 </w:t>
            </w:r>
            <w:proofErr w:type="spellStart"/>
            <w:r w:rsidR="00D846AF">
              <w:t>lodgments</w:t>
            </w:r>
            <w:proofErr w:type="spellEnd"/>
            <w:r w:rsidR="00D846AF">
              <w:t xml:space="preserve"> </w:t>
            </w:r>
          </w:p>
        </w:tc>
        <w:tc>
          <w:tcPr>
            <w:tcW w:w="1839" w:type="dxa"/>
          </w:tcPr>
          <w:p w14:paraId="6ED60AC5" w14:textId="3835A5A4" w:rsidR="00D846AF" w:rsidRPr="006C027C" w:rsidRDefault="00D846AF" w:rsidP="00E62DA5">
            <w:pPr>
              <w:pStyle w:val="Tabletextleft"/>
              <w:jc w:val="right"/>
              <w:cnfStyle w:val="000000100000" w:firstRow="0" w:lastRow="0" w:firstColumn="0" w:lastColumn="0" w:oddVBand="0" w:evenVBand="0" w:oddHBand="1" w:evenHBand="0" w:firstRowFirstColumn="0" w:firstRowLastColumn="0" w:lastRowFirstColumn="0" w:lastRowLastColumn="0"/>
            </w:pPr>
            <w:r>
              <w:t>13,013</w:t>
            </w:r>
          </w:p>
        </w:tc>
        <w:tc>
          <w:tcPr>
            <w:tcW w:w="1587" w:type="dxa"/>
          </w:tcPr>
          <w:p w14:paraId="1D1D5DE5" w14:textId="3C8A34DB" w:rsidR="00D846AF" w:rsidRDefault="00D846AF" w:rsidP="00E62DA5">
            <w:pPr>
              <w:pStyle w:val="Tabletextcentre"/>
              <w:jc w:val="right"/>
              <w:cnfStyle w:val="000000100000" w:firstRow="0" w:lastRow="0" w:firstColumn="0" w:lastColumn="0" w:oddVBand="0" w:evenVBand="0" w:oddHBand="1" w:evenHBand="0" w:firstRowFirstColumn="0" w:firstRowLastColumn="0" w:lastRowFirstColumn="0" w:lastRowLastColumn="0"/>
            </w:pPr>
            <w:r>
              <w:t>12,138</w:t>
            </w:r>
          </w:p>
        </w:tc>
        <w:tc>
          <w:tcPr>
            <w:tcW w:w="1839" w:type="dxa"/>
          </w:tcPr>
          <w:p w14:paraId="24681F9B" w14:textId="713BC5BA" w:rsidR="00D846AF" w:rsidRPr="00557D5A" w:rsidRDefault="00D846AF" w:rsidP="00E62DA5">
            <w:pPr>
              <w:pStyle w:val="Tabletextcentre"/>
              <w:jc w:val="right"/>
              <w:cnfStyle w:val="000000100000" w:firstRow="0" w:lastRow="0" w:firstColumn="0" w:lastColumn="0" w:oddVBand="0" w:evenVBand="0" w:oddHBand="1" w:evenHBand="0" w:firstRowFirstColumn="0" w:firstRowLastColumn="0" w:lastRowFirstColumn="0" w:lastRowLastColumn="0"/>
            </w:pPr>
            <w:r>
              <w:t>12,260</w:t>
            </w:r>
          </w:p>
        </w:tc>
        <w:tc>
          <w:tcPr>
            <w:tcW w:w="1847" w:type="dxa"/>
          </w:tcPr>
          <w:p w14:paraId="4991307C" w14:textId="1F51D0C2" w:rsidR="00D846AF" w:rsidRPr="00557D5A" w:rsidRDefault="00D846AF" w:rsidP="00E62DA5">
            <w:pPr>
              <w:pStyle w:val="Tabletextright0"/>
              <w:cnfStyle w:val="000000100000" w:firstRow="0" w:lastRow="0" w:firstColumn="0" w:lastColumn="0" w:oddVBand="0" w:evenVBand="0" w:oddHBand="1" w:evenHBand="0" w:firstRowFirstColumn="0" w:firstRowLastColumn="0" w:lastRowFirstColumn="0" w:lastRowLastColumn="0"/>
            </w:pPr>
            <w:r>
              <w:t>8,740</w:t>
            </w:r>
          </w:p>
        </w:tc>
      </w:tr>
      <w:tr w:rsidR="00D846AF" w:rsidRPr="00557D5A" w14:paraId="6ABE1B41" w14:textId="77777777" w:rsidTr="00D846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tcPr>
          <w:p w14:paraId="63B59820" w14:textId="2F1D8F1A" w:rsidR="00D846AF" w:rsidRPr="001A2E97" w:rsidRDefault="00D846AF" w:rsidP="00E62DA5">
            <w:pPr>
              <w:pStyle w:val="Tabletextleft"/>
            </w:pPr>
            <w:r>
              <w:t xml:space="preserve">% of total AAT </w:t>
            </w:r>
            <w:proofErr w:type="spellStart"/>
            <w:r>
              <w:t>lodgments</w:t>
            </w:r>
            <w:proofErr w:type="spellEnd"/>
          </w:p>
        </w:tc>
        <w:tc>
          <w:tcPr>
            <w:tcW w:w="1839" w:type="dxa"/>
          </w:tcPr>
          <w:p w14:paraId="4899F6B7" w14:textId="6C99E32B" w:rsidR="00D846AF" w:rsidRPr="006C027C" w:rsidRDefault="00D846AF" w:rsidP="00E62DA5">
            <w:pPr>
              <w:pStyle w:val="Tabletextleft"/>
              <w:jc w:val="right"/>
              <w:cnfStyle w:val="000000010000" w:firstRow="0" w:lastRow="0" w:firstColumn="0" w:lastColumn="0" w:oddVBand="0" w:evenVBand="0" w:oddHBand="0" w:evenHBand="1" w:firstRowFirstColumn="0" w:firstRowLastColumn="0" w:lastRowFirstColumn="0" w:lastRowLastColumn="0"/>
            </w:pPr>
            <w:r>
              <w:t>34.7%</w:t>
            </w:r>
          </w:p>
        </w:tc>
        <w:tc>
          <w:tcPr>
            <w:tcW w:w="1587" w:type="dxa"/>
          </w:tcPr>
          <w:p w14:paraId="62A0E9C2" w14:textId="770B5A85" w:rsidR="00D846AF" w:rsidRDefault="00D846AF" w:rsidP="00E62DA5">
            <w:pPr>
              <w:pStyle w:val="Tabletextcentre"/>
              <w:jc w:val="right"/>
              <w:cnfStyle w:val="000000010000" w:firstRow="0" w:lastRow="0" w:firstColumn="0" w:lastColumn="0" w:oddVBand="0" w:evenVBand="0" w:oddHBand="0" w:evenHBand="1" w:firstRowFirstColumn="0" w:firstRowLastColumn="0" w:lastRowFirstColumn="0" w:lastRowLastColumn="0"/>
            </w:pPr>
            <w:r>
              <w:t>27.4%</w:t>
            </w:r>
          </w:p>
        </w:tc>
        <w:tc>
          <w:tcPr>
            <w:tcW w:w="1839" w:type="dxa"/>
          </w:tcPr>
          <w:p w14:paraId="559AA452" w14:textId="0AA7CE45" w:rsidR="00D846AF" w:rsidRPr="00557D5A" w:rsidRDefault="00D846AF" w:rsidP="00E62DA5">
            <w:pPr>
              <w:pStyle w:val="Tabletextcentre"/>
              <w:jc w:val="right"/>
              <w:cnfStyle w:val="000000010000" w:firstRow="0" w:lastRow="0" w:firstColumn="0" w:lastColumn="0" w:oddVBand="0" w:evenVBand="0" w:oddHBand="0" w:evenHBand="1" w:firstRowFirstColumn="0" w:firstRowLastColumn="0" w:lastRowFirstColumn="0" w:lastRowLastColumn="0"/>
            </w:pPr>
            <w:r>
              <w:t>29.9%</w:t>
            </w:r>
          </w:p>
        </w:tc>
        <w:tc>
          <w:tcPr>
            <w:tcW w:w="1847" w:type="dxa"/>
          </w:tcPr>
          <w:p w14:paraId="289EAF76" w14:textId="511EADB7" w:rsidR="00D846AF" w:rsidRPr="00557D5A" w:rsidRDefault="00D846AF" w:rsidP="00E62DA5">
            <w:pPr>
              <w:pStyle w:val="Tabletextright0"/>
              <w:cnfStyle w:val="000000010000" w:firstRow="0" w:lastRow="0" w:firstColumn="0" w:lastColumn="0" w:oddVBand="0" w:evenVBand="0" w:oddHBand="0" w:evenHBand="1" w:firstRowFirstColumn="0" w:firstRowLastColumn="0" w:lastRowFirstColumn="0" w:lastRowLastColumn="0"/>
            </w:pPr>
            <w:r>
              <w:t>17.4%</w:t>
            </w:r>
            <w:r w:rsidR="00E62DA5">
              <w:rPr>
                <w:rStyle w:val="FootnoteReference"/>
              </w:rPr>
              <w:footnoteReference w:id="12"/>
            </w:r>
          </w:p>
        </w:tc>
      </w:tr>
      <w:tr w:rsidR="005F2BC3" w:rsidRPr="00557D5A" w14:paraId="7F633160" w14:textId="77777777" w:rsidTr="00D84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tcPr>
          <w:p w14:paraId="60323D10" w14:textId="3D67533C" w:rsidR="005F2BC3" w:rsidRPr="005F2BC3" w:rsidRDefault="005F2BC3" w:rsidP="00E62DA5">
            <w:pPr>
              <w:pStyle w:val="Tabletextleft"/>
            </w:pPr>
            <w:r>
              <w:t xml:space="preserve">AAT1 finalisations </w:t>
            </w:r>
          </w:p>
        </w:tc>
        <w:tc>
          <w:tcPr>
            <w:tcW w:w="1839" w:type="dxa"/>
          </w:tcPr>
          <w:p w14:paraId="025D8ABF" w14:textId="75D05A2D" w:rsidR="005F2BC3" w:rsidRDefault="00E62DA5" w:rsidP="00E62DA5">
            <w:pPr>
              <w:pStyle w:val="Tabletextleft"/>
              <w:jc w:val="right"/>
              <w:cnfStyle w:val="000000100000" w:firstRow="0" w:lastRow="0" w:firstColumn="0" w:lastColumn="0" w:oddVBand="0" w:evenVBand="0" w:oddHBand="1" w:evenHBand="0" w:firstRowFirstColumn="0" w:firstRowLastColumn="0" w:lastRowFirstColumn="0" w:lastRowLastColumn="0"/>
            </w:pPr>
            <w:r>
              <w:t>13,088</w:t>
            </w:r>
          </w:p>
        </w:tc>
        <w:tc>
          <w:tcPr>
            <w:tcW w:w="1587" w:type="dxa"/>
          </w:tcPr>
          <w:p w14:paraId="59A0857F" w14:textId="1DD888AD" w:rsidR="005F2BC3" w:rsidRDefault="00E62DA5" w:rsidP="00E62DA5">
            <w:pPr>
              <w:pStyle w:val="Tabletextcentre"/>
              <w:jc w:val="right"/>
              <w:cnfStyle w:val="000000100000" w:firstRow="0" w:lastRow="0" w:firstColumn="0" w:lastColumn="0" w:oddVBand="0" w:evenVBand="0" w:oddHBand="1" w:evenHBand="0" w:firstRowFirstColumn="0" w:firstRowLastColumn="0" w:lastRowFirstColumn="0" w:lastRowLastColumn="0"/>
            </w:pPr>
            <w:r>
              <w:t>11,996</w:t>
            </w:r>
          </w:p>
        </w:tc>
        <w:tc>
          <w:tcPr>
            <w:tcW w:w="1839" w:type="dxa"/>
          </w:tcPr>
          <w:p w14:paraId="7E2E373F" w14:textId="76BC3F4A" w:rsidR="005F2BC3" w:rsidRDefault="00E62DA5" w:rsidP="00E62DA5">
            <w:pPr>
              <w:pStyle w:val="Tabletextcentre"/>
              <w:jc w:val="right"/>
              <w:cnfStyle w:val="000000100000" w:firstRow="0" w:lastRow="0" w:firstColumn="0" w:lastColumn="0" w:oddVBand="0" w:evenVBand="0" w:oddHBand="1" w:evenHBand="0" w:firstRowFirstColumn="0" w:firstRowLastColumn="0" w:lastRowFirstColumn="0" w:lastRowLastColumn="0"/>
            </w:pPr>
            <w:r>
              <w:t>11,162</w:t>
            </w:r>
          </w:p>
        </w:tc>
        <w:tc>
          <w:tcPr>
            <w:tcW w:w="1847" w:type="dxa"/>
          </w:tcPr>
          <w:p w14:paraId="4E0A621F" w14:textId="779E7D60" w:rsidR="005F2BC3" w:rsidRDefault="00E62DA5" w:rsidP="00E62DA5">
            <w:pPr>
              <w:pStyle w:val="Tabletextright0"/>
              <w:cnfStyle w:val="000000100000" w:firstRow="0" w:lastRow="0" w:firstColumn="0" w:lastColumn="0" w:oddVBand="0" w:evenVBand="0" w:oddHBand="1" w:evenHBand="0" w:firstRowFirstColumn="0" w:firstRowLastColumn="0" w:lastRowFirstColumn="0" w:lastRowLastColumn="0"/>
            </w:pPr>
            <w:r>
              <w:t>10,400</w:t>
            </w:r>
          </w:p>
        </w:tc>
      </w:tr>
      <w:tr w:rsidR="00E62DA5" w:rsidRPr="00557D5A" w14:paraId="2FAAC2D9" w14:textId="77777777" w:rsidTr="00D846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tcPr>
          <w:p w14:paraId="57AE49CC" w14:textId="2B2A1ADE" w:rsidR="00E62DA5" w:rsidRPr="00E62DA5" w:rsidRDefault="00E62DA5" w:rsidP="00E62DA5">
            <w:pPr>
              <w:pStyle w:val="Tabletextleft"/>
            </w:pPr>
            <w:r w:rsidRPr="00E62DA5">
              <w:t>% of total AAT finalisations</w:t>
            </w:r>
          </w:p>
        </w:tc>
        <w:tc>
          <w:tcPr>
            <w:tcW w:w="1839" w:type="dxa"/>
          </w:tcPr>
          <w:p w14:paraId="545201F5" w14:textId="743995C2" w:rsidR="00E62DA5" w:rsidRDefault="00E62DA5" w:rsidP="00E62DA5">
            <w:pPr>
              <w:pStyle w:val="Tabletextleft"/>
              <w:jc w:val="right"/>
              <w:cnfStyle w:val="000000010000" w:firstRow="0" w:lastRow="0" w:firstColumn="0" w:lastColumn="0" w:oddVBand="0" w:evenVBand="0" w:oddHBand="0" w:evenHBand="1" w:firstRowFirstColumn="0" w:firstRowLastColumn="0" w:lastRowFirstColumn="0" w:lastRowLastColumn="0"/>
            </w:pPr>
            <w:r>
              <w:t>29.4%</w:t>
            </w:r>
          </w:p>
        </w:tc>
        <w:tc>
          <w:tcPr>
            <w:tcW w:w="1587" w:type="dxa"/>
          </w:tcPr>
          <w:p w14:paraId="6921EE97" w14:textId="50551EFB" w:rsidR="00E62DA5" w:rsidRDefault="00E62DA5" w:rsidP="00E62DA5">
            <w:pPr>
              <w:pStyle w:val="Tabletextcentre"/>
              <w:jc w:val="right"/>
              <w:cnfStyle w:val="000000010000" w:firstRow="0" w:lastRow="0" w:firstColumn="0" w:lastColumn="0" w:oddVBand="0" w:evenVBand="0" w:oddHBand="0" w:evenHBand="1" w:firstRowFirstColumn="0" w:firstRowLastColumn="0" w:lastRowFirstColumn="0" w:lastRowLastColumn="0"/>
            </w:pPr>
            <w:r>
              <w:t>28.6%</w:t>
            </w:r>
          </w:p>
        </w:tc>
        <w:tc>
          <w:tcPr>
            <w:tcW w:w="1839" w:type="dxa"/>
          </w:tcPr>
          <w:p w14:paraId="55CB07D9" w14:textId="112A8DFD" w:rsidR="00E62DA5" w:rsidRDefault="00E62DA5" w:rsidP="00E62DA5">
            <w:pPr>
              <w:pStyle w:val="Tabletextcentre"/>
              <w:jc w:val="right"/>
              <w:cnfStyle w:val="000000010000" w:firstRow="0" w:lastRow="0" w:firstColumn="0" w:lastColumn="0" w:oddVBand="0" w:evenVBand="0" w:oddHBand="0" w:evenHBand="1" w:firstRowFirstColumn="0" w:firstRowLastColumn="0" w:lastRowFirstColumn="0" w:lastRowLastColumn="0"/>
            </w:pPr>
            <w:r>
              <w:t>26.1%</w:t>
            </w:r>
          </w:p>
        </w:tc>
        <w:tc>
          <w:tcPr>
            <w:tcW w:w="1847" w:type="dxa"/>
          </w:tcPr>
          <w:p w14:paraId="68F8E65F" w14:textId="64CF34DF" w:rsidR="00E62DA5" w:rsidRDefault="00E62DA5" w:rsidP="00E62DA5">
            <w:pPr>
              <w:pStyle w:val="Tabletextright0"/>
              <w:cnfStyle w:val="000000010000" w:firstRow="0" w:lastRow="0" w:firstColumn="0" w:lastColumn="0" w:oddVBand="0" w:evenVBand="0" w:oddHBand="0" w:evenHBand="1" w:firstRowFirstColumn="0" w:firstRowLastColumn="0" w:lastRowFirstColumn="0" w:lastRowLastColumn="0"/>
            </w:pPr>
            <w:r>
              <w:t>23.9%</w:t>
            </w:r>
          </w:p>
        </w:tc>
      </w:tr>
    </w:tbl>
    <w:p w14:paraId="1A288134" w14:textId="77777777" w:rsidR="00D846AF" w:rsidRPr="001A2E97" w:rsidRDefault="00D846AF" w:rsidP="00D846AF">
      <w:pPr>
        <w:spacing w:before="0" w:after="0" w:line="240" w:lineRule="auto"/>
        <w:rPr>
          <w:sz w:val="20"/>
        </w:rPr>
      </w:pPr>
    </w:p>
    <w:p w14:paraId="45AA44DF" w14:textId="54E684B9" w:rsidR="009F3105" w:rsidRDefault="00D846AF" w:rsidP="009F3105">
      <w:pPr>
        <w:jc w:val="both"/>
      </w:pPr>
      <w:r w:rsidRPr="001A2E97">
        <w:rPr>
          <w:sz w:val="20"/>
        </w:rPr>
        <w:t>Source:</w:t>
      </w:r>
      <w:r>
        <w:rPr>
          <w:sz w:val="20"/>
        </w:rPr>
        <w:t xml:space="preserve"> AAT Caseload Reports </w:t>
      </w:r>
      <w:hyperlink r:id="rId16" w:history="1">
        <w:r w:rsidRPr="00D846AF">
          <w:rPr>
            <w:rStyle w:val="Hyperlink"/>
            <w:sz w:val="20"/>
          </w:rPr>
          <w:t>AAT statistics | Administrative Review Tribunal</w:t>
        </w:r>
      </w:hyperlink>
    </w:p>
    <w:p w14:paraId="138CA4F2" w14:textId="1C07A94C" w:rsidR="00BE7CD6" w:rsidRDefault="00BE7CD6" w:rsidP="00ED35E7">
      <w:pPr>
        <w:pStyle w:val="ListParagraph"/>
        <w:numPr>
          <w:ilvl w:val="1"/>
          <w:numId w:val="34"/>
        </w:numPr>
        <w:jc w:val="both"/>
      </w:pPr>
      <w:r>
        <w:t xml:space="preserve"> The following table shows the median finalisation time for </w:t>
      </w:r>
      <w:r w:rsidR="00E31FA1">
        <w:t xml:space="preserve">first review </w:t>
      </w:r>
      <w:r w:rsidR="0036669C">
        <w:t xml:space="preserve">AAT1 and </w:t>
      </w:r>
      <w:r w:rsidR="005A6F34">
        <w:t>second</w:t>
      </w:r>
      <w:r w:rsidR="00E31FA1">
        <w:t xml:space="preserve"> review</w:t>
      </w:r>
      <w:r w:rsidR="005A6F34">
        <w:t xml:space="preserve"> (</w:t>
      </w:r>
      <w:r w:rsidR="00DB2A26">
        <w:t>“</w:t>
      </w:r>
      <w:r w:rsidR="0036669C">
        <w:t>AAT2</w:t>
      </w:r>
      <w:r w:rsidR="00DB2A26">
        <w:t>”</w:t>
      </w:r>
      <w:r w:rsidR="005A6F34">
        <w:t>)</w:t>
      </w:r>
      <w:r>
        <w:t xml:space="preserve"> social security reviews in the AAT. It indicates a recent </w:t>
      </w:r>
      <w:r w:rsidR="0060064C">
        <w:t>lengthening of</w:t>
      </w:r>
      <w:r>
        <w:t xml:space="preserve"> resolution times in </w:t>
      </w:r>
      <w:r w:rsidR="0036669C">
        <w:t>AAT1</w:t>
      </w:r>
      <w:r>
        <w:t xml:space="preserve"> review, despite the number of </w:t>
      </w:r>
      <w:proofErr w:type="spellStart"/>
      <w:r>
        <w:t>lodgments</w:t>
      </w:r>
      <w:proofErr w:type="spellEnd"/>
      <w:r>
        <w:t xml:space="preserve"> falling.</w:t>
      </w:r>
      <w:r w:rsidR="00282F6D">
        <w:t xml:space="preserve"> The AAT attributed this to increased rates of attrition in experienced members in a division which </w:t>
      </w:r>
      <w:r w:rsidR="00282F6D">
        <w:lastRenderedPageBreak/>
        <w:t>could be procedurally and technically complex</w:t>
      </w:r>
      <w:r w:rsidR="00993AEF">
        <w:t>, as well as challenges predicting trends and planning work due to limited data being available through Services Australia</w:t>
      </w:r>
      <w:r w:rsidR="00282F6D">
        <w:t>.</w:t>
      </w:r>
      <w:r w:rsidR="00282F6D">
        <w:rPr>
          <w:rStyle w:val="FootnoteReference"/>
        </w:rPr>
        <w:footnoteReference w:id="13"/>
      </w:r>
      <w:r w:rsidR="00282F6D">
        <w:t xml:space="preserve"> </w:t>
      </w:r>
    </w:p>
    <w:p w14:paraId="54B977A4" w14:textId="6CF67BB5" w:rsidR="00411B02" w:rsidRDefault="00411B02" w:rsidP="00F67DB1">
      <w:pPr>
        <w:pStyle w:val="TableTitle"/>
      </w:pPr>
      <w:r w:rsidRPr="00557D5A">
        <w:t>Tabl</w:t>
      </w:r>
      <w:r>
        <w:t xml:space="preserve">e 2: </w:t>
      </w:r>
      <w:r w:rsidR="00E22A4B">
        <w:t>Median finalization times – AAT1 and AAT2</w:t>
      </w:r>
    </w:p>
    <w:tbl>
      <w:tblPr>
        <w:tblStyle w:val="DepartmentofHealthtable"/>
        <w:tblW w:w="0" w:type="auto"/>
        <w:tblLook w:val="04A0" w:firstRow="1" w:lastRow="0" w:firstColumn="1" w:lastColumn="0" w:noHBand="0" w:noVBand="1"/>
        <w:tblDescription w:val="Add Alt Text describing the content of the table"/>
      </w:tblPr>
      <w:tblGrid>
        <w:gridCol w:w="1958"/>
        <w:gridCol w:w="1839"/>
        <w:gridCol w:w="1587"/>
        <w:gridCol w:w="1839"/>
        <w:gridCol w:w="1847"/>
      </w:tblGrid>
      <w:tr w:rsidR="00BE7CD6" w:rsidRPr="00557D5A" w14:paraId="1D763A13" w14:textId="77777777" w:rsidTr="00054D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8" w:type="dxa"/>
            <w:shd w:val="clear" w:color="auto" w:fill="335DA5" w:themeFill="accent1"/>
          </w:tcPr>
          <w:p w14:paraId="1B588AF4" w14:textId="5ADB7D8E" w:rsidR="00BE7CD6" w:rsidRPr="00557D5A" w:rsidRDefault="00BE7CD6" w:rsidP="00054D11">
            <w:pPr>
              <w:pStyle w:val="TableHeaderWhite"/>
            </w:pPr>
            <w:r>
              <w:t xml:space="preserve">Median </w:t>
            </w:r>
            <w:proofErr w:type="spellStart"/>
            <w:r>
              <w:t>finali</w:t>
            </w:r>
            <w:r w:rsidR="0036669C">
              <w:t>s</w:t>
            </w:r>
            <w:r>
              <w:t>ation</w:t>
            </w:r>
            <w:proofErr w:type="spellEnd"/>
            <w:r>
              <w:t xml:space="preserve"> time (weeks)</w:t>
            </w:r>
          </w:p>
        </w:tc>
        <w:tc>
          <w:tcPr>
            <w:tcW w:w="1839" w:type="dxa"/>
            <w:shd w:val="clear" w:color="auto" w:fill="335DA5" w:themeFill="accent1"/>
          </w:tcPr>
          <w:p w14:paraId="2ED778C6" w14:textId="77777777" w:rsidR="00BE7CD6" w:rsidRPr="00557D5A" w:rsidRDefault="00BE7CD6" w:rsidP="00054D11">
            <w:pPr>
              <w:pStyle w:val="TableHeader"/>
              <w:jc w:val="right"/>
              <w:cnfStyle w:val="100000000000" w:firstRow="1" w:lastRow="0" w:firstColumn="0" w:lastColumn="0" w:oddVBand="0" w:evenVBand="0" w:oddHBand="0" w:evenHBand="0" w:firstRowFirstColumn="0" w:firstRowLastColumn="0" w:lastRowFirstColumn="0" w:lastRowLastColumn="0"/>
            </w:pPr>
            <w:r>
              <w:t>2020/21</w:t>
            </w:r>
          </w:p>
        </w:tc>
        <w:tc>
          <w:tcPr>
            <w:tcW w:w="1587" w:type="dxa"/>
            <w:shd w:val="clear" w:color="auto" w:fill="335DA5" w:themeFill="accent1"/>
          </w:tcPr>
          <w:p w14:paraId="1B411E5F" w14:textId="77777777" w:rsidR="00BE7CD6" w:rsidRDefault="00BE7CD6" w:rsidP="00054D11">
            <w:pPr>
              <w:pStyle w:val="TableHeader"/>
              <w:jc w:val="right"/>
              <w:cnfStyle w:val="100000000000" w:firstRow="1" w:lastRow="0" w:firstColumn="0" w:lastColumn="0" w:oddVBand="0" w:evenVBand="0" w:oddHBand="0" w:evenHBand="0" w:firstRowFirstColumn="0" w:firstRowLastColumn="0" w:lastRowFirstColumn="0" w:lastRowLastColumn="0"/>
            </w:pPr>
            <w:r>
              <w:t>2021/22</w:t>
            </w:r>
          </w:p>
        </w:tc>
        <w:tc>
          <w:tcPr>
            <w:tcW w:w="1839" w:type="dxa"/>
            <w:shd w:val="clear" w:color="auto" w:fill="335DA5" w:themeFill="accent1"/>
          </w:tcPr>
          <w:p w14:paraId="2C36DF35" w14:textId="77777777" w:rsidR="00BE7CD6" w:rsidRPr="00557D5A" w:rsidRDefault="00BE7CD6" w:rsidP="00054D11">
            <w:pPr>
              <w:pStyle w:val="TableHeader"/>
              <w:jc w:val="right"/>
              <w:cnfStyle w:val="100000000000" w:firstRow="1" w:lastRow="0" w:firstColumn="0" w:lastColumn="0" w:oddVBand="0" w:evenVBand="0" w:oddHBand="0" w:evenHBand="0" w:firstRowFirstColumn="0" w:firstRowLastColumn="0" w:lastRowFirstColumn="0" w:lastRowLastColumn="0"/>
            </w:pPr>
            <w:r>
              <w:t>2022/23</w:t>
            </w:r>
          </w:p>
        </w:tc>
        <w:tc>
          <w:tcPr>
            <w:tcW w:w="1847" w:type="dxa"/>
            <w:shd w:val="clear" w:color="auto" w:fill="335DA5" w:themeFill="accent1"/>
          </w:tcPr>
          <w:p w14:paraId="501DACAD" w14:textId="77777777" w:rsidR="00BE7CD6" w:rsidRPr="00557D5A" w:rsidRDefault="00BE7CD6" w:rsidP="00054D11">
            <w:pPr>
              <w:pStyle w:val="TableHeader"/>
              <w:jc w:val="right"/>
              <w:cnfStyle w:val="100000000000" w:firstRow="1" w:lastRow="0" w:firstColumn="0" w:lastColumn="0" w:oddVBand="0" w:evenVBand="0" w:oddHBand="0" w:evenHBand="0" w:firstRowFirstColumn="0" w:firstRowLastColumn="0" w:lastRowFirstColumn="0" w:lastRowLastColumn="0"/>
            </w:pPr>
            <w:r>
              <w:t>2023/24</w:t>
            </w:r>
          </w:p>
        </w:tc>
      </w:tr>
      <w:tr w:rsidR="00BE7CD6" w:rsidRPr="00557D5A" w14:paraId="2BF2A390" w14:textId="77777777" w:rsidTr="00054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tcPr>
          <w:p w14:paraId="5B9E9A7B" w14:textId="16E0A1EB" w:rsidR="00BE7CD6" w:rsidRPr="001A2E97" w:rsidRDefault="0036669C" w:rsidP="00E62DA5">
            <w:pPr>
              <w:pStyle w:val="Tabletextleft"/>
            </w:pPr>
            <w:r>
              <w:t>AAT1</w:t>
            </w:r>
            <w:r w:rsidR="00BE7CD6">
              <w:t xml:space="preserve">  </w:t>
            </w:r>
          </w:p>
        </w:tc>
        <w:tc>
          <w:tcPr>
            <w:tcW w:w="1839" w:type="dxa"/>
          </w:tcPr>
          <w:p w14:paraId="6E9947A2" w14:textId="36FC0788" w:rsidR="00BE7CD6" w:rsidRPr="006C027C" w:rsidRDefault="00BE7CD6" w:rsidP="00E62DA5">
            <w:pPr>
              <w:pStyle w:val="Tabletextleft"/>
              <w:jc w:val="right"/>
              <w:cnfStyle w:val="000000100000" w:firstRow="0" w:lastRow="0" w:firstColumn="0" w:lastColumn="0" w:oddVBand="0" w:evenVBand="0" w:oddHBand="1" w:evenHBand="0" w:firstRowFirstColumn="0" w:firstRowLastColumn="0" w:lastRowFirstColumn="0" w:lastRowLastColumn="0"/>
            </w:pPr>
            <w:r>
              <w:t>9</w:t>
            </w:r>
          </w:p>
        </w:tc>
        <w:tc>
          <w:tcPr>
            <w:tcW w:w="1587" w:type="dxa"/>
          </w:tcPr>
          <w:p w14:paraId="095E01B9" w14:textId="3C51F78C" w:rsidR="00BE7CD6" w:rsidRDefault="00BE7CD6" w:rsidP="00E62DA5">
            <w:pPr>
              <w:pStyle w:val="Tabletextcentre"/>
              <w:jc w:val="right"/>
              <w:cnfStyle w:val="000000100000" w:firstRow="0" w:lastRow="0" w:firstColumn="0" w:lastColumn="0" w:oddVBand="0" w:evenVBand="0" w:oddHBand="1" w:evenHBand="0" w:firstRowFirstColumn="0" w:firstRowLastColumn="0" w:lastRowFirstColumn="0" w:lastRowLastColumn="0"/>
            </w:pPr>
            <w:r>
              <w:t>9</w:t>
            </w:r>
          </w:p>
        </w:tc>
        <w:tc>
          <w:tcPr>
            <w:tcW w:w="1839" w:type="dxa"/>
          </w:tcPr>
          <w:p w14:paraId="7674D106" w14:textId="15018A35" w:rsidR="00BE7CD6" w:rsidRPr="00557D5A" w:rsidRDefault="00BE7CD6" w:rsidP="00E62DA5">
            <w:pPr>
              <w:pStyle w:val="Tabletextcentre"/>
              <w:jc w:val="right"/>
              <w:cnfStyle w:val="000000100000" w:firstRow="0" w:lastRow="0" w:firstColumn="0" w:lastColumn="0" w:oddVBand="0" w:evenVBand="0" w:oddHBand="1" w:evenHBand="0" w:firstRowFirstColumn="0" w:firstRowLastColumn="0" w:lastRowFirstColumn="0" w:lastRowLastColumn="0"/>
            </w:pPr>
            <w:r>
              <w:t>11</w:t>
            </w:r>
          </w:p>
        </w:tc>
        <w:tc>
          <w:tcPr>
            <w:tcW w:w="1847" w:type="dxa"/>
          </w:tcPr>
          <w:p w14:paraId="7A83C392" w14:textId="5B7F1583" w:rsidR="00BE7CD6" w:rsidRPr="00557D5A" w:rsidRDefault="00BE7CD6" w:rsidP="00E62DA5">
            <w:pPr>
              <w:pStyle w:val="Tabletextright0"/>
              <w:cnfStyle w:val="000000100000" w:firstRow="0" w:lastRow="0" w:firstColumn="0" w:lastColumn="0" w:oddVBand="0" w:evenVBand="0" w:oddHBand="1" w:evenHBand="0" w:firstRowFirstColumn="0" w:firstRowLastColumn="0" w:lastRowFirstColumn="0" w:lastRowLastColumn="0"/>
            </w:pPr>
            <w:r>
              <w:t>15</w:t>
            </w:r>
          </w:p>
        </w:tc>
      </w:tr>
      <w:tr w:rsidR="00BE7CD6" w:rsidRPr="00557D5A" w14:paraId="62767EA6" w14:textId="77777777" w:rsidTr="00054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tcPr>
          <w:p w14:paraId="167997F8" w14:textId="42B06261" w:rsidR="00BE7CD6" w:rsidRPr="001A2E97" w:rsidRDefault="0036669C" w:rsidP="00E62DA5">
            <w:pPr>
              <w:pStyle w:val="Tabletextleft"/>
            </w:pPr>
            <w:r>
              <w:t>AAT2</w:t>
            </w:r>
            <w:r w:rsidR="00BE7CD6">
              <w:t xml:space="preserve"> </w:t>
            </w:r>
          </w:p>
        </w:tc>
        <w:tc>
          <w:tcPr>
            <w:tcW w:w="1839" w:type="dxa"/>
          </w:tcPr>
          <w:p w14:paraId="51C7B19A" w14:textId="7B43A97D" w:rsidR="00BE7CD6" w:rsidRPr="006C027C" w:rsidRDefault="00BE7CD6" w:rsidP="00E62DA5">
            <w:pPr>
              <w:pStyle w:val="Tabletextleft"/>
              <w:jc w:val="right"/>
              <w:cnfStyle w:val="000000010000" w:firstRow="0" w:lastRow="0" w:firstColumn="0" w:lastColumn="0" w:oddVBand="0" w:evenVBand="0" w:oddHBand="0" w:evenHBand="1" w:firstRowFirstColumn="0" w:firstRowLastColumn="0" w:lastRowFirstColumn="0" w:lastRowLastColumn="0"/>
            </w:pPr>
            <w:r>
              <w:t>22</w:t>
            </w:r>
          </w:p>
        </w:tc>
        <w:tc>
          <w:tcPr>
            <w:tcW w:w="1587" w:type="dxa"/>
          </w:tcPr>
          <w:p w14:paraId="74F536BC" w14:textId="693C0BB2" w:rsidR="00BE7CD6" w:rsidRDefault="00BE7CD6" w:rsidP="00E62DA5">
            <w:pPr>
              <w:pStyle w:val="Tabletextcentre"/>
              <w:jc w:val="right"/>
              <w:cnfStyle w:val="000000010000" w:firstRow="0" w:lastRow="0" w:firstColumn="0" w:lastColumn="0" w:oddVBand="0" w:evenVBand="0" w:oddHBand="0" w:evenHBand="1" w:firstRowFirstColumn="0" w:firstRowLastColumn="0" w:lastRowFirstColumn="0" w:lastRowLastColumn="0"/>
            </w:pPr>
            <w:r>
              <w:t>24</w:t>
            </w:r>
          </w:p>
        </w:tc>
        <w:tc>
          <w:tcPr>
            <w:tcW w:w="1839" w:type="dxa"/>
          </w:tcPr>
          <w:p w14:paraId="7E41C9AC" w14:textId="7BFAA261" w:rsidR="00BE7CD6" w:rsidRPr="00557D5A" w:rsidRDefault="00BE7CD6" w:rsidP="00E62DA5">
            <w:pPr>
              <w:pStyle w:val="Tabletextcentre"/>
              <w:jc w:val="right"/>
              <w:cnfStyle w:val="000000010000" w:firstRow="0" w:lastRow="0" w:firstColumn="0" w:lastColumn="0" w:oddVBand="0" w:evenVBand="0" w:oddHBand="0" w:evenHBand="1" w:firstRowFirstColumn="0" w:firstRowLastColumn="0" w:lastRowFirstColumn="0" w:lastRowLastColumn="0"/>
            </w:pPr>
            <w:r>
              <w:t>22</w:t>
            </w:r>
          </w:p>
        </w:tc>
        <w:tc>
          <w:tcPr>
            <w:tcW w:w="1847" w:type="dxa"/>
          </w:tcPr>
          <w:p w14:paraId="3CE2C398" w14:textId="02B683CE" w:rsidR="00BE7CD6" w:rsidRPr="00557D5A" w:rsidRDefault="00BE7CD6" w:rsidP="00E62DA5">
            <w:pPr>
              <w:pStyle w:val="Tabletextright0"/>
              <w:cnfStyle w:val="000000010000" w:firstRow="0" w:lastRow="0" w:firstColumn="0" w:lastColumn="0" w:oddVBand="0" w:evenVBand="0" w:oddHBand="0" w:evenHBand="1" w:firstRowFirstColumn="0" w:firstRowLastColumn="0" w:lastRowFirstColumn="0" w:lastRowLastColumn="0"/>
            </w:pPr>
            <w:r>
              <w:t>21</w:t>
            </w:r>
          </w:p>
        </w:tc>
      </w:tr>
      <w:tr w:rsidR="00BE7CD6" w:rsidRPr="00557D5A" w14:paraId="556D373E" w14:textId="77777777" w:rsidTr="00054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tcPr>
          <w:p w14:paraId="7CEDF4BD" w14:textId="04ED731D" w:rsidR="00BE7CD6" w:rsidRDefault="00BE7CD6" w:rsidP="00E62DA5">
            <w:pPr>
              <w:pStyle w:val="Tabletextleft"/>
            </w:pPr>
            <w:r>
              <w:t>AAT average</w:t>
            </w:r>
          </w:p>
        </w:tc>
        <w:tc>
          <w:tcPr>
            <w:tcW w:w="1839" w:type="dxa"/>
          </w:tcPr>
          <w:p w14:paraId="4FD2EA33" w14:textId="20EDE240" w:rsidR="00BE7CD6" w:rsidRDefault="00BE7CD6" w:rsidP="00E62DA5">
            <w:pPr>
              <w:pStyle w:val="Tabletextleft"/>
              <w:jc w:val="right"/>
              <w:cnfStyle w:val="000000100000" w:firstRow="0" w:lastRow="0" w:firstColumn="0" w:lastColumn="0" w:oddVBand="0" w:evenVBand="0" w:oddHBand="1" w:evenHBand="0" w:firstRowFirstColumn="0" w:firstRowLastColumn="0" w:lastRowFirstColumn="0" w:lastRowLastColumn="0"/>
            </w:pPr>
            <w:r>
              <w:t>45</w:t>
            </w:r>
          </w:p>
        </w:tc>
        <w:tc>
          <w:tcPr>
            <w:tcW w:w="1587" w:type="dxa"/>
          </w:tcPr>
          <w:p w14:paraId="696F83F6" w14:textId="056BD4F0" w:rsidR="00BE7CD6" w:rsidRDefault="00BE7CD6" w:rsidP="00E62DA5">
            <w:pPr>
              <w:pStyle w:val="Tabletextcentre"/>
              <w:jc w:val="right"/>
              <w:cnfStyle w:val="000000100000" w:firstRow="0" w:lastRow="0" w:firstColumn="0" w:lastColumn="0" w:oddVBand="0" w:evenVBand="0" w:oddHBand="1" w:evenHBand="0" w:firstRowFirstColumn="0" w:firstRowLastColumn="0" w:lastRowFirstColumn="0" w:lastRowLastColumn="0"/>
            </w:pPr>
            <w:r>
              <w:t>30</w:t>
            </w:r>
          </w:p>
        </w:tc>
        <w:tc>
          <w:tcPr>
            <w:tcW w:w="1839" w:type="dxa"/>
          </w:tcPr>
          <w:p w14:paraId="7626619C" w14:textId="017F9E59" w:rsidR="00BE7CD6" w:rsidRDefault="00BE7CD6" w:rsidP="00E62DA5">
            <w:pPr>
              <w:pStyle w:val="Tabletextcentre"/>
              <w:jc w:val="right"/>
              <w:cnfStyle w:val="000000100000" w:firstRow="0" w:lastRow="0" w:firstColumn="0" w:lastColumn="0" w:oddVBand="0" w:evenVBand="0" w:oddHBand="1" w:evenHBand="0" w:firstRowFirstColumn="0" w:firstRowLastColumn="0" w:lastRowFirstColumn="0" w:lastRowLastColumn="0"/>
            </w:pPr>
            <w:r>
              <w:t>34</w:t>
            </w:r>
          </w:p>
        </w:tc>
        <w:tc>
          <w:tcPr>
            <w:tcW w:w="1847" w:type="dxa"/>
          </w:tcPr>
          <w:p w14:paraId="397B976E" w14:textId="0C638D59" w:rsidR="00BE7CD6" w:rsidRDefault="00BE7CD6" w:rsidP="00E62DA5">
            <w:pPr>
              <w:pStyle w:val="Tabletextright0"/>
              <w:cnfStyle w:val="000000100000" w:firstRow="0" w:lastRow="0" w:firstColumn="0" w:lastColumn="0" w:oddVBand="0" w:evenVBand="0" w:oddHBand="1" w:evenHBand="0" w:firstRowFirstColumn="0" w:firstRowLastColumn="0" w:lastRowFirstColumn="0" w:lastRowLastColumn="0"/>
            </w:pPr>
            <w:r>
              <w:t>40</w:t>
            </w:r>
          </w:p>
        </w:tc>
      </w:tr>
    </w:tbl>
    <w:p w14:paraId="76E59DBD" w14:textId="69657ABB" w:rsidR="00BE7CD6" w:rsidRPr="001A2E97" w:rsidRDefault="00BE7CD6" w:rsidP="00BE7CD6">
      <w:pPr>
        <w:spacing w:before="0" w:after="0" w:line="240" w:lineRule="auto"/>
        <w:rPr>
          <w:sz w:val="20"/>
        </w:rPr>
      </w:pPr>
    </w:p>
    <w:p w14:paraId="61E14A07" w14:textId="77777777" w:rsidR="00BE7CD6" w:rsidRDefault="00BE7CD6" w:rsidP="00BE7CD6">
      <w:pPr>
        <w:jc w:val="both"/>
      </w:pPr>
      <w:r w:rsidRPr="001A2E97">
        <w:rPr>
          <w:sz w:val="20"/>
        </w:rPr>
        <w:t>Source:</w:t>
      </w:r>
      <w:r>
        <w:rPr>
          <w:sz w:val="20"/>
        </w:rPr>
        <w:t xml:space="preserve"> AAT Caseload Reports </w:t>
      </w:r>
      <w:hyperlink r:id="rId17" w:history="1">
        <w:r w:rsidRPr="00D846AF">
          <w:rPr>
            <w:rStyle w:val="Hyperlink"/>
            <w:sz w:val="20"/>
          </w:rPr>
          <w:t>AAT statistics | Administrative Review Tribunal</w:t>
        </w:r>
      </w:hyperlink>
    </w:p>
    <w:p w14:paraId="6632EF47" w14:textId="2C5EABB5" w:rsidR="00BE7CD6" w:rsidRDefault="009F3105" w:rsidP="00ED35E7">
      <w:pPr>
        <w:pStyle w:val="ListParagraph"/>
        <w:numPr>
          <w:ilvl w:val="1"/>
          <w:numId w:val="34"/>
        </w:numPr>
        <w:jc w:val="both"/>
      </w:pPr>
      <w:r w:rsidRPr="00AE007B">
        <w:t>Having only commenced on 1</w:t>
      </w:r>
      <w:r w:rsidR="00E01E06">
        <w:t>4</w:t>
      </w:r>
      <w:r w:rsidRPr="00AE007B">
        <w:t xml:space="preserve"> October 2024, caseload statistical information from the ART is limited. As with the</w:t>
      </w:r>
      <w:r w:rsidR="005A6F34">
        <w:t xml:space="preserve"> Social Security and Child Support Division</w:t>
      </w:r>
      <w:r w:rsidRPr="00AE007B">
        <w:t xml:space="preserve"> </w:t>
      </w:r>
      <w:r w:rsidR="005A6F34">
        <w:t>(</w:t>
      </w:r>
      <w:r w:rsidR="0060064C">
        <w:t>“</w:t>
      </w:r>
      <w:r w:rsidRPr="00AE007B">
        <w:t>SSCSD</w:t>
      </w:r>
      <w:r w:rsidR="0060064C">
        <w:t>”</w:t>
      </w:r>
      <w:r w:rsidR="005A6F34">
        <w:t>)</w:t>
      </w:r>
      <w:r w:rsidRPr="00AE007B">
        <w:t xml:space="preserve"> in the AAT, the social security jurisdictional area of the ART reviews a high volume of cases.</w:t>
      </w:r>
      <w:r w:rsidR="00664EF8" w:rsidRPr="00AE007B">
        <w:rPr>
          <w:vertAlign w:val="superscript"/>
        </w:rPr>
        <w:footnoteReference w:id="14"/>
      </w:r>
      <w:r w:rsidRPr="00AE007B">
        <w:t xml:space="preserve"> Statistics </w:t>
      </w:r>
      <w:r>
        <w:t>show</w:t>
      </w:r>
      <w:r w:rsidRPr="00AE007B">
        <w:t xml:space="preserve"> 3,754 </w:t>
      </w:r>
      <w:proofErr w:type="spellStart"/>
      <w:r w:rsidRPr="00AE007B">
        <w:t>lodgments</w:t>
      </w:r>
      <w:proofErr w:type="spellEnd"/>
      <w:r w:rsidRPr="00AE007B">
        <w:t xml:space="preserve"> </w:t>
      </w:r>
      <w:r w:rsidR="0060064C">
        <w:t>in</w:t>
      </w:r>
      <w:r w:rsidRPr="00AE007B">
        <w:t xml:space="preserve"> the social security jurisdictional area for the period 14 October 2024 to 31 May 2025, with 3,889 finalisations and a median time to finalise of 14 weeks.</w:t>
      </w:r>
      <w:r w:rsidR="00664EF8">
        <w:rPr>
          <w:rStyle w:val="FootnoteReference"/>
        </w:rPr>
        <w:footnoteReference w:id="15"/>
      </w:r>
      <w:r w:rsidRPr="00AE007B">
        <w:t xml:space="preserve"> </w:t>
      </w:r>
    </w:p>
    <w:p w14:paraId="3F1ABF87" w14:textId="4DF699A5" w:rsidR="009F3105" w:rsidRPr="00D846AF" w:rsidRDefault="00D846AF" w:rsidP="00D846AF">
      <w:pPr>
        <w:pStyle w:val="Heading4"/>
      </w:pPr>
      <w:r>
        <w:t>Vulnerability of applicants</w:t>
      </w:r>
    </w:p>
    <w:p w14:paraId="6F79007A" w14:textId="46EDFF0B" w:rsidR="00A96196" w:rsidRDefault="00CF3663" w:rsidP="00ED35E7">
      <w:pPr>
        <w:pStyle w:val="ListParagraph"/>
        <w:numPr>
          <w:ilvl w:val="1"/>
          <w:numId w:val="34"/>
        </w:numPr>
        <w:jc w:val="both"/>
      </w:pPr>
      <w:r>
        <w:t>The nature of the social security jurisdiction means that many seeking assistance will have some form of vulnerability. T</w:t>
      </w:r>
      <w:r w:rsidR="00C86FF2">
        <w:t xml:space="preserve">he </w:t>
      </w:r>
      <w:proofErr w:type="spellStart"/>
      <w:r w:rsidR="00C86FF2">
        <w:t>Robodebt</w:t>
      </w:r>
      <w:proofErr w:type="spellEnd"/>
      <w:r w:rsidR="00C86FF2">
        <w:t xml:space="preserve"> Royal Commission recognised that vulnerable people may struggle with accessing and navigating the social security system and need extra support.</w:t>
      </w:r>
      <w:r w:rsidR="00C86FF2">
        <w:rPr>
          <w:rStyle w:val="FootnoteReference"/>
          <w:rFonts w:eastAsiaTheme="majorEastAsia"/>
        </w:rPr>
        <w:footnoteReference w:id="16"/>
      </w:r>
      <w:r w:rsidR="00C86FF2">
        <w:t xml:space="preserve"> </w:t>
      </w:r>
      <w:r w:rsidR="002F0D40">
        <w:t>The Commission made a number of recommendations aimed at improving the way that Services Australia designs its policies and processes</w:t>
      </w:r>
      <w:r w:rsidR="0060064C">
        <w:t>,</w:t>
      </w:r>
      <w:r w:rsidR="002F0D40">
        <w:t xml:space="preserve"> with a primary emphasis on the needs of recipients, identif</w:t>
      </w:r>
      <w:r w:rsidR="0060064C">
        <w:t>ying</w:t>
      </w:r>
      <w:r w:rsidR="00206A97" w:rsidRPr="00AE007B">
        <w:t xml:space="preserve"> </w:t>
      </w:r>
      <w:r w:rsidR="00650582">
        <w:t>and engag</w:t>
      </w:r>
      <w:r w:rsidR="0060064C">
        <w:t>ing</w:t>
      </w:r>
      <w:r w:rsidR="00650582">
        <w:t xml:space="preserve"> with vulnerable recipients, </w:t>
      </w:r>
      <w:r>
        <w:t>consider</w:t>
      </w:r>
      <w:r w:rsidR="0060064C">
        <w:t>ing</w:t>
      </w:r>
      <w:r>
        <w:t xml:space="preserve"> documents vulnerabilities in the design of compliance program</w:t>
      </w:r>
      <w:r w:rsidR="0060064C">
        <w:t>s</w:t>
      </w:r>
      <w:r w:rsidR="00650582">
        <w:t>, and engag</w:t>
      </w:r>
      <w:r w:rsidR="0060064C">
        <w:t>ing</w:t>
      </w:r>
      <w:r w:rsidR="00650582">
        <w:t xml:space="preserve"> with advocates</w:t>
      </w:r>
      <w:r>
        <w:t>.</w:t>
      </w:r>
      <w:r>
        <w:rPr>
          <w:rStyle w:val="FootnoteReference"/>
        </w:rPr>
        <w:footnoteReference w:id="17"/>
      </w:r>
      <w:r w:rsidR="00EE6933">
        <w:tab/>
      </w:r>
      <w:r w:rsidR="00EE6933">
        <w:br/>
      </w:r>
    </w:p>
    <w:p w14:paraId="60C15375" w14:textId="7E1431B7" w:rsidR="002F0D40" w:rsidRDefault="002F0D40" w:rsidP="00ED35E7">
      <w:pPr>
        <w:pStyle w:val="ListParagraph"/>
        <w:numPr>
          <w:ilvl w:val="1"/>
          <w:numId w:val="34"/>
        </w:numPr>
        <w:jc w:val="both"/>
      </w:pPr>
      <w:r>
        <w:t xml:space="preserve">Applicants with vulnerabilities are likely to face additional challenges when accessing administrative review processes, both internally and externally in the ART. These challenges will be exacerbated when an applicant is unrepresented in review proceedings. </w:t>
      </w:r>
    </w:p>
    <w:p w14:paraId="67C43C14" w14:textId="77777777" w:rsidR="00876846" w:rsidRPr="002F0D40" w:rsidRDefault="00876846" w:rsidP="00ED35E7">
      <w:pPr>
        <w:pStyle w:val="ListParagraph"/>
        <w:jc w:val="both"/>
      </w:pPr>
    </w:p>
    <w:p w14:paraId="0BC90625" w14:textId="4A1FE9D6" w:rsidR="00A96196" w:rsidRPr="00ED35E7" w:rsidRDefault="00206A97" w:rsidP="00ED35E7">
      <w:pPr>
        <w:pStyle w:val="ListParagraph"/>
        <w:numPr>
          <w:ilvl w:val="1"/>
          <w:numId w:val="34"/>
        </w:numPr>
        <w:jc w:val="both"/>
        <w:rPr>
          <w:b/>
          <w:i/>
        </w:rPr>
      </w:pPr>
      <w:r w:rsidRPr="00206A97">
        <w:t>In the former AAT, a key priority for the SSCSD was to assist people to participate in the review process, including vulnerable cohorts experiencing homelessness, from culturally and linguistically diverse backgrounds, and those with disabilities and other identified vulnerabilities which may have affected their ability to access review services.</w:t>
      </w:r>
      <w:r w:rsidRPr="008A1DF0">
        <w:rPr>
          <w:vertAlign w:val="superscript"/>
        </w:rPr>
        <w:footnoteReference w:id="18"/>
      </w:r>
      <w:r w:rsidRPr="00206A97">
        <w:t xml:space="preserve"> Despite the AAT’s caseload strategy to manage volume</w:t>
      </w:r>
      <w:r w:rsidRPr="008A1DF0">
        <w:rPr>
          <w:vertAlign w:val="superscript"/>
        </w:rPr>
        <w:footnoteReference w:id="19"/>
      </w:r>
      <w:r w:rsidRPr="00206A97">
        <w:t xml:space="preserve">, resources and case complexity, applicants at </w:t>
      </w:r>
      <w:r w:rsidR="00664EF8">
        <w:t>AAT1 and AAT2</w:t>
      </w:r>
      <w:r w:rsidRPr="00206A97">
        <w:t xml:space="preserve"> were the most frequently legally unrepresented.</w:t>
      </w:r>
      <w:r w:rsidRPr="008A1DF0">
        <w:rPr>
          <w:vertAlign w:val="superscript"/>
        </w:rPr>
        <w:footnoteReference w:id="20"/>
      </w:r>
      <w:r w:rsidRPr="00AE007B">
        <w:t xml:space="preserve"> </w:t>
      </w:r>
      <w:r w:rsidR="00876846">
        <w:br/>
      </w:r>
    </w:p>
    <w:p w14:paraId="42E6CB05" w14:textId="3C8B0781" w:rsidR="007741E2" w:rsidRDefault="00CF3663" w:rsidP="00ED35E7">
      <w:pPr>
        <w:pStyle w:val="ListParagraph"/>
        <w:numPr>
          <w:ilvl w:val="1"/>
          <w:numId w:val="34"/>
        </w:numPr>
        <w:jc w:val="both"/>
      </w:pPr>
      <w:r>
        <w:t>The Parliamentary Committee inquiries into the draft ART Bills considered the challenges that may be faced by many social security applicants when navigating the administrative review systems and structures, including in relation to exercising their review rights, presenting relevant material and arguments.</w:t>
      </w:r>
      <w:r>
        <w:rPr>
          <w:rStyle w:val="FootnoteReference"/>
        </w:rPr>
        <w:footnoteReference w:id="21"/>
      </w:r>
      <w:r>
        <w:t xml:space="preserve"> </w:t>
      </w:r>
      <w:r w:rsidR="007741E2">
        <w:t>One of the aims of the ART legislation has been</w:t>
      </w:r>
      <w:r w:rsidR="00AE007B" w:rsidRPr="00AE007B">
        <w:t xml:space="preserve"> to ‘significantly improve the experience of those seeking review of government decisions’</w:t>
      </w:r>
      <w:r w:rsidR="00C86FF2">
        <w:t>.</w:t>
      </w:r>
      <w:r w:rsidR="00AE007B" w:rsidRPr="00AE007B">
        <w:rPr>
          <w:vertAlign w:val="superscript"/>
        </w:rPr>
        <w:footnoteReference w:id="22"/>
      </w:r>
      <w:r w:rsidR="00C86FF2">
        <w:t xml:space="preserve"> </w:t>
      </w:r>
    </w:p>
    <w:p w14:paraId="3B5046F5" w14:textId="5DD9217C" w:rsidR="0016236D" w:rsidRPr="0016236D" w:rsidRDefault="0016236D" w:rsidP="00ED35E7">
      <w:pPr>
        <w:pStyle w:val="Heading1"/>
        <w:numPr>
          <w:ilvl w:val="0"/>
          <w:numId w:val="34"/>
        </w:numPr>
      </w:pPr>
      <w:bookmarkStart w:id="14" w:name="_Toc205997100"/>
      <w:r>
        <w:t>Key issues</w:t>
      </w:r>
      <w:bookmarkEnd w:id="14"/>
    </w:p>
    <w:p w14:paraId="10A72ABB" w14:textId="67071E90" w:rsidR="003500A3" w:rsidRDefault="00876846" w:rsidP="00876846">
      <w:pPr>
        <w:pStyle w:val="Heading2"/>
      </w:pPr>
      <w:bookmarkStart w:id="15" w:name="_Toc205997101"/>
      <w:bookmarkStart w:id="16" w:name="_Toc200542486"/>
      <w:r>
        <w:t xml:space="preserve">Key Issue 1: </w:t>
      </w:r>
      <w:r w:rsidR="003500A3">
        <w:t>Internal review processes</w:t>
      </w:r>
      <w:bookmarkEnd w:id="15"/>
      <w:r w:rsidR="003500A3">
        <w:t xml:space="preserve"> </w:t>
      </w:r>
    </w:p>
    <w:p w14:paraId="781EFB68" w14:textId="78C035E2" w:rsidR="003500A3" w:rsidRPr="002A000E" w:rsidRDefault="003500A3" w:rsidP="00ED35E7">
      <w:pPr>
        <w:pStyle w:val="ListParagraph"/>
        <w:numPr>
          <w:ilvl w:val="1"/>
          <w:numId w:val="34"/>
        </w:numPr>
        <w:jc w:val="both"/>
        <w:rPr>
          <w:szCs w:val="21"/>
        </w:rPr>
      </w:pPr>
      <w:r>
        <w:t>Before a social security matter can be appealed to the ART, it must go through an internal agency review process.</w:t>
      </w:r>
      <w:r w:rsidRPr="00CE7B1B">
        <w:rPr>
          <w:szCs w:val="21"/>
        </w:rPr>
        <w:t xml:space="preserve"> An individual who receives a decision from Services Australia has the option to:</w:t>
      </w:r>
    </w:p>
    <w:p w14:paraId="579FBCD1" w14:textId="7A4BE931" w:rsidR="003500A3" w:rsidRDefault="003500A3" w:rsidP="00DB2A26">
      <w:pPr>
        <w:pStyle w:val="ListParagraph"/>
        <w:numPr>
          <w:ilvl w:val="0"/>
          <w:numId w:val="10"/>
        </w:numPr>
        <w:jc w:val="both"/>
      </w:pPr>
      <w:r>
        <w:t>Request an explanation for the decision from a Subject Matter Expert (</w:t>
      </w:r>
      <w:r w:rsidR="0060064C">
        <w:t>“</w:t>
      </w:r>
      <w:r>
        <w:t>SME</w:t>
      </w:r>
      <w:r w:rsidR="0060064C">
        <w:t>”</w:t>
      </w:r>
      <w:r>
        <w:t>) and/or</w:t>
      </w:r>
    </w:p>
    <w:p w14:paraId="261B7778" w14:textId="4B99436D" w:rsidR="003500A3" w:rsidRDefault="0060064C" w:rsidP="00DB2A26">
      <w:pPr>
        <w:pStyle w:val="ListParagraph"/>
        <w:numPr>
          <w:ilvl w:val="0"/>
          <w:numId w:val="10"/>
        </w:numPr>
        <w:jc w:val="both"/>
      </w:pPr>
      <w:r>
        <w:t>a</w:t>
      </w:r>
      <w:r w:rsidR="003500A3">
        <w:t>pply for a formal internal review of the decision by an A</w:t>
      </w:r>
      <w:r>
        <w:t>RO</w:t>
      </w:r>
      <w:r w:rsidR="003500A3">
        <w:t>.</w:t>
      </w:r>
      <w:r w:rsidR="003500A3">
        <w:rPr>
          <w:rStyle w:val="FootnoteReference"/>
        </w:rPr>
        <w:footnoteReference w:id="23"/>
      </w:r>
    </w:p>
    <w:p w14:paraId="51BC77AD" w14:textId="77777777" w:rsidR="00876846" w:rsidRDefault="00876846" w:rsidP="00876846">
      <w:pPr>
        <w:pStyle w:val="ListParagraph"/>
        <w:jc w:val="both"/>
      </w:pPr>
    </w:p>
    <w:p w14:paraId="490A751D" w14:textId="4D3DE566" w:rsidR="00A96196" w:rsidRDefault="003500A3" w:rsidP="00ED35E7">
      <w:pPr>
        <w:pStyle w:val="ListParagraph"/>
        <w:numPr>
          <w:ilvl w:val="1"/>
          <w:numId w:val="34"/>
        </w:numPr>
        <w:jc w:val="both"/>
      </w:pPr>
      <w:r>
        <w:t xml:space="preserve">The ARO is </w:t>
      </w:r>
      <w:r w:rsidR="0060064C">
        <w:t xml:space="preserve">an officer who was </w:t>
      </w:r>
      <w:r>
        <w:t>not involved in making the original decision and has the power to vary the decision or set it aside and substitute a new decision.</w:t>
      </w:r>
      <w:r w:rsidRPr="00A96196">
        <w:rPr>
          <w:rStyle w:val="FootnoteReference"/>
        </w:rPr>
        <w:footnoteReference w:id="24"/>
      </w:r>
      <w:r w:rsidR="00EE6933">
        <w:tab/>
      </w:r>
      <w:r w:rsidR="00EE6933">
        <w:br/>
      </w:r>
    </w:p>
    <w:p w14:paraId="7EF3A233" w14:textId="4E9A6220" w:rsidR="003500A3" w:rsidRDefault="003500A3" w:rsidP="00ED35E7">
      <w:pPr>
        <w:pStyle w:val="ListParagraph"/>
        <w:numPr>
          <w:ilvl w:val="1"/>
          <w:numId w:val="34"/>
        </w:numPr>
        <w:jc w:val="both"/>
      </w:pPr>
      <w:r>
        <w:t xml:space="preserve">Services Australia does not publish data in relation to its internal review process, such as application numbers, outcomes and finalisation times. </w:t>
      </w:r>
    </w:p>
    <w:p w14:paraId="63A2719E" w14:textId="77777777" w:rsidR="003500A3" w:rsidRDefault="003500A3" w:rsidP="003500A3">
      <w:pPr>
        <w:pStyle w:val="Heading3"/>
      </w:pPr>
      <w:bookmarkStart w:id="17" w:name="_Toc205997102"/>
      <w:proofErr w:type="spellStart"/>
      <w:r>
        <w:lastRenderedPageBreak/>
        <w:t>Robodebt</w:t>
      </w:r>
      <w:proofErr w:type="spellEnd"/>
      <w:r>
        <w:t xml:space="preserve"> and concerns with ARO review process</w:t>
      </w:r>
      <w:bookmarkEnd w:id="17"/>
    </w:p>
    <w:p w14:paraId="0A05F2FD" w14:textId="5764A419" w:rsidR="00876846" w:rsidRDefault="003500A3" w:rsidP="00ED35E7">
      <w:pPr>
        <w:pStyle w:val="ListParagraph"/>
        <w:numPr>
          <w:ilvl w:val="1"/>
          <w:numId w:val="34"/>
        </w:numPr>
        <w:jc w:val="both"/>
      </w:pPr>
      <w:r>
        <w:t xml:space="preserve">There has been evidence given to the </w:t>
      </w:r>
      <w:proofErr w:type="spellStart"/>
      <w:r>
        <w:t>Robodebt</w:t>
      </w:r>
      <w:proofErr w:type="spellEnd"/>
      <w:r>
        <w:t xml:space="preserve"> Royal Commission and various Parliamentary Committee inquiries of concerns with aspects of the internal review process, particularly in relation to the ability of applicants to understand and access ARO review. These include reports of insufficient reasons being provided for decisions at first instance; of limited or conflicting information being provided about review rights; and of applicants being refused an ARO review or diverted to a less formal reassessment process.</w:t>
      </w:r>
      <w:r w:rsidRPr="00A96196">
        <w:rPr>
          <w:rStyle w:val="FootnoteReference"/>
        </w:rPr>
        <w:footnoteReference w:id="25"/>
      </w:r>
      <w:r>
        <w:t xml:space="preserve"> Evidence was also provided of applicants finding the appeals process intimidating and emotionally harrowing.</w:t>
      </w:r>
      <w:r w:rsidRPr="00A96196">
        <w:rPr>
          <w:rStyle w:val="FootnoteReference"/>
        </w:rPr>
        <w:footnoteReference w:id="26"/>
      </w:r>
      <w:r>
        <w:t xml:space="preserve"> </w:t>
      </w:r>
    </w:p>
    <w:p w14:paraId="69ED943C" w14:textId="7A82E130" w:rsidR="003500A3" w:rsidRDefault="003500A3" w:rsidP="00ED35E7">
      <w:pPr>
        <w:pStyle w:val="ListParagraph"/>
        <w:jc w:val="both"/>
      </w:pPr>
      <w:r>
        <w:t xml:space="preserve"> </w:t>
      </w:r>
    </w:p>
    <w:p w14:paraId="5A5CB9D5" w14:textId="42B13903" w:rsidR="003500A3" w:rsidRDefault="003500A3" w:rsidP="00ED35E7">
      <w:pPr>
        <w:pStyle w:val="ListParagraph"/>
        <w:numPr>
          <w:ilvl w:val="1"/>
          <w:numId w:val="34"/>
        </w:numPr>
        <w:jc w:val="both"/>
      </w:pPr>
      <w:r>
        <w:t>Services Australia and the Department of Social Services are in the process of implementing a number of recommendations from the Commission, including reforms aimed at improving the systems and supports that impact people experiencing disadvantage</w:t>
      </w:r>
      <w:r w:rsidR="0060064C">
        <w:t>. The Department states that</w:t>
      </w:r>
      <w:r>
        <w:t xml:space="preserve"> these </w:t>
      </w:r>
      <w:r w:rsidR="0060064C">
        <w:t xml:space="preserve">steps </w:t>
      </w:r>
      <w:r>
        <w:t>should greatly improve the quality and transparency of agency decision-making. These include significant and long-term reform within Services Australia aimed at improving the provision of clear reasons</w:t>
      </w:r>
      <w:r w:rsidR="002B63E0">
        <w:t xml:space="preserve"> </w:t>
      </w:r>
      <w:r w:rsidR="0060064C">
        <w:t>for the primary decision</w:t>
      </w:r>
      <w:r>
        <w:t>.</w:t>
      </w:r>
      <w:r>
        <w:rPr>
          <w:rStyle w:val="FootnoteReference"/>
        </w:rPr>
        <w:footnoteReference w:id="27"/>
      </w:r>
      <w:r>
        <w:t xml:space="preserve"> These changes are likely to take time to implement.</w:t>
      </w:r>
    </w:p>
    <w:p w14:paraId="6D78D0A6" w14:textId="10F2548A" w:rsidR="00231562" w:rsidRDefault="00231562" w:rsidP="00AC6E76">
      <w:pPr>
        <w:pStyle w:val="Heading3"/>
        <w:jc w:val="both"/>
      </w:pPr>
      <w:bookmarkStart w:id="18" w:name="_Toc205997103"/>
      <w:r>
        <w:t xml:space="preserve">Timeliness </w:t>
      </w:r>
      <w:r w:rsidR="00AE61A0">
        <w:t xml:space="preserve">and accessibility </w:t>
      </w:r>
      <w:r>
        <w:t>of decision-making</w:t>
      </w:r>
      <w:bookmarkEnd w:id="18"/>
    </w:p>
    <w:p w14:paraId="7745CB97" w14:textId="1C7D2B38" w:rsidR="00EA59D4" w:rsidRDefault="00EA59D4" w:rsidP="00ED35E7">
      <w:pPr>
        <w:pStyle w:val="ListParagraph"/>
        <w:numPr>
          <w:ilvl w:val="1"/>
          <w:numId w:val="34"/>
        </w:numPr>
        <w:jc w:val="both"/>
      </w:pPr>
      <w:r>
        <w:t xml:space="preserve"> There is no statutory timeframe within which Services Australia is required to finalise an internal review. Services Australia currently aims to finish at least 70% of formal ARO reviews within 49 days from the date of request.</w:t>
      </w:r>
      <w:r>
        <w:rPr>
          <w:rStyle w:val="FootnoteReference"/>
        </w:rPr>
        <w:footnoteReference w:id="28"/>
      </w:r>
      <w:r>
        <w:t xml:space="preserve"> The agency’s website currently states:</w:t>
      </w:r>
    </w:p>
    <w:p w14:paraId="5B755C16" w14:textId="72A85167" w:rsidR="00EA59D4" w:rsidRDefault="00EA59D4" w:rsidP="00EA59D4">
      <w:pPr>
        <w:ind w:left="1440"/>
        <w:jc w:val="both"/>
      </w:pPr>
      <w:r w:rsidRPr="00231562">
        <w:t>We have a high number of formal review applications in the queue for processing. This means it may take longer than usual before we get to your application.</w:t>
      </w:r>
      <w:r>
        <w:rPr>
          <w:rStyle w:val="FootnoteReference"/>
        </w:rPr>
        <w:footnoteReference w:id="29"/>
      </w:r>
    </w:p>
    <w:p w14:paraId="0A62F033" w14:textId="7BE2195C" w:rsidR="00EA59D4" w:rsidRDefault="00EA59D4" w:rsidP="00ED35E7">
      <w:pPr>
        <w:pStyle w:val="ListParagraph"/>
        <w:numPr>
          <w:ilvl w:val="1"/>
          <w:numId w:val="34"/>
        </w:numPr>
        <w:jc w:val="both"/>
      </w:pPr>
      <w:r>
        <w:t>There is the potential for delays at the internal review stage to impact applicants’ engagement with the review process and their decisions on whether to seek external merits review in the ART. The Council is interested in better understanding the accessibility and timeliness of ARO review and the impact that this may have on vulnerable applicants, and their decisions</w:t>
      </w:r>
      <w:r w:rsidRPr="00A407F4">
        <w:t xml:space="preserve"> </w:t>
      </w:r>
      <w:r>
        <w:t>on receipt of an adverse ARO outcome, as to whether it is worthwhile seeking ART review.</w:t>
      </w:r>
    </w:p>
    <w:p w14:paraId="3251F9C5" w14:textId="602102E4" w:rsidR="003500A3" w:rsidRDefault="003500A3" w:rsidP="00AC6E76">
      <w:pPr>
        <w:pStyle w:val="Heading3"/>
        <w:jc w:val="both"/>
      </w:pPr>
      <w:bookmarkStart w:id="19" w:name="_Toc205997104"/>
      <w:r>
        <w:lastRenderedPageBreak/>
        <w:t>Impact on applications for external merits review</w:t>
      </w:r>
      <w:bookmarkEnd w:id="19"/>
    </w:p>
    <w:p w14:paraId="63E72D4B" w14:textId="76B09F50" w:rsidR="00ED51FC" w:rsidRDefault="003500A3" w:rsidP="003500A3">
      <w:pPr>
        <w:pStyle w:val="ListParagraph"/>
        <w:numPr>
          <w:ilvl w:val="1"/>
          <w:numId w:val="34"/>
        </w:numPr>
        <w:jc w:val="both"/>
      </w:pPr>
      <w:r>
        <w:t>Data from Services Australia highlights the proportion of social security payment decisions changed following merits review in the former AAT.</w:t>
      </w:r>
    </w:p>
    <w:p w14:paraId="100EDF80" w14:textId="4AF844BF" w:rsidR="003500A3" w:rsidRPr="00557D5A" w:rsidRDefault="003500A3" w:rsidP="003500A3">
      <w:pPr>
        <w:pStyle w:val="TableTitle"/>
      </w:pPr>
      <w:r w:rsidRPr="00E22A4B">
        <w:t xml:space="preserve">Table </w:t>
      </w:r>
      <w:r w:rsidR="00E22A4B" w:rsidRPr="00F67DB1">
        <w:t>3</w:t>
      </w:r>
      <w:r w:rsidRPr="00E22A4B">
        <w:t>:</w:t>
      </w:r>
      <w:r>
        <w:t xml:space="preserve"> AAT outcomes – social security payments  </w:t>
      </w:r>
    </w:p>
    <w:tbl>
      <w:tblPr>
        <w:tblStyle w:val="DepartmentofHealthtable"/>
        <w:tblW w:w="8834" w:type="dxa"/>
        <w:tblLook w:val="04A0" w:firstRow="1" w:lastRow="0" w:firstColumn="1" w:lastColumn="0" w:noHBand="0" w:noVBand="1"/>
        <w:tblDescription w:val="Add Alt Text describing the content of the table"/>
      </w:tblPr>
      <w:tblGrid>
        <w:gridCol w:w="1083"/>
        <w:gridCol w:w="1480"/>
        <w:gridCol w:w="1456"/>
        <w:gridCol w:w="1523"/>
        <w:gridCol w:w="1713"/>
        <w:gridCol w:w="469"/>
        <w:gridCol w:w="1110"/>
      </w:tblGrid>
      <w:tr w:rsidR="00E944DC" w:rsidRPr="00557D5A" w14:paraId="77FDB6E8" w14:textId="046CD68C" w:rsidTr="00ED35E7">
        <w:trPr>
          <w:cnfStyle w:val="100000000000" w:firstRow="1" w:lastRow="0" w:firstColumn="0" w:lastColumn="0" w:oddVBand="0" w:evenVBand="0" w:oddHBand="0" w:evenHBand="0" w:firstRowFirstColumn="0" w:firstRowLastColumn="0" w:lastRowFirstColumn="0" w:lastRowLastColumn="0"/>
          <w:trHeight w:val="1194"/>
          <w:tblHeader/>
        </w:trPr>
        <w:tc>
          <w:tcPr>
            <w:cnfStyle w:val="001000000000" w:firstRow="0" w:lastRow="0" w:firstColumn="1" w:lastColumn="0" w:oddVBand="0" w:evenVBand="0" w:oddHBand="0" w:evenHBand="0" w:firstRowFirstColumn="0" w:firstRowLastColumn="0" w:lastRowFirstColumn="0" w:lastRowLastColumn="0"/>
            <w:tcW w:w="1083" w:type="dxa"/>
            <w:shd w:val="clear" w:color="auto" w:fill="335DA5" w:themeFill="accent1"/>
          </w:tcPr>
          <w:p w14:paraId="25A0FD7B" w14:textId="77777777" w:rsidR="007F03F9" w:rsidRPr="00557D5A" w:rsidRDefault="007F03F9" w:rsidP="00993AEF">
            <w:pPr>
              <w:pStyle w:val="TableHeaderWhite"/>
            </w:pPr>
          </w:p>
        </w:tc>
        <w:tc>
          <w:tcPr>
            <w:tcW w:w="1480" w:type="dxa"/>
            <w:shd w:val="clear" w:color="auto" w:fill="335DA5" w:themeFill="accent1"/>
          </w:tcPr>
          <w:p w14:paraId="2C291234" w14:textId="77777777" w:rsidR="007F03F9" w:rsidRPr="00557D5A" w:rsidRDefault="007F03F9" w:rsidP="00E944DC">
            <w:pPr>
              <w:pStyle w:val="TableHeader"/>
              <w:jc w:val="right"/>
              <w:cnfStyle w:val="100000000000" w:firstRow="1" w:lastRow="0" w:firstColumn="0" w:lastColumn="0" w:oddVBand="0" w:evenVBand="0" w:oddHBand="0" w:evenHBand="0" w:firstRowFirstColumn="0" w:firstRowLastColumn="0" w:lastRowFirstColumn="0" w:lastRowLastColumn="0"/>
            </w:pPr>
            <w:r>
              <w:t>AAT1 received</w:t>
            </w:r>
          </w:p>
        </w:tc>
        <w:tc>
          <w:tcPr>
            <w:tcW w:w="1456" w:type="dxa"/>
            <w:shd w:val="clear" w:color="auto" w:fill="335DA5" w:themeFill="accent1"/>
          </w:tcPr>
          <w:p w14:paraId="3EAC2969" w14:textId="77777777" w:rsidR="007F03F9" w:rsidRPr="00557D5A" w:rsidRDefault="007F03F9" w:rsidP="00E944DC">
            <w:pPr>
              <w:pStyle w:val="TableHeader"/>
              <w:jc w:val="right"/>
              <w:cnfStyle w:val="100000000000" w:firstRow="1" w:lastRow="0" w:firstColumn="0" w:lastColumn="0" w:oddVBand="0" w:evenVBand="0" w:oddHBand="0" w:evenHBand="0" w:firstRowFirstColumn="0" w:firstRowLastColumn="0" w:lastRowFirstColumn="0" w:lastRowLastColumn="0"/>
            </w:pPr>
            <w:r>
              <w:t>AAT1 changed (%)</w:t>
            </w:r>
          </w:p>
        </w:tc>
        <w:tc>
          <w:tcPr>
            <w:tcW w:w="1523" w:type="dxa"/>
            <w:shd w:val="clear" w:color="auto" w:fill="335DA5" w:themeFill="accent1"/>
          </w:tcPr>
          <w:p w14:paraId="6DBD76C9" w14:textId="77777777" w:rsidR="007F03F9" w:rsidRPr="00670ECE" w:rsidRDefault="007F03F9" w:rsidP="00E944DC">
            <w:pPr>
              <w:pStyle w:val="TableHeader"/>
              <w:jc w:val="right"/>
              <w:cnfStyle w:val="100000000000" w:firstRow="1" w:lastRow="0" w:firstColumn="0" w:lastColumn="0" w:oddVBand="0" w:evenVBand="0" w:oddHBand="0" w:evenHBand="0" w:firstRowFirstColumn="0" w:firstRowLastColumn="0" w:lastRowFirstColumn="0" w:lastRowLastColumn="0"/>
            </w:pPr>
            <w:r w:rsidRPr="00670ECE">
              <w:t xml:space="preserve">AAT2 received* </w:t>
            </w:r>
          </w:p>
        </w:tc>
        <w:tc>
          <w:tcPr>
            <w:tcW w:w="1713" w:type="dxa"/>
            <w:shd w:val="clear" w:color="auto" w:fill="335DA5" w:themeFill="accent1"/>
          </w:tcPr>
          <w:p w14:paraId="1882EE77" w14:textId="77777777" w:rsidR="007F03F9" w:rsidRPr="00670ECE" w:rsidRDefault="007F03F9" w:rsidP="00E944DC">
            <w:pPr>
              <w:pStyle w:val="TableHeader"/>
              <w:jc w:val="right"/>
              <w:cnfStyle w:val="100000000000" w:firstRow="1" w:lastRow="0" w:firstColumn="0" w:lastColumn="0" w:oddVBand="0" w:evenVBand="0" w:oddHBand="0" w:evenHBand="0" w:firstRowFirstColumn="0" w:firstRowLastColumn="0" w:lastRowFirstColumn="0" w:lastRowLastColumn="0"/>
            </w:pPr>
            <w:r w:rsidRPr="00670ECE">
              <w:t>AAT2 changed*</w:t>
            </w:r>
          </w:p>
          <w:p w14:paraId="7202FF01" w14:textId="03BAEAF3" w:rsidR="007F03F9" w:rsidRPr="00670ECE" w:rsidRDefault="007F03F9" w:rsidP="00E944DC">
            <w:pPr>
              <w:pStyle w:val="Tabletextleft"/>
              <w:jc w:val="right"/>
              <w:cnfStyle w:val="100000000000" w:firstRow="1" w:lastRow="0" w:firstColumn="0" w:lastColumn="0" w:oddVBand="0" w:evenVBand="0" w:oddHBand="0" w:evenHBand="0" w:firstRowFirstColumn="0" w:firstRowLastColumn="0" w:lastRowFirstColumn="0" w:lastRowLastColumn="0"/>
              <w:rPr>
                <w:lang w:val="en-US"/>
              </w:rPr>
            </w:pPr>
          </w:p>
        </w:tc>
        <w:tc>
          <w:tcPr>
            <w:tcW w:w="469" w:type="dxa"/>
            <w:shd w:val="clear" w:color="auto" w:fill="335DA5" w:themeFill="accent1"/>
          </w:tcPr>
          <w:p w14:paraId="5E6F64FE" w14:textId="77777777" w:rsidR="007F03F9" w:rsidRPr="00670ECE" w:rsidRDefault="007F03F9" w:rsidP="00E944DC">
            <w:pPr>
              <w:pStyle w:val="TableHeader"/>
              <w:jc w:val="right"/>
              <w:cnfStyle w:val="100000000000" w:firstRow="1" w:lastRow="0" w:firstColumn="0" w:lastColumn="0" w:oddVBand="0" w:evenVBand="0" w:oddHBand="0" w:evenHBand="0" w:firstRowFirstColumn="0" w:firstRowLastColumn="0" w:lastRowFirstColumn="0" w:lastRowLastColumn="0"/>
            </w:pPr>
          </w:p>
        </w:tc>
        <w:tc>
          <w:tcPr>
            <w:tcW w:w="1110" w:type="dxa"/>
            <w:shd w:val="clear" w:color="auto" w:fill="335DA5" w:themeFill="accent1"/>
          </w:tcPr>
          <w:p w14:paraId="72823D96" w14:textId="1855B6E6" w:rsidR="007F03F9" w:rsidRPr="00993AEF" w:rsidRDefault="007F03F9" w:rsidP="00E944DC">
            <w:pPr>
              <w:pStyle w:val="TableHeader"/>
              <w:jc w:val="right"/>
              <w:cnfStyle w:val="100000000000" w:firstRow="1" w:lastRow="0" w:firstColumn="0" w:lastColumn="0" w:oddVBand="0" w:evenVBand="0" w:oddHBand="0" w:evenHBand="0" w:firstRowFirstColumn="0" w:firstRowLastColumn="0" w:lastRowFirstColumn="0" w:lastRowLastColumn="0"/>
            </w:pPr>
            <w:r>
              <w:t>AAT</w:t>
            </w:r>
            <w:r w:rsidR="00DD54D4">
              <w:t>2</w:t>
            </w:r>
            <w:r>
              <w:t xml:space="preserve"> changed as % of </w:t>
            </w:r>
            <w:r w:rsidR="00DD54D4">
              <w:t>AAT1</w:t>
            </w:r>
            <w:r>
              <w:t xml:space="preserve"> </w:t>
            </w:r>
            <w:r w:rsidR="00DD54D4">
              <w:t>received</w:t>
            </w:r>
          </w:p>
        </w:tc>
      </w:tr>
      <w:tr w:rsidR="007F03F9" w:rsidRPr="00557D5A" w14:paraId="3BF4FE21" w14:textId="4DA735AE" w:rsidTr="00ED35E7">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083" w:type="dxa"/>
          </w:tcPr>
          <w:p w14:paraId="5B5ED1B3" w14:textId="77777777" w:rsidR="007F03F9" w:rsidRPr="001A2E97" w:rsidRDefault="007F03F9" w:rsidP="00E62DA5">
            <w:pPr>
              <w:pStyle w:val="Tabletextleft"/>
            </w:pPr>
            <w:r>
              <w:t>2023-24</w:t>
            </w:r>
            <w:r>
              <w:rPr>
                <w:rStyle w:val="FootnoteReference"/>
                <w:b w:val="0"/>
              </w:rPr>
              <w:footnoteReference w:id="30"/>
            </w:r>
          </w:p>
        </w:tc>
        <w:tc>
          <w:tcPr>
            <w:tcW w:w="1480" w:type="dxa"/>
          </w:tcPr>
          <w:p w14:paraId="5F9F9DC3" w14:textId="77777777" w:rsidR="007F03F9" w:rsidRPr="006C027C" w:rsidRDefault="007F03F9" w:rsidP="00993AEF">
            <w:pPr>
              <w:pStyle w:val="Tabletextleft"/>
              <w:jc w:val="right"/>
              <w:cnfStyle w:val="000000100000" w:firstRow="0" w:lastRow="0" w:firstColumn="0" w:lastColumn="0" w:oddVBand="0" w:evenVBand="0" w:oddHBand="1" w:evenHBand="0" w:firstRowFirstColumn="0" w:firstRowLastColumn="0" w:lastRowFirstColumn="0" w:lastRowLastColumn="0"/>
            </w:pPr>
            <w:r>
              <w:t>4,741</w:t>
            </w:r>
          </w:p>
        </w:tc>
        <w:tc>
          <w:tcPr>
            <w:tcW w:w="1456" w:type="dxa"/>
          </w:tcPr>
          <w:p w14:paraId="09742499" w14:textId="77777777" w:rsidR="007F03F9" w:rsidRPr="00557D5A" w:rsidRDefault="007F03F9" w:rsidP="007F03F9">
            <w:pPr>
              <w:pStyle w:val="Tabletextcentre"/>
              <w:jc w:val="right"/>
              <w:cnfStyle w:val="000000100000" w:firstRow="0" w:lastRow="0" w:firstColumn="0" w:lastColumn="0" w:oddVBand="0" w:evenVBand="0" w:oddHBand="1" w:evenHBand="0" w:firstRowFirstColumn="0" w:firstRowLastColumn="0" w:lastRowFirstColumn="0" w:lastRowLastColumn="0"/>
            </w:pPr>
            <w:r>
              <w:t>2,333 (49%)</w:t>
            </w:r>
          </w:p>
        </w:tc>
        <w:tc>
          <w:tcPr>
            <w:tcW w:w="1523" w:type="dxa"/>
          </w:tcPr>
          <w:p w14:paraId="47ACC47E" w14:textId="77777777" w:rsidR="007F03F9" w:rsidRPr="00557D5A" w:rsidRDefault="007F03F9" w:rsidP="00FD676F">
            <w:pPr>
              <w:pStyle w:val="Tabletextright0"/>
              <w:cnfStyle w:val="000000100000" w:firstRow="0" w:lastRow="0" w:firstColumn="0" w:lastColumn="0" w:oddVBand="0" w:evenVBand="0" w:oddHBand="1" w:evenHBand="0" w:firstRowFirstColumn="0" w:firstRowLastColumn="0" w:lastRowFirstColumn="0" w:lastRowLastColumn="0"/>
            </w:pPr>
            <w:r>
              <w:t>858</w:t>
            </w:r>
          </w:p>
        </w:tc>
        <w:tc>
          <w:tcPr>
            <w:tcW w:w="1713" w:type="dxa"/>
          </w:tcPr>
          <w:p w14:paraId="49FAF77B" w14:textId="77777777" w:rsidR="007F03F9" w:rsidRDefault="007F03F9" w:rsidP="00FD676F">
            <w:pPr>
              <w:pStyle w:val="Tabletextright0"/>
              <w:cnfStyle w:val="000000100000" w:firstRow="0" w:lastRow="0" w:firstColumn="0" w:lastColumn="0" w:oddVBand="0" w:evenVBand="0" w:oddHBand="1" w:evenHBand="0" w:firstRowFirstColumn="0" w:firstRowLastColumn="0" w:lastRowFirstColumn="0" w:lastRowLastColumn="0"/>
            </w:pPr>
            <w:r>
              <w:t>278 (32%)</w:t>
            </w:r>
          </w:p>
        </w:tc>
        <w:tc>
          <w:tcPr>
            <w:tcW w:w="469" w:type="dxa"/>
          </w:tcPr>
          <w:p w14:paraId="22C33DB6" w14:textId="77777777" w:rsidR="007F03F9" w:rsidRDefault="007F03F9">
            <w:pPr>
              <w:pStyle w:val="Tabletextright0"/>
              <w:cnfStyle w:val="000000100000" w:firstRow="0" w:lastRow="0" w:firstColumn="0" w:lastColumn="0" w:oddVBand="0" w:evenVBand="0" w:oddHBand="1" w:evenHBand="0" w:firstRowFirstColumn="0" w:firstRowLastColumn="0" w:lastRowFirstColumn="0" w:lastRowLastColumn="0"/>
            </w:pPr>
          </w:p>
        </w:tc>
        <w:tc>
          <w:tcPr>
            <w:tcW w:w="1110" w:type="dxa"/>
          </w:tcPr>
          <w:p w14:paraId="37233F5E" w14:textId="4B2FA3AC" w:rsidR="007F03F9" w:rsidRDefault="007F03F9">
            <w:pPr>
              <w:pStyle w:val="Tabletextright0"/>
              <w:cnfStyle w:val="000000100000" w:firstRow="0" w:lastRow="0" w:firstColumn="0" w:lastColumn="0" w:oddVBand="0" w:evenVBand="0" w:oddHBand="1" w:evenHBand="0" w:firstRowFirstColumn="0" w:firstRowLastColumn="0" w:lastRowFirstColumn="0" w:lastRowLastColumn="0"/>
            </w:pPr>
            <w:r>
              <w:t>5.9%</w:t>
            </w:r>
          </w:p>
        </w:tc>
      </w:tr>
      <w:tr w:rsidR="007F03F9" w:rsidRPr="00557D5A" w14:paraId="18653537" w14:textId="1731C27D" w:rsidTr="00ED35E7">
        <w:trPr>
          <w:cnfStyle w:val="000000010000" w:firstRow="0" w:lastRow="0" w:firstColumn="0" w:lastColumn="0" w:oddVBand="0" w:evenVBand="0" w:oddHBand="0" w:evenHBand="1"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1083" w:type="dxa"/>
          </w:tcPr>
          <w:p w14:paraId="40C606AA" w14:textId="77777777" w:rsidR="007F03F9" w:rsidRPr="001A2E97" w:rsidRDefault="007F03F9" w:rsidP="00E62DA5">
            <w:pPr>
              <w:pStyle w:val="Tabletextleft"/>
            </w:pPr>
            <w:r>
              <w:t>2022-23</w:t>
            </w:r>
          </w:p>
        </w:tc>
        <w:tc>
          <w:tcPr>
            <w:tcW w:w="1480" w:type="dxa"/>
          </w:tcPr>
          <w:p w14:paraId="07FA76F6" w14:textId="77777777" w:rsidR="007F03F9" w:rsidRPr="006C027C" w:rsidRDefault="007F03F9" w:rsidP="00993AEF">
            <w:pPr>
              <w:pStyle w:val="Tabletextleft"/>
              <w:jc w:val="right"/>
              <w:cnfStyle w:val="000000010000" w:firstRow="0" w:lastRow="0" w:firstColumn="0" w:lastColumn="0" w:oddVBand="0" w:evenVBand="0" w:oddHBand="0" w:evenHBand="1" w:firstRowFirstColumn="0" w:firstRowLastColumn="0" w:lastRowFirstColumn="0" w:lastRowLastColumn="0"/>
            </w:pPr>
            <w:r>
              <w:t>7,433</w:t>
            </w:r>
          </w:p>
        </w:tc>
        <w:tc>
          <w:tcPr>
            <w:tcW w:w="1456" w:type="dxa"/>
          </w:tcPr>
          <w:p w14:paraId="2EB26E9F" w14:textId="77777777" w:rsidR="007F03F9" w:rsidRPr="00557D5A" w:rsidRDefault="007F03F9" w:rsidP="007F03F9">
            <w:pPr>
              <w:pStyle w:val="Tabletextcentre"/>
              <w:jc w:val="right"/>
              <w:cnfStyle w:val="000000010000" w:firstRow="0" w:lastRow="0" w:firstColumn="0" w:lastColumn="0" w:oddVBand="0" w:evenVBand="0" w:oddHBand="0" w:evenHBand="1" w:firstRowFirstColumn="0" w:firstRowLastColumn="0" w:lastRowFirstColumn="0" w:lastRowLastColumn="0"/>
            </w:pPr>
            <w:r>
              <w:t>1,954 (26%)</w:t>
            </w:r>
          </w:p>
        </w:tc>
        <w:tc>
          <w:tcPr>
            <w:tcW w:w="1523" w:type="dxa"/>
          </w:tcPr>
          <w:p w14:paraId="0E4A8688" w14:textId="77777777" w:rsidR="007F03F9" w:rsidRPr="00557D5A" w:rsidRDefault="007F03F9" w:rsidP="00FD676F">
            <w:pPr>
              <w:pStyle w:val="Tabletextright0"/>
              <w:cnfStyle w:val="000000010000" w:firstRow="0" w:lastRow="0" w:firstColumn="0" w:lastColumn="0" w:oddVBand="0" w:evenVBand="0" w:oddHBand="0" w:evenHBand="1" w:firstRowFirstColumn="0" w:firstRowLastColumn="0" w:lastRowFirstColumn="0" w:lastRowLastColumn="0"/>
            </w:pPr>
            <w:r>
              <w:t>985</w:t>
            </w:r>
          </w:p>
        </w:tc>
        <w:tc>
          <w:tcPr>
            <w:tcW w:w="1713" w:type="dxa"/>
          </w:tcPr>
          <w:p w14:paraId="5C17CECB" w14:textId="77777777" w:rsidR="007F03F9" w:rsidRDefault="007F03F9" w:rsidP="00FD676F">
            <w:pPr>
              <w:pStyle w:val="Tabletextright0"/>
              <w:cnfStyle w:val="000000010000" w:firstRow="0" w:lastRow="0" w:firstColumn="0" w:lastColumn="0" w:oddVBand="0" w:evenVBand="0" w:oddHBand="0" w:evenHBand="1" w:firstRowFirstColumn="0" w:firstRowLastColumn="0" w:lastRowFirstColumn="0" w:lastRowLastColumn="0"/>
            </w:pPr>
            <w:r>
              <w:t>304 (31%)</w:t>
            </w:r>
          </w:p>
        </w:tc>
        <w:tc>
          <w:tcPr>
            <w:tcW w:w="469" w:type="dxa"/>
          </w:tcPr>
          <w:p w14:paraId="6AFEF7DF" w14:textId="77777777" w:rsidR="007F03F9" w:rsidRDefault="007F03F9">
            <w:pPr>
              <w:pStyle w:val="Tabletextright0"/>
              <w:cnfStyle w:val="000000010000" w:firstRow="0" w:lastRow="0" w:firstColumn="0" w:lastColumn="0" w:oddVBand="0" w:evenVBand="0" w:oddHBand="0" w:evenHBand="1" w:firstRowFirstColumn="0" w:firstRowLastColumn="0" w:lastRowFirstColumn="0" w:lastRowLastColumn="0"/>
            </w:pPr>
          </w:p>
        </w:tc>
        <w:tc>
          <w:tcPr>
            <w:tcW w:w="1110" w:type="dxa"/>
          </w:tcPr>
          <w:p w14:paraId="52780445" w14:textId="7D86305B" w:rsidR="007F03F9" w:rsidRDefault="007F03F9">
            <w:pPr>
              <w:pStyle w:val="Tabletextright0"/>
              <w:cnfStyle w:val="000000010000" w:firstRow="0" w:lastRow="0" w:firstColumn="0" w:lastColumn="0" w:oddVBand="0" w:evenVBand="0" w:oddHBand="0" w:evenHBand="1" w:firstRowFirstColumn="0" w:firstRowLastColumn="0" w:lastRowFirstColumn="0" w:lastRowLastColumn="0"/>
            </w:pPr>
            <w:r>
              <w:t>4.1%</w:t>
            </w:r>
          </w:p>
        </w:tc>
      </w:tr>
      <w:tr w:rsidR="007F03F9" w:rsidRPr="00557D5A" w14:paraId="7058E8AE" w14:textId="222728DA" w:rsidTr="00ED35E7">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1083" w:type="dxa"/>
          </w:tcPr>
          <w:p w14:paraId="7DB72EEE" w14:textId="77777777" w:rsidR="007F03F9" w:rsidRDefault="007F03F9" w:rsidP="00E62DA5">
            <w:pPr>
              <w:pStyle w:val="Tabletextleft"/>
            </w:pPr>
            <w:r>
              <w:t>2021-22</w:t>
            </w:r>
          </w:p>
        </w:tc>
        <w:tc>
          <w:tcPr>
            <w:tcW w:w="1480" w:type="dxa"/>
          </w:tcPr>
          <w:p w14:paraId="77906A40" w14:textId="77777777" w:rsidR="007F03F9" w:rsidRDefault="007F03F9" w:rsidP="00993AEF">
            <w:pPr>
              <w:pStyle w:val="Tabletextleft"/>
              <w:jc w:val="right"/>
              <w:cnfStyle w:val="000000100000" w:firstRow="0" w:lastRow="0" w:firstColumn="0" w:lastColumn="0" w:oddVBand="0" w:evenVBand="0" w:oddHBand="1" w:evenHBand="0" w:firstRowFirstColumn="0" w:firstRowLastColumn="0" w:lastRowFirstColumn="0" w:lastRowLastColumn="0"/>
            </w:pPr>
            <w:r>
              <w:t>6,694</w:t>
            </w:r>
          </w:p>
        </w:tc>
        <w:tc>
          <w:tcPr>
            <w:tcW w:w="1456" w:type="dxa"/>
          </w:tcPr>
          <w:p w14:paraId="7A491AF3" w14:textId="77777777" w:rsidR="007F03F9" w:rsidRDefault="007F03F9" w:rsidP="007F03F9">
            <w:pPr>
              <w:pStyle w:val="Tabletextcentre"/>
              <w:jc w:val="right"/>
              <w:cnfStyle w:val="000000100000" w:firstRow="0" w:lastRow="0" w:firstColumn="0" w:lastColumn="0" w:oddVBand="0" w:evenVBand="0" w:oddHBand="1" w:evenHBand="0" w:firstRowFirstColumn="0" w:firstRowLastColumn="0" w:lastRowFirstColumn="0" w:lastRowLastColumn="0"/>
            </w:pPr>
            <w:r>
              <w:t>1,770 (26%)</w:t>
            </w:r>
          </w:p>
        </w:tc>
        <w:tc>
          <w:tcPr>
            <w:tcW w:w="1523" w:type="dxa"/>
          </w:tcPr>
          <w:p w14:paraId="619BC64D" w14:textId="77777777" w:rsidR="007F03F9" w:rsidRDefault="007F03F9" w:rsidP="00FD676F">
            <w:pPr>
              <w:pStyle w:val="Tabletextright0"/>
              <w:cnfStyle w:val="000000100000" w:firstRow="0" w:lastRow="0" w:firstColumn="0" w:lastColumn="0" w:oddVBand="0" w:evenVBand="0" w:oddHBand="1" w:evenHBand="0" w:firstRowFirstColumn="0" w:firstRowLastColumn="0" w:lastRowFirstColumn="0" w:lastRowLastColumn="0"/>
            </w:pPr>
            <w:r>
              <w:t>1,011</w:t>
            </w:r>
          </w:p>
        </w:tc>
        <w:tc>
          <w:tcPr>
            <w:tcW w:w="1713" w:type="dxa"/>
          </w:tcPr>
          <w:p w14:paraId="301352B6" w14:textId="77777777" w:rsidR="007F03F9" w:rsidRDefault="007F03F9" w:rsidP="00FD676F">
            <w:pPr>
              <w:pStyle w:val="Tabletextright0"/>
              <w:cnfStyle w:val="000000100000" w:firstRow="0" w:lastRow="0" w:firstColumn="0" w:lastColumn="0" w:oddVBand="0" w:evenVBand="0" w:oddHBand="1" w:evenHBand="0" w:firstRowFirstColumn="0" w:firstRowLastColumn="0" w:lastRowFirstColumn="0" w:lastRowLastColumn="0"/>
            </w:pPr>
            <w:r>
              <w:t>389 (38%)</w:t>
            </w:r>
          </w:p>
        </w:tc>
        <w:tc>
          <w:tcPr>
            <w:tcW w:w="469" w:type="dxa"/>
          </w:tcPr>
          <w:p w14:paraId="5357040B" w14:textId="77777777" w:rsidR="007F03F9" w:rsidRDefault="007F03F9">
            <w:pPr>
              <w:pStyle w:val="Tabletextright0"/>
              <w:cnfStyle w:val="000000100000" w:firstRow="0" w:lastRow="0" w:firstColumn="0" w:lastColumn="0" w:oddVBand="0" w:evenVBand="0" w:oddHBand="1" w:evenHBand="0" w:firstRowFirstColumn="0" w:firstRowLastColumn="0" w:lastRowFirstColumn="0" w:lastRowLastColumn="0"/>
            </w:pPr>
          </w:p>
        </w:tc>
        <w:tc>
          <w:tcPr>
            <w:tcW w:w="1110" w:type="dxa"/>
          </w:tcPr>
          <w:p w14:paraId="4C42F376" w14:textId="2A1560B0" w:rsidR="007F03F9" w:rsidRDefault="00DD54D4">
            <w:pPr>
              <w:pStyle w:val="Tabletextright0"/>
              <w:cnfStyle w:val="000000100000" w:firstRow="0" w:lastRow="0" w:firstColumn="0" w:lastColumn="0" w:oddVBand="0" w:evenVBand="0" w:oddHBand="1" w:evenHBand="0" w:firstRowFirstColumn="0" w:firstRowLastColumn="0" w:lastRowFirstColumn="0" w:lastRowLastColumn="0"/>
            </w:pPr>
            <w:r>
              <w:t>5.8%</w:t>
            </w:r>
          </w:p>
        </w:tc>
      </w:tr>
      <w:tr w:rsidR="007F03F9" w:rsidRPr="00557D5A" w14:paraId="052205EB" w14:textId="27B44591" w:rsidTr="00ED35E7">
        <w:trPr>
          <w:cnfStyle w:val="000000010000" w:firstRow="0" w:lastRow="0" w:firstColumn="0" w:lastColumn="0" w:oddVBand="0" w:evenVBand="0" w:oddHBand="0" w:evenHBand="1"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1083" w:type="dxa"/>
          </w:tcPr>
          <w:p w14:paraId="1DE34FE0" w14:textId="77777777" w:rsidR="007F03F9" w:rsidRDefault="007F03F9" w:rsidP="00E62DA5">
            <w:pPr>
              <w:pStyle w:val="Tabletextleft"/>
            </w:pPr>
            <w:r>
              <w:t>2020-21</w:t>
            </w:r>
          </w:p>
        </w:tc>
        <w:tc>
          <w:tcPr>
            <w:tcW w:w="1480" w:type="dxa"/>
          </w:tcPr>
          <w:p w14:paraId="347C172C" w14:textId="77777777" w:rsidR="007F03F9" w:rsidRDefault="007F03F9" w:rsidP="00993AEF">
            <w:pPr>
              <w:pStyle w:val="Tabletextleft"/>
              <w:jc w:val="right"/>
              <w:cnfStyle w:val="000000010000" w:firstRow="0" w:lastRow="0" w:firstColumn="0" w:lastColumn="0" w:oddVBand="0" w:evenVBand="0" w:oddHBand="0" w:evenHBand="1" w:firstRowFirstColumn="0" w:firstRowLastColumn="0" w:lastRowFirstColumn="0" w:lastRowLastColumn="0"/>
            </w:pPr>
            <w:r>
              <w:t>8,831</w:t>
            </w:r>
          </w:p>
        </w:tc>
        <w:tc>
          <w:tcPr>
            <w:tcW w:w="1456" w:type="dxa"/>
          </w:tcPr>
          <w:p w14:paraId="1791C1D0" w14:textId="77777777" w:rsidR="007F03F9" w:rsidRDefault="007F03F9" w:rsidP="007F03F9">
            <w:pPr>
              <w:pStyle w:val="Tabletextcentre"/>
              <w:jc w:val="right"/>
              <w:cnfStyle w:val="000000010000" w:firstRow="0" w:lastRow="0" w:firstColumn="0" w:lastColumn="0" w:oddVBand="0" w:evenVBand="0" w:oddHBand="0" w:evenHBand="1" w:firstRowFirstColumn="0" w:firstRowLastColumn="0" w:lastRowFirstColumn="0" w:lastRowLastColumn="0"/>
            </w:pPr>
            <w:r>
              <w:t>2,028 (23%)</w:t>
            </w:r>
          </w:p>
        </w:tc>
        <w:tc>
          <w:tcPr>
            <w:tcW w:w="1523" w:type="dxa"/>
          </w:tcPr>
          <w:p w14:paraId="4DC4FF56" w14:textId="77777777" w:rsidR="007F03F9" w:rsidRDefault="007F03F9" w:rsidP="00FD676F">
            <w:pPr>
              <w:pStyle w:val="Tabletextright0"/>
              <w:cnfStyle w:val="000000010000" w:firstRow="0" w:lastRow="0" w:firstColumn="0" w:lastColumn="0" w:oddVBand="0" w:evenVBand="0" w:oddHBand="0" w:evenHBand="1" w:firstRowFirstColumn="0" w:firstRowLastColumn="0" w:lastRowFirstColumn="0" w:lastRowLastColumn="0"/>
            </w:pPr>
            <w:r>
              <w:t>1,418</w:t>
            </w:r>
          </w:p>
        </w:tc>
        <w:tc>
          <w:tcPr>
            <w:tcW w:w="1713" w:type="dxa"/>
          </w:tcPr>
          <w:p w14:paraId="1984579E" w14:textId="77777777" w:rsidR="007F03F9" w:rsidRDefault="007F03F9" w:rsidP="00FD676F">
            <w:pPr>
              <w:pStyle w:val="Tabletextright0"/>
              <w:cnfStyle w:val="000000010000" w:firstRow="0" w:lastRow="0" w:firstColumn="0" w:lastColumn="0" w:oddVBand="0" w:evenVBand="0" w:oddHBand="0" w:evenHBand="1" w:firstRowFirstColumn="0" w:firstRowLastColumn="0" w:lastRowFirstColumn="0" w:lastRowLastColumn="0"/>
            </w:pPr>
            <w:r>
              <w:t>393 (28%)</w:t>
            </w:r>
          </w:p>
        </w:tc>
        <w:tc>
          <w:tcPr>
            <w:tcW w:w="469" w:type="dxa"/>
          </w:tcPr>
          <w:p w14:paraId="49DD8B97" w14:textId="77777777" w:rsidR="007F03F9" w:rsidRDefault="007F03F9">
            <w:pPr>
              <w:pStyle w:val="Tabletextright0"/>
              <w:cnfStyle w:val="000000010000" w:firstRow="0" w:lastRow="0" w:firstColumn="0" w:lastColumn="0" w:oddVBand="0" w:evenVBand="0" w:oddHBand="0" w:evenHBand="1" w:firstRowFirstColumn="0" w:firstRowLastColumn="0" w:lastRowFirstColumn="0" w:lastRowLastColumn="0"/>
            </w:pPr>
          </w:p>
        </w:tc>
        <w:tc>
          <w:tcPr>
            <w:tcW w:w="1110" w:type="dxa"/>
          </w:tcPr>
          <w:p w14:paraId="5340F75F" w14:textId="190FD0BF" w:rsidR="007F03F9" w:rsidRDefault="00DD54D4">
            <w:pPr>
              <w:pStyle w:val="Tabletextright0"/>
              <w:cnfStyle w:val="000000010000" w:firstRow="0" w:lastRow="0" w:firstColumn="0" w:lastColumn="0" w:oddVBand="0" w:evenVBand="0" w:oddHBand="0" w:evenHBand="1" w:firstRowFirstColumn="0" w:firstRowLastColumn="0" w:lastRowFirstColumn="0" w:lastRowLastColumn="0"/>
            </w:pPr>
            <w:r>
              <w:t>4.5%</w:t>
            </w:r>
          </w:p>
        </w:tc>
      </w:tr>
    </w:tbl>
    <w:p w14:paraId="0549C0B9" w14:textId="77777777" w:rsidR="003500A3" w:rsidRPr="001A2E97" w:rsidRDefault="003500A3" w:rsidP="003500A3">
      <w:pPr>
        <w:spacing w:before="0" w:after="0" w:line="240" w:lineRule="auto"/>
        <w:rPr>
          <w:sz w:val="20"/>
        </w:rPr>
      </w:pPr>
    </w:p>
    <w:p w14:paraId="79731D18" w14:textId="77777777" w:rsidR="003500A3" w:rsidRPr="00670ECE" w:rsidRDefault="003500A3" w:rsidP="003500A3">
      <w:pPr>
        <w:spacing w:before="0" w:after="0" w:line="240" w:lineRule="auto"/>
        <w:rPr>
          <w:sz w:val="20"/>
        </w:rPr>
      </w:pPr>
      <w:r w:rsidRPr="00670ECE">
        <w:rPr>
          <w:sz w:val="20"/>
        </w:rPr>
        <w:t>Source: Services Australia Annual Reports 2021-22 to 2023-24</w:t>
      </w:r>
    </w:p>
    <w:p w14:paraId="50302225" w14:textId="47D8EC09" w:rsidR="003500A3" w:rsidRDefault="003500A3" w:rsidP="003500A3">
      <w:pPr>
        <w:rPr>
          <w:sz w:val="18"/>
        </w:rPr>
      </w:pPr>
      <w:r>
        <w:rPr>
          <w:sz w:val="18"/>
        </w:rPr>
        <w:t>*I</w:t>
      </w:r>
      <w:r w:rsidRPr="00670ECE">
        <w:rPr>
          <w:sz w:val="18"/>
        </w:rPr>
        <w:t xml:space="preserve">ncludes both </w:t>
      </w:r>
      <w:r w:rsidR="004C417B">
        <w:rPr>
          <w:sz w:val="18"/>
        </w:rPr>
        <w:t>customer</w:t>
      </w:r>
      <w:r w:rsidR="00DD54D4">
        <w:rPr>
          <w:sz w:val="18"/>
        </w:rPr>
        <w:t>-</w:t>
      </w:r>
      <w:r w:rsidRPr="00670ECE">
        <w:rPr>
          <w:sz w:val="18"/>
        </w:rPr>
        <w:t>initiated and Secretary applications</w:t>
      </w:r>
    </w:p>
    <w:p w14:paraId="0BEB983D" w14:textId="32A6704F" w:rsidR="00993AEF" w:rsidRPr="00557D5A" w:rsidRDefault="00993AEF" w:rsidP="00993AEF">
      <w:pPr>
        <w:pStyle w:val="TableTitle"/>
      </w:pPr>
      <w:r w:rsidRPr="00557D5A">
        <w:t xml:space="preserve">Table </w:t>
      </w:r>
      <w:r w:rsidR="00E22A4B" w:rsidRPr="00F67DB1">
        <w:t>4</w:t>
      </w:r>
      <w:r w:rsidRPr="00E22A4B">
        <w:t>:</w:t>
      </w:r>
      <w:r>
        <w:t xml:space="preserve"> AAT2</w:t>
      </w:r>
      <w:r w:rsidR="004C417B">
        <w:t xml:space="preserve"> Customer- and Secretary-initiated reviews</w:t>
      </w:r>
    </w:p>
    <w:tbl>
      <w:tblPr>
        <w:tblStyle w:val="DepartmentofHealthtable"/>
        <w:tblW w:w="0" w:type="auto"/>
        <w:tblLook w:val="04A0" w:firstRow="1" w:lastRow="0" w:firstColumn="1" w:lastColumn="0" w:noHBand="0" w:noVBand="1"/>
      </w:tblPr>
      <w:tblGrid>
        <w:gridCol w:w="1560"/>
        <w:gridCol w:w="1984"/>
        <w:gridCol w:w="1843"/>
        <w:gridCol w:w="1843"/>
        <w:gridCol w:w="1840"/>
      </w:tblGrid>
      <w:tr w:rsidR="00993AEF" w:rsidRPr="00670ECE" w14:paraId="1F22E3D8" w14:textId="77777777" w:rsidTr="00993A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shd w:val="clear" w:color="auto" w:fill="335DA5" w:themeFill="accent1"/>
          </w:tcPr>
          <w:p w14:paraId="6885F7BD" w14:textId="77777777" w:rsidR="00993AEF" w:rsidRPr="00557D5A" w:rsidRDefault="00993AEF" w:rsidP="00993AEF">
            <w:pPr>
              <w:pStyle w:val="TableHeaderWhite"/>
            </w:pPr>
          </w:p>
        </w:tc>
        <w:tc>
          <w:tcPr>
            <w:tcW w:w="1984" w:type="dxa"/>
            <w:shd w:val="clear" w:color="auto" w:fill="335DA5" w:themeFill="accent1"/>
          </w:tcPr>
          <w:p w14:paraId="767E0F6F" w14:textId="44DFD9A0" w:rsidR="00993AEF" w:rsidRPr="00557D5A" w:rsidRDefault="00993AEF" w:rsidP="00E944DC">
            <w:pPr>
              <w:pStyle w:val="TableHeader"/>
              <w:jc w:val="right"/>
              <w:cnfStyle w:val="100000000000" w:firstRow="1" w:lastRow="0" w:firstColumn="0" w:lastColumn="0" w:oddVBand="0" w:evenVBand="0" w:oddHBand="0" w:evenHBand="0" w:firstRowFirstColumn="0" w:firstRowLastColumn="0" w:lastRowFirstColumn="0" w:lastRowLastColumn="0"/>
            </w:pPr>
            <w:r>
              <w:t>2020-21</w:t>
            </w:r>
          </w:p>
        </w:tc>
        <w:tc>
          <w:tcPr>
            <w:tcW w:w="1843" w:type="dxa"/>
            <w:shd w:val="clear" w:color="auto" w:fill="335DA5" w:themeFill="accent1"/>
          </w:tcPr>
          <w:p w14:paraId="5D23063D" w14:textId="58553503" w:rsidR="00993AEF" w:rsidRPr="00557D5A" w:rsidRDefault="00993AEF" w:rsidP="00E944DC">
            <w:pPr>
              <w:pStyle w:val="TableHeader"/>
              <w:jc w:val="right"/>
              <w:cnfStyle w:val="100000000000" w:firstRow="1" w:lastRow="0" w:firstColumn="0" w:lastColumn="0" w:oddVBand="0" w:evenVBand="0" w:oddHBand="0" w:evenHBand="0" w:firstRowFirstColumn="0" w:firstRowLastColumn="0" w:lastRowFirstColumn="0" w:lastRowLastColumn="0"/>
            </w:pPr>
            <w:r>
              <w:t>2021-22</w:t>
            </w:r>
          </w:p>
        </w:tc>
        <w:tc>
          <w:tcPr>
            <w:tcW w:w="1843" w:type="dxa"/>
            <w:shd w:val="clear" w:color="auto" w:fill="335DA5" w:themeFill="accent1"/>
          </w:tcPr>
          <w:p w14:paraId="23B3482D" w14:textId="1BD66B3D" w:rsidR="00993AEF" w:rsidRPr="00670ECE" w:rsidRDefault="00993AEF" w:rsidP="00E944DC">
            <w:pPr>
              <w:pStyle w:val="TableHeader"/>
              <w:jc w:val="right"/>
              <w:cnfStyle w:val="100000000000" w:firstRow="1" w:lastRow="0" w:firstColumn="0" w:lastColumn="0" w:oddVBand="0" w:evenVBand="0" w:oddHBand="0" w:evenHBand="0" w:firstRowFirstColumn="0" w:firstRowLastColumn="0" w:lastRowFirstColumn="0" w:lastRowLastColumn="0"/>
            </w:pPr>
            <w:r>
              <w:t>2022-23</w:t>
            </w:r>
            <w:r w:rsidRPr="00670ECE">
              <w:t xml:space="preserve"> </w:t>
            </w:r>
          </w:p>
        </w:tc>
        <w:tc>
          <w:tcPr>
            <w:tcW w:w="1840" w:type="dxa"/>
            <w:shd w:val="clear" w:color="auto" w:fill="335DA5" w:themeFill="accent1"/>
          </w:tcPr>
          <w:p w14:paraId="70699FC3" w14:textId="5D8E9381" w:rsidR="00993AEF" w:rsidRPr="00E944DC" w:rsidRDefault="007F03F9" w:rsidP="00E944DC">
            <w:pPr>
              <w:pStyle w:val="Tabletextleft"/>
              <w:jc w:val="right"/>
              <w:cnfStyle w:val="100000000000" w:firstRow="1" w:lastRow="0" w:firstColumn="0" w:lastColumn="0" w:oddVBand="0" w:evenVBand="0" w:oddHBand="0" w:evenHBand="0" w:firstRowFirstColumn="0" w:firstRowLastColumn="0" w:lastRowFirstColumn="0" w:lastRowLastColumn="0"/>
              <w:rPr>
                <w:color w:val="FFFFFF" w:themeColor="background1"/>
                <w:lang w:val="en-US"/>
              </w:rPr>
            </w:pPr>
            <w:r>
              <w:rPr>
                <w:color w:val="FFFFFF" w:themeColor="background1"/>
                <w:lang w:val="en-US"/>
              </w:rPr>
              <w:t>2023-24</w:t>
            </w:r>
          </w:p>
        </w:tc>
      </w:tr>
      <w:tr w:rsidR="00993AEF" w14:paraId="0D8F236F" w14:textId="77777777" w:rsidTr="00993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88B8D71" w14:textId="31724248" w:rsidR="00993AEF" w:rsidRPr="001A2E97" w:rsidRDefault="003731C4" w:rsidP="00993AEF">
            <w:pPr>
              <w:pStyle w:val="Tabletextleft"/>
            </w:pPr>
            <w:r>
              <w:t xml:space="preserve">No. of </w:t>
            </w:r>
            <w:r w:rsidR="004C417B">
              <w:t xml:space="preserve">Customer-initiated </w:t>
            </w:r>
            <w:proofErr w:type="spellStart"/>
            <w:r w:rsidR="004C417B">
              <w:t>lodgments</w:t>
            </w:r>
            <w:proofErr w:type="spellEnd"/>
            <w:r w:rsidR="004C417B">
              <w:t xml:space="preserve"> </w:t>
            </w:r>
            <w:r>
              <w:t>(No.</w:t>
            </w:r>
            <w:r w:rsidR="004C417B">
              <w:t xml:space="preserve"> changed)</w:t>
            </w:r>
          </w:p>
        </w:tc>
        <w:tc>
          <w:tcPr>
            <w:tcW w:w="1984" w:type="dxa"/>
          </w:tcPr>
          <w:p w14:paraId="3CBDF5D4" w14:textId="7E684490" w:rsidR="00993AEF" w:rsidRPr="006C027C" w:rsidRDefault="003731C4" w:rsidP="00E944DC">
            <w:pPr>
              <w:pStyle w:val="Tabletextleft"/>
              <w:jc w:val="right"/>
              <w:cnfStyle w:val="000000100000" w:firstRow="0" w:lastRow="0" w:firstColumn="0" w:lastColumn="0" w:oddVBand="0" w:evenVBand="0" w:oddHBand="1" w:evenHBand="0" w:firstRowFirstColumn="0" w:firstRowLastColumn="0" w:lastRowFirstColumn="0" w:lastRowLastColumn="0"/>
            </w:pPr>
            <w:r>
              <w:t>1,332 (359)</w:t>
            </w:r>
          </w:p>
        </w:tc>
        <w:tc>
          <w:tcPr>
            <w:tcW w:w="1843" w:type="dxa"/>
          </w:tcPr>
          <w:p w14:paraId="5E8C8E52" w14:textId="7389C449" w:rsidR="00993AEF" w:rsidRPr="00557D5A" w:rsidRDefault="004C417B" w:rsidP="00E944DC">
            <w:pPr>
              <w:pStyle w:val="Tabletextcentre"/>
              <w:jc w:val="right"/>
              <w:cnfStyle w:val="000000100000" w:firstRow="0" w:lastRow="0" w:firstColumn="0" w:lastColumn="0" w:oddVBand="0" w:evenVBand="0" w:oddHBand="1" w:evenHBand="0" w:firstRowFirstColumn="0" w:firstRowLastColumn="0" w:lastRowFirstColumn="0" w:lastRowLastColumn="0"/>
            </w:pPr>
            <w:r>
              <w:t>983</w:t>
            </w:r>
            <w:r w:rsidR="003731C4">
              <w:t xml:space="preserve"> (356)</w:t>
            </w:r>
          </w:p>
        </w:tc>
        <w:tc>
          <w:tcPr>
            <w:tcW w:w="1843" w:type="dxa"/>
          </w:tcPr>
          <w:p w14:paraId="513CC47E" w14:textId="57ECB0EF" w:rsidR="00993AEF" w:rsidRPr="00557D5A" w:rsidRDefault="004C417B" w:rsidP="00993AEF">
            <w:pPr>
              <w:pStyle w:val="Tabletextright0"/>
              <w:cnfStyle w:val="000000100000" w:firstRow="0" w:lastRow="0" w:firstColumn="0" w:lastColumn="0" w:oddVBand="0" w:evenVBand="0" w:oddHBand="1" w:evenHBand="0" w:firstRowFirstColumn="0" w:firstRowLastColumn="0" w:lastRowFirstColumn="0" w:lastRowLastColumn="0"/>
            </w:pPr>
            <w:r>
              <w:t>952 (</w:t>
            </w:r>
            <w:r w:rsidR="003731C4">
              <w:t>287)</w:t>
            </w:r>
          </w:p>
        </w:tc>
        <w:tc>
          <w:tcPr>
            <w:tcW w:w="1840" w:type="dxa"/>
          </w:tcPr>
          <w:p w14:paraId="234AF469" w14:textId="7505EC85" w:rsidR="00993AEF" w:rsidRDefault="004C417B" w:rsidP="00993AEF">
            <w:pPr>
              <w:pStyle w:val="Tabletextright0"/>
              <w:cnfStyle w:val="000000100000" w:firstRow="0" w:lastRow="0" w:firstColumn="0" w:lastColumn="0" w:oddVBand="0" w:evenVBand="0" w:oddHBand="1" w:evenHBand="0" w:firstRowFirstColumn="0" w:firstRowLastColumn="0" w:lastRowFirstColumn="0" w:lastRowLastColumn="0"/>
            </w:pPr>
            <w:r>
              <w:t>789 (</w:t>
            </w:r>
            <w:r w:rsidR="003731C4">
              <w:t>257)</w:t>
            </w:r>
          </w:p>
        </w:tc>
      </w:tr>
      <w:tr w:rsidR="00993AEF" w14:paraId="390AD524" w14:textId="77777777" w:rsidTr="00993A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161014F" w14:textId="07659768" w:rsidR="00993AEF" w:rsidRDefault="003731C4" w:rsidP="00993AEF">
            <w:pPr>
              <w:pStyle w:val="Tabletextleft"/>
            </w:pPr>
            <w:r>
              <w:t xml:space="preserve">No. of </w:t>
            </w:r>
            <w:r w:rsidR="004C417B">
              <w:t xml:space="preserve">Secretary-initiated </w:t>
            </w:r>
            <w:proofErr w:type="spellStart"/>
            <w:r w:rsidR="004C417B">
              <w:t>lodgments</w:t>
            </w:r>
            <w:proofErr w:type="spellEnd"/>
            <w:r w:rsidR="004C417B">
              <w:t xml:space="preserve"> </w:t>
            </w:r>
            <w:r>
              <w:t>(No.</w:t>
            </w:r>
            <w:r w:rsidR="004C417B">
              <w:t xml:space="preserve"> changed)</w:t>
            </w:r>
          </w:p>
        </w:tc>
        <w:tc>
          <w:tcPr>
            <w:tcW w:w="1984" w:type="dxa"/>
          </w:tcPr>
          <w:p w14:paraId="317C28AA" w14:textId="0D4F5D7A" w:rsidR="00993AEF" w:rsidRDefault="003731C4" w:rsidP="00E944DC">
            <w:pPr>
              <w:pStyle w:val="Tabletextleft"/>
              <w:jc w:val="right"/>
              <w:cnfStyle w:val="000000010000" w:firstRow="0" w:lastRow="0" w:firstColumn="0" w:lastColumn="0" w:oddVBand="0" w:evenVBand="0" w:oddHBand="0" w:evenHBand="1" w:firstRowFirstColumn="0" w:firstRowLastColumn="0" w:lastRowFirstColumn="0" w:lastRowLastColumn="0"/>
            </w:pPr>
            <w:r>
              <w:t>86 (34)</w:t>
            </w:r>
          </w:p>
        </w:tc>
        <w:tc>
          <w:tcPr>
            <w:tcW w:w="1843" w:type="dxa"/>
          </w:tcPr>
          <w:p w14:paraId="0330CA11" w14:textId="36E7B3EF" w:rsidR="00993AEF" w:rsidRDefault="004C417B" w:rsidP="00E944DC">
            <w:pPr>
              <w:pStyle w:val="Tabletextcentre"/>
              <w:jc w:val="right"/>
              <w:cnfStyle w:val="000000010000" w:firstRow="0" w:lastRow="0" w:firstColumn="0" w:lastColumn="0" w:oddVBand="0" w:evenVBand="0" w:oddHBand="0" w:evenHBand="1" w:firstRowFirstColumn="0" w:firstRowLastColumn="0" w:lastRowFirstColumn="0" w:lastRowLastColumn="0"/>
            </w:pPr>
            <w:r>
              <w:t>28</w:t>
            </w:r>
            <w:r w:rsidR="003731C4">
              <w:t xml:space="preserve"> (33) </w:t>
            </w:r>
          </w:p>
        </w:tc>
        <w:tc>
          <w:tcPr>
            <w:tcW w:w="1843" w:type="dxa"/>
          </w:tcPr>
          <w:p w14:paraId="01C4AC85" w14:textId="6AAF0B0C" w:rsidR="00993AEF" w:rsidRDefault="004C417B" w:rsidP="00993AEF">
            <w:pPr>
              <w:pStyle w:val="Tabletextright0"/>
              <w:cnfStyle w:val="000000010000" w:firstRow="0" w:lastRow="0" w:firstColumn="0" w:lastColumn="0" w:oddVBand="0" w:evenVBand="0" w:oddHBand="0" w:evenHBand="1" w:firstRowFirstColumn="0" w:firstRowLastColumn="0" w:lastRowFirstColumn="0" w:lastRowLastColumn="0"/>
            </w:pPr>
            <w:r>
              <w:t>33 (</w:t>
            </w:r>
            <w:r w:rsidR="003731C4">
              <w:t>17)</w:t>
            </w:r>
          </w:p>
        </w:tc>
        <w:tc>
          <w:tcPr>
            <w:tcW w:w="1840" w:type="dxa"/>
          </w:tcPr>
          <w:p w14:paraId="711B2296" w14:textId="5D437EB1" w:rsidR="00993AEF" w:rsidRDefault="004C417B" w:rsidP="00993AEF">
            <w:pPr>
              <w:pStyle w:val="Tabletextright0"/>
              <w:cnfStyle w:val="000000010000" w:firstRow="0" w:lastRow="0" w:firstColumn="0" w:lastColumn="0" w:oddVBand="0" w:evenVBand="0" w:oddHBand="0" w:evenHBand="1" w:firstRowFirstColumn="0" w:firstRowLastColumn="0" w:lastRowFirstColumn="0" w:lastRowLastColumn="0"/>
            </w:pPr>
            <w:r>
              <w:t>69 (</w:t>
            </w:r>
            <w:r w:rsidR="003731C4">
              <w:t>21</w:t>
            </w:r>
            <w:r>
              <w:t>)</w:t>
            </w:r>
          </w:p>
        </w:tc>
      </w:tr>
    </w:tbl>
    <w:p w14:paraId="619ACC2B" w14:textId="1D27103B" w:rsidR="003500A3" w:rsidRDefault="003500A3" w:rsidP="003500A3">
      <w:pPr>
        <w:pStyle w:val="Heading3"/>
      </w:pPr>
      <w:bookmarkStart w:id="20" w:name="_Toc205997105"/>
      <w:r>
        <w:lastRenderedPageBreak/>
        <w:t>Council consideration and questions</w:t>
      </w:r>
      <w:bookmarkEnd w:id="20"/>
    </w:p>
    <w:p w14:paraId="0A976896" w14:textId="1A2A5C50" w:rsidR="003500A3" w:rsidRDefault="003500A3" w:rsidP="00ED35E7">
      <w:pPr>
        <w:pStyle w:val="ListParagraph"/>
        <w:numPr>
          <w:ilvl w:val="1"/>
          <w:numId w:val="34"/>
        </w:numPr>
        <w:jc w:val="both"/>
      </w:pPr>
      <w:r>
        <w:t>In its 1981 report on social security, the Council recognised that an external review system could not be considered in isolation from primary decision</w:t>
      </w:r>
      <w:r w:rsidR="00DE7BCE">
        <w:t>-</w:t>
      </w:r>
      <w:r>
        <w:t>making and internal review processes:</w:t>
      </w:r>
    </w:p>
    <w:p w14:paraId="6D940999" w14:textId="591FFF46" w:rsidR="003500A3" w:rsidRDefault="003500A3" w:rsidP="00876846">
      <w:pPr>
        <w:ind w:left="1440"/>
        <w:jc w:val="both"/>
      </w:pPr>
      <w:r>
        <w:t>[a] review system is not, except in the simplest situations, merely the addition of a means of independent review at the end of and outside an existing decision</w:t>
      </w:r>
      <w:r w:rsidR="002B63E0">
        <w:t>-</w:t>
      </w:r>
      <w:r>
        <w:t>making structure. Where the volume of decisions and appeals is large it should be considered and designed as a total process which may require adjustments within the original decision</w:t>
      </w:r>
      <w:r w:rsidR="002B63E0">
        <w:t>-</w:t>
      </w:r>
      <w:r>
        <w:t>making structure itself.</w:t>
      </w:r>
      <w:r>
        <w:rPr>
          <w:rStyle w:val="FootnoteReference"/>
        </w:rPr>
        <w:footnoteReference w:id="31"/>
      </w:r>
    </w:p>
    <w:p w14:paraId="63411AE1" w14:textId="2EDF0548" w:rsidR="003500A3" w:rsidRDefault="003500A3" w:rsidP="00ED35E7">
      <w:pPr>
        <w:pStyle w:val="ListParagraph"/>
        <w:numPr>
          <w:ilvl w:val="1"/>
          <w:numId w:val="34"/>
        </w:numPr>
        <w:jc w:val="both"/>
      </w:pPr>
      <w:r>
        <w:t>The Council seeks views on whether the existing procedures in place for internal ARO review are effectively finalising matters in a timely manner</w:t>
      </w:r>
      <w:r w:rsidR="00DE7BCE">
        <w:t>,</w:t>
      </w:r>
      <w:r>
        <w:t xml:space="preserve"> and whether there are any changes that could help to increase the </w:t>
      </w:r>
      <w:r w:rsidR="00DE7BCE">
        <w:t xml:space="preserve">number of </w:t>
      </w:r>
      <w:r>
        <w:t xml:space="preserve">matters resolved at the ARO stage, without needing to progress to external review. </w:t>
      </w:r>
      <w:r w:rsidR="00EA59D4" w:rsidRPr="00EA59D4">
        <w:t xml:space="preserve">The Council also seeks views as to whether there are any aspects of the ARO review process that </w:t>
      </w:r>
      <w:r w:rsidR="009D345E">
        <w:t xml:space="preserve">might </w:t>
      </w:r>
      <w:r w:rsidR="00EA59D4" w:rsidRPr="00EA59D4">
        <w:t>deter applicants from pursuing their rights to merits review in the ART.</w:t>
      </w:r>
    </w:p>
    <w:p w14:paraId="53B123F2" w14:textId="347AA161" w:rsidR="003500A3" w:rsidRDefault="003500A3" w:rsidP="003500A3">
      <w:pPr>
        <w:pStyle w:val="PolicyStatement"/>
        <w:rPr>
          <w:rFonts w:ascii="Corbel" w:hAnsi="Corbel"/>
          <w:b/>
          <w:sz w:val="24"/>
        </w:rPr>
      </w:pPr>
      <w:r w:rsidRPr="001A2E97">
        <w:rPr>
          <w:rFonts w:ascii="Corbel" w:hAnsi="Corbel"/>
          <w:b/>
          <w:sz w:val="24"/>
        </w:rPr>
        <w:t>Questions</w:t>
      </w:r>
    </w:p>
    <w:p w14:paraId="5D51C526" w14:textId="1F497E94" w:rsidR="00E23F7A" w:rsidRPr="00E23F7A" w:rsidRDefault="00E23F7A" w:rsidP="00E23F7A">
      <w:pPr>
        <w:pStyle w:val="PolicyStatement"/>
        <w:rPr>
          <w:rFonts w:cs="Arial"/>
          <w:szCs w:val="21"/>
        </w:rPr>
      </w:pPr>
      <w:r>
        <w:rPr>
          <w:rFonts w:cs="Arial"/>
          <w:szCs w:val="21"/>
        </w:rPr>
        <w:t xml:space="preserve">1. </w:t>
      </w:r>
      <w:r w:rsidRPr="00E23F7A">
        <w:rPr>
          <w:rFonts w:cs="Arial"/>
          <w:szCs w:val="21"/>
        </w:rPr>
        <w:t xml:space="preserve">What is your experience with the Authorised Review Officer (ARO) review process in Services Australia after 7 July 2023 (when the </w:t>
      </w:r>
      <w:proofErr w:type="spellStart"/>
      <w:r w:rsidRPr="00E23F7A">
        <w:rPr>
          <w:rFonts w:cs="Arial"/>
          <w:szCs w:val="21"/>
        </w:rPr>
        <w:t>Robodebt</w:t>
      </w:r>
      <w:proofErr w:type="spellEnd"/>
      <w:r w:rsidRPr="00E23F7A">
        <w:rPr>
          <w:rFonts w:cs="Arial"/>
          <w:szCs w:val="21"/>
        </w:rPr>
        <w:t xml:space="preserve"> Royal Commission reported)?</w:t>
      </w:r>
    </w:p>
    <w:p w14:paraId="2505233D" w14:textId="77777777" w:rsidR="00E23F7A" w:rsidRPr="00E23F7A" w:rsidRDefault="00E23F7A" w:rsidP="00E23F7A">
      <w:pPr>
        <w:pStyle w:val="PolicyStatement"/>
        <w:rPr>
          <w:rFonts w:cs="Arial"/>
          <w:szCs w:val="21"/>
        </w:rPr>
      </w:pPr>
      <w:r w:rsidRPr="00E23F7A">
        <w:rPr>
          <w:rFonts w:cs="Arial"/>
          <w:szCs w:val="21"/>
        </w:rPr>
        <w:t xml:space="preserve">Provide details particularly in relation to: </w:t>
      </w:r>
    </w:p>
    <w:p w14:paraId="5125AC3B" w14:textId="77777777" w:rsidR="00E23F7A" w:rsidRPr="00E23F7A" w:rsidRDefault="00E23F7A" w:rsidP="00E23F7A">
      <w:pPr>
        <w:pStyle w:val="PolicyStatement"/>
        <w:ind w:firstLine="493"/>
        <w:rPr>
          <w:rFonts w:cs="Arial"/>
          <w:szCs w:val="21"/>
        </w:rPr>
      </w:pPr>
      <w:r w:rsidRPr="00E23F7A">
        <w:rPr>
          <w:rFonts w:cs="Arial"/>
          <w:szCs w:val="21"/>
        </w:rPr>
        <w:t>1.1. access to review;</w:t>
      </w:r>
    </w:p>
    <w:p w14:paraId="2D4D41CE" w14:textId="77777777" w:rsidR="00E23F7A" w:rsidRPr="00E23F7A" w:rsidRDefault="00E23F7A" w:rsidP="00E23F7A">
      <w:pPr>
        <w:pStyle w:val="PolicyStatement"/>
        <w:ind w:firstLine="493"/>
        <w:rPr>
          <w:rFonts w:cs="Arial"/>
          <w:szCs w:val="21"/>
        </w:rPr>
      </w:pPr>
      <w:r w:rsidRPr="00E23F7A">
        <w:rPr>
          <w:rFonts w:cs="Arial"/>
          <w:szCs w:val="21"/>
        </w:rPr>
        <w:t>1.2. timeliness of review; and</w:t>
      </w:r>
    </w:p>
    <w:p w14:paraId="07E244AC" w14:textId="77777777" w:rsidR="00E23F7A" w:rsidRPr="00E23F7A" w:rsidRDefault="00E23F7A" w:rsidP="00E23F7A">
      <w:pPr>
        <w:pStyle w:val="PolicyStatement"/>
        <w:ind w:firstLine="493"/>
        <w:rPr>
          <w:rFonts w:cs="Arial"/>
          <w:szCs w:val="21"/>
        </w:rPr>
      </w:pPr>
      <w:r w:rsidRPr="00E23F7A">
        <w:rPr>
          <w:rFonts w:cs="Arial"/>
          <w:szCs w:val="21"/>
        </w:rPr>
        <w:t>1.3. the communication of reasons for decisions and further review rights?</w:t>
      </w:r>
    </w:p>
    <w:p w14:paraId="0E711CE1" w14:textId="77777777" w:rsidR="00E23F7A" w:rsidRPr="00E23F7A" w:rsidRDefault="00E23F7A" w:rsidP="00E23F7A">
      <w:pPr>
        <w:pStyle w:val="PolicyStatement"/>
        <w:rPr>
          <w:rFonts w:cs="Arial"/>
          <w:szCs w:val="21"/>
        </w:rPr>
      </w:pPr>
      <w:r w:rsidRPr="00E23F7A">
        <w:rPr>
          <w:rFonts w:cs="Arial"/>
          <w:szCs w:val="21"/>
        </w:rPr>
        <w:t>2. Are there any changes to the process or arrangements for ARO review that could improve this avenue for review in terms of process or outcomes for individuals?</w:t>
      </w:r>
    </w:p>
    <w:p w14:paraId="246DA587" w14:textId="77777777" w:rsidR="00E23F7A" w:rsidRPr="00E23F7A" w:rsidRDefault="00E23F7A" w:rsidP="00E23F7A">
      <w:pPr>
        <w:pStyle w:val="PolicyStatement"/>
        <w:rPr>
          <w:rFonts w:cs="Arial"/>
          <w:szCs w:val="21"/>
        </w:rPr>
      </w:pPr>
      <w:r w:rsidRPr="00E23F7A">
        <w:rPr>
          <w:rFonts w:cs="Arial"/>
          <w:szCs w:val="21"/>
        </w:rPr>
        <w:t xml:space="preserve">3. Should there be statutory time limits on applying for ARO reviews and/or for an ARO to </w:t>
      </w:r>
      <w:proofErr w:type="gramStart"/>
      <w:r w:rsidRPr="00E23F7A">
        <w:rPr>
          <w:rFonts w:cs="Arial"/>
          <w:szCs w:val="21"/>
        </w:rPr>
        <w:t>make a decision</w:t>
      </w:r>
      <w:proofErr w:type="gramEnd"/>
      <w:r w:rsidRPr="00E23F7A">
        <w:rPr>
          <w:rFonts w:cs="Arial"/>
          <w:szCs w:val="21"/>
        </w:rPr>
        <w:t>? Please explain why or why not.</w:t>
      </w:r>
    </w:p>
    <w:p w14:paraId="11BF067D" w14:textId="47F2AC93" w:rsidR="0016236D" w:rsidRDefault="00876846" w:rsidP="00876846">
      <w:pPr>
        <w:pStyle w:val="Heading2"/>
      </w:pPr>
      <w:bookmarkStart w:id="21" w:name="_Toc205997106"/>
      <w:r>
        <w:lastRenderedPageBreak/>
        <w:t xml:space="preserve">Key Issue 2: </w:t>
      </w:r>
      <w:r w:rsidR="0016236D">
        <w:t>ART social security merits review</w:t>
      </w:r>
      <w:bookmarkEnd w:id="16"/>
      <w:r w:rsidR="003500A3">
        <w:t xml:space="preserve"> structure</w:t>
      </w:r>
      <w:bookmarkEnd w:id="21"/>
    </w:p>
    <w:p w14:paraId="45739364" w14:textId="77777777" w:rsidR="00F772FB" w:rsidRDefault="00F772FB" w:rsidP="00F772FB">
      <w:pPr>
        <w:pStyle w:val="Heading3"/>
      </w:pPr>
      <w:bookmarkStart w:id="22" w:name="_Toc205997107"/>
      <w:r>
        <w:t>Current review structure</w:t>
      </w:r>
      <w:bookmarkEnd w:id="22"/>
    </w:p>
    <w:p w14:paraId="7DEA2F27" w14:textId="3BC9E897" w:rsidR="00F772FB" w:rsidRDefault="00F772FB" w:rsidP="00ED35E7">
      <w:pPr>
        <w:pStyle w:val="ListParagraph"/>
        <w:numPr>
          <w:ilvl w:val="1"/>
          <w:numId w:val="34"/>
        </w:numPr>
        <w:jc w:val="both"/>
      </w:pPr>
      <w:r>
        <w:t>The ART provides two stages for review of</w:t>
      </w:r>
      <w:r w:rsidR="00E01E06">
        <w:t xml:space="preserve"> </w:t>
      </w:r>
      <w:r w:rsidR="00D67DB9">
        <w:t xml:space="preserve">reviewable </w:t>
      </w:r>
      <w:r>
        <w:t>social security and family assistance decisions, in its Social Security Jurisdictional Area.</w:t>
      </w:r>
      <w:r w:rsidR="00E01E06">
        <w:rPr>
          <w:rStyle w:val="FootnoteReference"/>
        </w:rPr>
        <w:footnoteReference w:id="32"/>
      </w:r>
      <w:r>
        <w:t xml:space="preserve"> </w:t>
      </w:r>
    </w:p>
    <w:p w14:paraId="055F0BA4" w14:textId="77777777" w:rsidR="00876846" w:rsidRDefault="00876846" w:rsidP="00876846">
      <w:pPr>
        <w:pStyle w:val="ListParagraph"/>
        <w:jc w:val="both"/>
      </w:pPr>
    </w:p>
    <w:p w14:paraId="5BFCD8EC" w14:textId="4BECCCBC" w:rsidR="00876846" w:rsidRDefault="0036669C" w:rsidP="00ED35E7">
      <w:pPr>
        <w:pStyle w:val="ListParagraph"/>
        <w:numPr>
          <w:ilvl w:val="1"/>
          <w:numId w:val="34"/>
        </w:numPr>
        <w:jc w:val="both"/>
      </w:pPr>
      <w:r>
        <w:t>First</w:t>
      </w:r>
      <w:r w:rsidR="00CF3B8D">
        <w:t xml:space="preserve"> </w:t>
      </w:r>
      <w:r w:rsidR="00F772FB">
        <w:t>review is intended to be informal, accessible, trauma-informed and quick, with a view to resolving the matter as efficiently and effectively as possible.</w:t>
      </w:r>
      <w:r w:rsidR="00F772FB">
        <w:rPr>
          <w:rStyle w:val="FootnoteReference"/>
        </w:rPr>
        <w:footnoteReference w:id="33"/>
      </w:r>
      <w:r w:rsidR="00F772FB">
        <w:t xml:space="preserve"> The Department </w:t>
      </w:r>
      <w:r w:rsidR="004252E7">
        <w:t>is taken to be a non-participating party in proceedings</w:t>
      </w:r>
      <w:r w:rsidR="00F772FB">
        <w:t xml:space="preserve">, although the </w:t>
      </w:r>
      <w:r w:rsidR="00CF3B8D">
        <w:t>AR</w:t>
      </w:r>
      <w:r w:rsidR="00F772FB">
        <w:t>T has the ability to require participation where it would</w:t>
      </w:r>
      <w:r w:rsidR="00F772FB" w:rsidRPr="002F4254">
        <w:t xml:space="preserve"> assist in progressing the proceeding or in making the correct or preferable decision</w:t>
      </w:r>
      <w:r w:rsidR="004252E7">
        <w:t>, and the Department may also issue a participation notice to request to participate in individual matters or case events</w:t>
      </w:r>
      <w:r w:rsidR="00F772FB">
        <w:t>.</w:t>
      </w:r>
      <w:r w:rsidR="00F772FB">
        <w:rPr>
          <w:rStyle w:val="FootnoteReference"/>
        </w:rPr>
        <w:footnoteReference w:id="34"/>
      </w:r>
      <w:r w:rsidR="00F772FB">
        <w:t xml:space="preserve"> As a result, alternative dispute resolution is not typically used </w:t>
      </w:r>
      <w:r w:rsidR="00CF3B8D">
        <w:t>in</w:t>
      </w:r>
      <w:r w:rsidR="00F772FB">
        <w:t xml:space="preserve"> first</w:t>
      </w:r>
      <w:r w:rsidR="00CF3B8D">
        <w:t xml:space="preserve"> </w:t>
      </w:r>
      <w:r w:rsidR="00F772FB">
        <w:t>review.</w:t>
      </w:r>
      <w:r w:rsidR="00876846">
        <w:tab/>
      </w:r>
      <w:r w:rsidR="00876846">
        <w:br/>
      </w:r>
    </w:p>
    <w:p w14:paraId="0E8CF929" w14:textId="62401262" w:rsidR="00F772FB" w:rsidRDefault="00F772FB" w:rsidP="00ED35E7">
      <w:pPr>
        <w:pStyle w:val="ListParagraph"/>
        <w:numPr>
          <w:ilvl w:val="1"/>
          <w:numId w:val="34"/>
        </w:numPr>
        <w:jc w:val="both"/>
      </w:pPr>
      <w:r>
        <w:t>Both the applicant and respondent agency may seek second</w:t>
      </w:r>
      <w:r w:rsidR="00E31FA1">
        <w:t xml:space="preserve"> </w:t>
      </w:r>
      <w:r>
        <w:t xml:space="preserve">review of an ART social security decision. </w:t>
      </w:r>
      <w:r w:rsidR="00EB52CF">
        <w:t>Second</w:t>
      </w:r>
      <w:r w:rsidR="006953C5">
        <w:t xml:space="preserve"> </w:t>
      </w:r>
      <w:r w:rsidR="00EB52CF">
        <w:t>review</w:t>
      </w:r>
      <w:r>
        <w:t xml:space="preserve"> involves the Department as a participating party, and will often include</w:t>
      </w:r>
      <w:r w:rsidRPr="00561504">
        <w:t xml:space="preserve"> </w:t>
      </w:r>
      <w:r>
        <w:t xml:space="preserve">some form of alternative dispute resolution, such as pre-hearing conferencing. If the parties cannot resolve the matter, </w:t>
      </w:r>
      <w:r w:rsidR="00EB52CF">
        <w:t>it will likely progress to a private hearing before the Tribunal.</w:t>
      </w:r>
      <w:r>
        <w:rPr>
          <w:rStyle w:val="FootnoteReference"/>
        </w:rPr>
        <w:footnoteReference w:id="35"/>
      </w:r>
      <w:r>
        <w:t xml:space="preserve">  </w:t>
      </w:r>
    </w:p>
    <w:p w14:paraId="513F4F65" w14:textId="19835FC3" w:rsidR="00F772FB" w:rsidRDefault="00F772FB" w:rsidP="00F772FB">
      <w:pPr>
        <w:pStyle w:val="Heading4"/>
        <w:jc w:val="both"/>
      </w:pPr>
      <w:r>
        <w:t xml:space="preserve">What has changed </w:t>
      </w:r>
      <w:r w:rsidR="006953C5">
        <w:t xml:space="preserve">by comparison with </w:t>
      </w:r>
      <w:r>
        <w:t>the A</w:t>
      </w:r>
      <w:r w:rsidR="00004586">
        <w:t>A</w:t>
      </w:r>
      <w:r>
        <w:t>T?</w:t>
      </w:r>
    </w:p>
    <w:p w14:paraId="04D5A3B2" w14:textId="0CD526A2" w:rsidR="00F772FB" w:rsidRDefault="00F772FB" w:rsidP="00ED35E7">
      <w:pPr>
        <w:pStyle w:val="ListParagraph"/>
        <w:numPr>
          <w:ilvl w:val="1"/>
          <w:numId w:val="34"/>
        </w:numPr>
        <w:jc w:val="both"/>
      </w:pPr>
      <w:r>
        <w:t xml:space="preserve">The current ART review structure for social security </w:t>
      </w:r>
      <w:r w:rsidR="00ED6C94">
        <w:t>is intended to maintain</w:t>
      </w:r>
      <w:r>
        <w:t xml:space="preserve"> most of the features of the two tiers of review </w:t>
      </w:r>
      <w:r w:rsidR="006953C5">
        <w:t xml:space="preserve">that operated in </w:t>
      </w:r>
      <w:r>
        <w:t xml:space="preserve">the </w:t>
      </w:r>
      <w:r w:rsidR="0036669C">
        <w:t>AAT</w:t>
      </w:r>
      <w:r>
        <w:t xml:space="preserve">. However, there have been some changes </w:t>
      </w:r>
      <w:r w:rsidR="00ED6C94">
        <w:t xml:space="preserve">aimed at promoting greater flexibility in </w:t>
      </w:r>
      <w:r w:rsidR="006953C5">
        <w:t>AR</w:t>
      </w:r>
      <w:r w:rsidR="00ED6C94">
        <w:t>T procedure, including</w:t>
      </w:r>
      <w:r>
        <w:t>:</w:t>
      </w:r>
    </w:p>
    <w:p w14:paraId="12F59A84" w14:textId="002C7823" w:rsidR="00F772FB" w:rsidRDefault="00F772FB" w:rsidP="00CF4EC4">
      <w:pPr>
        <w:pStyle w:val="ListParagraph"/>
        <w:numPr>
          <w:ilvl w:val="0"/>
          <w:numId w:val="9"/>
        </w:numPr>
        <w:jc w:val="both"/>
      </w:pPr>
      <w:r>
        <w:t>a social security decision can be appealed directly from ART first</w:t>
      </w:r>
      <w:r w:rsidR="00E31FA1">
        <w:t xml:space="preserve"> </w:t>
      </w:r>
      <w:r>
        <w:t>review to the Federal Court on a question of law, without the app</w:t>
      </w:r>
      <w:r w:rsidR="006953C5">
        <w:t>lic</w:t>
      </w:r>
      <w:r>
        <w:t>ant having to obtain a second</w:t>
      </w:r>
      <w:r w:rsidR="006953C5">
        <w:t xml:space="preserve"> </w:t>
      </w:r>
      <w:r>
        <w:t>review decision;</w:t>
      </w:r>
    </w:p>
    <w:p w14:paraId="21CA5833" w14:textId="2433084A" w:rsidR="004252E7" w:rsidRDefault="00F772FB" w:rsidP="00CF4EC4">
      <w:pPr>
        <w:pStyle w:val="ListParagraph"/>
        <w:numPr>
          <w:ilvl w:val="0"/>
          <w:numId w:val="9"/>
        </w:numPr>
        <w:jc w:val="both"/>
      </w:pPr>
      <w:r>
        <w:t xml:space="preserve">the </w:t>
      </w:r>
      <w:r w:rsidR="006953C5">
        <w:t>AR</w:t>
      </w:r>
      <w:r>
        <w:t>T has the power to require the agency to participate in first</w:t>
      </w:r>
      <w:r w:rsidR="006953C5">
        <w:t xml:space="preserve"> </w:t>
      </w:r>
      <w:r>
        <w:t>review</w:t>
      </w:r>
      <w:r w:rsidR="0010422F">
        <w:t>;</w:t>
      </w:r>
    </w:p>
    <w:p w14:paraId="73356BED" w14:textId="7BF07874" w:rsidR="00F772FB" w:rsidRDefault="004252E7" w:rsidP="00CF4EC4">
      <w:pPr>
        <w:pStyle w:val="ListParagraph"/>
        <w:numPr>
          <w:ilvl w:val="0"/>
          <w:numId w:val="9"/>
        </w:numPr>
        <w:jc w:val="both"/>
      </w:pPr>
      <w:r>
        <w:t>under the participation notice framework, the Department may request to participate</w:t>
      </w:r>
      <w:r w:rsidR="0010422F">
        <w:t xml:space="preserve"> in first review</w:t>
      </w:r>
      <w:r w:rsidR="00F772FB">
        <w:t>;</w:t>
      </w:r>
    </w:p>
    <w:p w14:paraId="637A6938" w14:textId="463A9B6B" w:rsidR="00F772FB" w:rsidRDefault="00F772FB" w:rsidP="00CF4EC4">
      <w:pPr>
        <w:pStyle w:val="ListParagraph"/>
        <w:numPr>
          <w:ilvl w:val="0"/>
          <w:numId w:val="9"/>
        </w:numPr>
        <w:jc w:val="both"/>
      </w:pPr>
      <w:r>
        <w:t xml:space="preserve">there is access to </w:t>
      </w:r>
      <w:r w:rsidR="00E30BCA">
        <w:t>dispute resolution</w:t>
      </w:r>
      <w:r>
        <w:t xml:space="preserve"> and single party case conferencing at both levels of review; and</w:t>
      </w:r>
    </w:p>
    <w:p w14:paraId="6A236893" w14:textId="4FD3B992" w:rsidR="00F772FB" w:rsidRDefault="00F772FB" w:rsidP="00CF4EC4">
      <w:pPr>
        <w:pStyle w:val="ListParagraph"/>
        <w:numPr>
          <w:ilvl w:val="0"/>
          <w:numId w:val="9"/>
        </w:numPr>
      </w:pPr>
      <w:r>
        <w:t>the privacy settings for hearings at first</w:t>
      </w:r>
      <w:r w:rsidR="00E31FA1">
        <w:t xml:space="preserve"> </w:t>
      </w:r>
      <w:r>
        <w:t xml:space="preserve">review are maintained at </w:t>
      </w:r>
      <w:r w:rsidR="0036669C">
        <w:t>second</w:t>
      </w:r>
      <w:r w:rsidR="006953C5">
        <w:t xml:space="preserve"> </w:t>
      </w:r>
      <w:r>
        <w:t>review.</w:t>
      </w:r>
      <w:r>
        <w:rPr>
          <w:rStyle w:val="FootnoteReference"/>
        </w:rPr>
        <w:footnoteReference w:id="36"/>
      </w:r>
    </w:p>
    <w:p w14:paraId="0882E3D1" w14:textId="77777777" w:rsidR="00876846" w:rsidRDefault="00876846" w:rsidP="00876846">
      <w:pPr>
        <w:pStyle w:val="ListParagraph"/>
      </w:pPr>
    </w:p>
    <w:p w14:paraId="1E3A4A9A" w14:textId="38CF3E61" w:rsidR="00ED6C94" w:rsidRDefault="00ED6C94" w:rsidP="00ED35E7">
      <w:pPr>
        <w:pStyle w:val="ListParagraph"/>
        <w:numPr>
          <w:ilvl w:val="1"/>
          <w:numId w:val="34"/>
        </w:numPr>
        <w:jc w:val="both"/>
      </w:pPr>
      <w:r>
        <w:t>There</w:t>
      </w:r>
      <w:r w:rsidR="00F772FB">
        <w:t xml:space="preserve"> are also new requirements for the publication of ART decisions, which require the </w:t>
      </w:r>
      <w:r w:rsidR="006953C5">
        <w:t>AR</w:t>
      </w:r>
      <w:r w:rsidR="00F772FB">
        <w:t xml:space="preserve">T to publish its decisions which involve a significant conclusion of law, or </w:t>
      </w:r>
      <w:r w:rsidR="00F772FB">
        <w:lastRenderedPageBreak/>
        <w:t>with significant implications for Commonwealth policy or administration.</w:t>
      </w:r>
      <w:r w:rsidR="00F772FB">
        <w:rPr>
          <w:rStyle w:val="FootnoteReference"/>
        </w:rPr>
        <w:footnoteReference w:id="37"/>
      </w:r>
      <w:r w:rsidR="00F772FB">
        <w:t xml:space="preserve"> </w:t>
      </w:r>
      <w:r w:rsidR="006953C5">
        <w:t>Firs</w:t>
      </w:r>
      <w:r w:rsidR="00E31FA1">
        <w:t>t review</w:t>
      </w:r>
      <w:r w:rsidR="006953C5">
        <w:t xml:space="preserve"> decisions in the AAT were not published</w:t>
      </w:r>
      <w:r w:rsidR="00E31FA1">
        <w:t>,</w:t>
      </w:r>
      <w:r w:rsidR="006953C5">
        <w:t xml:space="preserve"> on </w:t>
      </w:r>
      <w:proofErr w:type="spellStart"/>
      <w:r w:rsidR="006953C5">
        <w:t>Austlii</w:t>
      </w:r>
      <w:proofErr w:type="spellEnd"/>
      <w:r w:rsidR="006953C5">
        <w:t xml:space="preserve"> or otherwise. </w:t>
      </w:r>
      <w:r w:rsidR="00F772FB">
        <w:t xml:space="preserve">The </w:t>
      </w:r>
      <w:proofErr w:type="spellStart"/>
      <w:r w:rsidR="00F772FB">
        <w:t>Robodebt</w:t>
      </w:r>
      <w:proofErr w:type="spellEnd"/>
      <w:r w:rsidR="00F772FB">
        <w:t xml:space="preserve"> Royal Commission found that the publication of reasons in </w:t>
      </w:r>
      <w:r w:rsidR="0036669C">
        <w:t>AAT1</w:t>
      </w:r>
      <w:r w:rsidR="00F772FB">
        <w:t xml:space="preserve"> matters involving significant points of law or policy would </w:t>
      </w:r>
      <w:r w:rsidR="006953C5">
        <w:t>“</w:t>
      </w:r>
      <w:r w:rsidR="00F772FB">
        <w:t>promote uniformity in decision-making, and allow public scrutiny and wider community understanding of how the AAT was applying law and policy’.</w:t>
      </w:r>
      <w:r w:rsidR="00F772FB">
        <w:rPr>
          <w:rStyle w:val="FootnoteReference"/>
        </w:rPr>
        <w:footnoteReference w:id="38"/>
      </w:r>
      <w:r w:rsidR="00F772FB">
        <w:t xml:space="preserve"> </w:t>
      </w:r>
      <w:r w:rsidR="006953C5">
        <w:t>The Commission recommended that first</w:t>
      </w:r>
      <w:r w:rsidR="00E31FA1">
        <w:t xml:space="preserve"> review</w:t>
      </w:r>
      <w:r w:rsidR="006953C5">
        <w:t xml:space="preserve"> social security decisions involving significant conclusion</w:t>
      </w:r>
      <w:r w:rsidR="001A7A64">
        <w:t>s</w:t>
      </w:r>
      <w:r w:rsidR="006953C5">
        <w:t xml:space="preserve"> of law or having implications for social security policy, be published.</w:t>
      </w:r>
    </w:p>
    <w:p w14:paraId="666B4328" w14:textId="636F5DBC" w:rsidR="00F772FB" w:rsidRDefault="00F772FB" w:rsidP="00F772FB">
      <w:pPr>
        <w:pStyle w:val="Heading3"/>
      </w:pPr>
      <w:bookmarkStart w:id="23" w:name="_Toc205997108"/>
      <w:r>
        <w:t>Arguments for and against the two-tier structure</w:t>
      </w:r>
      <w:bookmarkEnd w:id="23"/>
    </w:p>
    <w:p w14:paraId="694DC935" w14:textId="1AFD4A5E" w:rsidR="00E30BCA" w:rsidRDefault="00E30BCA" w:rsidP="00E30BCA">
      <w:pPr>
        <w:pStyle w:val="Heading4"/>
      </w:pPr>
      <w:r>
        <w:t>Previous reports on the issue</w:t>
      </w:r>
    </w:p>
    <w:p w14:paraId="6390197F" w14:textId="1A96B512" w:rsidR="003B2081" w:rsidRDefault="00F772FB" w:rsidP="00ED35E7">
      <w:pPr>
        <w:pStyle w:val="ListParagraph"/>
        <w:numPr>
          <w:ilvl w:val="1"/>
          <w:numId w:val="34"/>
        </w:numPr>
        <w:jc w:val="both"/>
      </w:pPr>
      <w:r>
        <w:t xml:space="preserve">The structure of external social security merits review has long been the subject of debate. </w:t>
      </w:r>
      <w:r w:rsidR="00E30BCA">
        <w:t xml:space="preserve">The </w:t>
      </w:r>
      <w:r w:rsidR="003B2081" w:rsidRPr="00E30BCA">
        <w:t xml:space="preserve">Council </w:t>
      </w:r>
      <w:r w:rsidR="00E30BCA" w:rsidRPr="00E30BCA">
        <w:t>has considered the issue in three reports published</w:t>
      </w:r>
      <w:r w:rsidR="00E30BCA">
        <w:t xml:space="preserve"> in 1980, 1984 and 1995. In </w:t>
      </w:r>
      <w:r w:rsidR="006953C5">
        <w:t>its</w:t>
      </w:r>
      <w:r w:rsidR="00E30BCA">
        <w:t xml:space="preserve"> 1984 report</w:t>
      </w:r>
      <w:r w:rsidR="006953C5">
        <w:t>,</w:t>
      </w:r>
      <w:r w:rsidR="00E30BCA">
        <w:t xml:space="preserve"> </w:t>
      </w:r>
      <w:r w:rsidR="00E30BCA" w:rsidRPr="00876846">
        <w:rPr>
          <w:i/>
        </w:rPr>
        <w:t>The Structure and Form of Social Security Appeals</w:t>
      </w:r>
      <w:r w:rsidR="00E30BCA">
        <w:t>, the Council</w:t>
      </w:r>
      <w:r w:rsidR="00E30BCA" w:rsidRPr="00876846">
        <w:rPr>
          <w:i/>
        </w:rPr>
        <w:t xml:space="preserve"> </w:t>
      </w:r>
      <w:r w:rsidR="00E30BCA">
        <w:t>argued that a two-tiered structure of external review was necessary in a mass-volume jurisdiction such as social security.</w:t>
      </w:r>
      <w:r w:rsidR="00E30BCA">
        <w:rPr>
          <w:rStyle w:val="FootnoteReference"/>
          <w:rFonts w:eastAsiaTheme="majorEastAsia"/>
        </w:rPr>
        <w:footnoteReference w:id="39"/>
      </w:r>
      <w:r w:rsidR="00E30BCA">
        <w:t xml:space="preserve"> However, in its 1995 </w:t>
      </w:r>
      <w:r w:rsidR="00E30BCA" w:rsidRPr="00876846">
        <w:rPr>
          <w:i/>
        </w:rPr>
        <w:t xml:space="preserve">Better Decisions </w:t>
      </w:r>
      <w:r w:rsidR="00E30BCA">
        <w:t xml:space="preserve">report, the Council concluded that while </w:t>
      </w:r>
      <w:r w:rsidR="006953C5">
        <w:t xml:space="preserve">the </w:t>
      </w:r>
      <w:r w:rsidR="00E30BCA">
        <w:t xml:space="preserve">availability of a second tier of external merits review was important, it would be less important under the Council’s proposed amalgamated </w:t>
      </w:r>
      <w:r w:rsidR="006953C5">
        <w:t>t</w:t>
      </w:r>
      <w:r w:rsidR="00E30BCA">
        <w:t>ribunal, given the independence of members and flexibility of procedures.</w:t>
      </w:r>
      <w:r w:rsidR="00E30BCA">
        <w:rPr>
          <w:rStyle w:val="FootnoteReference"/>
          <w:rFonts w:eastAsiaTheme="majorEastAsia"/>
        </w:rPr>
        <w:footnoteReference w:id="40"/>
      </w:r>
    </w:p>
    <w:p w14:paraId="22AD25D1" w14:textId="77777777" w:rsidR="00876846" w:rsidRDefault="00876846" w:rsidP="00876846">
      <w:pPr>
        <w:pStyle w:val="ListParagraph"/>
        <w:jc w:val="both"/>
      </w:pPr>
    </w:p>
    <w:p w14:paraId="09E237F1" w14:textId="3E44342B" w:rsidR="00876846" w:rsidRDefault="00E30BCA" w:rsidP="00ED35E7">
      <w:pPr>
        <w:pStyle w:val="ListParagraph"/>
        <w:numPr>
          <w:ilvl w:val="1"/>
          <w:numId w:val="34"/>
        </w:numPr>
        <w:jc w:val="both"/>
      </w:pPr>
      <w:r>
        <w:t xml:space="preserve">In 2019, the Hon Ian Callinan AC </w:t>
      </w:r>
      <w:r w:rsidR="006953C5">
        <w:t xml:space="preserve">conducted a </w:t>
      </w:r>
      <w:r w:rsidR="002E30FA">
        <w:t>statutory review</w:t>
      </w:r>
      <w:r>
        <w:t xml:space="preserve"> </w:t>
      </w:r>
      <w:r w:rsidR="002E30FA">
        <w:t>of</w:t>
      </w:r>
      <w:r>
        <w:t xml:space="preserve"> the </w:t>
      </w:r>
      <w:r w:rsidRPr="00876846">
        <w:rPr>
          <w:i/>
        </w:rPr>
        <w:t xml:space="preserve">Tribunals Amalgamation Act </w:t>
      </w:r>
      <w:r w:rsidRPr="00ED35E7">
        <w:rPr>
          <w:iCs/>
        </w:rPr>
        <w:t>2015</w:t>
      </w:r>
      <w:r>
        <w:t xml:space="preserve"> </w:t>
      </w:r>
      <w:r w:rsidR="006953C5">
        <w:t>(</w:t>
      </w:r>
      <w:proofErr w:type="spellStart"/>
      <w:r w:rsidR="006953C5">
        <w:t>Cth</w:t>
      </w:r>
      <w:proofErr w:type="spellEnd"/>
      <w:r w:rsidR="006953C5">
        <w:t xml:space="preserve">) </w:t>
      </w:r>
      <w:r>
        <w:t>(</w:t>
      </w:r>
      <w:r w:rsidR="006953C5">
        <w:t>“</w:t>
      </w:r>
      <w:r>
        <w:t>Callinan Report</w:t>
      </w:r>
      <w:r w:rsidR="006953C5">
        <w:t>”</w:t>
      </w:r>
      <w:r>
        <w:t>)</w:t>
      </w:r>
      <w:r w:rsidR="002E30FA">
        <w:t>.</w:t>
      </w:r>
      <w:r w:rsidR="002E30FA">
        <w:rPr>
          <w:rStyle w:val="FootnoteReference"/>
        </w:rPr>
        <w:footnoteReference w:id="41"/>
      </w:r>
      <w:r w:rsidR="002E30FA">
        <w:t xml:space="preserve"> </w:t>
      </w:r>
      <w:r>
        <w:t xml:space="preserve"> The </w:t>
      </w:r>
      <w:r w:rsidR="006953C5">
        <w:t>Callinan R</w:t>
      </w:r>
      <w:r>
        <w:t xml:space="preserve">eport recommended 37 measures for further legislative reform to accommodate the amalgamation of the tribunals, including the abolition of the right to seek </w:t>
      </w:r>
      <w:r w:rsidR="002E30FA">
        <w:t>second review of social security decisions</w:t>
      </w:r>
      <w:r>
        <w:t>.</w:t>
      </w:r>
      <w:r>
        <w:rPr>
          <w:rStyle w:val="FootnoteReference"/>
        </w:rPr>
        <w:footnoteReference w:id="42"/>
      </w:r>
      <w:r>
        <w:t xml:space="preserve"> Having considered written submissions from government stakeholders and community organisations, Mr Callinan was unpersuaded by arguments in favour of retaining a two-tier system. He concluded that it was inadvisable to have one AAT member reviewing the decision of another AAT member, and that the existence of a second level of review may discourage careful attention to decision-making by the Department and at the AAT1 stage.</w:t>
      </w:r>
      <w:r w:rsidR="00876846">
        <w:br/>
      </w:r>
    </w:p>
    <w:p w14:paraId="3BFC4B18" w14:textId="233A7C24" w:rsidR="00F772FB" w:rsidRDefault="003B2081" w:rsidP="00ED35E7">
      <w:pPr>
        <w:pStyle w:val="ListParagraph"/>
        <w:numPr>
          <w:ilvl w:val="1"/>
          <w:numId w:val="34"/>
        </w:numPr>
        <w:jc w:val="both"/>
      </w:pPr>
      <w:r>
        <w:t>The</w:t>
      </w:r>
      <w:r w:rsidR="00F772FB">
        <w:t xml:space="preserve"> ART Bill</w:t>
      </w:r>
      <w:r w:rsidR="002E30FA">
        <w:t xml:space="preserve"> </w:t>
      </w:r>
      <w:r w:rsidR="00F772FB">
        <w:t>initially proposed the removal of two-tier review. The Attorney-General’s Department explained that the Bill sought to combine the best features of first and secon</w:t>
      </w:r>
      <w:r w:rsidR="00E31FA1">
        <w:t xml:space="preserve">d </w:t>
      </w:r>
      <w:r w:rsidR="00F772FB">
        <w:t>review, and make enhancements, to ensure effective outcomes through a single tier of review.</w:t>
      </w:r>
      <w:r w:rsidR="00F772FB">
        <w:rPr>
          <w:rStyle w:val="FootnoteReference"/>
        </w:rPr>
        <w:footnoteReference w:id="43"/>
      </w:r>
      <w:r w:rsidR="00F772FB">
        <w:t xml:space="preserve"> This included making dispute resolution processes and case conferencing available at </w:t>
      </w:r>
      <w:r w:rsidR="00A93AC7">
        <w:t>first</w:t>
      </w:r>
      <w:r w:rsidR="001B44F8">
        <w:t xml:space="preserve"> </w:t>
      </w:r>
      <w:r w:rsidR="00F772FB">
        <w:t xml:space="preserve">review, while preserving informality of review through notices </w:t>
      </w:r>
      <w:r w:rsidR="00F772FB">
        <w:lastRenderedPageBreak/>
        <w:t xml:space="preserve">of non-participation by </w:t>
      </w:r>
      <w:r w:rsidR="00264ED8">
        <w:t xml:space="preserve">the Department of Social Services </w:t>
      </w:r>
      <w:r w:rsidR="00F772FB">
        <w:t xml:space="preserve">in ART proceedings. Complex matters and </w:t>
      </w:r>
      <w:r w:rsidR="001B44F8">
        <w:t>AR</w:t>
      </w:r>
      <w:r w:rsidR="00F772FB">
        <w:t>T decisions affected by error could be escalated to the Guidance and Appeals Panel.</w:t>
      </w:r>
      <w:r w:rsidR="00F772FB">
        <w:rPr>
          <w:rStyle w:val="FootnoteReference"/>
        </w:rPr>
        <w:footnoteReference w:id="44"/>
      </w:r>
      <w:r w:rsidR="00876846">
        <w:tab/>
      </w:r>
      <w:r w:rsidR="00876846">
        <w:br/>
      </w:r>
    </w:p>
    <w:p w14:paraId="58D9B155" w14:textId="2B263296" w:rsidR="00F772FB" w:rsidRDefault="00F772FB" w:rsidP="00ED35E7">
      <w:pPr>
        <w:pStyle w:val="ListParagraph"/>
        <w:numPr>
          <w:ilvl w:val="1"/>
          <w:numId w:val="34"/>
        </w:numPr>
        <w:jc w:val="both"/>
      </w:pPr>
      <w:r>
        <w:t xml:space="preserve">The </w:t>
      </w:r>
      <w:r w:rsidR="002E30FA">
        <w:t>Parliamentary Committee inquiries into the ART Bills reported on</w:t>
      </w:r>
      <w:r>
        <w:t xml:space="preserve"> the concerns raised by some stakeholders about the proposed abolition of the two-tier review structure. In response to these concerns, the Australian Government amended the Bill to retain the two-tier structure.</w:t>
      </w:r>
      <w:r>
        <w:rPr>
          <w:rStyle w:val="FootnoteReference"/>
        </w:rPr>
        <w:footnoteReference w:id="45"/>
      </w:r>
      <w:r>
        <w:t xml:space="preserve"> The Revised Explanatory Memorandum for the ART Bill noted that retaining </w:t>
      </w:r>
      <w:r w:rsidR="001B44F8">
        <w:t xml:space="preserve">an entitlement of applicants to </w:t>
      </w:r>
      <w:r>
        <w:t>second</w:t>
      </w:r>
      <w:r w:rsidR="001B44F8">
        <w:t xml:space="preserve"> </w:t>
      </w:r>
      <w:r>
        <w:t xml:space="preserve">review </w:t>
      </w:r>
      <w:r w:rsidR="002B63E0">
        <w:t>“</w:t>
      </w:r>
      <w:proofErr w:type="spellStart"/>
      <w:r>
        <w:t>recognis</w:t>
      </w:r>
      <w:proofErr w:type="spellEnd"/>
      <w:r>
        <w:t>[es] the particular factors and vulnerabilities of social security applicants</w:t>
      </w:r>
      <w:r w:rsidR="002B63E0">
        <w:t>”</w:t>
      </w:r>
      <w:r>
        <w:t>.</w:t>
      </w:r>
      <w:r>
        <w:rPr>
          <w:rStyle w:val="FootnoteReference"/>
        </w:rPr>
        <w:footnoteReference w:id="46"/>
      </w:r>
    </w:p>
    <w:p w14:paraId="3274ED03" w14:textId="77777777" w:rsidR="00F772FB" w:rsidRDefault="00F772FB" w:rsidP="00F772FB">
      <w:pPr>
        <w:pStyle w:val="Heading4"/>
      </w:pPr>
      <w:r>
        <w:t>Accessibility</w:t>
      </w:r>
    </w:p>
    <w:p w14:paraId="4AB54B7B" w14:textId="138E3FC0" w:rsidR="00F772FB" w:rsidRDefault="00F772FB" w:rsidP="00ED35E7">
      <w:pPr>
        <w:pStyle w:val="ListParagraph"/>
        <w:numPr>
          <w:ilvl w:val="1"/>
          <w:numId w:val="34"/>
        </w:numPr>
        <w:jc w:val="both"/>
      </w:pPr>
      <w:r>
        <w:t>Many submi</w:t>
      </w:r>
      <w:r w:rsidR="001B44F8">
        <w:t>ssions</w:t>
      </w:r>
      <w:r>
        <w:t xml:space="preserve"> to the Parliamentary </w:t>
      </w:r>
      <w:r w:rsidR="000F5E37">
        <w:t xml:space="preserve">Committee </w:t>
      </w:r>
      <w:r>
        <w:t>inquiries into the ART Bills argued that the informality of first</w:t>
      </w:r>
      <w:r w:rsidR="001B44F8">
        <w:t xml:space="preserve"> </w:t>
      </w:r>
      <w:r>
        <w:t xml:space="preserve">review helps to support access </w:t>
      </w:r>
      <w:r w:rsidR="001B44F8">
        <w:t>t</w:t>
      </w:r>
      <w:r>
        <w:t>o the ART. Legal advocacy and representative bodies gave evidence that the loss of the two-tier structure may deter potential applicants and create particular barriers for unrepresented applicants.</w:t>
      </w:r>
      <w:r>
        <w:rPr>
          <w:rStyle w:val="FootnoteReference"/>
        </w:rPr>
        <w:footnoteReference w:id="47"/>
      </w:r>
      <w:r>
        <w:t xml:space="preserve"> </w:t>
      </w:r>
    </w:p>
    <w:p w14:paraId="1C47C1D6" w14:textId="77777777" w:rsidR="00876846" w:rsidRDefault="00876846" w:rsidP="00876846">
      <w:pPr>
        <w:pStyle w:val="ListParagraph"/>
        <w:jc w:val="both"/>
      </w:pPr>
    </w:p>
    <w:p w14:paraId="0DFC4757" w14:textId="008B778A" w:rsidR="00F772FB" w:rsidRDefault="001B44F8" w:rsidP="00ED35E7">
      <w:pPr>
        <w:pStyle w:val="ListParagraph"/>
        <w:numPr>
          <w:ilvl w:val="1"/>
          <w:numId w:val="34"/>
        </w:numPr>
        <w:jc w:val="both"/>
      </w:pPr>
      <w:r>
        <w:t>These s</w:t>
      </w:r>
      <w:r w:rsidR="00F772FB">
        <w:t>ubmi</w:t>
      </w:r>
      <w:r>
        <w:t xml:space="preserve">ssions </w:t>
      </w:r>
      <w:r w:rsidR="00F772FB">
        <w:t>to the Parliamentary</w:t>
      </w:r>
      <w:r w:rsidR="000F5E37">
        <w:t xml:space="preserve"> Committee</w:t>
      </w:r>
      <w:r w:rsidR="00F772FB">
        <w:t xml:space="preserve"> inquiries noted that the two-tier system provides an important protection for vulnerable applicants who may have difficulty presenting relevant material or argument on their own behalf, as it provides a second opportunity to correct a decision.</w:t>
      </w:r>
      <w:r w:rsidR="00F772FB">
        <w:rPr>
          <w:rStyle w:val="FootnoteReference"/>
        </w:rPr>
        <w:footnoteReference w:id="48"/>
      </w:r>
    </w:p>
    <w:p w14:paraId="224991AD" w14:textId="77777777" w:rsidR="00F772FB" w:rsidRDefault="00F772FB" w:rsidP="00F772FB">
      <w:pPr>
        <w:pStyle w:val="Heading4"/>
      </w:pPr>
      <w:r>
        <w:t>Efficiency and resources</w:t>
      </w:r>
    </w:p>
    <w:p w14:paraId="7B664EBE" w14:textId="64DF12CB" w:rsidR="00F772FB" w:rsidRDefault="002E30FA" w:rsidP="00ED35E7">
      <w:pPr>
        <w:pStyle w:val="ListParagraph"/>
        <w:numPr>
          <w:ilvl w:val="1"/>
          <w:numId w:val="34"/>
        </w:numPr>
        <w:jc w:val="both"/>
      </w:pPr>
      <w:r>
        <w:t>E</w:t>
      </w:r>
      <w:r w:rsidR="00F772FB">
        <w:t xml:space="preserve">fficiency arguments </w:t>
      </w:r>
      <w:r>
        <w:t xml:space="preserve">have been made </w:t>
      </w:r>
      <w:r w:rsidR="00F772FB">
        <w:t xml:space="preserve">in </w:t>
      </w:r>
      <w:r>
        <w:t>support</w:t>
      </w:r>
      <w:r w:rsidR="00F772FB">
        <w:t xml:space="preserve"> of both single and two-tier review structures. Stakeholders in favour of the two-tier review system have argued that it provides a quick and cost-effective means of resolving the majority of applications and reduces the risk of significant backlogs and the administrative burden of all ART applicants having to go through a formal case-management process.</w:t>
      </w:r>
      <w:r w:rsidR="00F772FB">
        <w:rPr>
          <w:rStyle w:val="FootnoteReference"/>
        </w:rPr>
        <w:footnoteReference w:id="49"/>
      </w:r>
      <w:r w:rsidR="00F772FB">
        <w:t xml:space="preserve"> Legal assistance and advocacy organisations have suggested that this also supports them to target their resources more effectively to support applicants through the second</w:t>
      </w:r>
      <w:r w:rsidR="001B44F8">
        <w:t xml:space="preserve"> </w:t>
      </w:r>
      <w:r w:rsidR="00F772FB">
        <w:t>review process, in which applicants are more likely to be legally represented.</w:t>
      </w:r>
      <w:r w:rsidR="00F772FB">
        <w:rPr>
          <w:rStyle w:val="FootnoteReference"/>
        </w:rPr>
        <w:footnoteReference w:id="50"/>
      </w:r>
      <w:r w:rsidR="00F772FB">
        <w:t xml:space="preserve"> </w:t>
      </w:r>
    </w:p>
    <w:p w14:paraId="5CE0DC19" w14:textId="77777777" w:rsidR="00876846" w:rsidRDefault="00876846" w:rsidP="00876846">
      <w:pPr>
        <w:pStyle w:val="ListParagraph"/>
        <w:jc w:val="both"/>
      </w:pPr>
    </w:p>
    <w:p w14:paraId="1EE7D85F" w14:textId="3DEE4A99" w:rsidR="00F772FB" w:rsidRDefault="00F772FB" w:rsidP="00ED35E7">
      <w:pPr>
        <w:pStyle w:val="ListParagraph"/>
        <w:numPr>
          <w:ilvl w:val="1"/>
          <w:numId w:val="34"/>
        </w:numPr>
        <w:jc w:val="both"/>
      </w:pPr>
      <w:r>
        <w:t>Caseload data from the former A</w:t>
      </w:r>
      <w:r w:rsidR="001B44F8">
        <w:t xml:space="preserve">AT </w:t>
      </w:r>
      <w:r>
        <w:t>(</w:t>
      </w:r>
      <w:r w:rsidRPr="00876846">
        <w:rPr>
          <w:b/>
        </w:rPr>
        <w:t xml:space="preserve">Table </w:t>
      </w:r>
      <w:r w:rsidR="00E22A4B" w:rsidRPr="00F67DB1">
        <w:rPr>
          <w:b/>
        </w:rPr>
        <w:t>5</w:t>
      </w:r>
      <w:r>
        <w:t xml:space="preserve">) highlights the volume of applications which were lodged </w:t>
      </w:r>
      <w:r w:rsidR="0036669C">
        <w:t>in AAT1</w:t>
      </w:r>
      <w:r>
        <w:t xml:space="preserve"> compared with those lodged </w:t>
      </w:r>
      <w:r w:rsidR="0036669C">
        <w:t>in AAT2</w:t>
      </w:r>
      <w:r>
        <w:t>. This may suggest that first</w:t>
      </w:r>
      <w:r w:rsidR="001B44F8">
        <w:t xml:space="preserve"> </w:t>
      </w:r>
      <w:r>
        <w:t>review plays an important role in efficiently finalising the majority of social security and family assistance matters, with the more resource-intensive second</w:t>
      </w:r>
      <w:r w:rsidR="001B44F8">
        <w:t xml:space="preserve"> </w:t>
      </w:r>
      <w:r>
        <w:t xml:space="preserve">review reserved for those matters which are more difficult to resolve, possibly due to their complexity.  </w:t>
      </w:r>
    </w:p>
    <w:p w14:paraId="3F64660A" w14:textId="79B09470" w:rsidR="00F772FB" w:rsidRPr="00557D5A" w:rsidRDefault="00F772FB" w:rsidP="00F772FB">
      <w:pPr>
        <w:pStyle w:val="TableTitle"/>
      </w:pPr>
      <w:r w:rsidRPr="00E22A4B">
        <w:t xml:space="preserve">Table </w:t>
      </w:r>
      <w:r w:rsidR="00E22A4B" w:rsidRPr="00F67DB1">
        <w:t>5</w:t>
      </w:r>
      <w:r w:rsidRPr="00E22A4B">
        <w:t>:</w:t>
      </w:r>
      <w:r>
        <w:t xml:space="preserve"> Social security lodgments in AAT1 vs AAT2 </w:t>
      </w:r>
    </w:p>
    <w:tbl>
      <w:tblPr>
        <w:tblStyle w:val="DepartmentofHealthtable"/>
        <w:tblW w:w="0" w:type="auto"/>
        <w:tblLook w:val="04A0" w:firstRow="1" w:lastRow="0" w:firstColumn="1" w:lastColumn="0" w:noHBand="0" w:noVBand="1"/>
        <w:tblDescription w:val="Add Alt Text describing the content of the table"/>
      </w:tblPr>
      <w:tblGrid>
        <w:gridCol w:w="2239"/>
        <w:gridCol w:w="2273"/>
        <w:gridCol w:w="2273"/>
        <w:gridCol w:w="2285"/>
      </w:tblGrid>
      <w:tr w:rsidR="00F772FB" w:rsidRPr="00557D5A" w14:paraId="5A413AA9" w14:textId="77777777" w:rsidTr="003707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9" w:type="dxa"/>
            <w:shd w:val="clear" w:color="auto" w:fill="335DA5" w:themeFill="accent1"/>
          </w:tcPr>
          <w:p w14:paraId="09AB69F3" w14:textId="77777777" w:rsidR="00F772FB" w:rsidRPr="00557D5A" w:rsidRDefault="00F772FB" w:rsidP="003707AB">
            <w:pPr>
              <w:pStyle w:val="TableHeaderWhite"/>
            </w:pPr>
            <w:r>
              <w:t>Tier</w:t>
            </w:r>
          </w:p>
        </w:tc>
        <w:tc>
          <w:tcPr>
            <w:tcW w:w="2273" w:type="dxa"/>
            <w:shd w:val="clear" w:color="auto" w:fill="335DA5" w:themeFill="accent1"/>
          </w:tcPr>
          <w:p w14:paraId="100C3A5D" w14:textId="77777777" w:rsidR="00F772FB" w:rsidRPr="00557D5A" w:rsidRDefault="00F772FB" w:rsidP="003707AB">
            <w:pPr>
              <w:pStyle w:val="TableHeader"/>
              <w:cnfStyle w:val="100000000000" w:firstRow="1" w:lastRow="0" w:firstColumn="0" w:lastColumn="0" w:oddVBand="0" w:evenVBand="0" w:oddHBand="0" w:evenHBand="0" w:firstRowFirstColumn="0" w:firstRowLastColumn="0" w:lastRowFirstColumn="0" w:lastRowLastColumn="0"/>
            </w:pPr>
            <w:r>
              <w:t>2021/22</w:t>
            </w:r>
          </w:p>
        </w:tc>
        <w:tc>
          <w:tcPr>
            <w:tcW w:w="2273" w:type="dxa"/>
            <w:shd w:val="clear" w:color="auto" w:fill="335DA5" w:themeFill="accent1"/>
          </w:tcPr>
          <w:p w14:paraId="4027C645" w14:textId="77777777" w:rsidR="00F772FB" w:rsidRPr="00557D5A" w:rsidRDefault="00F772FB" w:rsidP="003707AB">
            <w:pPr>
              <w:pStyle w:val="TableHeader"/>
              <w:cnfStyle w:val="100000000000" w:firstRow="1" w:lastRow="0" w:firstColumn="0" w:lastColumn="0" w:oddVBand="0" w:evenVBand="0" w:oddHBand="0" w:evenHBand="0" w:firstRowFirstColumn="0" w:firstRowLastColumn="0" w:lastRowFirstColumn="0" w:lastRowLastColumn="0"/>
            </w:pPr>
            <w:r>
              <w:t>2022/23</w:t>
            </w:r>
          </w:p>
        </w:tc>
        <w:tc>
          <w:tcPr>
            <w:tcW w:w="2285" w:type="dxa"/>
            <w:shd w:val="clear" w:color="auto" w:fill="335DA5" w:themeFill="accent1"/>
          </w:tcPr>
          <w:p w14:paraId="50EE1FA7" w14:textId="77777777" w:rsidR="00F772FB" w:rsidRPr="00557D5A" w:rsidRDefault="00F772FB" w:rsidP="003707AB">
            <w:pPr>
              <w:pStyle w:val="TableHeader"/>
              <w:cnfStyle w:val="100000000000" w:firstRow="1" w:lastRow="0" w:firstColumn="0" w:lastColumn="0" w:oddVBand="0" w:evenVBand="0" w:oddHBand="0" w:evenHBand="0" w:firstRowFirstColumn="0" w:firstRowLastColumn="0" w:lastRowFirstColumn="0" w:lastRowLastColumn="0"/>
            </w:pPr>
            <w:r>
              <w:t>2023/24</w:t>
            </w:r>
          </w:p>
        </w:tc>
      </w:tr>
      <w:tr w:rsidR="00F772FB" w:rsidRPr="00557D5A" w14:paraId="498AEE51" w14:textId="77777777" w:rsidTr="00370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9" w:type="dxa"/>
          </w:tcPr>
          <w:p w14:paraId="13743BF1" w14:textId="77777777" w:rsidR="00F772FB" w:rsidRPr="001A2E97" w:rsidRDefault="00F772FB" w:rsidP="00E62DA5">
            <w:pPr>
              <w:pStyle w:val="Tabletextleft"/>
            </w:pPr>
            <w:r w:rsidRPr="001A2E97">
              <w:t>AAT1</w:t>
            </w:r>
          </w:p>
        </w:tc>
        <w:tc>
          <w:tcPr>
            <w:tcW w:w="2273" w:type="dxa"/>
          </w:tcPr>
          <w:p w14:paraId="6D2C3828" w14:textId="77777777" w:rsidR="00F772FB" w:rsidRPr="006C027C" w:rsidRDefault="00F772FB" w:rsidP="00E62DA5">
            <w:pPr>
              <w:pStyle w:val="Tabletextleft"/>
              <w:cnfStyle w:val="000000100000" w:firstRow="0" w:lastRow="0" w:firstColumn="0" w:lastColumn="0" w:oddVBand="0" w:evenVBand="0" w:oddHBand="1" w:evenHBand="0" w:firstRowFirstColumn="0" w:firstRowLastColumn="0" w:lastRowFirstColumn="0" w:lastRowLastColumn="0"/>
            </w:pPr>
            <w:r>
              <w:t>9,698</w:t>
            </w:r>
          </w:p>
        </w:tc>
        <w:tc>
          <w:tcPr>
            <w:tcW w:w="2273" w:type="dxa"/>
          </w:tcPr>
          <w:p w14:paraId="54734BCB" w14:textId="77777777" w:rsidR="00F772FB" w:rsidRPr="00557D5A" w:rsidRDefault="00F772FB" w:rsidP="00E62DA5">
            <w:pPr>
              <w:pStyle w:val="Tabletextcentre"/>
              <w:cnfStyle w:val="000000100000" w:firstRow="0" w:lastRow="0" w:firstColumn="0" w:lastColumn="0" w:oddVBand="0" w:evenVBand="0" w:oddHBand="1" w:evenHBand="0" w:firstRowFirstColumn="0" w:firstRowLastColumn="0" w:lastRowFirstColumn="0" w:lastRowLastColumn="0"/>
            </w:pPr>
            <w:r>
              <w:t>9,896</w:t>
            </w:r>
          </w:p>
        </w:tc>
        <w:tc>
          <w:tcPr>
            <w:tcW w:w="2285" w:type="dxa"/>
          </w:tcPr>
          <w:p w14:paraId="662F8EEC" w14:textId="77777777" w:rsidR="00F772FB" w:rsidRPr="00557D5A" w:rsidRDefault="00F772FB" w:rsidP="00E62DA5">
            <w:pPr>
              <w:pStyle w:val="Tabletextright0"/>
              <w:cnfStyle w:val="000000100000" w:firstRow="0" w:lastRow="0" w:firstColumn="0" w:lastColumn="0" w:oddVBand="0" w:evenVBand="0" w:oddHBand="1" w:evenHBand="0" w:firstRowFirstColumn="0" w:firstRowLastColumn="0" w:lastRowFirstColumn="0" w:lastRowLastColumn="0"/>
            </w:pPr>
            <w:r>
              <w:t>6,824</w:t>
            </w:r>
          </w:p>
        </w:tc>
      </w:tr>
      <w:tr w:rsidR="00F772FB" w:rsidRPr="00557D5A" w14:paraId="61DB43FD" w14:textId="77777777" w:rsidTr="003707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9" w:type="dxa"/>
          </w:tcPr>
          <w:p w14:paraId="71E5798E" w14:textId="77777777" w:rsidR="00F772FB" w:rsidRPr="001A2E97" w:rsidRDefault="00F772FB" w:rsidP="00E62DA5">
            <w:pPr>
              <w:pStyle w:val="Tabletextleft"/>
            </w:pPr>
            <w:r w:rsidRPr="001A2E97">
              <w:t>AAT2</w:t>
            </w:r>
          </w:p>
        </w:tc>
        <w:tc>
          <w:tcPr>
            <w:tcW w:w="2273" w:type="dxa"/>
          </w:tcPr>
          <w:p w14:paraId="0B753E84" w14:textId="77777777" w:rsidR="00F772FB" w:rsidRPr="006C027C" w:rsidRDefault="00F772FB" w:rsidP="00E62DA5">
            <w:pPr>
              <w:pStyle w:val="Tabletextleft"/>
              <w:cnfStyle w:val="000000010000" w:firstRow="0" w:lastRow="0" w:firstColumn="0" w:lastColumn="0" w:oddVBand="0" w:evenVBand="0" w:oddHBand="0" w:evenHBand="1" w:firstRowFirstColumn="0" w:firstRowLastColumn="0" w:lastRowFirstColumn="0" w:lastRowLastColumn="0"/>
            </w:pPr>
            <w:r>
              <w:t>1,179</w:t>
            </w:r>
          </w:p>
        </w:tc>
        <w:tc>
          <w:tcPr>
            <w:tcW w:w="2273" w:type="dxa"/>
          </w:tcPr>
          <w:p w14:paraId="2BEC003B" w14:textId="77777777" w:rsidR="00F772FB" w:rsidRPr="00557D5A" w:rsidRDefault="00F772FB" w:rsidP="00E62DA5">
            <w:pPr>
              <w:pStyle w:val="Tabletextcentre"/>
              <w:cnfStyle w:val="000000010000" w:firstRow="0" w:lastRow="0" w:firstColumn="0" w:lastColumn="0" w:oddVBand="0" w:evenVBand="0" w:oddHBand="0" w:evenHBand="1" w:firstRowFirstColumn="0" w:firstRowLastColumn="0" w:lastRowFirstColumn="0" w:lastRowLastColumn="0"/>
            </w:pPr>
            <w:r>
              <w:t>1,146</w:t>
            </w:r>
          </w:p>
        </w:tc>
        <w:tc>
          <w:tcPr>
            <w:tcW w:w="2285" w:type="dxa"/>
          </w:tcPr>
          <w:p w14:paraId="17D1ACB4" w14:textId="77777777" w:rsidR="00F772FB" w:rsidRPr="00557D5A" w:rsidRDefault="00F772FB" w:rsidP="00E62DA5">
            <w:pPr>
              <w:pStyle w:val="Tabletextright0"/>
              <w:cnfStyle w:val="000000010000" w:firstRow="0" w:lastRow="0" w:firstColumn="0" w:lastColumn="0" w:oddVBand="0" w:evenVBand="0" w:oddHBand="0" w:evenHBand="1" w:firstRowFirstColumn="0" w:firstRowLastColumn="0" w:lastRowFirstColumn="0" w:lastRowLastColumn="0"/>
            </w:pPr>
            <w:r>
              <w:t>1,121</w:t>
            </w:r>
          </w:p>
        </w:tc>
      </w:tr>
    </w:tbl>
    <w:p w14:paraId="33CC2F81" w14:textId="77777777" w:rsidR="00F772FB" w:rsidRPr="001A2E97" w:rsidRDefault="00F772FB" w:rsidP="00F772FB">
      <w:pPr>
        <w:spacing w:before="0" w:after="0" w:line="240" w:lineRule="auto"/>
        <w:rPr>
          <w:sz w:val="20"/>
        </w:rPr>
      </w:pPr>
    </w:p>
    <w:p w14:paraId="3B474599" w14:textId="77777777" w:rsidR="00F772FB" w:rsidRPr="001A2E97" w:rsidRDefault="00F772FB" w:rsidP="00F772FB">
      <w:pPr>
        <w:spacing w:before="0" w:after="0" w:line="240" w:lineRule="auto"/>
        <w:rPr>
          <w:sz w:val="20"/>
        </w:rPr>
      </w:pPr>
      <w:r w:rsidRPr="001A2E97">
        <w:rPr>
          <w:sz w:val="20"/>
        </w:rPr>
        <w:t>Source: AAT Annual Reports 2021-22 to 2023-24</w:t>
      </w:r>
    </w:p>
    <w:p w14:paraId="3845E157" w14:textId="77777777" w:rsidR="00F772FB" w:rsidRDefault="00F772FB" w:rsidP="00F772FB">
      <w:pPr>
        <w:spacing w:before="0" w:after="0" w:line="240" w:lineRule="auto"/>
      </w:pPr>
    </w:p>
    <w:p w14:paraId="6BE28984" w14:textId="3FD8873F" w:rsidR="00F772FB" w:rsidRDefault="00F772FB" w:rsidP="00ED35E7">
      <w:pPr>
        <w:pStyle w:val="ListParagraph"/>
        <w:numPr>
          <w:ilvl w:val="1"/>
          <w:numId w:val="34"/>
        </w:numPr>
        <w:spacing w:before="0" w:after="0" w:line="276" w:lineRule="auto"/>
        <w:jc w:val="both"/>
      </w:pPr>
      <w:r>
        <w:t xml:space="preserve">At the same time, arguments in support of single-tier review have </w:t>
      </w:r>
      <w:r w:rsidR="001B44F8">
        <w:t>claimed</w:t>
      </w:r>
      <w:r>
        <w:t xml:space="preserve"> that the two-tier system protracts proceedings, requiring applicants to go through internal agency review and then first</w:t>
      </w:r>
      <w:r w:rsidR="001B44F8">
        <w:t xml:space="preserve"> </w:t>
      </w:r>
      <w:r>
        <w:t>review in the tribunal before they have the opportunity to negotiate with the respondent agency.</w:t>
      </w:r>
      <w:r>
        <w:rPr>
          <w:rStyle w:val="FootnoteReference"/>
        </w:rPr>
        <w:footnoteReference w:id="51"/>
      </w:r>
      <w:r>
        <w:t xml:space="preserve"> The Attorney-General’s Department has stated that during its consultation on the ART reforms, some stakeholders supported the removal of second</w:t>
      </w:r>
      <w:r w:rsidR="001B44F8">
        <w:t xml:space="preserve"> </w:t>
      </w:r>
      <w:r>
        <w:t xml:space="preserve">review on the basis that it was inefficient, undermined finality and potentially disincentivised full engagement with </w:t>
      </w:r>
      <w:r w:rsidR="00A93AC7">
        <w:t>first</w:t>
      </w:r>
      <w:r w:rsidR="001B44F8">
        <w:t xml:space="preserve"> </w:t>
      </w:r>
      <w:r>
        <w:t>review.</w:t>
      </w:r>
      <w:r>
        <w:rPr>
          <w:rStyle w:val="FootnoteReference"/>
        </w:rPr>
        <w:footnoteReference w:id="52"/>
      </w:r>
    </w:p>
    <w:p w14:paraId="70C96442" w14:textId="77777777" w:rsidR="00876846" w:rsidRPr="001A2E97" w:rsidRDefault="00876846" w:rsidP="00876846">
      <w:pPr>
        <w:pStyle w:val="ListParagraph"/>
        <w:spacing w:before="0" w:after="0" w:line="276" w:lineRule="auto"/>
        <w:jc w:val="both"/>
      </w:pPr>
    </w:p>
    <w:p w14:paraId="6CC26EA8" w14:textId="4B115415" w:rsidR="00F772FB" w:rsidRDefault="001F09D7" w:rsidP="00ED35E7">
      <w:pPr>
        <w:pStyle w:val="ListParagraph"/>
        <w:numPr>
          <w:ilvl w:val="1"/>
          <w:numId w:val="34"/>
        </w:numPr>
        <w:spacing w:line="276" w:lineRule="auto"/>
        <w:jc w:val="both"/>
      </w:pPr>
      <w:r>
        <w:t xml:space="preserve">The Callinan </w:t>
      </w:r>
      <w:r w:rsidR="001B44F8">
        <w:t>R</w:t>
      </w:r>
      <w:r>
        <w:t>eport stated</w:t>
      </w:r>
      <w:r w:rsidR="00F772FB">
        <w:t>:</w:t>
      </w:r>
    </w:p>
    <w:p w14:paraId="7A1C1DD6" w14:textId="77777777" w:rsidR="00F772FB" w:rsidRPr="0045198B" w:rsidRDefault="00F772FB" w:rsidP="00876846">
      <w:pPr>
        <w:ind w:left="1440"/>
        <w:jc w:val="both"/>
      </w:pPr>
      <w:r>
        <w:t>The provision of a Second Tier of review comes at an expense of time and money. It is discordant with the opportunities for review of decisions in other Divisions. Its existence is a legacy of the absorption of the Social Security Appeals Tribunal (“SSAT”) by the AAT. The existence of a second review may discourage careful attention to the making of decisions within the Department and in the First Tier of the AAT.</w:t>
      </w:r>
      <w:r>
        <w:rPr>
          <w:rStyle w:val="FootnoteReference"/>
        </w:rPr>
        <w:footnoteReference w:id="53"/>
      </w:r>
    </w:p>
    <w:p w14:paraId="23B18FDB" w14:textId="77777777" w:rsidR="00F772FB" w:rsidRPr="0077290D" w:rsidRDefault="00F772FB" w:rsidP="00F772FB">
      <w:pPr>
        <w:pStyle w:val="Heading4"/>
      </w:pPr>
      <w:r>
        <w:t>Rationale for distinct approach</w:t>
      </w:r>
    </w:p>
    <w:p w14:paraId="6DE89ACC" w14:textId="4B6A7E1D" w:rsidR="00F772FB" w:rsidRDefault="00107D24" w:rsidP="00ED35E7">
      <w:pPr>
        <w:pStyle w:val="ListParagraph"/>
        <w:numPr>
          <w:ilvl w:val="1"/>
          <w:numId w:val="34"/>
        </w:numPr>
        <w:jc w:val="both"/>
      </w:pPr>
      <w:r>
        <w:t>Those opposing</w:t>
      </w:r>
      <w:r w:rsidR="00F772FB">
        <w:t xml:space="preserve"> two-tier review have also </w:t>
      </w:r>
      <w:r>
        <w:t>questioned</w:t>
      </w:r>
      <w:r w:rsidR="00F772FB">
        <w:t xml:space="preserve"> </w:t>
      </w:r>
      <w:r>
        <w:t>the</w:t>
      </w:r>
      <w:r w:rsidR="00F772FB">
        <w:t xml:space="preserve"> justification for social security matters being treated differently from other </w:t>
      </w:r>
      <w:r w:rsidR="006E5D53">
        <w:t xml:space="preserve">jurisdictional areas in the </w:t>
      </w:r>
      <w:r w:rsidR="001B44F8">
        <w:t>AAT</w:t>
      </w:r>
      <w:r>
        <w:t>, which may also involve a high-volume caseload and vulnerable applicants</w:t>
      </w:r>
      <w:r w:rsidR="00F772FB">
        <w:t xml:space="preserve">. </w:t>
      </w:r>
      <w:r w:rsidR="006E5D53">
        <w:t xml:space="preserve">This point was made </w:t>
      </w:r>
      <w:r w:rsidR="006E5D53">
        <w:lastRenderedPageBreak/>
        <w:t>in</w:t>
      </w:r>
      <w:r>
        <w:t xml:space="preserve"> </w:t>
      </w:r>
      <w:r w:rsidR="006E5D53">
        <w:t xml:space="preserve">the </w:t>
      </w:r>
      <w:r>
        <w:t xml:space="preserve">Callinan </w:t>
      </w:r>
      <w:r w:rsidR="001B44F8">
        <w:t>R</w:t>
      </w:r>
      <w:r w:rsidR="006E5D53">
        <w:t>eport, which rejected policy arguments in favour of the two-tier system and suggested that this structure stood in the way of harmonisation of the then AAT.</w:t>
      </w:r>
      <w:r w:rsidR="006E5D53">
        <w:rPr>
          <w:rStyle w:val="FootnoteReference"/>
        </w:rPr>
        <w:footnoteReference w:id="54"/>
      </w:r>
      <w:r w:rsidR="006E5D53">
        <w:t xml:space="preserve"> </w:t>
      </w:r>
    </w:p>
    <w:p w14:paraId="4CADFDC1" w14:textId="335F450C" w:rsidR="003B2081" w:rsidRDefault="003B2081" w:rsidP="003B2081">
      <w:pPr>
        <w:pStyle w:val="Heading3"/>
      </w:pPr>
      <w:bookmarkStart w:id="24" w:name="_Toc205997109"/>
      <w:r>
        <w:t>Council consideration and questions</w:t>
      </w:r>
      <w:bookmarkEnd w:id="24"/>
    </w:p>
    <w:p w14:paraId="7014E878" w14:textId="3426FB3D" w:rsidR="00E30BCA" w:rsidRDefault="00E30BCA" w:rsidP="00ED35E7">
      <w:pPr>
        <w:pStyle w:val="ListParagraph"/>
        <w:numPr>
          <w:ilvl w:val="1"/>
          <w:numId w:val="34"/>
        </w:numPr>
        <w:jc w:val="both"/>
      </w:pPr>
      <w:r>
        <w:t xml:space="preserve">The Explanatory Memorandum for the ART Bill stated that the broader reforms within the legislation, which include enhanced </w:t>
      </w:r>
      <w:r w:rsidR="001B44F8">
        <w:t>AR</w:t>
      </w:r>
      <w:r>
        <w:t xml:space="preserve">T powers and procedures and greater flexibility for the </w:t>
      </w:r>
      <w:r w:rsidR="001B44F8">
        <w:t>AR</w:t>
      </w:r>
      <w:r>
        <w:t xml:space="preserve">T to resolve matters efficiently and with regard to the needs of the matter, are expected to lead to more social services matters being resolved at </w:t>
      </w:r>
      <w:r w:rsidR="00A93AC7">
        <w:t>first</w:t>
      </w:r>
      <w:r w:rsidR="001B44F8">
        <w:t xml:space="preserve"> </w:t>
      </w:r>
      <w:r>
        <w:t>review. However, it noted that second</w:t>
      </w:r>
      <w:r w:rsidR="001B44F8">
        <w:t xml:space="preserve"> </w:t>
      </w:r>
      <w:r>
        <w:t>review would continue to ensure that existing systems and safeguards remain in place until the changes are implemented and mature.</w:t>
      </w:r>
      <w:r>
        <w:rPr>
          <w:rStyle w:val="FootnoteReference"/>
        </w:rPr>
        <w:footnoteReference w:id="55"/>
      </w:r>
    </w:p>
    <w:p w14:paraId="7328F181" w14:textId="77777777" w:rsidR="00876846" w:rsidRPr="00F772FB" w:rsidRDefault="00876846" w:rsidP="00876846">
      <w:pPr>
        <w:pStyle w:val="ListParagraph"/>
        <w:jc w:val="both"/>
      </w:pPr>
    </w:p>
    <w:p w14:paraId="645F4598" w14:textId="0E025A35" w:rsidR="003B2081" w:rsidRPr="003B2081" w:rsidRDefault="003B2081" w:rsidP="00ED35E7">
      <w:pPr>
        <w:pStyle w:val="ListParagraph"/>
        <w:numPr>
          <w:ilvl w:val="1"/>
          <w:numId w:val="34"/>
        </w:numPr>
        <w:jc w:val="both"/>
      </w:pPr>
      <w:r>
        <w:t xml:space="preserve">The Council </w:t>
      </w:r>
      <w:r w:rsidR="00CF3663">
        <w:t>seeks views and information</w:t>
      </w:r>
      <w:r>
        <w:t xml:space="preserve"> about the experience of parties and representatives in the ART since its establishment</w:t>
      </w:r>
      <w:r w:rsidR="00CF3663">
        <w:t xml:space="preserve">. In </w:t>
      </w:r>
      <w:r>
        <w:t>particular</w:t>
      </w:r>
      <w:r w:rsidR="00CF3663">
        <w:t>, the Council seeks to understand</w:t>
      </w:r>
      <w:r>
        <w:t xml:space="preserve"> whether there have been changes to the review of social security decisions as a result of the </w:t>
      </w:r>
      <w:r w:rsidR="001B44F8">
        <w:t>AR</w:t>
      </w:r>
      <w:r>
        <w:t>T’s enhanced flexibility</w:t>
      </w:r>
      <w:r w:rsidR="00CF3663">
        <w:t xml:space="preserve">, and whether there are further changes that would support the </w:t>
      </w:r>
      <w:r w:rsidR="001B44F8">
        <w:t>AR</w:t>
      </w:r>
      <w:r w:rsidR="00CF3663">
        <w:t xml:space="preserve">T </w:t>
      </w:r>
      <w:r w:rsidR="001B44F8">
        <w:t xml:space="preserve">in pursuing </w:t>
      </w:r>
      <w:r w:rsidR="00CF3663">
        <w:t>its objectives</w:t>
      </w:r>
      <w:r>
        <w:t xml:space="preserve">. </w:t>
      </w:r>
    </w:p>
    <w:p w14:paraId="0F8786F0" w14:textId="4EBD6633" w:rsidR="00F772FB" w:rsidRDefault="00F772FB" w:rsidP="00AC6E76">
      <w:pPr>
        <w:pStyle w:val="PolicyStatement"/>
        <w:jc w:val="both"/>
        <w:rPr>
          <w:rFonts w:ascii="Corbel" w:hAnsi="Corbel"/>
          <w:b/>
          <w:sz w:val="24"/>
        </w:rPr>
      </w:pPr>
      <w:r w:rsidRPr="001A2E97">
        <w:rPr>
          <w:rFonts w:ascii="Corbel" w:hAnsi="Corbel"/>
          <w:b/>
          <w:sz w:val="24"/>
        </w:rPr>
        <w:t>Questions</w:t>
      </w:r>
    </w:p>
    <w:p w14:paraId="69AA9395" w14:textId="5C236F4C" w:rsidR="00E23F7A" w:rsidRPr="00E23F7A" w:rsidRDefault="00E23F7A" w:rsidP="00E23F7A">
      <w:pPr>
        <w:pStyle w:val="PolicyStatement"/>
        <w:rPr>
          <w:rFonts w:cs="Arial"/>
          <w:szCs w:val="21"/>
        </w:rPr>
      </w:pPr>
      <w:r>
        <w:rPr>
          <w:rFonts w:cs="Arial"/>
          <w:szCs w:val="21"/>
        </w:rPr>
        <w:t xml:space="preserve">4. </w:t>
      </w:r>
      <w:r w:rsidRPr="00E23F7A">
        <w:rPr>
          <w:rFonts w:cs="Arial"/>
          <w:szCs w:val="21"/>
        </w:rPr>
        <w:t>Have you observed changes to how the review of social security matters is being carried out in the ART, compared with in the former AAT? If so, what are these changes?</w:t>
      </w:r>
    </w:p>
    <w:p w14:paraId="4FECA6E0" w14:textId="77777777" w:rsidR="00E23F7A" w:rsidRPr="00E23F7A" w:rsidRDefault="00E23F7A" w:rsidP="00E23F7A">
      <w:pPr>
        <w:pStyle w:val="PolicyStatement"/>
        <w:rPr>
          <w:rFonts w:cs="Arial"/>
          <w:szCs w:val="21"/>
        </w:rPr>
      </w:pPr>
      <w:r w:rsidRPr="00E23F7A">
        <w:rPr>
          <w:rFonts w:cs="Arial"/>
          <w:szCs w:val="21"/>
        </w:rPr>
        <w:t>5. Do the current structure and procedures for social security review in the ART promote the ART’s objectives under the ART Act?</w:t>
      </w:r>
      <w:r w:rsidRPr="00E23F7A">
        <w:rPr>
          <w:rFonts w:cs="Arial"/>
          <w:szCs w:val="21"/>
          <w:vertAlign w:val="superscript"/>
        </w:rPr>
        <w:footnoteReference w:id="56"/>
      </w:r>
      <w:r w:rsidRPr="00E23F7A">
        <w:rPr>
          <w:rFonts w:cs="Arial"/>
          <w:szCs w:val="21"/>
        </w:rPr>
        <w:t xml:space="preserve"> If not, what do you think are the key impediments hindering this?</w:t>
      </w:r>
    </w:p>
    <w:p w14:paraId="44CAC0DB" w14:textId="77777777" w:rsidR="00E23F7A" w:rsidRPr="00E23F7A" w:rsidRDefault="00E23F7A" w:rsidP="00E23F7A">
      <w:pPr>
        <w:pStyle w:val="PolicyStatement"/>
        <w:rPr>
          <w:rFonts w:cs="Arial"/>
          <w:szCs w:val="21"/>
        </w:rPr>
      </w:pPr>
      <w:r w:rsidRPr="00E23F7A">
        <w:rPr>
          <w:rFonts w:cs="Arial"/>
          <w:szCs w:val="21"/>
        </w:rPr>
        <w:t>6. What aspects of the current first review in the ART are working well?</w:t>
      </w:r>
    </w:p>
    <w:p w14:paraId="31557776" w14:textId="77777777" w:rsidR="00E23F7A" w:rsidRPr="00E23F7A" w:rsidRDefault="00E23F7A" w:rsidP="00E23F7A">
      <w:pPr>
        <w:pStyle w:val="PolicyStatement"/>
        <w:rPr>
          <w:rFonts w:cs="Arial"/>
          <w:szCs w:val="21"/>
        </w:rPr>
      </w:pPr>
      <w:r w:rsidRPr="00E23F7A">
        <w:rPr>
          <w:rFonts w:cs="Arial"/>
          <w:szCs w:val="21"/>
        </w:rPr>
        <w:t>7. Do you believe a single tier of review in the ART could promote the objectives of the ART?</w:t>
      </w:r>
    </w:p>
    <w:p w14:paraId="36D4C4E8" w14:textId="77777777" w:rsidR="00E23F7A" w:rsidRPr="00E23F7A" w:rsidRDefault="00E23F7A" w:rsidP="00E23F7A">
      <w:pPr>
        <w:pStyle w:val="PolicyStatement"/>
        <w:rPr>
          <w:rFonts w:cs="Arial"/>
          <w:szCs w:val="21"/>
        </w:rPr>
      </w:pPr>
      <w:r w:rsidRPr="00E23F7A">
        <w:rPr>
          <w:rFonts w:cs="Arial"/>
          <w:szCs w:val="21"/>
        </w:rPr>
        <w:t>8. If there were a single tier of review in the ART, would particular measures or safeguards be needed to ensure that review remains accessible and responsive to the diverse needs of parties to proceedings?</w:t>
      </w:r>
    </w:p>
    <w:p w14:paraId="658B42AC" w14:textId="3FF114C9" w:rsidR="006D0579" w:rsidRDefault="00876846" w:rsidP="006D0579">
      <w:pPr>
        <w:pStyle w:val="Heading2"/>
      </w:pPr>
      <w:bookmarkStart w:id="25" w:name="_Toc205997110"/>
      <w:r>
        <w:lastRenderedPageBreak/>
        <w:t xml:space="preserve">Key Issue 3: </w:t>
      </w:r>
      <w:r w:rsidR="006D0579">
        <w:t>Role of the Department in the ART</w:t>
      </w:r>
      <w:bookmarkEnd w:id="25"/>
    </w:p>
    <w:p w14:paraId="42BFAE6F" w14:textId="5681353E" w:rsidR="00CE7B1B" w:rsidRPr="007C0D9F" w:rsidRDefault="003707AB" w:rsidP="00ED35E7">
      <w:pPr>
        <w:pStyle w:val="ListParagraph"/>
        <w:numPr>
          <w:ilvl w:val="1"/>
          <w:numId w:val="34"/>
        </w:numPr>
        <w:jc w:val="both"/>
      </w:pPr>
      <w:r w:rsidRPr="007C0D9F">
        <w:t xml:space="preserve">This </w:t>
      </w:r>
      <w:r w:rsidR="003B4857" w:rsidRPr="007C0D9F">
        <w:t>section</w:t>
      </w:r>
      <w:r w:rsidRPr="007C0D9F">
        <w:t xml:space="preserve"> examines the role of the Department of Social</w:t>
      </w:r>
      <w:r w:rsidR="00592067" w:rsidRPr="007C0D9F">
        <w:t xml:space="preserve"> </w:t>
      </w:r>
      <w:r w:rsidRPr="007C0D9F">
        <w:t xml:space="preserve">Services </w:t>
      </w:r>
      <w:r w:rsidR="00592067" w:rsidRPr="007C0D9F">
        <w:t xml:space="preserve">in the </w:t>
      </w:r>
      <w:r w:rsidRPr="007C0D9F">
        <w:t>ART, and the changes that have occurred at first</w:t>
      </w:r>
      <w:r w:rsidR="001B44F8">
        <w:t xml:space="preserve"> </w:t>
      </w:r>
      <w:r w:rsidRPr="007C0D9F">
        <w:t xml:space="preserve">review for social security matters. </w:t>
      </w:r>
    </w:p>
    <w:p w14:paraId="018AF546" w14:textId="56772701" w:rsidR="007C0D9F" w:rsidRDefault="007C0D9F" w:rsidP="00ED35E7">
      <w:pPr>
        <w:pStyle w:val="ListParagraph"/>
        <w:numPr>
          <w:ilvl w:val="1"/>
          <w:numId w:val="34"/>
        </w:numPr>
        <w:jc w:val="both"/>
      </w:pPr>
      <w:r w:rsidRPr="007C0D9F">
        <w:t>Currently, although the Department is a party to social security review proceedings in the ART, it is deemed to have elected not to participate at first</w:t>
      </w:r>
      <w:r w:rsidR="001B44F8">
        <w:t xml:space="preserve"> </w:t>
      </w:r>
      <w:r w:rsidRPr="007C0D9F">
        <w:t>review unless the ART orders otherwise. The Department participate</w:t>
      </w:r>
      <w:r w:rsidR="0010422F">
        <w:t>s</w:t>
      </w:r>
      <w:r w:rsidRPr="007C0D9F">
        <w:t xml:space="preserve"> in </w:t>
      </w:r>
      <w:r w:rsidR="0010422F">
        <w:t xml:space="preserve">all </w:t>
      </w:r>
      <w:r w:rsidR="00A93AC7" w:rsidRPr="007C0D9F">
        <w:t>second</w:t>
      </w:r>
      <w:r w:rsidR="001B44F8">
        <w:t xml:space="preserve"> </w:t>
      </w:r>
      <w:r w:rsidRPr="007C0D9F">
        <w:t>review matters.</w:t>
      </w:r>
    </w:p>
    <w:p w14:paraId="1329FFC9" w14:textId="77777777" w:rsidR="00876846" w:rsidRPr="007C0D9F" w:rsidRDefault="00876846" w:rsidP="00876846">
      <w:pPr>
        <w:pStyle w:val="ListParagraph"/>
        <w:jc w:val="both"/>
      </w:pPr>
    </w:p>
    <w:p w14:paraId="6E03ADA5" w14:textId="100659E1" w:rsidR="007C0D9F" w:rsidRPr="007C0D9F" w:rsidRDefault="007C0D9F" w:rsidP="00ED35E7">
      <w:pPr>
        <w:pStyle w:val="ListParagraph"/>
        <w:numPr>
          <w:ilvl w:val="1"/>
          <w:numId w:val="34"/>
        </w:numPr>
        <w:jc w:val="both"/>
      </w:pPr>
      <w:r w:rsidRPr="007C0D9F">
        <w:t xml:space="preserve">This non-participation has an impact on the nature of proceedings at first review, including the availability of dispute resolution processes. The Council seeks feedback on the current arrangements for </w:t>
      </w:r>
      <w:r w:rsidR="00514209">
        <w:t xml:space="preserve">the </w:t>
      </w:r>
      <w:r w:rsidRPr="007C0D9F">
        <w:t>Department</w:t>
      </w:r>
      <w:r w:rsidR="00514209">
        <w:t>’s</w:t>
      </w:r>
      <w:r w:rsidRPr="007C0D9F">
        <w:t xml:space="preserve"> participation as well as the impact of improved flexibility in procedures of the new ART. </w:t>
      </w:r>
    </w:p>
    <w:p w14:paraId="6726A302" w14:textId="6C335D2C" w:rsidR="003707AB" w:rsidRDefault="00F366FE" w:rsidP="00173D60">
      <w:pPr>
        <w:pStyle w:val="Heading3"/>
        <w:jc w:val="both"/>
      </w:pPr>
      <w:bookmarkStart w:id="26" w:name="_Toc205997111"/>
      <w:r>
        <w:t>Current procedures</w:t>
      </w:r>
      <w:bookmarkEnd w:id="26"/>
      <w:r>
        <w:t xml:space="preserve"> </w:t>
      </w:r>
    </w:p>
    <w:p w14:paraId="09EF21DD" w14:textId="72320235" w:rsidR="00F44F56" w:rsidRDefault="00054D11" w:rsidP="00ED35E7">
      <w:pPr>
        <w:pStyle w:val="ListParagraph"/>
        <w:numPr>
          <w:ilvl w:val="1"/>
          <w:numId w:val="34"/>
        </w:numPr>
        <w:jc w:val="both"/>
        <w:rPr>
          <w:rFonts w:cs="Arial"/>
          <w:szCs w:val="21"/>
        </w:rPr>
      </w:pPr>
      <w:r w:rsidRPr="00CE7B1B">
        <w:t>Although</w:t>
      </w:r>
      <w:r w:rsidRPr="00876846">
        <w:rPr>
          <w:rFonts w:cs="Arial"/>
          <w:szCs w:val="21"/>
        </w:rPr>
        <w:t xml:space="preserve"> social security decisions are made and</w:t>
      </w:r>
      <w:r w:rsidR="00315C38" w:rsidRPr="00876846">
        <w:rPr>
          <w:rFonts w:cs="Arial"/>
          <w:szCs w:val="21"/>
        </w:rPr>
        <w:t xml:space="preserve"> internally</w:t>
      </w:r>
      <w:r w:rsidRPr="00876846">
        <w:rPr>
          <w:rFonts w:cs="Arial"/>
          <w:szCs w:val="21"/>
        </w:rPr>
        <w:t xml:space="preserve"> reviewed by Services Australia,</w:t>
      </w:r>
      <w:r w:rsidR="00F44F56" w:rsidRPr="00876846">
        <w:rPr>
          <w:rFonts w:cs="Arial"/>
          <w:szCs w:val="21"/>
        </w:rPr>
        <w:t xml:space="preserve"> the Secretary, Department of Social Services is the decision-maker </w:t>
      </w:r>
      <w:r w:rsidRPr="00876846">
        <w:rPr>
          <w:rFonts w:cs="Arial"/>
          <w:szCs w:val="21"/>
        </w:rPr>
        <w:t>for the purposes</w:t>
      </w:r>
      <w:r w:rsidR="00F44F56" w:rsidRPr="00876846">
        <w:rPr>
          <w:rFonts w:cs="Arial"/>
          <w:szCs w:val="21"/>
        </w:rPr>
        <w:t xml:space="preserve"> </w:t>
      </w:r>
      <w:r w:rsidRPr="00876846">
        <w:rPr>
          <w:rFonts w:cs="Arial"/>
          <w:szCs w:val="21"/>
        </w:rPr>
        <w:t>of</w:t>
      </w:r>
      <w:r w:rsidR="00F44F56" w:rsidRPr="00876846">
        <w:rPr>
          <w:rFonts w:cs="Arial"/>
          <w:szCs w:val="21"/>
        </w:rPr>
        <w:t xml:space="preserve"> ART</w:t>
      </w:r>
      <w:r w:rsidRPr="00876846">
        <w:rPr>
          <w:rFonts w:cs="Arial"/>
          <w:szCs w:val="21"/>
        </w:rPr>
        <w:t xml:space="preserve"> review</w:t>
      </w:r>
      <w:r w:rsidR="00F44F56" w:rsidRPr="00876846">
        <w:rPr>
          <w:rFonts w:cs="Arial"/>
          <w:szCs w:val="21"/>
        </w:rPr>
        <w:t>.</w:t>
      </w:r>
      <w:r w:rsidR="00F44F56">
        <w:rPr>
          <w:rStyle w:val="FootnoteReference"/>
          <w:rFonts w:cs="Arial"/>
          <w:szCs w:val="21"/>
        </w:rPr>
        <w:footnoteReference w:id="57"/>
      </w:r>
      <w:r w:rsidRPr="00876846">
        <w:rPr>
          <w:rFonts w:cs="Arial"/>
          <w:szCs w:val="21"/>
        </w:rPr>
        <w:t xml:space="preserve"> </w:t>
      </w:r>
    </w:p>
    <w:p w14:paraId="038B95F5" w14:textId="77777777" w:rsidR="00876846" w:rsidRPr="00876846" w:rsidRDefault="00876846" w:rsidP="00876846">
      <w:pPr>
        <w:pStyle w:val="ListParagraph"/>
        <w:jc w:val="both"/>
        <w:rPr>
          <w:rFonts w:cs="Arial"/>
          <w:szCs w:val="21"/>
        </w:rPr>
      </w:pPr>
    </w:p>
    <w:p w14:paraId="14D66678" w14:textId="07D0D677" w:rsidR="003707AB" w:rsidRPr="00876846" w:rsidRDefault="003707AB" w:rsidP="00ED35E7">
      <w:pPr>
        <w:pStyle w:val="ListParagraph"/>
        <w:numPr>
          <w:ilvl w:val="1"/>
          <w:numId w:val="34"/>
        </w:numPr>
        <w:jc w:val="both"/>
        <w:rPr>
          <w:rFonts w:cs="Arial"/>
          <w:szCs w:val="21"/>
        </w:rPr>
      </w:pPr>
      <w:r w:rsidRPr="00876846">
        <w:rPr>
          <w:rFonts w:cs="Arial"/>
          <w:szCs w:val="21"/>
        </w:rPr>
        <w:t xml:space="preserve">At an operational level, the role </w:t>
      </w:r>
      <w:r w:rsidR="00054D11" w:rsidRPr="00876846">
        <w:rPr>
          <w:rFonts w:cs="Arial"/>
          <w:szCs w:val="21"/>
        </w:rPr>
        <w:t xml:space="preserve">of </w:t>
      </w:r>
      <w:r w:rsidR="00264ED8" w:rsidRPr="00876846">
        <w:rPr>
          <w:rFonts w:cs="Arial"/>
          <w:szCs w:val="21"/>
        </w:rPr>
        <w:t xml:space="preserve">the Department </w:t>
      </w:r>
      <w:r w:rsidRPr="00876846">
        <w:rPr>
          <w:rFonts w:cs="Arial"/>
          <w:szCs w:val="21"/>
        </w:rPr>
        <w:t xml:space="preserve">is to manage appeal matters arising from </w:t>
      </w:r>
      <w:r w:rsidR="00264ED8" w:rsidRPr="00876846">
        <w:rPr>
          <w:rFonts w:cs="Arial"/>
          <w:szCs w:val="21"/>
        </w:rPr>
        <w:t xml:space="preserve">social security </w:t>
      </w:r>
      <w:r w:rsidRPr="00876846">
        <w:rPr>
          <w:rFonts w:cs="Arial"/>
          <w:szCs w:val="21"/>
        </w:rPr>
        <w:t>decisions.</w:t>
      </w:r>
      <w:r w:rsidRPr="00E206FF">
        <w:rPr>
          <w:rStyle w:val="FootnoteReference"/>
          <w:rFonts w:cs="Arial"/>
          <w:szCs w:val="21"/>
        </w:rPr>
        <w:footnoteReference w:id="58"/>
      </w:r>
      <w:r w:rsidRPr="00876846">
        <w:rPr>
          <w:rFonts w:cs="Arial"/>
          <w:szCs w:val="21"/>
        </w:rPr>
        <w:t xml:space="preserve"> This includes appearing at hearings and case events, providing information and supporting documents to applicants and the </w:t>
      </w:r>
      <w:r w:rsidR="00514209" w:rsidRPr="00876846">
        <w:rPr>
          <w:rFonts w:cs="Arial"/>
          <w:szCs w:val="21"/>
        </w:rPr>
        <w:t>AR</w:t>
      </w:r>
      <w:r w:rsidRPr="00876846">
        <w:rPr>
          <w:rFonts w:cs="Arial"/>
          <w:szCs w:val="21"/>
        </w:rPr>
        <w:t>T, and having regard to ART decisions to monitor and evaluate challenges and issues that may arise affecting government policy, programs and the law.</w:t>
      </w:r>
      <w:r w:rsidRPr="00E206FF">
        <w:rPr>
          <w:rStyle w:val="FootnoteReference"/>
          <w:rFonts w:cs="Arial"/>
          <w:szCs w:val="21"/>
        </w:rPr>
        <w:footnoteReference w:id="59"/>
      </w:r>
    </w:p>
    <w:p w14:paraId="3F149435" w14:textId="70DE7D79" w:rsidR="00054D11" w:rsidRDefault="00F366FE" w:rsidP="00173D60">
      <w:pPr>
        <w:pStyle w:val="Heading4"/>
        <w:jc w:val="both"/>
      </w:pPr>
      <w:r>
        <w:t>Background to requirements</w:t>
      </w:r>
    </w:p>
    <w:p w14:paraId="190302EE" w14:textId="063B8A1F" w:rsidR="003707AB" w:rsidRDefault="00FF17F0" w:rsidP="00ED35E7">
      <w:pPr>
        <w:pStyle w:val="ListParagraph"/>
        <w:numPr>
          <w:ilvl w:val="1"/>
          <w:numId w:val="34"/>
        </w:numPr>
        <w:jc w:val="both"/>
        <w:rPr>
          <w:rFonts w:cs="Arial"/>
          <w:szCs w:val="21"/>
        </w:rPr>
      </w:pPr>
      <w:r w:rsidRPr="00876846">
        <w:rPr>
          <w:rFonts w:cs="Arial"/>
          <w:szCs w:val="21"/>
        </w:rPr>
        <w:t xml:space="preserve">Under </w:t>
      </w:r>
      <w:r w:rsidR="003707AB" w:rsidRPr="00876846">
        <w:rPr>
          <w:rFonts w:cs="Arial"/>
          <w:szCs w:val="21"/>
        </w:rPr>
        <w:t xml:space="preserve">arrangements prior to April 2010, </w:t>
      </w:r>
      <w:r w:rsidR="00054D11" w:rsidRPr="00876846">
        <w:rPr>
          <w:rFonts w:cs="Arial"/>
          <w:szCs w:val="21"/>
        </w:rPr>
        <w:t>the Department of Human Services</w:t>
      </w:r>
      <w:r w:rsidR="003707AB" w:rsidRPr="00876846">
        <w:rPr>
          <w:rFonts w:cs="Arial"/>
          <w:szCs w:val="21"/>
        </w:rPr>
        <w:t xml:space="preserve"> </w:t>
      </w:r>
      <w:r w:rsidRPr="00876846">
        <w:rPr>
          <w:rFonts w:cs="Arial"/>
          <w:szCs w:val="21"/>
        </w:rPr>
        <w:t>(</w:t>
      </w:r>
      <w:r w:rsidR="00643FD6" w:rsidRPr="00876846">
        <w:rPr>
          <w:rFonts w:cs="Arial"/>
          <w:szCs w:val="21"/>
        </w:rPr>
        <w:t>t</w:t>
      </w:r>
      <w:r w:rsidRPr="00876846">
        <w:rPr>
          <w:rFonts w:cs="Arial"/>
          <w:szCs w:val="21"/>
        </w:rPr>
        <w:t>he</w:t>
      </w:r>
      <w:r w:rsidR="00115848" w:rsidRPr="00876846">
        <w:rPr>
          <w:rFonts w:cs="Arial"/>
          <w:szCs w:val="21"/>
        </w:rPr>
        <w:t xml:space="preserve"> </w:t>
      </w:r>
      <w:r w:rsidR="00643FD6" w:rsidRPr="00876846">
        <w:rPr>
          <w:rFonts w:cs="Arial"/>
          <w:szCs w:val="21"/>
        </w:rPr>
        <w:t>former</w:t>
      </w:r>
      <w:r w:rsidRPr="00876846">
        <w:rPr>
          <w:rFonts w:cs="Arial"/>
          <w:szCs w:val="21"/>
        </w:rPr>
        <w:t xml:space="preserve"> </w:t>
      </w:r>
      <w:r w:rsidR="00643FD6" w:rsidRPr="00876846">
        <w:rPr>
          <w:rFonts w:cs="Arial"/>
          <w:szCs w:val="21"/>
        </w:rPr>
        <w:t>respondent agency</w:t>
      </w:r>
      <w:r w:rsidR="00BF64C5" w:rsidRPr="00876846">
        <w:rPr>
          <w:rFonts w:cs="Arial"/>
          <w:szCs w:val="21"/>
        </w:rPr>
        <w:t xml:space="preserve"> in social security matters</w:t>
      </w:r>
      <w:r w:rsidRPr="00876846">
        <w:rPr>
          <w:rFonts w:cs="Arial"/>
          <w:szCs w:val="21"/>
        </w:rPr>
        <w:t xml:space="preserve">) </w:t>
      </w:r>
      <w:r w:rsidR="003707AB" w:rsidRPr="00876846">
        <w:rPr>
          <w:rFonts w:cs="Arial"/>
          <w:szCs w:val="21"/>
        </w:rPr>
        <w:t>was not permitted to be present at hearings</w:t>
      </w:r>
      <w:r w:rsidR="00514209" w:rsidRPr="00876846">
        <w:rPr>
          <w:rFonts w:cs="Arial"/>
          <w:szCs w:val="21"/>
        </w:rPr>
        <w:t xml:space="preserve"> of the former SSAT</w:t>
      </w:r>
      <w:r w:rsidR="003707AB" w:rsidRPr="00876846">
        <w:rPr>
          <w:rFonts w:cs="Arial"/>
          <w:szCs w:val="21"/>
        </w:rPr>
        <w:t>. Th</w:t>
      </w:r>
      <w:r w:rsidR="00514209" w:rsidRPr="00876846">
        <w:rPr>
          <w:rFonts w:cs="Arial"/>
          <w:szCs w:val="21"/>
        </w:rPr>
        <w:t>e</w:t>
      </w:r>
      <w:r w:rsidR="003707AB" w:rsidRPr="00876846">
        <w:rPr>
          <w:rFonts w:cs="Arial"/>
          <w:szCs w:val="21"/>
        </w:rPr>
        <w:t xml:space="preserve"> </w:t>
      </w:r>
      <w:r w:rsidR="00514209" w:rsidRPr="00876846">
        <w:rPr>
          <w:rFonts w:cs="Arial"/>
          <w:szCs w:val="21"/>
        </w:rPr>
        <w:t xml:space="preserve">purpose </w:t>
      </w:r>
      <w:r w:rsidR="003707AB" w:rsidRPr="00876846">
        <w:rPr>
          <w:rFonts w:cs="Arial"/>
          <w:szCs w:val="21"/>
        </w:rPr>
        <w:t>was to ensure informality of proceedings and</w:t>
      </w:r>
      <w:r w:rsidR="00514209" w:rsidRPr="00876846">
        <w:rPr>
          <w:rFonts w:cs="Arial"/>
          <w:szCs w:val="21"/>
        </w:rPr>
        <w:t xml:space="preserve"> to avoid the creation of </w:t>
      </w:r>
      <w:r w:rsidR="003707AB" w:rsidRPr="00876846">
        <w:rPr>
          <w:rFonts w:cs="Arial"/>
          <w:szCs w:val="21"/>
        </w:rPr>
        <w:t>an adversarial environment.</w:t>
      </w:r>
      <w:r w:rsidR="003707AB" w:rsidRPr="00E206FF">
        <w:rPr>
          <w:rStyle w:val="FootnoteReference"/>
          <w:rFonts w:cs="Arial"/>
          <w:szCs w:val="21"/>
        </w:rPr>
        <w:footnoteReference w:id="60"/>
      </w:r>
      <w:r w:rsidR="003707AB" w:rsidRPr="00876846">
        <w:rPr>
          <w:rFonts w:cs="Arial"/>
          <w:szCs w:val="21"/>
        </w:rPr>
        <w:t xml:space="preserve"> To </w:t>
      </w:r>
      <w:r w:rsidR="00514209" w:rsidRPr="00876846">
        <w:rPr>
          <w:rFonts w:cs="Arial"/>
          <w:szCs w:val="21"/>
        </w:rPr>
        <w:t xml:space="preserve">alleviate </w:t>
      </w:r>
      <w:r w:rsidR="003707AB" w:rsidRPr="00876846">
        <w:rPr>
          <w:rFonts w:cs="Arial"/>
          <w:szCs w:val="21"/>
        </w:rPr>
        <w:t xml:space="preserve">unnecessary </w:t>
      </w:r>
      <w:r w:rsidR="00514209" w:rsidRPr="00876846">
        <w:rPr>
          <w:rFonts w:cs="Arial"/>
          <w:szCs w:val="21"/>
        </w:rPr>
        <w:t xml:space="preserve">delay </w:t>
      </w:r>
      <w:r w:rsidR="003707AB" w:rsidRPr="00876846">
        <w:rPr>
          <w:rFonts w:cs="Arial"/>
          <w:szCs w:val="21"/>
        </w:rPr>
        <w:t xml:space="preserve">and cost, changes were made to provide </w:t>
      </w:r>
      <w:r w:rsidRPr="00876846">
        <w:rPr>
          <w:rFonts w:cs="Arial"/>
          <w:szCs w:val="21"/>
        </w:rPr>
        <w:t>the Department</w:t>
      </w:r>
      <w:r w:rsidR="003707AB" w:rsidRPr="00876846">
        <w:rPr>
          <w:rFonts w:cs="Arial"/>
          <w:szCs w:val="21"/>
        </w:rPr>
        <w:t xml:space="preserve"> </w:t>
      </w:r>
      <w:r w:rsidR="00514209" w:rsidRPr="00876846">
        <w:rPr>
          <w:rFonts w:cs="Arial"/>
          <w:szCs w:val="21"/>
        </w:rPr>
        <w:t xml:space="preserve">with an </w:t>
      </w:r>
      <w:r w:rsidR="003707AB" w:rsidRPr="00876846">
        <w:rPr>
          <w:rFonts w:cs="Arial"/>
          <w:szCs w:val="21"/>
        </w:rPr>
        <w:t xml:space="preserve">opportunity to request and make oral submissions </w:t>
      </w:r>
      <w:r w:rsidRPr="00876846">
        <w:rPr>
          <w:rFonts w:cs="Arial"/>
          <w:szCs w:val="21"/>
        </w:rPr>
        <w:t xml:space="preserve">to the SSAT </w:t>
      </w:r>
      <w:r w:rsidR="003707AB" w:rsidRPr="00876846">
        <w:rPr>
          <w:rFonts w:cs="Arial"/>
          <w:szCs w:val="21"/>
        </w:rPr>
        <w:t>in complex cases</w:t>
      </w:r>
      <w:r w:rsidR="00514209" w:rsidRPr="00876846">
        <w:rPr>
          <w:rFonts w:cs="Arial"/>
          <w:szCs w:val="21"/>
        </w:rPr>
        <w:t>,</w:t>
      </w:r>
      <w:r w:rsidR="003707AB" w:rsidRPr="00876846">
        <w:rPr>
          <w:rFonts w:cs="Arial"/>
          <w:szCs w:val="21"/>
        </w:rPr>
        <w:t xml:space="preserve"> and </w:t>
      </w:r>
      <w:r w:rsidRPr="00876846">
        <w:rPr>
          <w:rFonts w:cs="Arial"/>
          <w:szCs w:val="21"/>
        </w:rPr>
        <w:t>to respond</w:t>
      </w:r>
      <w:r w:rsidR="003707AB" w:rsidRPr="00876846">
        <w:rPr>
          <w:rFonts w:cs="Arial"/>
          <w:szCs w:val="21"/>
        </w:rPr>
        <w:t xml:space="preserve"> to new evidence while maintaining informality in </w:t>
      </w:r>
      <w:r w:rsidR="00514209" w:rsidRPr="00876846">
        <w:rPr>
          <w:rFonts w:cs="Arial"/>
          <w:szCs w:val="21"/>
        </w:rPr>
        <w:t xml:space="preserve">the </w:t>
      </w:r>
      <w:r w:rsidR="003707AB" w:rsidRPr="00876846">
        <w:rPr>
          <w:rFonts w:cs="Arial"/>
          <w:szCs w:val="21"/>
        </w:rPr>
        <w:t>review.</w:t>
      </w:r>
      <w:r w:rsidR="003707AB" w:rsidRPr="00E206FF">
        <w:rPr>
          <w:rStyle w:val="FootnoteReference"/>
          <w:rFonts w:cs="Arial"/>
          <w:szCs w:val="21"/>
        </w:rPr>
        <w:footnoteReference w:id="61"/>
      </w:r>
      <w:r w:rsidR="003707AB" w:rsidRPr="00876846">
        <w:rPr>
          <w:rFonts w:cs="Arial"/>
          <w:szCs w:val="21"/>
        </w:rPr>
        <w:t xml:space="preserve"> </w:t>
      </w:r>
      <w:r w:rsidRPr="00876846">
        <w:rPr>
          <w:rFonts w:cs="Arial"/>
          <w:szCs w:val="21"/>
        </w:rPr>
        <w:t xml:space="preserve">Following the amalgamation </w:t>
      </w:r>
      <w:r w:rsidR="00514209" w:rsidRPr="00876846">
        <w:rPr>
          <w:rFonts w:cs="Arial"/>
          <w:szCs w:val="21"/>
        </w:rPr>
        <w:t xml:space="preserve">of the SSAT into the AAT </w:t>
      </w:r>
      <w:r w:rsidRPr="00876846">
        <w:rPr>
          <w:rFonts w:cs="Arial"/>
          <w:szCs w:val="21"/>
        </w:rPr>
        <w:t>in 2015</w:t>
      </w:r>
      <w:r w:rsidR="003707AB" w:rsidRPr="00876846">
        <w:rPr>
          <w:rFonts w:cs="Arial"/>
          <w:szCs w:val="21"/>
        </w:rPr>
        <w:t xml:space="preserve">, the majority of </w:t>
      </w:r>
      <w:r w:rsidR="00A93AC7" w:rsidRPr="00876846">
        <w:rPr>
          <w:rFonts w:cs="Arial"/>
          <w:szCs w:val="21"/>
        </w:rPr>
        <w:t>AAT1 reviews</w:t>
      </w:r>
      <w:r w:rsidR="003707AB" w:rsidRPr="00876846">
        <w:rPr>
          <w:rFonts w:cs="Arial"/>
          <w:szCs w:val="21"/>
        </w:rPr>
        <w:t xml:space="preserve"> continued to be conducted in the absence of the </w:t>
      </w:r>
      <w:r w:rsidRPr="00876846">
        <w:rPr>
          <w:rFonts w:cs="Arial"/>
          <w:szCs w:val="21"/>
        </w:rPr>
        <w:t>Departmental</w:t>
      </w:r>
      <w:r w:rsidR="003707AB" w:rsidRPr="00876846">
        <w:rPr>
          <w:rFonts w:cs="Arial"/>
          <w:szCs w:val="21"/>
        </w:rPr>
        <w:t xml:space="preserve"> decision-maker.</w:t>
      </w:r>
      <w:r w:rsidR="003707AB" w:rsidRPr="00E206FF">
        <w:rPr>
          <w:rStyle w:val="FootnoteReference"/>
          <w:rFonts w:cs="Arial"/>
          <w:szCs w:val="21"/>
        </w:rPr>
        <w:footnoteReference w:id="62"/>
      </w:r>
    </w:p>
    <w:p w14:paraId="448FB8E8" w14:textId="77777777" w:rsidR="0010422F" w:rsidRPr="00876846" w:rsidRDefault="0010422F" w:rsidP="0010422F">
      <w:pPr>
        <w:pStyle w:val="ListParagraph"/>
        <w:jc w:val="both"/>
        <w:rPr>
          <w:rFonts w:cs="Arial"/>
          <w:szCs w:val="21"/>
        </w:rPr>
      </w:pPr>
    </w:p>
    <w:p w14:paraId="34DFCA53" w14:textId="5C128208" w:rsidR="00C912D8" w:rsidRDefault="00FF17F0" w:rsidP="00ED35E7">
      <w:pPr>
        <w:pStyle w:val="ListParagraph"/>
        <w:numPr>
          <w:ilvl w:val="1"/>
          <w:numId w:val="34"/>
        </w:numPr>
        <w:jc w:val="both"/>
        <w:rPr>
          <w:rFonts w:cs="Arial"/>
          <w:szCs w:val="21"/>
        </w:rPr>
      </w:pPr>
      <w:r w:rsidRPr="00876846">
        <w:rPr>
          <w:rFonts w:cs="Arial"/>
          <w:szCs w:val="21"/>
        </w:rPr>
        <w:t>The c</w:t>
      </w:r>
      <w:r w:rsidR="003707AB" w:rsidRPr="00876846">
        <w:rPr>
          <w:rFonts w:cs="Arial"/>
          <w:szCs w:val="21"/>
        </w:rPr>
        <w:t>urrent arrangements</w:t>
      </w:r>
      <w:r w:rsidRPr="00876846">
        <w:rPr>
          <w:rFonts w:cs="Arial"/>
          <w:szCs w:val="21"/>
        </w:rPr>
        <w:t xml:space="preserve"> in the ART</w:t>
      </w:r>
      <w:r w:rsidR="003707AB" w:rsidRPr="00876846">
        <w:rPr>
          <w:rFonts w:cs="Arial"/>
          <w:szCs w:val="21"/>
        </w:rPr>
        <w:t xml:space="preserve"> preserve a similar level of informality</w:t>
      </w:r>
      <w:r w:rsidR="00514209" w:rsidRPr="00876846">
        <w:rPr>
          <w:rFonts w:cs="Arial"/>
          <w:szCs w:val="21"/>
        </w:rPr>
        <w:t>,</w:t>
      </w:r>
      <w:r w:rsidR="003707AB" w:rsidRPr="00876846">
        <w:rPr>
          <w:rFonts w:cs="Arial"/>
          <w:szCs w:val="21"/>
        </w:rPr>
        <w:t xml:space="preserve"> and the Department’s non-participation at first</w:t>
      </w:r>
      <w:r w:rsidR="00514209" w:rsidRPr="00876846">
        <w:rPr>
          <w:rFonts w:cs="Arial"/>
          <w:szCs w:val="21"/>
        </w:rPr>
        <w:t xml:space="preserve"> </w:t>
      </w:r>
      <w:r w:rsidR="003707AB" w:rsidRPr="00876846">
        <w:rPr>
          <w:rFonts w:cs="Arial"/>
          <w:szCs w:val="21"/>
        </w:rPr>
        <w:t>review.</w:t>
      </w:r>
      <w:r w:rsidR="003707AB" w:rsidRPr="00E206FF">
        <w:rPr>
          <w:rStyle w:val="FootnoteReference"/>
          <w:rFonts w:cs="Arial"/>
          <w:szCs w:val="21"/>
        </w:rPr>
        <w:footnoteReference w:id="63"/>
      </w:r>
      <w:r w:rsidR="003707AB" w:rsidRPr="00876846">
        <w:rPr>
          <w:rFonts w:cs="Arial"/>
          <w:szCs w:val="21"/>
        </w:rPr>
        <w:t xml:space="preserve"> </w:t>
      </w:r>
      <w:r w:rsidR="00C912D8" w:rsidRPr="00876846">
        <w:rPr>
          <w:rFonts w:cs="Arial"/>
          <w:szCs w:val="21"/>
        </w:rPr>
        <w:t>Under the ART Act, decision</w:t>
      </w:r>
      <w:r w:rsidR="00C912D8" w:rsidRPr="00876846">
        <w:rPr>
          <w:rFonts w:cs="Arial"/>
          <w:szCs w:val="21"/>
        </w:rPr>
        <w:noBreakHyphen/>
        <w:t xml:space="preserve">makers may give an election notice to the </w:t>
      </w:r>
      <w:r w:rsidR="00514209" w:rsidRPr="00876846">
        <w:rPr>
          <w:rFonts w:cs="Arial"/>
          <w:szCs w:val="21"/>
        </w:rPr>
        <w:t>AR</w:t>
      </w:r>
      <w:r w:rsidR="00C912D8" w:rsidRPr="00876846">
        <w:rPr>
          <w:rFonts w:cs="Arial"/>
          <w:szCs w:val="21"/>
        </w:rPr>
        <w:t>T not to participate in proceedings other than a directions hearing.</w:t>
      </w:r>
      <w:r w:rsidR="00C912D8" w:rsidRPr="00E206FF">
        <w:rPr>
          <w:rStyle w:val="FootnoteReference"/>
          <w:rFonts w:cs="Arial"/>
          <w:szCs w:val="21"/>
        </w:rPr>
        <w:footnoteReference w:id="64"/>
      </w:r>
      <w:r w:rsidR="00C912D8" w:rsidRPr="00876846">
        <w:rPr>
          <w:rFonts w:cs="Arial"/>
          <w:szCs w:val="21"/>
        </w:rPr>
        <w:t xml:space="preserve"> In the case of social security matters, the </w:t>
      </w:r>
      <w:r w:rsidR="00C912D8" w:rsidRPr="00876846">
        <w:rPr>
          <w:rFonts w:cs="Arial"/>
          <w:i/>
          <w:szCs w:val="21"/>
        </w:rPr>
        <w:t xml:space="preserve">Social Security (Administration) Act </w:t>
      </w:r>
      <w:r w:rsidR="00C912D8" w:rsidRPr="00ED35E7">
        <w:rPr>
          <w:rFonts w:cs="Arial"/>
          <w:iCs/>
          <w:szCs w:val="21"/>
        </w:rPr>
        <w:t>1999</w:t>
      </w:r>
      <w:r w:rsidR="00C912D8" w:rsidRPr="00876846">
        <w:rPr>
          <w:rFonts w:cs="Arial"/>
          <w:i/>
          <w:szCs w:val="21"/>
        </w:rPr>
        <w:t xml:space="preserve"> </w:t>
      </w:r>
      <w:r w:rsidR="00514209" w:rsidRPr="00876846">
        <w:rPr>
          <w:rFonts w:cs="Arial"/>
          <w:iCs/>
          <w:szCs w:val="21"/>
        </w:rPr>
        <w:t>(</w:t>
      </w:r>
      <w:proofErr w:type="spellStart"/>
      <w:r w:rsidR="00514209" w:rsidRPr="00876846">
        <w:rPr>
          <w:rFonts w:cs="Arial"/>
          <w:iCs/>
          <w:szCs w:val="21"/>
        </w:rPr>
        <w:t>Cth</w:t>
      </w:r>
      <w:proofErr w:type="spellEnd"/>
      <w:r w:rsidR="00514209" w:rsidRPr="00876846">
        <w:rPr>
          <w:rFonts w:cs="Arial"/>
          <w:iCs/>
          <w:szCs w:val="21"/>
        </w:rPr>
        <w:t xml:space="preserve">) </w:t>
      </w:r>
      <w:r w:rsidR="00C912D8" w:rsidRPr="00876846">
        <w:rPr>
          <w:rFonts w:cs="Arial"/>
          <w:szCs w:val="21"/>
        </w:rPr>
        <w:t>provides that the Department is deemed to have elected not to participate in first</w:t>
      </w:r>
      <w:r w:rsidR="00F16B94" w:rsidRPr="00876846">
        <w:rPr>
          <w:rFonts w:cs="Arial"/>
          <w:szCs w:val="21"/>
        </w:rPr>
        <w:t xml:space="preserve"> </w:t>
      </w:r>
      <w:r w:rsidR="00C912D8" w:rsidRPr="00876846">
        <w:rPr>
          <w:rFonts w:cs="Arial"/>
          <w:szCs w:val="21"/>
        </w:rPr>
        <w:t>review.</w:t>
      </w:r>
      <w:r w:rsidR="00C912D8" w:rsidRPr="004E5A53">
        <w:rPr>
          <w:rStyle w:val="FootnoteReference"/>
          <w:rFonts w:cs="Arial"/>
          <w:szCs w:val="21"/>
        </w:rPr>
        <w:footnoteReference w:id="65"/>
      </w:r>
    </w:p>
    <w:p w14:paraId="5222764E" w14:textId="77777777" w:rsidR="00876846" w:rsidRPr="00876846" w:rsidRDefault="00876846" w:rsidP="00876846">
      <w:pPr>
        <w:pStyle w:val="ListParagraph"/>
        <w:jc w:val="both"/>
        <w:rPr>
          <w:rFonts w:cs="Arial"/>
          <w:szCs w:val="21"/>
        </w:rPr>
      </w:pPr>
    </w:p>
    <w:p w14:paraId="22C00719" w14:textId="01C686AB" w:rsidR="00C912D8" w:rsidRPr="00876846" w:rsidRDefault="00C912D8" w:rsidP="00ED35E7">
      <w:pPr>
        <w:pStyle w:val="ListParagraph"/>
        <w:numPr>
          <w:ilvl w:val="1"/>
          <w:numId w:val="34"/>
        </w:numPr>
        <w:jc w:val="both"/>
        <w:rPr>
          <w:rFonts w:cs="Arial"/>
          <w:szCs w:val="21"/>
        </w:rPr>
      </w:pPr>
      <w:r w:rsidRPr="00876846">
        <w:rPr>
          <w:rFonts w:cs="Arial"/>
          <w:szCs w:val="21"/>
        </w:rPr>
        <w:t xml:space="preserve">The </w:t>
      </w:r>
      <w:r w:rsidR="00514209" w:rsidRPr="00876846">
        <w:rPr>
          <w:rFonts w:cs="Arial"/>
          <w:szCs w:val="21"/>
        </w:rPr>
        <w:t>AR</w:t>
      </w:r>
      <w:r w:rsidRPr="00876846">
        <w:rPr>
          <w:rFonts w:cs="Arial"/>
          <w:szCs w:val="21"/>
        </w:rPr>
        <w:t xml:space="preserve">T may order </w:t>
      </w:r>
      <w:r w:rsidR="00E25117" w:rsidRPr="00876846">
        <w:rPr>
          <w:rFonts w:cs="Arial"/>
          <w:szCs w:val="21"/>
        </w:rPr>
        <w:t xml:space="preserve">a </w:t>
      </w:r>
      <w:r w:rsidRPr="00876846">
        <w:rPr>
          <w:rFonts w:cs="Arial"/>
          <w:szCs w:val="21"/>
        </w:rPr>
        <w:t>non</w:t>
      </w:r>
      <w:r w:rsidRPr="00876846">
        <w:rPr>
          <w:rFonts w:ascii="Cambria Math" w:hAnsi="Cambria Math" w:cs="Cambria Math"/>
          <w:szCs w:val="21"/>
        </w:rPr>
        <w:t>‑</w:t>
      </w:r>
      <w:r w:rsidRPr="00876846">
        <w:rPr>
          <w:rFonts w:cs="Arial"/>
          <w:szCs w:val="21"/>
        </w:rPr>
        <w:t>participating party to participate, appear or provide written submissions under section 63(2) of the ART Act.</w:t>
      </w:r>
      <w:r w:rsidRPr="00876846">
        <w:rPr>
          <w:rStyle w:val="FootnoteReference"/>
          <w:rFonts w:cs="Arial"/>
          <w:szCs w:val="21"/>
        </w:rPr>
        <w:t xml:space="preserve"> </w:t>
      </w:r>
      <w:r w:rsidRPr="00E206FF">
        <w:rPr>
          <w:rStyle w:val="FootnoteReference"/>
          <w:rFonts w:cs="Arial"/>
          <w:szCs w:val="21"/>
        </w:rPr>
        <w:footnoteReference w:id="66"/>
      </w:r>
      <w:r w:rsidRPr="00876846">
        <w:rPr>
          <w:rFonts w:cs="Arial"/>
          <w:szCs w:val="21"/>
        </w:rPr>
        <w:t xml:space="preserve"> This means the </w:t>
      </w:r>
      <w:r w:rsidR="00264ED8" w:rsidRPr="00876846">
        <w:rPr>
          <w:rFonts w:cs="Arial"/>
          <w:szCs w:val="21"/>
        </w:rPr>
        <w:t xml:space="preserve">Department </w:t>
      </w:r>
      <w:r w:rsidRPr="00876846">
        <w:rPr>
          <w:rFonts w:cs="Arial"/>
          <w:szCs w:val="21"/>
        </w:rPr>
        <w:t>can currently be required to participate at first</w:t>
      </w:r>
      <w:r w:rsidR="00514209" w:rsidRPr="00876846">
        <w:rPr>
          <w:rFonts w:cs="Arial"/>
          <w:szCs w:val="21"/>
        </w:rPr>
        <w:t xml:space="preserve"> </w:t>
      </w:r>
      <w:r w:rsidRPr="00876846">
        <w:rPr>
          <w:rFonts w:cs="Arial"/>
          <w:szCs w:val="21"/>
        </w:rPr>
        <w:t xml:space="preserve">review on a case by case basis, </w:t>
      </w:r>
      <w:r w:rsidR="00514209" w:rsidRPr="00876846">
        <w:rPr>
          <w:rFonts w:cs="Arial"/>
          <w:szCs w:val="21"/>
        </w:rPr>
        <w:t>by</w:t>
      </w:r>
      <w:r w:rsidRPr="00876846">
        <w:rPr>
          <w:rFonts w:cs="Arial"/>
          <w:szCs w:val="21"/>
        </w:rPr>
        <w:t xml:space="preserve"> order of the </w:t>
      </w:r>
      <w:r w:rsidR="00514209" w:rsidRPr="00876846">
        <w:rPr>
          <w:rFonts w:cs="Arial"/>
          <w:szCs w:val="21"/>
        </w:rPr>
        <w:t>AR</w:t>
      </w:r>
      <w:r w:rsidRPr="00876846">
        <w:rPr>
          <w:rFonts w:cs="Arial"/>
          <w:szCs w:val="21"/>
        </w:rPr>
        <w:t xml:space="preserve">T. </w:t>
      </w:r>
      <w:r w:rsidR="0010422F">
        <w:rPr>
          <w:rFonts w:cs="Arial"/>
          <w:szCs w:val="21"/>
        </w:rPr>
        <w:t>T</w:t>
      </w:r>
      <w:r w:rsidR="0010422F">
        <w:t>he Department may also issue a participation notice to request to participate in individual matters or case events, notwithstanding that it has been deemed to be a non-participating party.</w:t>
      </w:r>
      <w:r w:rsidR="0010422F" w:rsidRPr="00876846">
        <w:rPr>
          <w:rFonts w:cs="Arial"/>
          <w:szCs w:val="21"/>
        </w:rPr>
        <w:t xml:space="preserve"> </w:t>
      </w:r>
      <w:r w:rsidRPr="00876846">
        <w:rPr>
          <w:rFonts w:cs="Arial"/>
          <w:szCs w:val="21"/>
        </w:rPr>
        <w:t xml:space="preserve">This </w:t>
      </w:r>
      <w:r w:rsidR="00115848" w:rsidRPr="00876846">
        <w:rPr>
          <w:rFonts w:cs="Arial"/>
          <w:szCs w:val="21"/>
        </w:rPr>
        <w:t xml:space="preserve">is intended to </w:t>
      </w:r>
      <w:r w:rsidRPr="00876846">
        <w:rPr>
          <w:rFonts w:cs="Arial"/>
          <w:szCs w:val="21"/>
        </w:rPr>
        <w:t xml:space="preserve">form part of the improved flexibility provided by the ART Act for </w:t>
      </w:r>
      <w:r w:rsidR="00115848" w:rsidRPr="00876846">
        <w:rPr>
          <w:rFonts w:cs="Arial"/>
          <w:szCs w:val="21"/>
        </w:rPr>
        <w:t>the handling of matters.</w:t>
      </w:r>
    </w:p>
    <w:p w14:paraId="2DE7097A" w14:textId="46A6E862" w:rsidR="00054D11" w:rsidRDefault="00F366FE" w:rsidP="00173D60">
      <w:pPr>
        <w:pStyle w:val="Heading4"/>
        <w:jc w:val="both"/>
      </w:pPr>
      <w:r>
        <w:t xml:space="preserve">Implications of non-participation </w:t>
      </w:r>
    </w:p>
    <w:p w14:paraId="61147126" w14:textId="7BD7EDA7" w:rsidR="00643FD6" w:rsidRDefault="003707AB" w:rsidP="00ED35E7">
      <w:pPr>
        <w:pStyle w:val="ListParagraph"/>
        <w:numPr>
          <w:ilvl w:val="1"/>
          <w:numId w:val="34"/>
        </w:numPr>
        <w:jc w:val="both"/>
        <w:rPr>
          <w:rFonts w:cs="Arial"/>
          <w:szCs w:val="21"/>
        </w:rPr>
      </w:pPr>
      <w:r w:rsidRPr="00876846">
        <w:rPr>
          <w:rFonts w:cs="Arial"/>
          <w:szCs w:val="21"/>
        </w:rPr>
        <w:t>Under the single-tier review structure initially proposed by the ART Bills, the Department would have been required to participate in social security proceedings as a default</w:t>
      </w:r>
      <w:r w:rsidR="00514209" w:rsidRPr="00876846">
        <w:rPr>
          <w:rFonts w:cs="Arial"/>
          <w:szCs w:val="21"/>
        </w:rPr>
        <w:t xml:space="preserve"> position</w:t>
      </w:r>
      <w:r w:rsidRPr="00876846">
        <w:rPr>
          <w:rFonts w:cs="Arial"/>
          <w:szCs w:val="21"/>
        </w:rPr>
        <w:t>.</w:t>
      </w:r>
      <w:r w:rsidRPr="00E206FF">
        <w:rPr>
          <w:vertAlign w:val="superscript"/>
        </w:rPr>
        <w:footnoteReference w:id="67"/>
      </w:r>
      <w:r w:rsidRPr="00876846">
        <w:rPr>
          <w:rFonts w:cs="Arial"/>
          <w:szCs w:val="21"/>
        </w:rPr>
        <w:t xml:space="preserve"> Feedback from legal assistance groups during the Parliamentary Committee stages indicated that the absence of the Department during first</w:t>
      </w:r>
      <w:r w:rsidR="00514209" w:rsidRPr="00876846">
        <w:rPr>
          <w:rFonts w:cs="Arial"/>
          <w:szCs w:val="21"/>
        </w:rPr>
        <w:t xml:space="preserve"> </w:t>
      </w:r>
      <w:r w:rsidRPr="00876846">
        <w:rPr>
          <w:rFonts w:cs="Arial"/>
          <w:szCs w:val="21"/>
        </w:rPr>
        <w:t>review was a key advantage of the process and promoted the accessibility of review for applicants who were unrepresented and/or had negative experiences in engaging with Centrelink.</w:t>
      </w:r>
      <w:r w:rsidRPr="00643FD6">
        <w:rPr>
          <w:vertAlign w:val="superscript"/>
        </w:rPr>
        <w:footnoteReference w:id="68"/>
      </w:r>
      <w:r w:rsidR="00643FD6" w:rsidRPr="00876846">
        <w:rPr>
          <w:rFonts w:cs="Arial"/>
          <w:szCs w:val="21"/>
        </w:rPr>
        <w:t xml:space="preserve"> </w:t>
      </w:r>
    </w:p>
    <w:p w14:paraId="597601C0" w14:textId="7A746A39" w:rsidR="00876846" w:rsidRPr="00876846" w:rsidRDefault="00876846" w:rsidP="00876846">
      <w:pPr>
        <w:pStyle w:val="ListParagraph"/>
        <w:jc w:val="both"/>
        <w:rPr>
          <w:rFonts w:cs="Arial"/>
          <w:szCs w:val="21"/>
        </w:rPr>
      </w:pPr>
    </w:p>
    <w:p w14:paraId="1D8858A3" w14:textId="25C51E13" w:rsidR="003707AB" w:rsidRPr="00876846" w:rsidRDefault="00643FD6" w:rsidP="00ED35E7">
      <w:pPr>
        <w:pStyle w:val="ListParagraph"/>
        <w:numPr>
          <w:ilvl w:val="1"/>
          <w:numId w:val="34"/>
        </w:numPr>
        <w:jc w:val="both"/>
        <w:rPr>
          <w:rFonts w:cs="Arial"/>
          <w:szCs w:val="21"/>
        </w:rPr>
      </w:pPr>
      <w:r w:rsidRPr="00876846">
        <w:rPr>
          <w:rFonts w:cs="Arial"/>
          <w:szCs w:val="21"/>
        </w:rPr>
        <w:t>This evidence suggests that</w:t>
      </w:r>
      <w:r w:rsidR="00A502A9" w:rsidRPr="00876846">
        <w:rPr>
          <w:rFonts w:cs="Arial"/>
          <w:szCs w:val="21"/>
        </w:rPr>
        <w:t xml:space="preserve"> the Department’s non-participation</w:t>
      </w:r>
      <w:r w:rsidR="003707AB" w:rsidRPr="00876846">
        <w:rPr>
          <w:rFonts w:cs="Arial"/>
          <w:szCs w:val="21"/>
        </w:rPr>
        <w:t xml:space="preserve"> </w:t>
      </w:r>
      <w:r w:rsidR="00A502A9" w:rsidRPr="00876846">
        <w:rPr>
          <w:rFonts w:cs="Arial"/>
          <w:szCs w:val="21"/>
        </w:rPr>
        <w:t>at first</w:t>
      </w:r>
      <w:r w:rsidR="00514209" w:rsidRPr="00876846">
        <w:rPr>
          <w:rFonts w:cs="Arial"/>
          <w:szCs w:val="21"/>
        </w:rPr>
        <w:t xml:space="preserve"> </w:t>
      </w:r>
      <w:r w:rsidR="00A502A9" w:rsidRPr="00876846">
        <w:rPr>
          <w:rFonts w:cs="Arial"/>
          <w:szCs w:val="21"/>
        </w:rPr>
        <w:t xml:space="preserve">review </w:t>
      </w:r>
      <w:r w:rsidRPr="00876846">
        <w:rPr>
          <w:rFonts w:cs="Arial"/>
          <w:szCs w:val="21"/>
        </w:rPr>
        <w:t>may assist to</w:t>
      </w:r>
      <w:r w:rsidR="003707AB" w:rsidRPr="00876846">
        <w:rPr>
          <w:rFonts w:cs="Arial"/>
          <w:szCs w:val="21"/>
        </w:rPr>
        <w:t xml:space="preserve"> further the objective</w:t>
      </w:r>
      <w:r w:rsidR="00A502A9" w:rsidRPr="00876846">
        <w:rPr>
          <w:rFonts w:cs="Arial"/>
          <w:szCs w:val="21"/>
        </w:rPr>
        <w:t>s</w:t>
      </w:r>
      <w:r w:rsidR="003707AB" w:rsidRPr="00876846">
        <w:rPr>
          <w:rFonts w:cs="Arial"/>
          <w:szCs w:val="21"/>
        </w:rPr>
        <w:t xml:space="preserve"> of the Tribunal</w:t>
      </w:r>
      <w:r w:rsidR="00A502A9" w:rsidRPr="00876846">
        <w:rPr>
          <w:rFonts w:cs="Arial"/>
          <w:szCs w:val="21"/>
        </w:rPr>
        <w:t>, and particularly</w:t>
      </w:r>
      <w:r w:rsidR="00E25117" w:rsidRPr="00876846">
        <w:rPr>
          <w:rFonts w:cs="Arial"/>
          <w:szCs w:val="21"/>
        </w:rPr>
        <w:t xml:space="preserve"> ensure</w:t>
      </w:r>
      <w:r w:rsidR="003707AB" w:rsidRPr="00876846">
        <w:rPr>
          <w:rFonts w:cs="Arial"/>
          <w:szCs w:val="21"/>
        </w:rPr>
        <w:t xml:space="preserve"> </w:t>
      </w:r>
      <w:r w:rsidR="00514209" w:rsidRPr="00876846">
        <w:rPr>
          <w:rFonts w:cs="Arial"/>
          <w:szCs w:val="21"/>
        </w:rPr>
        <w:t>“</w:t>
      </w:r>
      <w:r w:rsidR="003707AB" w:rsidRPr="00876846">
        <w:rPr>
          <w:rFonts w:cs="Arial"/>
          <w:szCs w:val="21"/>
        </w:rPr>
        <w:t>…that applications to the Tribunal are resolved as quickly, and with as little formality and expense, as a proper consideration of the matters before the Tribunal permits.</w:t>
      </w:r>
      <w:r w:rsidR="00514209" w:rsidRPr="00876846">
        <w:rPr>
          <w:rFonts w:cs="Arial"/>
          <w:szCs w:val="21"/>
        </w:rPr>
        <w:t>”</w:t>
      </w:r>
      <w:r w:rsidR="003707AB" w:rsidRPr="00643FD6">
        <w:rPr>
          <w:rStyle w:val="FootnoteReference"/>
          <w:rFonts w:cs="Arial"/>
          <w:szCs w:val="21"/>
        </w:rPr>
        <w:footnoteReference w:id="69"/>
      </w:r>
    </w:p>
    <w:p w14:paraId="5EB08C28" w14:textId="77777777" w:rsidR="00643FD6" w:rsidRDefault="00643FD6" w:rsidP="00643FD6">
      <w:pPr>
        <w:pStyle w:val="Heading4"/>
        <w:jc w:val="both"/>
      </w:pPr>
      <w:r w:rsidRPr="00643FD6">
        <w:lastRenderedPageBreak/>
        <w:t>Obligation to assist Tribunal</w:t>
      </w:r>
    </w:p>
    <w:p w14:paraId="12BD21FC" w14:textId="11B0CB63" w:rsidR="003707AB" w:rsidRDefault="003707AB" w:rsidP="00ED35E7">
      <w:pPr>
        <w:pStyle w:val="ListParagraph"/>
        <w:numPr>
          <w:ilvl w:val="1"/>
          <w:numId w:val="34"/>
        </w:numPr>
        <w:jc w:val="both"/>
        <w:rPr>
          <w:rFonts w:cs="Arial"/>
          <w:szCs w:val="21"/>
        </w:rPr>
      </w:pPr>
      <w:r w:rsidRPr="00876846">
        <w:rPr>
          <w:rFonts w:cs="Arial"/>
          <w:szCs w:val="21"/>
        </w:rPr>
        <w:t xml:space="preserve">Current arrangements </w:t>
      </w:r>
      <w:r w:rsidR="00514209" w:rsidRPr="00876846">
        <w:rPr>
          <w:rFonts w:cs="Arial"/>
          <w:szCs w:val="21"/>
        </w:rPr>
        <w:t xml:space="preserve">relating to </w:t>
      </w:r>
      <w:r w:rsidRPr="00876846">
        <w:rPr>
          <w:rFonts w:cs="Arial"/>
          <w:szCs w:val="21"/>
        </w:rPr>
        <w:t>a non</w:t>
      </w:r>
      <w:r w:rsidRPr="00876846">
        <w:rPr>
          <w:rFonts w:ascii="Cambria Math" w:hAnsi="Cambria Math" w:cs="Cambria Math"/>
          <w:szCs w:val="21"/>
        </w:rPr>
        <w:t>‑</w:t>
      </w:r>
      <w:r w:rsidRPr="00876846">
        <w:rPr>
          <w:rFonts w:cs="Arial"/>
          <w:szCs w:val="21"/>
        </w:rPr>
        <w:t xml:space="preserve">participating party’s obligation to assist the </w:t>
      </w:r>
      <w:r w:rsidR="00514209" w:rsidRPr="00876846">
        <w:rPr>
          <w:rFonts w:cs="Arial"/>
          <w:szCs w:val="21"/>
        </w:rPr>
        <w:t>AAT</w:t>
      </w:r>
      <w:r w:rsidRPr="00876846">
        <w:rPr>
          <w:rFonts w:cs="Arial"/>
          <w:szCs w:val="21"/>
        </w:rPr>
        <w:t xml:space="preserve"> have narrowed with the commencement of the ART Act.</w:t>
      </w:r>
      <w:r w:rsidRPr="00E206FF">
        <w:rPr>
          <w:rStyle w:val="FootnoteReference"/>
          <w:rFonts w:cs="Arial"/>
          <w:szCs w:val="21"/>
        </w:rPr>
        <w:footnoteReference w:id="70"/>
      </w:r>
      <w:r w:rsidRPr="00876846">
        <w:rPr>
          <w:rFonts w:cs="Arial"/>
          <w:szCs w:val="21"/>
        </w:rPr>
        <w:t xml:space="preserve"> Generally, the obligations of a Commonwealth Department at first</w:t>
      </w:r>
      <w:r w:rsidR="00514209" w:rsidRPr="00876846">
        <w:rPr>
          <w:rFonts w:cs="Arial"/>
          <w:szCs w:val="21"/>
        </w:rPr>
        <w:t xml:space="preserve"> </w:t>
      </w:r>
      <w:r w:rsidRPr="00876846">
        <w:rPr>
          <w:rFonts w:cs="Arial"/>
          <w:szCs w:val="21"/>
        </w:rPr>
        <w:t xml:space="preserve">review have operated under a framework involving the AAT Act and the </w:t>
      </w:r>
      <w:r w:rsidRPr="00876846">
        <w:rPr>
          <w:rFonts w:cs="Arial"/>
          <w:i/>
          <w:szCs w:val="21"/>
        </w:rPr>
        <w:t xml:space="preserve">Legal Services </w:t>
      </w:r>
      <w:r w:rsidRPr="00066C86">
        <w:rPr>
          <w:rFonts w:cs="Arial"/>
          <w:i/>
          <w:szCs w:val="21"/>
        </w:rPr>
        <w:t xml:space="preserve">Directions </w:t>
      </w:r>
      <w:r w:rsidRPr="00F67DB1">
        <w:rPr>
          <w:rFonts w:cs="Arial"/>
          <w:i/>
          <w:szCs w:val="21"/>
        </w:rPr>
        <w:t>2017</w:t>
      </w:r>
      <w:r w:rsidR="00514209" w:rsidRPr="00876846">
        <w:rPr>
          <w:rFonts w:cs="Arial"/>
          <w:szCs w:val="21"/>
        </w:rPr>
        <w:t xml:space="preserve"> (</w:t>
      </w:r>
      <w:proofErr w:type="spellStart"/>
      <w:r w:rsidR="00514209" w:rsidRPr="00876846">
        <w:rPr>
          <w:rFonts w:cs="Arial"/>
          <w:szCs w:val="21"/>
        </w:rPr>
        <w:t>Cth</w:t>
      </w:r>
      <w:proofErr w:type="spellEnd"/>
      <w:r w:rsidR="00514209" w:rsidRPr="00876846">
        <w:rPr>
          <w:rFonts w:cs="Arial"/>
          <w:szCs w:val="21"/>
        </w:rPr>
        <w:t>)</w:t>
      </w:r>
      <w:r w:rsidRPr="00876846">
        <w:rPr>
          <w:rFonts w:cs="Arial"/>
          <w:szCs w:val="21"/>
        </w:rPr>
        <w:t>.</w:t>
      </w:r>
      <w:r w:rsidRPr="00E206FF">
        <w:rPr>
          <w:rStyle w:val="FootnoteReference"/>
          <w:rFonts w:cs="Arial"/>
          <w:szCs w:val="21"/>
        </w:rPr>
        <w:footnoteReference w:id="71"/>
      </w:r>
      <w:r w:rsidRPr="00876846">
        <w:rPr>
          <w:rFonts w:cs="Arial"/>
          <w:szCs w:val="21"/>
        </w:rPr>
        <w:t xml:space="preserve"> Appendix B to the </w:t>
      </w:r>
      <w:r w:rsidRPr="00876846">
        <w:rPr>
          <w:rFonts w:cs="Arial"/>
          <w:i/>
          <w:szCs w:val="21"/>
        </w:rPr>
        <w:t xml:space="preserve">Legal Services Directions </w:t>
      </w:r>
      <w:r w:rsidRPr="00F67DB1">
        <w:rPr>
          <w:rFonts w:cs="Arial"/>
          <w:i/>
          <w:szCs w:val="21"/>
        </w:rPr>
        <w:t>2017</w:t>
      </w:r>
      <w:r w:rsidRPr="00876846">
        <w:rPr>
          <w:rFonts w:cs="Arial"/>
          <w:szCs w:val="21"/>
        </w:rPr>
        <w:t xml:space="preserve"> sets out the model litigant obligations that apply to the Commonwealth, including as parties to proceedings in the ART.</w:t>
      </w:r>
      <w:r w:rsidRPr="00E206FF">
        <w:rPr>
          <w:rStyle w:val="FootnoteReference"/>
          <w:rFonts w:cs="Arial"/>
          <w:szCs w:val="21"/>
        </w:rPr>
        <w:footnoteReference w:id="72"/>
      </w:r>
    </w:p>
    <w:p w14:paraId="46775002" w14:textId="77777777" w:rsidR="00291ADF" w:rsidRPr="00876846" w:rsidRDefault="00291ADF" w:rsidP="00291ADF">
      <w:pPr>
        <w:pStyle w:val="ListParagraph"/>
        <w:jc w:val="both"/>
        <w:rPr>
          <w:rFonts w:cs="Arial"/>
          <w:szCs w:val="21"/>
        </w:rPr>
      </w:pPr>
    </w:p>
    <w:p w14:paraId="3B38B3EB" w14:textId="7AE984D3" w:rsidR="00291ADF" w:rsidRPr="00291ADF" w:rsidRDefault="003707AB" w:rsidP="00ED35E7">
      <w:pPr>
        <w:pStyle w:val="ListParagraph"/>
        <w:numPr>
          <w:ilvl w:val="1"/>
          <w:numId w:val="34"/>
        </w:numPr>
        <w:jc w:val="both"/>
        <w:rPr>
          <w:rFonts w:cs="Arial"/>
          <w:szCs w:val="21"/>
        </w:rPr>
      </w:pPr>
      <w:r w:rsidRPr="00291ADF">
        <w:rPr>
          <w:rFonts w:cs="Arial"/>
          <w:szCs w:val="21"/>
        </w:rPr>
        <w:t xml:space="preserve">Under the ART Act, decision-makers and their representatives must use their best endeavours to assist the </w:t>
      </w:r>
      <w:r w:rsidR="00514209" w:rsidRPr="00291ADF">
        <w:rPr>
          <w:rFonts w:cs="Arial"/>
          <w:szCs w:val="21"/>
        </w:rPr>
        <w:t>AR</w:t>
      </w:r>
      <w:r w:rsidRPr="00291ADF">
        <w:rPr>
          <w:rFonts w:cs="Arial"/>
          <w:szCs w:val="21"/>
        </w:rPr>
        <w:t>T.</w:t>
      </w:r>
      <w:r w:rsidRPr="00E206FF">
        <w:rPr>
          <w:rStyle w:val="FootnoteReference"/>
          <w:rFonts w:cs="Arial"/>
          <w:szCs w:val="21"/>
        </w:rPr>
        <w:footnoteReference w:id="73"/>
      </w:r>
      <w:r w:rsidRPr="00291ADF">
        <w:rPr>
          <w:rFonts w:cs="Arial"/>
          <w:szCs w:val="21"/>
        </w:rPr>
        <w:t xml:space="preserve"> Under Paragraph 4 of Appendix B of the </w:t>
      </w:r>
      <w:r w:rsidR="00514209" w:rsidRPr="00291ADF">
        <w:rPr>
          <w:rFonts w:cs="Arial"/>
          <w:i/>
          <w:szCs w:val="21"/>
        </w:rPr>
        <w:t xml:space="preserve">Legal Services </w:t>
      </w:r>
      <w:r w:rsidRPr="00291ADF">
        <w:rPr>
          <w:rFonts w:cs="Arial"/>
          <w:i/>
          <w:szCs w:val="21"/>
        </w:rPr>
        <w:t>Directions</w:t>
      </w:r>
      <w:r w:rsidRPr="00291ADF">
        <w:rPr>
          <w:rFonts w:cs="Arial"/>
          <w:szCs w:val="21"/>
        </w:rPr>
        <w:t xml:space="preserve"> a Commonwealth agency </w:t>
      </w:r>
      <w:r w:rsidR="00514209" w:rsidRPr="00291ADF">
        <w:rPr>
          <w:rFonts w:cs="Arial"/>
          <w:szCs w:val="21"/>
        </w:rPr>
        <w:t>“</w:t>
      </w:r>
      <w:r w:rsidRPr="00291ADF">
        <w:rPr>
          <w:rFonts w:cs="Arial"/>
          <w:szCs w:val="21"/>
        </w:rPr>
        <w:t>should use its best endeavours to assist the tribunal to make its decision.</w:t>
      </w:r>
      <w:r w:rsidR="00514209" w:rsidRPr="00291ADF">
        <w:rPr>
          <w:rFonts w:cs="Arial"/>
          <w:szCs w:val="21"/>
        </w:rPr>
        <w:t>”</w:t>
      </w:r>
      <w:r w:rsidRPr="00E206FF">
        <w:rPr>
          <w:rStyle w:val="FootnoteReference"/>
          <w:rFonts w:cs="Arial"/>
          <w:szCs w:val="21"/>
        </w:rPr>
        <w:footnoteReference w:id="74"/>
      </w:r>
      <w:r w:rsidRPr="00291ADF">
        <w:rPr>
          <w:rFonts w:cs="Arial"/>
          <w:szCs w:val="21"/>
        </w:rPr>
        <w:t xml:space="preserve"> </w:t>
      </w:r>
      <w:r w:rsidR="00291ADF">
        <w:rPr>
          <w:rFonts w:cs="Arial"/>
          <w:szCs w:val="21"/>
        </w:rPr>
        <w:tab/>
      </w:r>
      <w:r w:rsidR="00291ADF">
        <w:rPr>
          <w:rFonts w:cs="Arial"/>
          <w:szCs w:val="21"/>
        </w:rPr>
        <w:br/>
      </w:r>
    </w:p>
    <w:p w14:paraId="2CCE30E1" w14:textId="630F871C" w:rsidR="00BF64C5" w:rsidRPr="00291ADF" w:rsidRDefault="003707AB" w:rsidP="00ED35E7">
      <w:pPr>
        <w:pStyle w:val="ListParagraph"/>
        <w:numPr>
          <w:ilvl w:val="1"/>
          <w:numId w:val="34"/>
        </w:numPr>
        <w:jc w:val="both"/>
        <w:rPr>
          <w:rFonts w:cs="Arial"/>
          <w:szCs w:val="21"/>
        </w:rPr>
      </w:pPr>
      <w:r w:rsidRPr="00291ADF">
        <w:rPr>
          <w:rFonts w:cs="Arial"/>
          <w:szCs w:val="21"/>
        </w:rPr>
        <w:t>Section 56(3) of the ART Act limits this obligation</w:t>
      </w:r>
      <w:r w:rsidR="00BF64C5" w:rsidRPr="00291ADF">
        <w:rPr>
          <w:rFonts w:cs="Arial"/>
          <w:szCs w:val="21"/>
        </w:rPr>
        <w:t xml:space="preserve"> for non-participating parties so that it applies only in relation to action the party is required to take by the ART Act or by the </w:t>
      </w:r>
      <w:r w:rsidR="00514209" w:rsidRPr="00291ADF">
        <w:rPr>
          <w:rFonts w:cs="Arial"/>
          <w:szCs w:val="21"/>
        </w:rPr>
        <w:t>AR</w:t>
      </w:r>
      <w:r w:rsidR="00BF64C5" w:rsidRPr="00291ADF">
        <w:rPr>
          <w:rFonts w:cs="Arial"/>
          <w:szCs w:val="21"/>
        </w:rPr>
        <w:t>T in relation to the proceeding</w:t>
      </w:r>
      <w:r w:rsidRPr="00291ADF">
        <w:rPr>
          <w:rFonts w:cs="Arial"/>
          <w:szCs w:val="21"/>
        </w:rPr>
        <w:t xml:space="preserve">. According to the explanatory material for the ART Bill, the </w:t>
      </w:r>
      <w:r w:rsidR="00BF64C5" w:rsidRPr="00291ADF">
        <w:rPr>
          <w:rFonts w:cs="Arial"/>
          <w:szCs w:val="21"/>
        </w:rPr>
        <w:t>obligation:</w:t>
      </w:r>
    </w:p>
    <w:p w14:paraId="72B1E749" w14:textId="1271AA3E" w:rsidR="003707AB" w:rsidRDefault="003707AB" w:rsidP="00291ADF">
      <w:pPr>
        <w:ind w:left="1440"/>
        <w:jc w:val="both"/>
        <w:rPr>
          <w:rFonts w:cs="Arial"/>
          <w:szCs w:val="21"/>
        </w:rPr>
      </w:pPr>
      <w:r w:rsidRPr="000C60D0">
        <w:rPr>
          <w:rFonts w:cs="Arial"/>
          <w:szCs w:val="21"/>
        </w:rPr>
        <w:t>only applies to the extent that the party is participating in the proceeding.</w:t>
      </w:r>
      <w:r>
        <w:rPr>
          <w:rStyle w:val="FootnoteReference"/>
          <w:rFonts w:cs="Arial"/>
          <w:szCs w:val="21"/>
        </w:rPr>
        <w:t xml:space="preserve"> </w:t>
      </w:r>
      <w:r w:rsidRPr="0020729C">
        <w:rPr>
          <w:rFonts w:cs="Arial"/>
          <w:szCs w:val="21"/>
        </w:rPr>
        <w:t>This is because a non-participating party is necessarily hampered in its ability to assist the Tribunal</w:t>
      </w:r>
      <w:r w:rsidR="00BF64C5">
        <w:rPr>
          <w:rFonts w:cs="Arial"/>
          <w:szCs w:val="21"/>
        </w:rPr>
        <w:t>… R</w:t>
      </w:r>
      <w:r>
        <w:rPr>
          <w:rFonts w:cs="Arial"/>
          <w:szCs w:val="21"/>
        </w:rPr>
        <w:t>ather</w:t>
      </w:r>
      <w:r w:rsidR="00BF64C5">
        <w:rPr>
          <w:rFonts w:cs="Arial"/>
          <w:szCs w:val="21"/>
        </w:rPr>
        <w:t>,</w:t>
      </w:r>
      <w:r>
        <w:rPr>
          <w:rFonts w:cs="Arial"/>
          <w:szCs w:val="21"/>
        </w:rPr>
        <w:t xml:space="preserve"> the obligation to assist …</w:t>
      </w:r>
      <w:r w:rsidRPr="0020729C">
        <w:t xml:space="preserve"> </w:t>
      </w:r>
      <w:r w:rsidRPr="0020729C">
        <w:rPr>
          <w:rFonts w:cs="Arial"/>
          <w:szCs w:val="21"/>
        </w:rPr>
        <w:t>would apply to steps of the proceeding that all</w:t>
      </w:r>
      <w:r>
        <w:rPr>
          <w:rFonts w:cs="Arial"/>
          <w:szCs w:val="21"/>
        </w:rPr>
        <w:t xml:space="preserve"> </w:t>
      </w:r>
      <w:r w:rsidRPr="0020729C">
        <w:rPr>
          <w:rFonts w:cs="Arial"/>
          <w:szCs w:val="21"/>
        </w:rPr>
        <w:t>decision-makers are required to take, such as provision of document</w:t>
      </w:r>
      <w:r w:rsidR="00BF64C5">
        <w:rPr>
          <w:rFonts w:cs="Arial"/>
          <w:szCs w:val="21"/>
        </w:rPr>
        <w:t xml:space="preserve">s </w:t>
      </w:r>
      <w:r w:rsidR="00BF64C5" w:rsidRPr="00BF64C5">
        <w:rPr>
          <w:rFonts w:cs="Arial"/>
          <w:szCs w:val="21"/>
        </w:rPr>
        <w:t>under Division 4 of Part 3</w:t>
      </w:r>
      <w:r w:rsidR="00BF64C5">
        <w:rPr>
          <w:rFonts w:cs="Arial"/>
          <w:szCs w:val="21"/>
        </w:rPr>
        <w:t>.</w:t>
      </w:r>
      <w:r>
        <w:rPr>
          <w:rFonts w:cs="Arial"/>
          <w:szCs w:val="21"/>
        </w:rPr>
        <w:t>’</w:t>
      </w:r>
      <w:r w:rsidRPr="00E206FF">
        <w:rPr>
          <w:rStyle w:val="FootnoteReference"/>
          <w:rFonts w:cs="Arial"/>
          <w:szCs w:val="21"/>
        </w:rPr>
        <w:footnoteReference w:id="75"/>
      </w:r>
    </w:p>
    <w:p w14:paraId="3E2FDFE7" w14:textId="7D866C1A" w:rsidR="003707AB" w:rsidRPr="00291ADF" w:rsidRDefault="00D1696D" w:rsidP="00ED35E7">
      <w:pPr>
        <w:pStyle w:val="ListParagraph"/>
        <w:numPr>
          <w:ilvl w:val="1"/>
          <w:numId w:val="34"/>
        </w:numPr>
        <w:jc w:val="both"/>
        <w:rPr>
          <w:rFonts w:cs="Arial"/>
          <w:szCs w:val="21"/>
        </w:rPr>
      </w:pPr>
      <w:r w:rsidRPr="00291ADF">
        <w:rPr>
          <w:rFonts w:cs="Arial"/>
          <w:szCs w:val="21"/>
        </w:rPr>
        <w:t xml:space="preserve">The </w:t>
      </w:r>
      <w:r w:rsidR="00BF64C5" w:rsidRPr="00291ADF">
        <w:rPr>
          <w:rFonts w:cs="Arial"/>
          <w:szCs w:val="21"/>
        </w:rPr>
        <w:t xml:space="preserve">role of </w:t>
      </w:r>
      <w:r w:rsidR="00264ED8" w:rsidRPr="00291ADF">
        <w:rPr>
          <w:rFonts w:cs="Arial"/>
          <w:szCs w:val="21"/>
        </w:rPr>
        <w:t xml:space="preserve">the former Department of Human Services </w:t>
      </w:r>
      <w:r w:rsidR="00BF64C5" w:rsidRPr="00291ADF">
        <w:rPr>
          <w:rFonts w:cs="Arial"/>
          <w:szCs w:val="21"/>
        </w:rPr>
        <w:t xml:space="preserve">in </w:t>
      </w:r>
      <w:r w:rsidR="00514209" w:rsidRPr="00291ADF">
        <w:rPr>
          <w:rFonts w:cs="Arial"/>
          <w:szCs w:val="21"/>
        </w:rPr>
        <w:t>AA</w:t>
      </w:r>
      <w:r w:rsidR="003707AB" w:rsidRPr="00291ADF">
        <w:rPr>
          <w:rFonts w:cs="Arial"/>
          <w:szCs w:val="21"/>
        </w:rPr>
        <w:t xml:space="preserve">T proceedings was examined by the </w:t>
      </w:r>
      <w:proofErr w:type="spellStart"/>
      <w:r w:rsidR="00BF64C5" w:rsidRPr="00291ADF">
        <w:rPr>
          <w:rFonts w:cs="Arial"/>
          <w:szCs w:val="21"/>
        </w:rPr>
        <w:t>Robodebt</w:t>
      </w:r>
      <w:proofErr w:type="spellEnd"/>
      <w:r w:rsidR="00BF64C5" w:rsidRPr="00291ADF">
        <w:rPr>
          <w:rFonts w:cs="Arial"/>
          <w:szCs w:val="21"/>
        </w:rPr>
        <w:t xml:space="preserve"> Royal Commission, which </w:t>
      </w:r>
      <w:r w:rsidR="003707AB" w:rsidRPr="00291ADF">
        <w:rPr>
          <w:rFonts w:cs="Arial"/>
          <w:szCs w:val="21"/>
        </w:rPr>
        <w:t>noted</w:t>
      </w:r>
      <w:r w:rsidR="00BF64C5" w:rsidRPr="00291ADF">
        <w:rPr>
          <w:rFonts w:cs="Arial"/>
          <w:szCs w:val="21"/>
        </w:rPr>
        <w:t xml:space="preserve"> that</w:t>
      </w:r>
      <w:r w:rsidR="003707AB" w:rsidRPr="00291ADF">
        <w:rPr>
          <w:rFonts w:cs="Arial"/>
          <w:szCs w:val="21"/>
        </w:rPr>
        <w:t xml:space="preserve"> the conduct of a Commonwealth agency should align with the model litigant obligations in the </w:t>
      </w:r>
      <w:r w:rsidR="003707AB" w:rsidRPr="00291ADF">
        <w:rPr>
          <w:rFonts w:cs="Arial"/>
          <w:i/>
          <w:szCs w:val="21"/>
        </w:rPr>
        <w:t>Legal Services Directions</w:t>
      </w:r>
      <w:r w:rsidR="003707AB" w:rsidRPr="00291ADF">
        <w:rPr>
          <w:rFonts w:cs="Arial"/>
          <w:szCs w:val="21"/>
        </w:rPr>
        <w:t xml:space="preserve"> when engaging in litigation, including </w:t>
      </w:r>
      <w:r w:rsidR="00514209" w:rsidRPr="00291ADF">
        <w:rPr>
          <w:rFonts w:cs="Arial"/>
          <w:szCs w:val="21"/>
        </w:rPr>
        <w:t>t</w:t>
      </w:r>
      <w:r w:rsidR="003707AB" w:rsidRPr="00291ADF">
        <w:rPr>
          <w:rFonts w:cs="Arial"/>
          <w:szCs w:val="21"/>
        </w:rPr>
        <w:t>ribunal reviews.</w:t>
      </w:r>
      <w:r w:rsidR="003707AB">
        <w:rPr>
          <w:rStyle w:val="FootnoteReference"/>
          <w:rFonts w:cs="Arial"/>
          <w:szCs w:val="21"/>
        </w:rPr>
        <w:footnoteReference w:id="76"/>
      </w:r>
      <w:r w:rsidR="003707AB" w:rsidRPr="00291ADF">
        <w:rPr>
          <w:rFonts w:cs="Arial"/>
          <w:szCs w:val="21"/>
        </w:rPr>
        <w:t xml:space="preserve"> </w:t>
      </w:r>
      <w:r w:rsidR="00291ADF">
        <w:rPr>
          <w:rFonts w:cs="Arial"/>
          <w:szCs w:val="21"/>
        </w:rPr>
        <w:tab/>
      </w:r>
      <w:r w:rsidR="00291ADF">
        <w:rPr>
          <w:rFonts w:cs="Arial"/>
          <w:szCs w:val="21"/>
        </w:rPr>
        <w:br/>
      </w:r>
    </w:p>
    <w:p w14:paraId="4DAD7F07" w14:textId="4F8097E7" w:rsidR="003707AB" w:rsidRPr="00291ADF" w:rsidRDefault="003707AB" w:rsidP="00ED35E7">
      <w:pPr>
        <w:pStyle w:val="ListParagraph"/>
        <w:numPr>
          <w:ilvl w:val="1"/>
          <w:numId w:val="34"/>
        </w:numPr>
        <w:jc w:val="both"/>
        <w:rPr>
          <w:rFonts w:cs="Arial"/>
          <w:szCs w:val="21"/>
        </w:rPr>
      </w:pPr>
      <w:r w:rsidRPr="00291ADF">
        <w:rPr>
          <w:rFonts w:cs="Arial"/>
          <w:szCs w:val="21"/>
        </w:rPr>
        <w:t xml:space="preserve">The Commission also </w:t>
      </w:r>
      <w:r w:rsidR="00514209" w:rsidRPr="00291ADF">
        <w:rPr>
          <w:rFonts w:cs="Arial"/>
          <w:szCs w:val="21"/>
        </w:rPr>
        <w:t>stated</w:t>
      </w:r>
      <w:r w:rsidRPr="00291ADF">
        <w:rPr>
          <w:rFonts w:cs="Arial"/>
          <w:szCs w:val="21"/>
        </w:rPr>
        <w:t xml:space="preserve"> that the </w:t>
      </w:r>
      <w:r w:rsidR="00264ED8" w:rsidRPr="00291ADF">
        <w:rPr>
          <w:rFonts w:cs="Arial"/>
          <w:szCs w:val="21"/>
        </w:rPr>
        <w:t xml:space="preserve">Department of Human Services </w:t>
      </w:r>
      <w:r w:rsidRPr="00291ADF">
        <w:rPr>
          <w:rFonts w:cs="Arial"/>
          <w:szCs w:val="21"/>
        </w:rPr>
        <w:t xml:space="preserve">should be cognisant of its overarching obligation to act as </w:t>
      </w:r>
      <w:r w:rsidR="00514209" w:rsidRPr="00291ADF">
        <w:rPr>
          <w:rFonts w:cs="Arial"/>
          <w:szCs w:val="21"/>
        </w:rPr>
        <w:t xml:space="preserve">a </w:t>
      </w:r>
      <w:r w:rsidRPr="00291ADF">
        <w:rPr>
          <w:rFonts w:cs="Arial"/>
          <w:szCs w:val="21"/>
        </w:rPr>
        <w:t>model litigant in proceedings</w:t>
      </w:r>
      <w:r w:rsidRPr="00E206FF">
        <w:rPr>
          <w:rStyle w:val="FootnoteReference"/>
          <w:rFonts w:cs="Arial"/>
          <w:szCs w:val="21"/>
        </w:rPr>
        <w:footnoteReference w:id="77"/>
      </w:r>
      <w:r w:rsidRPr="00291ADF">
        <w:rPr>
          <w:rFonts w:cs="Arial"/>
          <w:szCs w:val="21"/>
        </w:rPr>
        <w:t xml:space="preserve"> and us</w:t>
      </w:r>
      <w:r w:rsidR="00514209" w:rsidRPr="00291ADF">
        <w:rPr>
          <w:rFonts w:cs="Arial"/>
          <w:szCs w:val="21"/>
        </w:rPr>
        <w:t>e</w:t>
      </w:r>
      <w:r w:rsidRPr="00291ADF">
        <w:rPr>
          <w:rFonts w:cs="Arial"/>
          <w:szCs w:val="21"/>
        </w:rPr>
        <w:t xml:space="preserve"> its best endeavours to assist the AAT to make its decision in relation to a proceeding.</w:t>
      </w:r>
      <w:r w:rsidRPr="00E206FF">
        <w:rPr>
          <w:rStyle w:val="FootnoteReference"/>
          <w:rFonts w:cs="Arial"/>
          <w:szCs w:val="21"/>
        </w:rPr>
        <w:footnoteReference w:id="78"/>
      </w:r>
      <w:r w:rsidRPr="00291ADF">
        <w:rPr>
          <w:rFonts w:cs="Arial"/>
          <w:szCs w:val="21"/>
        </w:rPr>
        <w:t xml:space="preserve"> The Royal Commission noted this obligation includes </w:t>
      </w:r>
      <w:r w:rsidR="00514209" w:rsidRPr="00291ADF">
        <w:rPr>
          <w:rFonts w:cs="Arial"/>
          <w:szCs w:val="21"/>
        </w:rPr>
        <w:t>“</w:t>
      </w:r>
      <w:r w:rsidRPr="00291ADF">
        <w:rPr>
          <w:rFonts w:cs="Arial"/>
          <w:szCs w:val="21"/>
        </w:rPr>
        <w:t xml:space="preserve">ensuring that the AAT has all relevant information and bringing the AAT’s attention to arguments of the other side where it appears </w:t>
      </w:r>
      <w:r w:rsidRPr="00291ADF">
        <w:rPr>
          <w:rFonts w:cs="Arial"/>
          <w:szCs w:val="21"/>
        </w:rPr>
        <w:lastRenderedPageBreak/>
        <w:t>the AAT has overlooked them.</w:t>
      </w:r>
      <w:r w:rsidR="00514209" w:rsidRPr="00291ADF">
        <w:rPr>
          <w:rFonts w:cs="Arial"/>
          <w:szCs w:val="21"/>
        </w:rPr>
        <w:t>”</w:t>
      </w:r>
      <w:r w:rsidRPr="00E206FF">
        <w:rPr>
          <w:rStyle w:val="FootnoteReference"/>
          <w:rFonts w:cs="Arial"/>
          <w:szCs w:val="21"/>
        </w:rPr>
        <w:footnoteReference w:id="79"/>
      </w:r>
      <w:r w:rsidRPr="00291ADF">
        <w:rPr>
          <w:rFonts w:cs="Arial"/>
          <w:szCs w:val="21"/>
        </w:rPr>
        <w:t xml:space="preserve"> This includes the </w:t>
      </w:r>
      <w:r w:rsidR="00264ED8" w:rsidRPr="00291ADF">
        <w:rPr>
          <w:rFonts w:cs="Arial"/>
          <w:szCs w:val="21"/>
        </w:rPr>
        <w:t xml:space="preserve">Department’s </w:t>
      </w:r>
      <w:r w:rsidRPr="00291ADF">
        <w:rPr>
          <w:rFonts w:cs="Arial"/>
          <w:szCs w:val="21"/>
        </w:rPr>
        <w:t>knowledge of a previous first</w:t>
      </w:r>
      <w:r w:rsidR="00514209" w:rsidRPr="00291ADF">
        <w:rPr>
          <w:rFonts w:cs="Arial"/>
          <w:szCs w:val="21"/>
        </w:rPr>
        <w:t xml:space="preserve"> </w:t>
      </w:r>
      <w:r w:rsidRPr="00291ADF">
        <w:rPr>
          <w:rFonts w:cs="Arial"/>
          <w:szCs w:val="21"/>
        </w:rPr>
        <w:t xml:space="preserve">review decision questioning the legality of the Department’s </w:t>
      </w:r>
      <w:proofErr w:type="spellStart"/>
      <w:r w:rsidRPr="00291ADF">
        <w:rPr>
          <w:rFonts w:cs="Arial"/>
          <w:szCs w:val="21"/>
        </w:rPr>
        <w:t>Robodebt</w:t>
      </w:r>
      <w:proofErr w:type="spellEnd"/>
      <w:r w:rsidRPr="00291ADF">
        <w:rPr>
          <w:rFonts w:cs="Arial"/>
          <w:szCs w:val="21"/>
        </w:rPr>
        <w:t xml:space="preserve"> program.</w:t>
      </w:r>
      <w:r>
        <w:rPr>
          <w:rStyle w:val="FootnoteReference"/>
          <w:rFonts w:cs="Arial"/>
          <w:szCs w:val="21"/>
        </w:rPr>
        <w:footnoteReference w:id="80"/>
      </w:r>
      <w:r w:rsidR="00291ADF">
        <w:rPr>
          <w:rFonts w:cs="Arial"/>
          <w:szCs w:val="21"/>
        </w:rPr>
        <w:br/>
      </w:r>
    </w:p>
    <w:p w14:paraId="645C0CF2" w14:textId="4279C633" w:rsidR="003707AB" w:rsidRDefault="003707AB" w:rsidP="00ED35E7">
      <w:pPr>
        <w:pStyle w:val="ListParagraph"/>
        <w:numPr>
          <w:ilvl w:val="1"/>
          <w:numId w:val="34"/>
        </w:numPr>
        <w:jc w:val="both"/>
        <w:rPr>
          <w:rFonts w:cs="Arial"/>
          <w:szCs w:val="21"/>
        </w:rPr>
      </w:pPr>
      <w:r w:rsidRPr="00291ADF">
        <w:rPr>
          <w:rFonts w:cs="Arial"/>
          <w:szCs w:val="21"/>
        </w:rPr>
        <w:t xml:space="preserve">This </w:t>
      </w:r>
      <w:r w:rsidR="00F366FE" w:rsidRPr="00291ADF">
        <w:rPr>
          <w:rFonts w:cs="Arial"/>
          <w:szCs w:val="21"/>
        </w:rPr>
        <w:t xml:space="preserve">finding </w:t>
      </w:r>
      <w:r w:rsidRPr="00291ADF">
        <w:rPr>
          <w:rFonts w:cs="Arial"/>
          <w:szCs w:val="21"/>
        </w:rPr>
        <w:t xml:space="preserve">is consistent with the principles of administration under s 8 of the </w:t>
      </w:r>
      <w:r w:rsidRPr="00291ADF">
        <w:rPr>
          <w:rFonts w:cs="Arial"/>
          <w:i/>
          <w:szCs w:val="21"/>
        </w:rPr>
        <w:t xml:space="preserve">Social Security (Administration) Act </w:t>
      </w:r>
      <w:r w:rsidRPr="00291ADF">
        <w:rPr>
          <w:rFonts w:cs="Arial"/>
          <w:iCs/>
          <w:szCs w:val="21"/>
        </w:rPr>
        <w:t>1999</w:t>
      </w:r>
      <w:r w:rsidRPr="00291ADF">
        <w:rPr>
          <w:rFonts w:cs="Arial"/>
          <w:szCs w:val="21"/>
        </w:rPr>
        <w:t xml:space="preserve"> </w:t>
      </w:r>
      <w:r w:rsidR="00B2137C" w:rsidRPr="00291ADF">
        <w:rPr>
          <w:rFonts w:cs="Arial"/>
          <w:szCs w:val="21"/>
        </w:rPr>
        <w:t>(</w:t>
      </w:r>
      <w:proofErr w:type="spellStart"/>
      <w:r w:rsidR="00B2137C" w:rsidRPr="00291ADF">
        <w:rPr>
          <w:rFonts w:cs="Arial"/>
          <w:szCs w:val="21"/>
        </w:rPr>
        <w:t>Cth</w:t>
      </w:r>
      <w:proofErr w:type="spellEnd"/>
      <w:r w:rsidR="00B2137C" w:rsidRPr="00291ADF">
        <w:rPr>
          <w:rFonts w:cs="Arial"/>
          <w:szCs w:val="21"/>
        </w:rPr>
        <w:t xml:space="preserve">) </w:t>
      </w:r>
      <w:r w:rsidRPr="00291ADF">
        <w:rPr>
          <w:rFonts w:cs="Arial"/>
          <w:szCs w:val="21"/>
        </w:rPr>
        <w:t xml:space="preserve">and the duty </w:t>
      </w:r>
      <w:r w:rsidR="00BF64C5" w:rsidRPr="00291ADF">
        <w:rPr>
          <w:rFonts w:cs="Arial"/>
          <w:szCs w:val="21"/>
        </w:rPr>
        <w:t xml:space="preserve">of </w:t>
      </w:r>
      <w:r w:rsidR="00264ED8" w:rsidRPr="00291ADF">
        <w:rPr>
          <w:rFonts w:cs="Arial"/>
          <w:szCs w:val="21"/>
        </w:rPr>
        <w:t xml:space="preserve">the Department </w:t>
      </w:r>
      <w:r w:rsidRPr="00291ADF">
        <w:rPr>
          <w:rFonts w:cs="Arial"/>
          <w:szCs w:val="21"/>
        </w:rPr>
        <w:t>to have regard to ART decisions to monitor and evaluate issues that may arise affecting government policy, programs and the law.</w:t>
      </w:r>
      <w:r w:rsidRPr="00E206FF">
        <w:rPr>
          <w:rStyle w:val="FootnoteReference"/>
          <w:rFonts w:cs="Arial"/>
          <w:szCs w:val="21"/>
        </w:rPr>
        <w:footnoteReference w:id="81"/>
      </w:r>
    </w:p>
    <w:p w14:paraId="54B56EC3" w14:textId="77777777" w:rsidR="00291ADF" w:rsidRPr="00291ADF" w:rsidRDefault="00291ADF" w:rsidP="00291ADF">
      <w:pPr>
        <w:pStyle w:val="ListParagraph"/>
        <w:jc w:val="both"/>
        <w:rPr>
          <w:rFonts w:cs="Arial"/>
          <w:szCs w:val="21"/>
        </w:rPr>
      </w:pPr>
    </w:p>
    <w:p w14:paraId="0F4578A5" w14:textId="71A93B59" w:rsidR="00A622C5" w:rsidRPr="00291ADF" w:rsidRDefault="00A622C5" w:rsidP="00ED35E7">
      <w:pPr>
        <w:pStyle w:val="ListParagraph"/>
        <w:numPr>
          <w:ilvl w:val="1"/>
          <w:numId w:val="34"/>
        </w:numPr>
        <w:jc w:val="both"/>
        <w:rPr>
          <w:rFonts w:cs="Arial"/>
          <w:color w:val="000000"/>
          <w:szCs w:val="21"/>
        </w:rPr>
      </w:pPr>
      <w:r w:rsidRPr="00291ADF">
        <w:rPr>
          <w:rFonts w:cs="Arial"/>
          <w:color w:val="000000"/>
          <w:szCs w:val="21"/>
        </w:rPr>
        <w:t>In light of the default non-participation of the Department in social security first</w:t>
      </w:r>
      <w:r w:rsidR="00A93AC7" w:rsidRPr="00291ADF">
        <w:rPr>
          <w:rFonts w:cs="Arial"/>
          <w:color w:val="000000"/>
          <w:szCs w:val="21"/>
        </w:rPr>
        <w:t>-</w:t>
      </w:r>
      <w:r w:rsidRPr="00291ADF">
        <w:rPr>
          <w:rFonts w:cs="Arial"/>
          <w:color w:val="000000"/>
          <w:szCs w:val="21"/>
        </w:rPr>
        <w:t xml:space="preserve">review, there are questions as to the impact of s 56(3) of the ART Act on the </w:t>
      </w:r>
      <w:r w:rsidR="00066C86">
        <w:rPr>
          <w:rFonts w:cs="Arial"/>
          <w:color w:val="000000"/>
          <w:szCs w:val="21"/>
        </w:rPr>
        <w:t>AR</w:t>
      </w:r>
      <w:r w:rsidRPr="00291ADF">
        <w:rPr>
          <w:rFonts w:cs="Arial"/>
          <w:color w:val="000000"/>
          <w:szCs w:val="21"/>
        </w:rPr>
        <w:t>T’s ability to conduct social security reviews in line</w:t>
      </w:r>
      <w:r w:rsidR="0010422F">
        <w:rPr>
          <w:rFonts w:cs="Arial"/>
          <w:color w:val="000000"/>
          <w:szCs w:val="21"/>
        </w:rPr>
        <w:t xml:space="preserve"> with</w:t>
      </w:r>
      <w:r w:rsidRPr="00291ADF">
        <w:rPr>
          <w:rFonts w:cs="Arial"/>
          <w:color w:val="000000"/>
          <w:szCs w:val="21"/>
        </w:rPr>
        <w:t xml:space="preserve"> the </w:t>
      </w:r>
      <w:r w:rsidR="00B2137C" w:rsidRPr="00291ADF">
        <w:rPr>
          <w:rFonts w:cs="Arial"/>
          <w:color w:val="000000"/>
          <w:szCs w:val="21"/>
        </w:rPr>
        <w:t xml:space="preserve">ART’s </w:t>
      </w:r>
      <w:r w:rsidRPr="00291ADF">
        <w:rPr>
          <w:rFonts w:cs="Arial"/>
          <w:color w:val="000000"/>
          <w:szCs w:val="21"/>
        </w:rPr>
        <w:t xml:space="preserve">objectives </w:t>
      </w:r>
      <w:r w:rsidR="00B2137C" w:rsidRPr="00291ADF">
        <w:rPr>
          <w:rFonts w:cs="Arial"/>
          <w:color w:val="000000"/>
          <w:szCs w:val="21"/>
        </w:rPr>
        <w:t>under</w:t>
      </w:r>
      <w:r w:rsidRPr="00291ADF">
        <w:rPr>
          <w:rFonts w:cs="Arial"/>
          <w:color w:val="000000"/>
          <w:szCs w:val="21"/>
        </w:rPr>
        <w:t xml:space="preserve"> the ART Act, particularly in relation to promoting public trust and confidence</w:t>
      </w:r>
      <w:r w:rsidR="00066C86">
        <w:rPr>
          <w:rFonts w:cs="Arial"/>
          <w:color w:val="000000"/>
          <w:szCs w:val="21"/>
        </w:rPr>
        <w:t>, ensuring accessibility and responsiveness to the diverse needs of parties,</w:t>
      </w:r>
      <w:r w:rsidRPr="00291ADF">
        <w:rPr>
          <w:rFonts w:cs="Arial"/>
          <w:color w:val="000000"/>
          <w:szCs w:val="21"/>
        </w:rPr>
        <w:t xml:space="preserve"> and improving the transparency and quality of government decision</w:t>
      </w:r>
      <w:r w:rsidRPr="00291ADF">
        <w:rPr>
          <w:rFonts w:ascii="Cambria Math" w:hAnsi="Cambria Math" w:cs="Calibri"/>
          <w:color w:val="000000"/>
          <w:szCs w:val="21"/>
        </w:rPr>
        <w:noBreakHyphen/>
      </w:r>
      <w:r w:rsidRPr="00291ADF">
        <w:rPr>
          <w:rFonts w:cs="Arial"/>
          <w:color w:val="000000"/>
          <w:szCs w:val="21"/>
        </w:rPr>
        <w:t>making.</w:t>
      </w:r>
    </w:p>
    <w:p w14:paraId="789D2452" w14:textId="767A6C7F" w:rsidR="003B2081" w:rsidRDefault="003B2081" w:rsidP="003B2081">
      <w:pPr>
        <w:pStyle w:val="Heading3"/>
      </w:pPr>
      <w:bookmarkStart w:id="28" w:name="_Toc205997112"/>
      <w:r>
        <w:t>Council consideration and questions</w:t>
      </w:r>
      <w:bookmarkEnd w:id="28"/>
    </w:p>
    <w:p w14:paraId="3DE0EAD1" w14:textId="1B0F9DCA" w:rsidR="003B2081" w:rsidRPr="00291ADF" w:rsidRDefault="00A622C5" w:rsidP="00ED35E7">
      <w:pPr>
        <w:pStyle w:val="ListParagraph"/>
        <w:numPr>
          <w:ilvl w:val="1"/>
          <w:numId w:val="34"/>
        </w:numPr>
        <w:jc w:val="both"/>
        <w:rPr>
          <w:rFonts w:cs="Arial"/>
          <w:szCs w:val="21"/>
        </w:rPr>
      </w:pPr>
      <w:r w:rsidRPr="00291ADF">
        <w:rPr>
          <w:rFonts w:cs="Arial"/>
          <w:szCs w:val="21"/>
        </w:rPr>
        <w:t>The Council seeks views on how current procedures for the Department’s participation in ART review of social services matters are working, and whether there have been any changes as a result of the ART reforms. This includes any views on the impact of the Department’s non-participation at first</w:t>
      </w:r>
      <w:r w:rsidR="00B2137C" w:rsidRPr="00291ADF">
        <w:rPr>
          <w:rFonts w:cs="Arial"/>
          <w:szCs w:val="21"/>
        </w:rPr>
        <w:t xml:space="preserve"> </w:t>
      </w:r>
      <w:r w:rsidRPr="00291ADF">
        <w:rPr>
          <w:rFonts w:cs="Arial"/>
          <w:szCs w:val="21"/>
        </w:rPr>
        <w:t>review on its obligation to assist the Tribunal.</w:t>
      </w:r>
    </w:p>
    <w:p w14:paraId="0AD2600B" w14:textId="592F26C0" w:rsidR="00E23F7A" w:rsidRPr="00E23F7A" w:rsidRDefault="003707AB" w:rsidP="00E23F7A">
      <w:pPr>
        <w:pStyle w:val="PolicyStatement"/>
        <w:rPr>
          <w:rFonts w:ascii="Corbel" w:hAnsi="Corbel"/>
          <w:b/>
          <w:sz w:val="24"/>
        </w:rPr>
      </w:pPr>
      <w:r w:rsidRPr="001A2E97">
        <w:rPr>
          <w:rFonts w:ascii="Corbel" w:hAnsi="Corbel"/>
          <w:b/>
          <w:sz w:val="24"/>
        </w:rPr>
        <w:t>Questions</w:t>
      </w:r>
    </w:p>
    <w:p w14:paraId="3DC8E996" w14:textId="77777777" w:rsidR="00E23F7A" w:rsidRPr="00E23F7A" w:rsidRDefault="00E23F7A" w:rsidP="00E23F7A">
      <w:pPr>
        <w:pStyle w:val="PolicyStatement"/>
        <w:rPr>
          <w:rFonts w:cs="Arial"/>
          <w:szCs w:val="21"/>
        </w:rPr>
      </w:pPr>
      <w:r w:rsidRPr="00E23F7A">
        <w:rPr>
          <w:rFonts w:cs="Arial"/>
          <w:szCs w:val="21"/>
        </w:rPr>
        <w:t>9. How would you describe your experience of DSS’s role at first review and second review?</w:t>
      </w:r>
    </w:p>
    <w:p w14:paraId="5FB5FDD3" w14:textId="77777777" w:rsidR="00E23F7A" w:rsidRPr="00E23F7A" w:rsidRDefault="00E23F7A" w:rsidP="00E23F7A">
      <w:pPr>
        <w:pStyle w:val="PolicyStatement"/>
        <w:rPr>
          <w:rFonts w:cs="Arial"/>
          <w:szCs w:val="21"/>
        </w:rPr>
      </w:pPr>
      <w:r w:rsidRPr="00E23F7A">
        <w:rPr>
          <w:rFonts w:cs="Arial"/>
          <w:szCs w:val="21"/>
        </w:rPr>
        <w:t>10. What impact does DSS's non-participation during first review have on the ART’s ability to resolve matters in accordance with its statutory objectives?</w:t>
      </w:r>
    </w:p>
    <w:p w14:paraId="63D77BCA" w14:textId="77777777" w:rsidR="00E23F7A" w:rsidRPr="00E23F7A" w:rsidRDefault="00E23F7A" w:rsidP="00E23F7A">
      <w:pPr>
        <w:pStyle w:val="PolicyStatement"/>
        <w:rPr>
          <w:rFonts w:cs="Arial"/>
          <w:szCs w:val="21"/>
        </w:rPr>
      </w:pPr>
      <w:r w:rsidRPr="00E23F7A">
        <w:rPr>
          <w:rFonts w:cs="Arial"/>
          <w:szCs w:val="21"/>
        </w:rPr>
        <w:t>11. Are there any changes you think should be made to DSS's role before the ART to improve or better support the timely and effective resolution of matters at first review?</w:t>
      </w:r>
    </w:p>
    <w:p w14:paraId="6270EA80" w14:textId="57BC7DC0" w:rsidR="0016236D" w:rsidRDefault="00291ADF" w:rsidP="00291ADF">
      <w:pPr>
        <w:pStyle w:val="Heading2"/>
      </w:pPr>
      <w:bookmarkStart w:id="29" w:name="_Toc200542489"/>
      <w:bookmarkStart w:id="30" w:name="_Toc205997113"/>
      <w:r>
        <w:lastRenderedPageBreak/>
        <w:t xml:space="preserve">Key Issue 4: </w:t>
      </w:r>
      <w:r w:rsidR="0016236D">
        <w:t xml:space="preserve">Role of </w:t>
      </w:r>
      <w:r w:rsidR="000F5E37">
        <w:t xml:space="preserve">alternative </w:t>
      </w:r>
      <w:r w:rsidR="0016236D">
        <w:t>dispute resolution in the ART</w:t>
      </w:r>
      <w:bookmarkEnd w:id="29"/>
      <w:bookmarkEnd w:id="30"/>
    </w:p>
    <w:p w14:paraId="40A3FFD5" w14:textId="3FFD1FE0" w:rsidR="007651B9" w:rsidRDefault="00B2137C" w:rsidP="00ED35E7">
      <w:pPr>
        <w:pStyle w:val="ListParagraph"/>
        <w:numPr>
          <w:ilvl w:val="1"/>
          <w:numId w:val="34"/>
        </w:numPr>
        <w:jc w:val="both"/>
        <w:rPr>
          <w:rFonts w:cs="Arial"/>
          <w:szCs w:val="21"/>
        </w:rPr>
      </w:pPr>
      <w:r w:rsidRPr="00291ADF">
        <w:rPr>
          <w:rFonts w:cs="Arial"/>
          <w:szCs w:val="21"/>
        </w:rPr>
        <w:t>A</w:t>
      </w:r>
      <w:r w:rsidR="00DA5786" w:rsidRPr="00291ADF">
        <w:rPr>
          <w:rFonts w:cs="Arial"/>
          <w:szCs w:val="21"/>
        </w:rPr>
        <w:t xml:space="preserve">lternative dispute resolution </w:t>
      </w:r>
      <w:r w:rsidRPr="00291ADF">
        <w:rPr>
          <w:rFonts w:cs="Arial"/>
          <w:szCs w:val="21"/>
        </w:rPr>
        <w:t xml:space="preserve">(“ADR”) </w:t>
      </w:r>
      <w:r w:rsidR="00DA5786" w:rsidRPr="00291ADF">
        <w:rPr>
          <w:rFonts w:cs="Arial"/>
          <w:szCs w:val="21"/>
        </w:rPr>
        <w:t xml:space="preserve">has traditionally been used for </w:t>
      </w:r>
      <w:r w:rsidR="00A93AC7" w:rsidRPr="00291ADF">
        <w:rPr>
          <w:rFonts w:cs="Arial"/>
          <w:szCs w:val="21"/>
        </w:rPr>
        <w:t>AAT2 reviews</w:t>
      </w:r>
      <w:r w:rsidR="00DA5786" w:rsidRPr="00291ADF">
        <w:rPr>
          <w:rFonts w:cs="Arial"/>
          <w:szCs w:val="21"/>
        </w:rPr>
        <w:t xml:space="preserve"> where the Department is a party to the review. </w:t>
      </w:r>
      <w:r w:rsidR="00213454" w:rsidRPr="00291ADF">
        <w:rPr>
          <w:rFonts w:cs="Arial"/>
          <w:szCs w:val="21"/>
        </w:rPr>
        <w:t xml:space="preserve">Dispute resolution processes </w:t>
      </w:r>
      <w:r w:rsidRPr="00291ADF">
        <w:rPr>
          <w:rFonts w:cs="Arial"/>
          <w:szCs w:val="21"/>
        </w:rPr>
        <w:t xml:space="preserve">have </w:t>
      </w:r>
      <w:r w:rsidR="00213454" w:rsidRPr="00291ADF">
        <w:rPr>
          <w:rFonts w:cs="Arial"/>
          <w:szCs w:val="21"/>
        </w:rPr>
        <w:t>include</w:t>
      </w:r>
      <w:r w:rsidRPr="00291ADF">
        <w:rPr>
          <w:rFonts w:cs="Arial"/>
          <w:szCs w:val="21"/>
        </w:rPr>
        <w:t>d</w:t>
      </w:r>
      <w:r w:rsidR="00213454" w:rsidRPr="00291ADF">
        <w:rPr>
          <w:rFonts w:cs="Arial"/>
          <w:szCs w:val="21"/>
        </w:rPr>
        <w:t xml:space="preserve"> conferences, conciliation, mediation, case appraisal or neutral evaluation, and </w:t>
      </w:r>
      <w:r w:rsidRPr="00291ADF">
        <w:rPr>
          <w:rFonts w:cs="Arial"/>
          <w:szCs w:val="21"/>
        </w:rPr>
        <w:t>we</w:t>
      </w:r>
      <w:r w:rsidR="00213454" w:rsidRPr="00291ADF">
        <w:rPr>
          <w:rFonts w:cs="Arial"/>
          <w:szCs w:val="21"/>
        </w:rPr>
        <w:t>re aimed at facilitating the settlement of an application for review.</w:t>
      </w:r>
    </w:p>
    <w:p w14:paraId="6CBCB7F4" w14:textId="77777777" w:rsidR="00291ADF" w:rsidRPr="00291ADF" w:rsidRDefault="00291ADF" w:rsidP="00291ADF">
      <w:pPr>
        <w:pStyle w:val="ListParagraph"/>
        <w:jc w:val="both"/>
        <w:rPr>
          <w:rFonts w:cs="Arial"/>
          <w:szCs w:val="21"/>
        </w:rPr>
      </w:pPr>
    </w:p>
    <w:p w14:paraId="1775BE18" w14:textId="5E336206" w:rsidR="00A96196" w:rsidRPr="00291ADF" w:rsidRDefault="00DA5786" w:rsidP="00ED35E7">
      <w:pPr>
        <w:pStyle w:val="ListParagraph"/>
        <w:numPr>
          <w:ilvl w:val="1"/>
          <w:numId w:val="34"/>
        </w:numPr>
        <w:jc w:val="both"/>
        <w:rPr>
          <w:rFonts w:cs="Arial"/>
          <w:szCs w:val="21"/>
        </w:rPr>
      </w:pPr>
      <w:r w:rsidRPr="00291ADF">
        <w:rPr>
          <w:rFonts w:cs="Arial"/>
          <w:szCs w:val="21"/>
        </w:rPr>
        <w:t>Current arrangements</w:t>
      </w:r>
      <w:r w:rsidR="00B2137C" w:rsidRPr="00291ADF">
        <w:rPr>
          <w:rFonts w:cs="Arial"/>
          <w:szCs w:val="21"/>
        </w:rPr>
        <w:t xml:space="preserve"> applying in </w:t>
      </w:r>
      <w:r w:rsidRPr="00291ADF">
        <w:rPr>
          <w:rFonts w:cs="Arial"/>
          <w:szCs w:val="21"/>
        </w:rPr>
        <w:t>the ART allow for the availability of dispute resolution processes at first</w:t>
      </w:r>
      <w:r w:rsidR="00B2137C" w:rsidRPr="00291ADF">
        <w:rPr>
          <w:rFonts w:cs="Arial"/>
          <w:szCs w:val="21"/>
        </w:rPr>
        <w:t xml:space="preserve"> </w:t>
      </w:r>
      <w:r w:rsidRPr="00291ADF">
        <w:rPr>
          <w:rFonts w:cs="Arial"/>
          <w:szCs w:val="21"/>
        </w:rPr>
        <w:t>review for social security matters.</w:t>
      </w:r>
      <w:r w:rsidRPr="00E206FF">
        <w:rPr>
          <w:vertAlign w:val="superscript"/>
        </w:rPr>
        <w:footnoteReference w:id="82"/>
      </w:r>
      <w:r w:rsidRPr="00291ADF">
        <w:rPr>
          <w:rFonts w:cs="Arial"/>
          <w:szCs w:val="21"/>
        </w:rPr>
        <w:t xml:space="preserve"> This means that it is possible for agency decision-makers to be required to participate in both first</w:t>
      </w:r>
      <w:r w:rsidR="00B2137C" w:rsidRPr="00291ADF">
        <w:rPr>
          <w:rFonts w:cs="Arial"/>
          <w:szCs w:val="21"/>
        </w:rPr>
        <w:t xml:space="preserve"> </w:t>
      </w:r>
      <w:r w:rsidRPr="00291ADF">
        <w:rPr>
          <w:rFonts w:cs="Arial"/>
          <w:szCs w:val="21"/>
        </w:rPr>
        <w:t>review and second</w:t>
      </w:r>
      <w:r w:rsidR="00B2137C" w:rsidRPr="00291ADF">
        <w:rPr>
          <w:rFonts w:cs="Arial"/>
          <w:szCs w:val="21"/>
        </w:rPr>
        <w:t xml:space="preserve"> </w:t>
      </w:r>
      <w:r w:rsidRPr="00291ADF">
        <w:rPr>
          <w:rFonts w:cs="Arial"/>
          <w:szCs w:val="21"/>
        </w:rPr>
        <w:t>review, including single-party case conferencing at both levels, if the Tribunal considers it appropriate.</w:t>
      </w:r>
      <w:r w:rsidRPr="00E206FF">
        <w:rPr>
          <w:vertAlign w:val="superscript"/>
        </w:rPr>
        <w:footnoteReference w:id="83"/>
      </w:r>
      <w:r w:rsidRPr="00291ADF">
        <w:rPr>
          <w:rFonts w:cs="Arial"/>
          <w:szCs w:val="21"/>
        </w:rPr>
        <w:t xml:space="preserve"> The changes were made with the intention of increasing the chances of </w:t>
      </w:r>
      <w:r w:rsidR="007651B9" w:rsidRPr="00291ADF">
        <w:rPr>
          <w:rFonts w:cs="Arial"/>
          <w:szCs w:val="21"/>
        </w:rPr>
        <w:t>finalising</w:t>
      </w:r>
      <w:r w:rsidRPr="00291ADF">
        <w:rPr>
          <w:rFonts w:cs="Arial"/>
          <w:szCs w:val="21"/>
        </w:rPr>
        <w:t xml:space="preserve"> a </w:t>
      </w:r>
      <w:r w:rsidR="007651B9" w:rsidRPr="00291ADF">
        <w:rPr>
          <w:rFonts w:cs="Arial"/>
          <w:szCs w:val="21"/>
        </w:rPr>
        <w:t>matter</w:t>
      </w:r>
      <w:r w:rsidRPr="00291ADF">
        <w:rPr>
          <w:rFonts w:cs="Arial"/>
          <w:szCs w:val="21"/>
        </w:rPr>
        <w:t xml:space="preserve"> at earlier stages of decision-making and review.</w:t>
      </w:r>
      <w:r w:rsidRPr="00E206FF">
        <w:rPr>
          <w:vertAlign w:val="superscript"/>
        </w:rPr>
        <w:footnoteReference w:id="84"/>
      </w:r>
      <w:r w:rsidRPr="00291ADF">
        <w:rPr>
          <w:rFonts w:cs="Arial"/>
          <w:szCs w:val="21"/>
        </w:rPr>
        <w:t xml:space="preserve"> </w:t>
      </w:r>
      <w:r w:rsidR="00291ADF">
        <w:rPr>
          <w:rFonts w:cs="Arial"/>
          <w:szCs w:val="21"/>
        </w:rPr>
        <w:br/>
      </w:r>
    </w:p>
    <w:p w14:paraId="49C4D52E" w14:textId="352E7D70" w:rsidR="00DA5786" w:rsidRPr="00291ADF" w:rsidRDefault="00B2137C" w:rsidP="00ED35E7">
      <w:pPr>
        <w:pStyle w:val="ListParagraph"/>
        <w:numPr>
          <w:ilvl w:val="1"/>
          <w:numId w:val="34"/>
        </w:numPr>
        <w:jc w:val="both"/>
        <w:rPr>
          <w:rFonts w:cs="Arial"/>
          <w:szCs w:val="21"/>
        </w:rPr>
      </w:pPr>
      <w:r w:rsidRPr="00291ADF">
        <w:rPr>
          <w:rFonts w:cs="Arial"/>
          <w:szCs w:val="21"/>
        </w:rPr>
        <w:t>T</w:t>
      </w:r>
      <w:r w:rsidR="00DA5786" w:rsidRPr="00291ADF">
        <w:rPr>
          <w:rFonts w:cs="Arial"/>
          <w:szCs w:val="21"/>
        </w:rPr>
        <w:t xml:space="preserve">here is no data publicly available </w:t>
      </w:r>
      <w:r w:rsidRPr="00291ADF">
        <w:rPr>
          <w:rFonts w:cs="Arial"/>
          <w:szCs w:val="21"/>
        </w:rPr>
        <w:t xml:space="preserve">yet </w:t>
      </w:r>
      <w:r w:rsidR="00DA5786" w:rsidRPr="00291ADF">
        <w:rPr>
          <w:rFonts w:cs="Arial"/>
          <w:szCs w:val="21"/>
        </w:rPr>
        <w:t>to indicate whether ADR is being used at first</w:t>
      </w:r>
      <w:r w:rsidRPr="00291ADF">
        <w:rPr>
          <w:rFonts w:cs="Arial"/>
          <w:szCs w:val="21"/>
        </w:rPr>
        <w:t xml:space="preserve"> </w:t>
      </w:r>
      <w:r w:rsidR="00DA5786" w:rsidRPr="00291ADF">
        <w:rPr>
          <w:rFonts w:cs="Arial"/>
          <w:szCs w:val="21"/>
        </w:rPr>
        <w:t xml:space="preserve">review in the ART. Statistics for the AAT indicate that approximately 50% of </w:t>
      </w:r>
      <w:r w:rsidR="00A93AC7" w:rsidRPr="00291ADF">
        <w:rPr>
          <w:rFonts w:cs="Arial"/>
          <w:szCs w:val="21"/>
        </w:rPr>
        <w:t>AAT2 reviews</w:t>
      </w:r>
      <w:r w:rsidR="00DA5786" w:rsidRPr="00291ADF">
        <w:rPr>
          <w:rFonts w:cs="Arial"/>
          <w:szCs w:val="21"/>
        </w:rPr>
        <w:t xml:space="preserve"> were settled between parties and approximately 80% </w:t>
      </w:r>
      <w:r w:rsidR="00412A73" w:rsidRPr="00291ADF">
        <w:rPr>
          <w:rFonts w:cs="Arial"/>
          <w:szCs w:val="21"/>
        </w:rPr>
        <w:t xml:space="preserve">of matters </w:t>
      </w:r>
      <w:r w:rsidR="00DA5786" w:rsidRPr="00291ADF">
        <w:rPr>
          <w:rFonts w:cs="Arial"/>
          <w:szCs w:val="21"/>
        </w:rPr>
        <w:t xml:space="preserve">were finalised prior to the AAT issuing a decision following a hearing (including by the applicant withdrawing the application) (see </w:t>
      </w:r>
      <w:r w:rsidR="00412A73" w:rsidRPr="00291ADF">
        <w:rPr>
          <w:rFonts w:cs="Arial"/>
          <w:b/>
          <w:szCs w:val="21"/>
        </w:rPr>
        <w:t>Tabl</w:t>
      </w:r>
      <w:r w:rsidR="00412A73" w:rsidRPr="00E22A4B">
        <w:rPr>
          <w:rFonts w:cs="Arial"/>
          <w:b/>
          <w:szCs w:val="21"/>
        </w:rPr>
        <w:t xml:space="preserve">e </w:t>
      </w:r>
      <w:r w:rsidR="00E22A4B" w:rsidRPr="00F67DB1">
        <w:rPr>
          <w:rFonts w:cs="Arial"/>
          <w:b/>
          <w:szCs w:val="21"/>
        </w:rPr>
        <w:t>6</w:t>
      </w:r>
      <w:r w:rsidR="00DA5786" w:rsidRPr="00291ADF">
        <w:rPr>
          <w:rFonts w:cs="Arial"/>
          <w:szCs w:val="21"/>
        </w:rPr>
        <w:t xml:space="preserve">). Most </w:t>
      </w:r>
      <w:r w:rsidR="00A93AC7" w:rsidRPr="00291ADF">
        <w:rPr>
          <w:rFonts w:cs="Arial"/>
          <w:szCs w:val="21"/>
        </w:rPr>
        <w:t xml:space="preserve">AAT2 </w:t>
      </w:r>
      <w:r w:rsidR="00DA5786" w:rsidRPr="00291ADF">
        <w:rPr>
          <w:rFonts w:cs="Arial"/>
          <w:szCs w:val="21"/>
        </w:rPr>
        <w:t>cases tended to be more complex, with 28% of decisions varied either during pre-hearing conferences and ADR or after a hearing.</w:t>
      </w:r>
      <w:r w:rsidR="00DA5786" w:rsidRPr="00E206FF">
        <w:rPr>
          <w:vertAlign w:val="superscript"/>
        </w:rPr>
        <w:footnoteReference w:id="85"/>
      </w:r>
    </w:p>
    <w:p w14:paraId="7A0B6DD5" w14:textId="7B1505CD" w:rsidR="007651B9" w:rsidRPr="00557D5A" w:rsidRDefault="007651B9" w:rsidP="007651B9">
      <w:pPr>
        <w:pStyle w:val="TableTitle"/>
      </w:pPr>
      <w:r w:rsidRPr="00E22A4B">
        <w:t xml:space="preserve">Table </w:t>
      </w:r>
      <w:r w:rsidR="00E22A4B" w:rsidRPr="00F67DB1">
        <w:t>6</w:t>
      </w:r>
      <w:r w:rsidRPr="00E22A4B">
        <w:t>:</w:t>
      </w:r>
      <w:r>
        <w:t xml:space="preserve"> </w:t>
      </w:r>
      <w:r w:rsidR="00412A73">
        <w:t>Dispute resolution</w:t>
      </w:r>
      <w:r>
        <w:t xml:space="preserve"> outcomes (%) –</w:t>
      </w:r>
      <w:r w:rsidR="00A93AC7">
        <w:t xml:space="preserve">AAT2 </w:t>
      </w:r>
    </w:p>
    <w:tbl>
      <w:tblPr>
        <w:tblStyle w:val="DepartmentofHealthtable"/>
        <w:tblW w:w="0" w:type="auto"/>
        <w:tblLook w:val="04A0" w:firstRow="1" w:lastRow="0" w:firstColumn="1" w:lastColumn="0" w:noHBand="0" w:noVBand="1"/>
        <w:tblDescription w:val="Add Alt Text describing the content of the table"/>
      </w:tblPr>
      <w:tblGrid>
        <w:gridCol w:w="1789"/>
        <w:gridCol w:w="1645"/>
        <w:gridCol w:w="1876"/>
        <w:gridCol w:w="1876"/>
        <w:gridCol w:w="1884"/>
      </w:tblGrid>
      <w:tr w:rsidR="007651B9" w:rsidRPr="00557D5A" w14:paraId="78E3CBB3" w14:textId="77777777" w:rsidTr="007651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89" w:type="dxa"/>
            <w:shd w:val="clear" w:color="auto" w:fill="335DA5" w:themeFill="accent1"/>
          </w:tcPr>
          <w:p w14:paraId="238172FA" w14:textId="7CC73E81" w:rsidR="007651B9" w:rsidRPr="00557D5A" w:rsidRDefault="007651B9" w:rsidP="00323DEC">
            <w:pPr>
              <w:pStyle w:val="TableHeaderWhite"/>
            </w:pPr>
          </w:p>
        </w:tc>
        <w:tc>
          <w:tcPr>
            <w:tcW w:w="1645" w:type="dxa"/>
            <w:shd w:val="clear" w:color="auto" w:fill="335DA5" w:themeFill="accent1"/>
          </w:tcPr>
          <w:p w14:paraId="6F176B81" w14:textId="4BD9C77F" w:rsidR="007651B9" w:rsidRDefault="007651B9" w:rsidP="007651B9">
            <w:pPr>
              <w:pStyle w:val="TableHeader"/>
              <w:jc w:val="right"/>
              <w:cnfStyle w:val="100000000000" w:firstRow="1" w:lastRow="0" w:firstColumn="0" w:lastColumn="0" w:oddVBand="0" w:evenVBand="0" w:oddHBand="0" w:evenHBand="0" w:firstRowFirstColumn="0" w:firstRowLastColumn="0" w:lastRowFirstColumn="0" w:lastRowLastColumn="0"/>
            </w:pPr>
            <w:r>
              <w:t>2020/21</w:t>
            </w:r>
          </w:p>
        </w:tc>
        <w:tc>
          <w:tcPr>
            <w:tcW w:w="1876" w:type="dxa"/>
            <w:shd w:val="clear" w:color="auto" w:fill="335DA5" w:themeFill="accent1"/>
          </w:tcPr>
          <w:p w14:paraId="38249831" w14:textId="6B95DBA0" w:rsidR="007651B9" w:rsidRPr="00557D5A" w:rsidRDefault="007651B9" w:rsidP="007651B9">
            <w:pPr>
              <w:pStyle w:val="TableHeader"/>
              <w:jc w:val="right"/>
              <w:cnfStyle w:val="100000000000" w:firstRow="1" w:lastRow="0" w:firstColumn="0" w:lastColumn="0" w:oddVBand="0" w:evenVBand="0" w:oddHBand="0" w:evenHBand="0" w:firstRowFirstColumn="0" w:firstRowLastColumn="0" w:lastRowFirstColumn="0" w:lastRowLastColumn="0"/>
            </w:pPr>
            <w:r>
              <w:t>2021/22</w:t>
            </w:r>
          </w:p>
        </w:tc>
        <w:tc>
          <w:tcPr>
            <w:tcW w:w="1876" w:type="dxa"/>
            <w:shd w:val="clear" w:color="auto" w:fill="335DA5" w:themeFill="accent1"/>
          </w:tcPr>
          <w:p w14:paraId="6EEF728E" w14:textId="77777777" w:rsidR="007651B9" w:rsidRPr="00557D5A" w:rsidRDefault="007651B9" w:rsidP="007651B9">
            <w:pPr>
              <w:pStyle w:val="TableHeader"/>
              <w:jc w:val="right"/>
              <w:cnfStyle w:val="100000000000" w:firstRow="1" w:lastRow="0" w:firstColumn="0" w:lastColumn="0" w:oddVBand="0" w:evenVBand="0" w:oddHBand="0" w:evenHBand="0" w:firstRowFirstColumn="0" w:firstRowLastColumn="0" w:lastRowFirstColumn="0" w:lastRowLastColumn="0"/>
            </w:pPr>
            <w:r>
              <w:t>2022/23</w:t>
            </w:r>
          </w:p>
        </w:tc>
        <w:tc>
          <w:tcPr>
            <w:tcW w:w="1884" w:type="dxa"/>
            <w:shd w:val="clear" w:color="auto" w:fill="335DA5" w:themeFill="accent1"/>
          </w:tcPr>
          <w:p w14:paraId="730A9ADB" w14:textId="77777777" w:rsidR="007651B9" w:rsidRPr="00557D5A" w:rsidRDefault="007651B9" w:rsidP="007651B9">
            <w:pPr>
              <w:pStyle w:val="TableHeader"/>
              <w:jc w:val="right"/>
              <w:cnfStyle w:val="100000000000" w:firstRow="1" w:lastRow="0" w:firstColumn="0" w:lastColumn="0" w:oddVBand="0" w:evenVBand="0" w:oddHBand="0" w:evenHBand="0" w:firstRowFirstColumn="0" w:firstRowLastColumn="0" w:lastRowFirstColumn="0" w:lastRowLastColumn="0"/>
            </w:pPr>
            <w:r>
              <w:t>2023/24</w:t>
            </w:r>
          </w:p>
        </w:tc>
      </w:tr>
      <w:tr w:rsidR="007651B9" w:rsidRPr="00557D5A" w14:paraId="21CA4043" w14:textId="77777777" w:rsidTr="00765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Pr>
          <w:p w14:paraId="560A93E1" w14:textId="40458119" w:rsidR="007651B9" w:rsidRPr="001A2E97" w:rsidRDefault="007651B9" w:rsidP="00E62DA5">
            <w:pPr>
              <w:pStyle w:val="Tabletextleft"/>
            </w:pPr>
            <w:r>
              <w:t>% finalised without AAT decision</w:t>
            </w:r>
          </w:p>
        </w:tc>
        <w:tc>
          <w:tcPr>
            <w:tcW w:w="1645" w:type="dxa"/>
          </w:tcPr>
          <w:p w14:paraId="17E8A34B" w14:textId="4253A549" w:rsidR="007651B9" w:rsidRDefault="007651B9" w:rsidP="00E944DC">
            <w:pPr>
              <w:pStyle w:val="Tabletextleft"/>
              <w:cnfStyle w:val="000000100000" w:firstRow="0" w:lastRow="0" w:firstColumn="0" w:lastColumn="0" w:oddVBand="0" w:evenVBand="0" w:oddHBand="1" w:evenHBand="0" w:firstRowFirstColumn="0" w:firstRowLastColumn="0" w:lastRowFirstColumn="0" w:lastRowLastColumn="0"/>
            </w:pPr>
            <w:r w:rsidRPr="00DE663F">
              <w:t>78%</w:t>
            </w:r>
          </w:p>
        </w:tc>
        <w:tc>
          <w:tcPr>
            <w:tcW w:w="1876" w:type="dxa"/>
          </w:tcPr>
          <w:p w14:paraId="6ED7F055" w14:textId="6B0780C8" w:rsidR="007651B9" w:rsidRPr="006C027C" w:rsidRDefault="007651B9" w:rsidP="00E944DC">
            <w:pPr>
              <w:pStyle w:val="Tabletextleft"/>
              <w:cnfStyle w:val="000000100000" w:firstRow="0" w:lastRow="0" w:firstColumn="0" w:lastColumn="0" w:oddVBand="0" w:evenVBand="0" w:oddHBand="1" w:evenHBand="0" w:firstRowFirstColumn="0" w:firstRowLastColumn="0" w:lastRowFirstColumn="0" w:lastRowLastColumn="0"/>
            </w:pPr>
            <w:r w:rsidRPr="00DE663F">
              <w:t>77%</w:t>
            </w:r>
          </w:p>
        </w:tc>
        <w:tc>
          <w:tcPr>
            <w:tcW w:w="1876" w:type="dxa"/>
          </w:tcPr>
          <w:p w14:paraId="6D2BE5A9" w14:textId="68B35312" w:rsidR="007651B9" w:rsidRPr="00557D5A" w:rsidRDefault="007651B9" w:rsidP="00E944DC">
            <w:pPr>
              <w:pStyle w:val="Tabletextcentre"/>
              <w:cnfStyle w:val="000000100000" w:firstRow="0" w:lastRow="0" w:firstColumn="0" w:lastColumn="0" w:oddVBand="0" w:evenVBand="0" w:oddHBand="1" w:evenHBand="0" w:firstRowFirstColumn="0" w:firstRowLastColumn="0" w:lastRowFirstColumn="0" w:lastRowLastColumn="0"/>
            </w:pPr>
            <w:r w:rsidRPr="00DE663F">
              <w:t>81%</w:t>
            </w:r>
          </w:p>
        </w:tc>
        <w:tc>
          <w:tcPr>
            <w:tcW w:w="1884" w:type="dxa"/>
          </w:tcPr>
          <w:p w14:paraId="48167D1B" w14:textId="45CA3455" w:rsidR="007651B9" w:rsidRPr="00557D5A" w:rsidRDefault="007651B9" w:rsidP="00E62DA5">
            <w:pPr>
              <w:pStyle w:val="Tabletextright0"/>
              <w:cnfStyle w:val="000000100000" w:firstRow="0" w:lastRow="0" w:firstColumn="0" w:lastColumn="0" w:oddVBand="0" w:evenVBand="0" w:oddHBand="1" w:evenHBand="0" w:firstRowFirstColumn="0" w:firstRowLastColumn="0" w:lastRowFirstColumn="0" w:lastRowLastColumn="0"/>
            </w:pPr>
            <w:r w:rsidRPr="00DE663F">
              <w:t>81%</w:t>
            </w:r>
          </w:p>
        </w:tc>
      </w:tr>
      <w:tr w:rsidR="007651B9" w:rsidRPr="00557D5A" w14:paraId="058A7EA7" w14:textId="77777777" w:rsidTr="007651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Pr>
          <w:p w14:paraId="671020CE" w14:textId="7BEC2E52" w:rsidR="007651B9" w:rsidRPr="001A2E97" w:rsidRDefault="007651B9" w:rsidP="00E62DA5">
            <w:pPr>
              <w:pStyle w:val="Tabletextleft"/>
            </w:pPr>
            <w:r w:rsidRPr="00DE663F">
              <w:t>% finalised in FY in which at least one ADR process was held</w:t>
            </w:r>
          </w:p>
        </w:tc>
        <w:tc>
          <w:tcPr>
            <w:tcW w:w="1645" w:type="dxa"/>
          </w:tcPr>
          <w:p w14:paraId="22D2FD62" w14:textId="2DC5400F" w:rsidR="007651B9" w:rsidRDefault="007651B9" w:rsidP="00E944DC">
            <w:pPr>
              <w:pStyle w:val="Tabletextleft"/>
              <w:cnfStyle w:val="000000010000" w:firstRow="0" w:lastRow="0" w:firstColumn="0" w:lastColumn="0" w:oddVBand="0" w:evenVBand="0" w:oddHBand="0" w:evenHBand="1" w:firstRowFirstColumn="0" w:firstRowLastColumn="0" w:lastRowFirstColumn="0" w:lastRowLastColumn="0"/>
            </w:pPr>
            <w:r w:rsidRPr="00DE663F">
              <w:t>73%</w:t>
            </w:r>
          </w:p>
        </w:tc>
        <w:tc>
          <w:tcPr>
            <w:tcW w:w="1876" w:type="dxa"/>
          </w:tcPr>
          <w:p w14:paraId="70C77033" w14:textId="7D8BBC00" w:rsidR="007651B9" w:rsidRPr="006C027C" w:rsidRDefault="007651B9" w:rsidP="00E944DC">
            <w:pPr>
              <w:pStyle w:val="Tabletextleft"/>
              <w:cnfStyle w:val="000000010000" w:firstRow="0" w:lastRow="0" w:firstColumn="0" w:lastColumn="0" w:oddVBand="0" w:evenVBand="0" w:oddHBand="0" w:evenHBand="1" w:firstRowFirstColumn="0" w:firstRowLastColumn="0" w:lastRowFirstColumn="0" w:lastRowLastColumn="0"/>
            </w:pPr>
            <w:r w:rsidRPr="00DE663F">
              <w:t>69%</w:t>
            </w:r>
          </w:p>
        </w:tc>
        <w:tc>
          <w:tcPr>
            <w:tcW w:w="1876" w:type="dxa"/>
          </w:tcPr>
          <w:p w14:paraId="2E284DEA" w14:textId="5B95A37B" w:rsidR="007651B9" w:rsidRPr="00557D5A" w:rsidRDefault="007651B9" w:rsidP="00E944DC">
            <w:pPr>
              <w:pStyle w:val="Tabletextcentre"/>
              <w:cnfStyle w:val="000000010000" w:firstRow="0" w:lastRow="0" w:firstColumn="0" w:lastColumn="0" w:oddVBand="0" w:evenVBand="0" w:oddHBand="0" w:evenHBand="1" w:firstRowFirstColumn="0" w:firstRowLastColumn="0" w:lastRowFirstColumn="0" w:lastRowLastColumn="0"/>
            </w:pPr>
            <w:r w:rsidRPr="00DE663F">
              <w:t>63%</w:t>
            </w:r>
          </w:p>
        </w:tc>
        <w:tc>
          <w:tcPr>
            <w:tcW w:w="1884" w:type="dxa"/>
          </w:tcPr>
          <w:p w14:paraId="5B41C75F" w14:textId="1AB6F5B2" w:rsidR="007651B9" w:rsidRPr="00557D5A" w:rsidRDefault="007651B9" w:rsidP="00E62DA5">
            <w:pPr>
              <w:pStyle w:val="Tabletextright0"/>
              <w:cnfStyle w:val="000000010000" w:firstRow="0" w:lastRow="0" w:firstColumn="0" w:lastColumn="0" w:oddVBand="0" w:evenVBand="0" w:oddHBand="0" w:evenHBand="1" w:firstRowFirstColumn="0" w:firstRowLastColumn="0" w:lastRowFirstColumn="0" w:lastRowLastColumn="0"/>
            </w:pPr>
            <w:r w:rsidRPr="00DE663F">
              <w:t>66%</w:t>
            </w:r>
          </w:p>
        </w:tc>
      </w:tr>
      <w:tr w:rsidR="007651B9" w:rsidRPr="00557D5A" w14:paraId="0E27B19E" w14:textId="77777777" w:rsidTr="00765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Pr>
          <w:p w14:paraId="7F676CE2" w14:textId="050E4FA4" w:rsidR="007651B9" w:rsidRPr="001A2E97" w:rsidRDefault="007651B9" w:rsidP="00E62DA5">
            <w:pPr>
              <w:pStyle w:val="Tabletextleft"/>
            </w:pPr>
            <w:r w:rsidRPr="00DE663F">
              <w:t xml:space="preserve">Median calendar days </w:t>
            </w:r>
            <w:r w:rsidRPr="00DE663F">
              <w:lastRenderedPageBreak/>
              <w:t xml:space="preserve">from </w:t>
            </w:r>
            <w:proofErr w:type="spellStart"/>
            <w:r w:rsidRPr="00DE663F">
              <w:t>lodgment</w:t>
            </w:r>
            <w:proofErr w:type="spellEnd"/>
            <w:r w:rsidRPr="00DE663F">
              <w:t xml:space="preserve"> to final ADR process</w:t>
            </w:r>
          </w:p>
        </w:tc>
        <w:tc>
          <w:tcPr>
            <w:tcW w:w="1645" w:type="dxa"/>
          </w:tcPr>
          <w:p w14:paraId="3DC90B3E" w14:textId="1D91CCD4" w:rsidR="007651B9" w:rsidRDefault="007651B9" w:rsidP="00E944DC">
            <w:pPr>
              <w:pStyle w:val="Tabletextleft"/>
              <w:cnfStyle w:val="000000100000" w:firstRow="0" w:lastRow="0" w:firstColumn="0" w:lastColumn="0" w:oddVBand="0" w:evenVBand="0" w:oddHBand="1" w:evenHBand="0" w:firstRowFirstColumn="0" w:firstRowLastColumn="0" w:lastRowFirstColumn="0" w:lastRowLastColumn="0"/>
            </w:pPr>
            <w:r w:rsidRPr="00DE663F">
              <w:lastRenderedPageBreak/>
              <w:t>104</w:t>
            </w:r>
          </w:p>
        </w:tc>
        <w:tc>
          <w:tcPr>
            <w:tcW w:w="1876" w:type="dxa"/>
          </w:tcPr>
          <w:p w14:paraId="64C12E26" w14:textId="7D6B93BD" w:rsidR="007651B9" w:rsidRDefault="007651B9" w:rsidP="00E944DC">
            <w:pPr>
              <w:pStyle w:val="Tabletextleft"/>
              <w:cnfStyle w:val="000000100000" w:firstRow="0" w:lastRow="0" w:firstColumn="0" w:lastColumn="0" w:oddVBand="0" w:evenVBand="0" w:oddHBand="1" w:evenHBand="0" w:firstRowFirstColumn="0" w:firstRowLastColumn="0" w:lastRowFirstColumn="0" w:lastRowLastColumn="0"/>
            </w:pPr>
            <w:r w:rsidRPr="00DE663F">
              <w:t>114</w:t>
            </w:r>
          </w:p>
        </w:tc>
        <w:tc>
          <w:tcPr>
            <w:tcW w:w="1876" w:type="dxa"/>
          </w:tcPr>
          <w:p w14:paraId="621465D5" w14:textId="230FB8BE" w:rsidR="007651B9" w:rsidRDefault="007651B9" w:rsidP="00E944DC">
            <w:pPr>
              <w:pStyle w:val="Tabletextcentre"/>
              <w:cnfStyle w:val="000000100000" w:firstRow="0" w:lastRow="0" w:firstColumn="0" w:lastColumn="0" w:oddVBand="0" w:evenVBand="0" w:oddHBand="1" w:evenHBand="0" w:firstRowFirstColumn="0" w:firstRowLastColumn="0" w:lastRowFirstColumn="0" w:lastRowLastColumn="0"/>
            </w:pPr>
            <w:r w:rsidRPr="00DE663F">
              <w:t>116</w:t>
            </w:r>
          </w:p>
        </w:tc>
        <w:tc>
          <w:tcPr>
            <w:tcW w:w="1884" w:type="dxa"/>
          </w:tcPr>
          <w:p w14:paraId="43938A26" w14:textId="2D2F06E6" w:rsidR="007651B9" w:rsidRDefault="007651B9" w:rsidP="00E62DA5">
            <w:pPr>
              <w:pStyle w:val="Tabletextright0"/>
              <w:cnfStyle w:val="000000100000" w:firstRow="0" w:lastRow="0" w:firstColumn="0" w:lastColumn="0" w:oddVBand="0" w:evenVBand="0" w:oddHBand="1" w:evenHBand="0" w:firstRowFirstColumn="0" w:firstRowLastColumn="0" w:lastRowFirstColumn="0" w:lastRowLastColumn="0"/>
            </w:pPr>
            <w:r w:rsidRPr="00DE663F">
              <w:t>112</w:t>
            </w:r>
          </w:p>
        </w:tc>
      </w:tr>
      <w:tr w:rsidR="007651B9" w:rsidRPr="00557D5A" w14:paraId="3A254138" w14:textId="77777777" w:rsidTr="007651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Pr>
          <w:p w14:paraId="78CDD58B" w14:textId="3E1998BE" w:rsidR="007651B9" w:rsidRPr="001A2E97" w:rsidRDefault="007651B9" w:rsidP="00E62DA5">
            <w:pPr>
              <w:pStyle w:val="Tabletextleft"/>
            </w:pPr>
            <w:r w:rsidRPr="00DE663F">
              <w:t>Median no of total minutes spent in ADR per case</w:t>
            </w:r>
          </w:p>
        </w:tc>
        <w:tc>
          <w:tcPr>
            <w:tcW w:w="1645" w:type="dxa"/>
          </w:tcPr>
          <w:p w14:paraId="0B8623DE" w14:textId="1CC7D53E" w:rsidR="007651B9" w:rsidRDefault="007651B9" w:rsidP="00E944DC">
            <w:pPr>
              <w:pStyle w:val="Tabletextleft"/>
              <w:cnfStyle w:val="000000010000" w:firstRow="0" w:lastRow="0" w:firstColumn="0" w:lastColumn="0" w:oddVBand="0" w:evenVBand="0" w:oddHBand="0" w:evenHBand="1" w:firstRowFirstColumn="0" w:firstRowLastColumn="0" w:lastRowFirstColumn="0" w:lastRowLastColumn="0"/>
            </w:pPr>
            <w:r w:rsidRPr="00DE663F">
              <w:t>60</w:t>
            </w:r>
          </w:p>
        </w:tc>
        <w:tc>
          <w:tcPr>
            <w:tcW w:w="1876" w:type="dxa"/>
          </w:tcPr>
          <w:p w14:paraId="341AC48E" w14:textId="394C7E18" w:rsidR="007651B9" w:rsidRDefault="007651B9" w:rsidP="00E944DC">
            <w:pPr>
              <w:pStyle w:val="Tabletextleft"/>
              <w:cnfStyle w:val="000000010000" w:firstRow="0" w:lastRow="0" w:firstColumn="0" w:lastColumn="0" w:oddVBand="0" w:evenVBand="0" w:oddHBand="0" w:evenHBand="1" w:firstRowFirstColumn="0" w:firstRowLastColumn="0" w:lastRowFirstColumn="0" w:lastRowLastColumn="0"/>
            </w:pPr>
            <w:r w:rsidRPr="00DE663F">
              <w:t>60</w:t>
            </w:r>
          </w:p>
        </w:tc>
        <w:tc>
          <w:tcPr>
            <w:tcW w:w="1876" w:type="dxa"/>
          </w:tcPr>
          <w:p w14:paraId="01F34B50" w14:textId="468E3F00" w:rsidR="007651B9" w:rsidRDefault="007651B9" w:rsidP="00E944DC">
            <w:pPr>
              <w:pStyle w:val="Tabletextcentre"/>
              <w:cnfStyle w:val="000000010000" w:firstRow="0" w:lastRow="0" w:firstColumn="0" w:lastColumn="0" w:oddVBand="0" w:evenVBand="0" w:oddHBand="0" w:evenHBand="1" w:firstRowFirstColumn="0" w:firstRowLastColumn="0" w:lastRowFirstColumn="0" w:lastRowLastColumn="0"/>
            </w:pPr>
            <w:r w:rsidRPr="00DE663F">
              <w:t>60</w:t>
            </w:r>
          </w:p>
        </w:tc>
        <w:tc>
          <w:tcPr>
            <w:tcW w:w="1884" w:type="dxa"/>
          </w:tcPr>
          <w:p w14:paraId="6D9CF9BA" w14:textId="5A13CC7F" w:rsidR="007651B9" w:rsidRDefault="007651B9" w:rsidP="00E62DA5">
            <w:pPr>
              <w:pStyle w:val="Tabletextright0"/>
              <w:cnfStyle w:val="000000010000" w:firstRow="0" w:lastRow="0" w:firstColumn="0" w:lastColumn="0" w:oddVBand="0" w:evenVBand="0" w:oddHBand="0" w:evenHBand="1" w:firstRowFirstColumn="0" w:firstRowLastColumn="0" w:lastRowFirstColumn="0" w:lastRowLastColumn="0"/>
            </w:pPr>
            <w:r w:rsidRPr="00DE663F">
              <w:t>60</w:t>
            </w:r>
          </w:p>
        </w:tc>
      </w:tr>
    </w:tbl>
    <w:p w14:paraId="2D2978CD" w14:textId="77777777" w:rsidR="007651B9" w:rsidRPr="001A2E97" w:rsidRDefault="007651B9" w:rsidP="007651B9">
      <w:pPr>
        <w:spacing w:before="0" w:after="0" w:line="240" w:lineRule="auto"/>
        <w:rPr>
          <w:sz w:val="20"/>
        </w:rPr>
      </w:pPr>
    </w:p>
    <w:p w14:paraId="2B0C29CA" w14:textId="62D2E9A2" w:rsidR="007651B9" w:rsidRDefault="007651B9" w:rsidP="007651B9">
      <w:pPr>
        <w:spacing w:before="0" w:after="0" w:line="240" w:lineRule="auto"/>
        <w:rPr>
          <w:sz w:val="20"/>
        </w:rPr>
      </w:pPr>
      <w:r w:rsidRPr="00643FD6">
        <w:rPr>
          <w:sz w:val="20"/>
        </w:rPr>
        <w:t>Source: AAT Annual Reports 2021-22 to 2023-24</w:t>
      </w:r>
    </w:p>
    <w:p w14:paraId="5059E576" w14:textId="77777777" w:rsidR="00412A73" w:rsidRPr="001A2E97" w:rsidRDefault="00412A73" w:rsidP="007651B9">
      <w:pPr>
        <w:spacing w:before="0" w:after="0" w:line="240" w:lineRule="auto"/>
        <w:rPr>
          <w:sz w:val="20"/>
        </w:rPr>
      </w:pPr>
    </w:p>
    <w:p w14:paraId="4E3D9250" w14:textId="2DDA5855" w:rsidR="00412A73" w:rsidRPr="00557D5A" w:rsidRDefault="00412A73" w:rsidP="00412A73">
      <w:pPr>
        <w:pStyle w:val="TableTitle"/>
      </w:pPr>
      <w:r w:rsidRPr="00557D5A">
        <w:t xml:space="preserve">Table </w:t>
      </w:r>
      <w:r w:rsidR="00E22A4B" w:rsidRPr="00F67DB1">
        <w:t>7</w:t>
      </w:r>
      <w:r w:rsidRPr="00E22A4B">
        <w:t>:</w:t>
      </w:r>
      <w:r>
        <w:t xml:space="preserve"> </w:t>
      </w:r>
      <w:r w:rsidR="00A93AC7">
        <w:t>AAT2</w:t>
      </w:r>
      <w:r>
        <w:t xml:space="preserve"> outcomes </w:t>
      </w:r>
    </w:p>
    <w:tbl>
      <w:tblPr>
        <w:tblStyle w:val="DepartmentofHealthtable"/>
        <w:tblW w:w="0" w:type="auto"/>
        <w:tblLook w:val="04A0" w:firstRow="1" w:lastRow="0" w:firstColumn="1" w:lastColumn="0" w:noHBand="0" w:noVBand="1"/>
        <w:tblDescription w:val="Add Alt Text describing the content of the table"/>
      </w:tblPr>
      <w:tblGrid>
        <w:gridCol w:w="1789"/>
        <w:gridCol w:w="1645"/>
        <w:gridCol w:w="1876"/>
        <w:gridCol w:w="1876"/>
        <w:gridCol w:w="1884"/>
      </w:tblGrid>
      <w:tr w:rsidR="00412A73" w:rsidRPr="00557D5A" w14:paraId="540FE723" w14:textId="77777777" w:rsidTr="00323D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89" w:type="dxa"/>
            <w:shd w:val="clear" w:color="auto" w:fill="335DA5" w:themeFill="accent1"/>
          </w:tcPr>
          <w:p w14:paraId="2B22E566" w14:textId="77777777" w:rsidR="00412A73" w:rsidRPr="00557D5A" w:rsidRDefault="00412A73" w:rsidP="00323DEC">
            <w:pPr>
              <w:pStyle w:val="TableHeaderWhite"/>
            </w:pPr>
          </w:p>
        </w:tc>
        <w:tc>
          <w:tcPr>
            <w:tcW w:w="1645" w:type="dxa"/>
            <w:shd w:val="clear" w:color="auto" w:fill="335DA5" w:themeFill="accent1"/>
          </w:tcPr>
          <w:p w14:paraId="74C747D4" w14:textId="77777777" w:rsidR="00412A73" w:rsidRDefault="00412A73" w:rsidP="00323DEC">
            <w:pPr>
              <w:pStyle w:val="TableHeader"/>
              <w:jc w:val="right"/>
              <w:cnfStyle w:val="100000000000" w:firstRow="1" w:lastRow="0" w:firstColumn="0" w:lastColumn="0" w:oddVBand="0" w:evenVBand="0" w:oddHBand="0" w:evenHBand="0" w:firstRowFirstColumn="0" w:firstRowLastColumn="0" w:lastRowFirstColumn="0" w:lastRowLastColumn="0"/>
            </w:pPr>
            <w:r>
              <w:t>2020/21</w:t>
            </w:r>
          </w:p>
        </w:tc>
        <w:tc>
          <w:tcPr>
            <w:tcW w:w="1876" w:type="dxa"/>
            <w:shd w:val="clear" w:color="auto" w:fill="335DA5" w:themeFill="accent1"/>
          </w:tcPr>
          <w:p w14:paraId="1C1B7EB0" w14:textId="77777777" w:rsidR="00412A73" w:rsidRPr="00557D5A" w:rsidRDefault="00412A73" w:rsidP="00323DEC">
            <w:pPr>
              <w:pStyle w:val="TableHeader"/>
              <w:jc w:val="right"/>
              <w:cnfStyle w:val="100000000000" w:firstRow="1" w:lastRow="0" w:firstColumn="0" w:lastColumn="0" w:oddVBand="0" w:evenVBand="0" w:oddHBand="0" w:evenHBand="0" w:firstRowFirstColumn="0" w:firstRowLastColumn="0" w:lastRowFirstColumn="0" w:lastRowLastColumn="0"/>
            </w:pPr>
            <w:r>
              <w:t>2021/22</w:t>
            </w:r>
          </w:p>
        </w:tc>
        <w:tc>
          <w:tcPr>
            <w:tcW w:w="1876" w:type="dxa"/>
            <w:shd w:val="clear" w:color="auto" w:fill="335DA5" w:themeFill="accent1"/>
          </w:tcPr>
          <w:p w14:paraId="65D7E45A" w14:textId="77777777" w:rsidR="00412A73" w:rsidRPr="00557D5A" w:rsidRDefault="00412A73" w:rsidP="00323DEC">
            <w:pPr>
              <w:pStyle w:val="TableHeader"/>
              <w:jc w:val="right"/>
              <w:cnfStyle w:val="100000000000" w:firstRow="1" w:lastRow="0" w:firstColumn="0" w:lastColumn="0" w:oddVBand="0" w:evenVBand="0" w:oddHBand="0" w:evenHBand="0" w:firstRowFirstColumn="0" w:firstRowLastColumn="0" w:lastRowFirstColumn="0" w:lastRowLastColumn="0"/>
            </w:pPr>
            <w:r>
              <w:t>2022/23</w:t>
            </w:r>
          </w:p>
        </w:tc>
        <w:tc>
          <w:tcPr>
            <w:tcW w:w="1884" w:type="dxa"/>
            <w:shd w:val="clear" w:color="auto" w:fill="335DA5" w:themeFill="accent1"/>
          </w:tcPr>
          <w:p w14:paraId="2660364D" w14:textId="77777777" w:rsidR="00412A73" w:rsidRPr="00557D5A" w:rsidRDefault="00412A73" w:rsidP="00323DEC">
            <w:pPr>
              <w:pStyle w:val="TableHeader"/>
              <w:jc w:val="right"/>
              <w:cnfStyle w:val="100000000000" w:firstRow="1" w:lastRow="0" w:firstColumn="0" w:lastColumn="0" w:oddVBand="0" w:evenVBand="0" w:oddHBand="0" w:evenHBand="0" w:firstRowFirstColumn="0" w:firstRowLastColumn="0" w:lastRowFirstColumn="0" w:lastRowLastColumn="0"/>
            </w:pPr>
            <w:r>
              <w:t>2023/24</w:t>
            </w:r>
          </w:p>
        </w:tc>
      </w:tr>
      <w:tr w:rsidR="00412A73" w:rsidRPr="00557D5A" w14:paraId="532647D8" w14:textId="77777777" w:rsidTr="0032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Pr>
          <w:p w14:paraId="01230847" w14:textId="00FD737B" w:rsidR="00412A73" w:rsidRPr="001A2E97" w:rsidRDefault="00412A73" w:rsidP="00E62DA5">
            <w:pPr>
              <w:pStyle w:val="Tabletextleft"/>
            </w:pPr>
            <w:r>
              <w:t>By consent</w:t>
            </w:r>
            <w:r>
              <w:rPr>
                <w:rStyle w:val="FootnoteReference"/>
                <w:b w:val="0"/>
              </w:rPr>
              <w:footnoteReference w:id="86"/>
            </w:r>
            <w:r>
              <w:t xml:space="preserve"> – set aside/vary</w:t>
            </w:r>
          </w:p>
        </w:tc>
        <w:tc>
          <w:tcPr>
            <w:tcW w:w="1645" w:type="dxa"/>
          </w:tcPr>
          <w:p w14:paraId="3801481C" w14:textId="5F280BAF" w:rsidR="00412A73" w:rsidRDefault="00412A73" w:rsidP="00E62DA5">
            <w:pPr>
              <w:pStyle w:val="Tabletextleft"/>
              <w:cnfStyle w:val="000000100000" w:firstRow="0" w:lastRow="0" w:firstColumn="0" w:lastColumn="0" w:oddVBand="0" w:evenVBand="0" w:oddHBand="1" w:evenHBand="0" w:firstRowFirstColumn="0" w:firstRowLastColumn="0" w:lastRowFirstColumn="0" w:lastRowLastColumn="0"/>
            </w:pPr>
            <w:r w:rsidRPr="00DE663F">
              <w:t>281 (15%)</w:t>
            </w:r>
          </w:p>
        </w:tc>
        <w:tc>
          <w:tcPr>
            <w:tcW w:w="1876" w:type="dxa"/>
          </w:tcPr>
          <w:p w14:paraId="24383C7B" w14:textId="4353BFCA" w:rsidR="00412A73" w:rsidRPr="006C027C" w:rsidRDefault="00412A73" w:rsidP="00E62DA5">
            <w:pPr>
              <w:pStyle w:val="Tabletextleft"/>
              <w:cnfStyle w:val="000000100000" w:firstRow="0" w:lastRow="0" w:firstColumn="0" w:lastColumn="0" w:oddVBand="0" w:evenVBand="0" w:oddHBand="1" w:evenHBand="0" w:firstRowFirstColumn="0" w:firstRowLastColumn="0" w:lastRowFirstColumn="0" w:lastRowLastColumn="0"/>
            </w:pPr>
            <w:r w:rsidRPr="00DE663F">
              <w:t>280 (18%)</w:t>
            </w:r>
          </w:p>
        </w:tc>
        <w:tc>
          <w:tcPr>
            <w:tcW w:w="1876" w:type="dxa"/>
          </w:tcPr>
          <w:p w14:paraId="1C75059D" w14:textId="10A50753" w:rsidR="00412A73" w:rsidRPr="00557D5A" w:rsidRDefault="00412A73" w:rsidP="00E944DC">
            <w:pPr>
              <w:pStyle w:val="Tabletextcentre"/>
              <w:cnfStyle w:val="000000100000" w:firstRow="0" w:lastRow="0" w:firstColumn="0" w:lastColumn="0" w:oddVBand="0" w:evenVBand="0" w:oddHBand="1" w:evenHBand="0" w:firstRowFirstColumn="0" w:firstRowLastColumn="0" w:lastRowFirstColumn="0" w:lastRowLastColumn="0"/>
            </w:pPr>
            <w:r w:rsidRPr="00DE663F">
              <w:t>259 (21%)</w:t>
            </w:r>
          </w:p>
        </w:tc>
        <w:tc>
          <w:tcPr>
            <w:tcW w:w="1884" w:type="dxa"/>
          </w:tcPr>
          <w:p w14:paraId="50652416" w14:textId="4F922405" w:rsidR="00412A73" w:rsidRPr="00557D5A" w:rsidRDefault="00412A73" w:rsidP="00E944DC">
            <w:pPr>
              <w:pStyle w:val="Tabletextright0"/>
              <w:cnfStyle w:val="000000100000" w:firstRow="0" w:lastRow="0" w:firstColumn="0" w:lastColumn="0" w:oddVBand="0" w:evenVBand="0" w:oddHBand="1" w:evenHBand="0" w:firstRowFirstColumn="0" w:firstRowLastColumn="0" w:lastRowFirstColumn="0" w:lastRowLastColumn="0"/>
            </w:pPr>
            <w:r w:rsidRPr="00DE663F">
              <w:t>209 (20%)</w:t>
            </w:r>
          </w:p>
        </w:tc>
      </w:tr>
      <w:tr w:rsidR="00412A73" w:rsidRPr="00557D5A" w14:paraId="095D1AEF" w14:textId="77777777" w:rsidTr="00323D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Pr>
          <w:p w14:paraId="7E9EF9DD" w14:textId="12FD9AF1" w:rsidR="00412A73" w:rsidRPr="001A2E97" w:rsidRDefault="00412A73" w:rsidP="00E62DA5">
            <w:pPr>
              <w:pStyle w:val="Tabletextleft"/>
            </w:pPr>
            <w:r>
              <w:t xml:space="preserve">By consent – affirm </w:t>
            </w:r>
          </w:p>
        </w:tc>
        <w:tc>
          <w:tcPr>
            <w:tcW w:w="1645" w:type="dxa"/>
          </w:tcPr>
          <w:p w14:paraId="33E48FAB" w14:textId="3149733C" w:rsidR="00412A73" w:rsidRDefault="00412A73" w:rsidP="00E62DA5">
            <w:pPr>
              <w:pStyle w:val="Tabletextleft"/>
              <w:cnfStyle w:val="000000010000" w:firstRow="0" w:lastRow="0" w:firstColumn="0" w:lastColumn="0" w:oddVBand="0" w:evenVBand="0" w:oddHBand="0" w:evenHBand="1" w:firstRowFirstColumn="0" w:firstRowLastColumn="0" w:lastRowFirstColumn="0" w:lastRowLastColumn="0"/>
            </w:pPr>
            <w:r w:rsidRPr="00DE663F">
              <w:t>5 (&lt;1%)</w:t>
            </w:r>
          </w:p>
        </w:tc>
        <w:tc>
          <w:tcPr>
            <w:tcW w:w="1876" w:type="dxa"/>
          </w:tcPr>
          <w:p w14:paraId="62685AAD" w14:textId="67D0390F" w:rsidR="00412A73" w:rsidRPr="006C027C" w:rsidRDefault="00412A73" w:rsidP="00E62DA5">
            <w:pPr>
              <w:pStyle w:val="Tabletextleft"/>
              <w:cnfStyle w:val="000000010000" w:firstRow="0" w:lastRow="0" w:firstColumn="0" w:lastColumn="0" w:oddVBand="0" w:evenVBand="0" w:oddHBand="0" w:evenHBand="1" w:firstRowFirstColumn="0" w:firstRowLastColumn="0" w:lastRowFirstColumn="0" w:lastRowLastColumn="0"/>
            </w:pPr>
            <w:r w:rsidRPr="00DE663F">
              <w:t>9 (1%)</w:t>
            </w:r>
          </w:p>
        </w:tc>
        <w:tc>
          <w:tcPr>
            <w:tcW w:w="1876" w:type="dxa"/>
          </w:tcPr>
          <w:p w14:paraId="586B8A98" w14:textId="7525CD26" w:rsidR="00412A73" w:rsidRPr="00557D5A" w:rsidRDefault="00412A73" w:rsidP="00E944DC">
            <w:pPr>
              <w:pStyle w:val="Tabletextcentre"/>
              <w:cnfStyle w:val="000000010000" w:firstRow="0" w:lastRow="0" w:firstColumn="0" w:lastColumn="0" w:oddVBand="0" w:evenVBand="0" w:oddHBand="0" w:evenHBand="1" w:firstRowFirstColumn="0" w:firstRowLastColumn="0" w:lastRowFirstColumn="0" w:lastRowLastColumn="0"/>
            </w:pPr>
            <w:r w:rsidRPr="00DE663F">
              <w:t>7 (1%)</w:t>
            </w:r>
          </w:p>
        </w:tc>
        <w:tc>
          <w:tcPr>
            <w:tcW w:w="1884" w:type="dxa"/>
          </w:tcPr>
          <w:p w14:paraId="30B0CAB4" w14:textId="0D05C095" w:rsidR="00412A73" w:rsidRPr="00557D5A" w:rsidRDefault="00412A73" w:rsidP="00E944DC">
            <w:pPr>
              <w:pStyle w:val="Tabletextright0"/>
              <w:cnfStyle w:val="000000010000" w:firstRow="0" w:lastRow="0" w:firstColumn="0" w:lastColumn="0" w:oddVBand="0" w:evenVBand="0" w:oddHBand="0" w:evenHBand="1" w:firstRowFirstColumn="0" w:firstRowLastColumn="0" w:lastRowFirstColumn="0" w:lastRowLastColumn="0"/>
            </w:pPr>
            <w:r w:rsidRPr="00DE663F">
              <w:t>22 (2%)</w:t>
            </w:r>
          </w:p>
        </w:tc>
      </w:tr>
      <w:tr w:rsidR="00412A73" w:rsidRPr="00557D5A" w14:paraId="3B60B4DE" w14:textId="77777777" w:rsidTr="00323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Pr>
          <w:p w14:paraId="53DEF77F" w14:textId="3048B7AA" w:rsidR="00412A73" w:rsidRPr="001A2E97" w:rsidRDefault="00412A73" w:rsidP="00E62DA5">
            <w:pPr>
              <w:pStyle w:val="Tabletextleft"/>
            </w:pPr>
            <w:r>
              <w:t>Dismissed – settlement</w:t>
            </w:r>
            <w:r>
              <w:rPr>
                <w:rStyle w:val="FootnoteReference"/>
                <w:b w:val="0"/>
                <w:color w:val="000000"/>
              </w:rPr>
              <w:footnoteReference w:id="87"/>
            </w:r>
            <w:r>
              <w:t xml:space="preserve"> </w:t>
            </w:r>
          </w:p>
        </w:tc>
        <w:tc>
          <w:tcPr>
            <w:tcW w:w="1645" w:type="dxa"/>
          </w:tcPr>
          <w:p w14:paraId="2BC9B794" w14:textId="60B887A9" w:rsidR="00412A73" w:rsidRDefault="00412A73" w:rsidP="00E62DA5">
            <w:pPr>
              <w:pStyle w:val="Tabletextleft"/>
              <w:cnfStyle w:val="000000100000" w:firstRow="0" w:lastRow="0" w:firstColumn="0" w:lastColumn="0" w:oddVBand="0" w:evenVBand="0" w:oddHBand="1" w:evenHBand="0" w:firstRowFirstColumn="0" w:firstRowLastColumn="0" w:lastRowFirstColumn="0" w:lastRowLastColumn="0"/>
            </w:pPr>
            <w:r w:rsidRPr="00DE663F">
              <w:t>505 (26%)</w:t>
            </w:r>
          </w:p>
        </w:tc>
        <w:tc>
          <w:tcPr>
            <w:tcW w:w="1876" w:type="dxa"/>
          </w:tcPr>
          <w:p w14:paraId="74946694" w14:textId="0D0BCF79" w:rsidR="00412A73" w:rsidRDefault="00412A73" w:rsidP="00E62DA5">
            <w:pPr>
              <w:pStyle w:val="Tabletextleft"/>
              <w:cnfStyle w:val="000000100000" w:firstRow="0" w:lastRow="0" w:firstColumn="0" w:lastColumn="0" w:oddVBand="0" w:evenVBand="0" w:oddHBand="1" w:evenHBand="0" w:firstRowFirstColumn="0" w:firstRowLastColumn="0" w:lastRowFirstColumn="0" w:lastRowLastColumn="0"/>
            </w:pPr>
            <w:r w:rsidRPr="00DE663F">
              <w:t xml:space="preserve">397 (26%) </w:t>
            </w:r>
          </w:p>
        </w:tc>
        <w:tc>
          <w:tcPr>
            <w:tcW w:w="1876" w:type="dxa"/>
          </w:tcPr>
          <w:p w14:paraId="7C303658" w14:textId="72C1DC91" w:rsidR="00412A73" w:rsidRDefault="00412A73" w:rsidP="00E944DC">
            <w:pPr>
              <w:pStyle w:val="Tabletextcentre"/>
              <w:cnfStyle w:val="000000100000" w:firstRow="0" w:lastRow="0" w:firstColumn="0" w:lastColumn="0" w:oddVBand="0" w:evenVBand="0" w:oddHBand="1" w:evenHBand="0" w:firstRowFirstColumn="0" w:firstRowLastColumn="0" w:lastRowFirstColumn="0" w:lastRowLastColumn="0"/>
            </w:pPr>
            <w:r w:rsidRPr="00DE663F">
              <w:t>334 (27%)</w:t>
            </w:r>
          </w:p>
        </w:tc>
        <w:tc>
          <w:tcPr>
            <w:tcW w:w="1884" w:type="dxa"/>
          </w:tcPr>
          <w:p w14:paraId="60A1D477" w14:textId="7B603F09" w:rsidR="00412A73" w:rsidRDefault="00412A73" w:rsidP="00E944DC">
            <w:pPr>
              <w:pStyle w:val="Tabletextright0"/>
              <w:cnfStyle w:val="000000100000" w:firstRow="0" w:lastRow="0" w:firstColumn="0" w:lastColumn="0" w:oddVBand="0" w:evenVBand="0" w:oddHBand="1" w:evenHBand="0" w:firstRowFirstColumn="0" w:firstRowLastColumn="0" w:lastRowFirstColumn="0" w:lastRowLastColumn="0"/>
            </w:pPr>
            <w:r w:rsidRPr="00DE663F">
              <w:t>316 (30%)</w:t>
            </w:r>
          </w:p>
        </w:tc>
      </w:tr>
    </w:tbl>
    <w:p w14:paraId="0499A21E" w14:textId="77777777" w:rsidR="00412A73" w:rsidRPr="001A2E97" w:rsidRDefault="00412A73" w:rsidP="00412A73">
      <w:pPr>
        <w:spacing w:before="0" w:after="0" w:line="240" w:lineRule="auto"/>
        <w:rPr>
          <w:sz w:val="20"/>
        </w:rPr>
      </w:pPr>
    </w:p>
    <w:p w14:paraId="14ECFDD7" w14:textId="77777777" w:rsidR="00412A73" w:rsidRPr="001A2E97" w:rsidRDefault="00412A73" w:rsidP="00412A73">
      <w:pPr>
        <w:spacing w:before="0" w:after="0" w:line="240" w:lineRule="auto"/>
        <w:rPr>
          <w:sz w:val="20"/>
        </w:rPr>
      </w:pPr>
      <w:r w:rsidRPr="00643FD6">
        <w:rPr>
          <w:sz w:val="20"/>
        </w:rPr>
        <w:t>Source: AAT Annual Reports 2021-22 to 2023-24</w:t>
      </w:r>
    </w:p>
    <w:p w14:paraId="77874769" w14:textId="26A69A07" w:rsidR="007651B9" w:rsidRDefault="00412A73" w:rsidP="00412A73">
      <w:pPr>
        <w:pStyle w:val="Heading3"/>
      </w:pPr>
      <w:bookmarkStart w:id="31" w:name="_Toc205997114"/>
      <w:r>
        <w:t>Should dispute resolution be used in first</w:t>
      </w:r>
      <w:r w:rsidR="00F16B94">
        <w:t xml:space="preserve"> </w:t>
      </w:r>
      <w:r>
        <w:t>review?</w:t>
      </w:r>
      <w:bookmarkEnd w:id="31"/>
    </w:p>
    <w:p w14:paraId="04423BC4" w14:textId="3668F527" w:rsidR="00052A87" w:rsidRPr="00291ADF" w:rsidRDefault="00052A87" w:rsidP="00ED35E7">
      <w:pPr>
        <w:pStyle w:val="ListParagraph"/>
        <w:numPr>
          <w:ilvl w:val="1"/>
          <w:numId w:val="34"/>
        </w:numPr>
        <w:jc w:val="both"/>
        <w:rPr>
          <w:rFonts w:cs="Arial"/>
          <w:szCs w:val="21"/>
        </w:rPr>
      </w:pPr>
      <w:r w:rsidRPr="00291ADF">
        <w:rPr>
          <w:rFonts w:cs="Arial"/>
          <w:szCs w:val="21"/>
        </w:rPr>
        <w:t>The high settlement rates at second</w:t>
      </w:r>
      <w:r w:rsidR="00B2137C" w:rsidRPr="00291ADF">
        <w:rPr>
          <w:rFonts w:cs="Arial"/>
          <w:szCs w:val="21"/>
        </w:rPr>
        <w:t xml:space="preserve"> </w:t>
      </w:r>
      <w:r w:rsidRPr="00291ADF">
        <w:rPr>
          <w:rFonts w:cs="Arial"/>
          <w:szCs w:val="21"/>
        </w:rPr>
        <w:t xml:space="preserve">review raise the question of whether greater use of </w:t>
      </w:r>
      <w:r w:rsidR="00B2137C" w:rsidRPr="00291ADF">
        <w:rPr>
          <w:rFonts w:cs="Arial"/>
          <w:szCs w:val="21"/>
        </w:rPr>
        <w:t xml:space="preserve">ADR </w:t>
      </w:r>
      <w:r w:rsidRPr="00291ADF">
        <w:rPr>
          <w:rFonts w:cs="Arial"/>
          <w:szCs w:val="21"/>
        </w:rPr>
        <w:t xml:space="preserve">at </w:t>
      </w:r>
      <w:r w:rsidR="00A93AC7" w:rsidRPr="00291ADF">
        <w:rPr>
          <w:rFonts w:cs="Arial"/>
          <w:szCs w:val="21"/>
        </w:rPr>
        <w:t>first</w:t>
      </w:r>
      <w:r w:rsidR="00B2137C" w:rsidRPr="00291ADF">
        <w:rPr>
          <w:rFonts w:cs="Arial"/>
          <w:szCs w:val="21"/>
        </w:rPr>
        <w:t xml:space="preserve"> </w:t>
      </w:r>
      <w:r w:rsidRPr="00291ADF">
        <w:rPr>
          <w:rFonts w:cs="Arial"/>
          <w:szCs w:val="21"/>
        </w:rPr>
        <w:t>review would enable more matters to be settled at an earlier stage.</w:t>
      </w:r>
      <w:r w:rsidR="00BE1C81" w:rsidRPr="00291ADF">
        <w:rPr>
          <w:rFonts w:cs="Arial"/>
          <w:szCs w:val="21"/>
        </w:rPr>
        <w:t xml:space="preserve"> </w:t>
      </w:r>
      <w:r w:rsidRPr="00291ADF">
        <w:rPr>
          <w:rFonts w:cs="Arial"/>
          <w:szCs w:val="21"/>
        </w:rPr>
        <w:t>The Attorney-General’s Department made this point during the Parliamentary Committee consideration of the ART Bills, stating:</w:t>
      </w:r>
    </w:p>
    <w:p w14:paraId="7B0B5E04" w14:textId="407BD20B" w:rsidR="00052A87" w:rsidRDefault="00052A87" w:rsidP="00291ADF">
      <w:pPr>
        <w:ind w:left="1440"/>
        <w:jc w:val="both"/>
        <w:rPr>
          <w:rFonts w:cs="Arial"/>
          <w:szCs w:val="21"/>
        </w:rPr>
      </w:pPr>
      <w:r>
        <w:t>Resolving matters through dispute resolution processes is often more efficient and cost effective for parties, provides applicants with greater opportunity to engage in their matter, and leads to a higher rate of compliance with the final outcome.</w:t>
      </w:r>
      <w:r>
        <w:rPr>
          <w:rStyle w:val="FootnoteReference"/>
        </w:rPr>
        <w:footnoteReference w:id="88"/>
      </w:r>
    </w:p>
    <w:p w14:paraId="54F7E1D8" w14:textId="449FFB01" w:rsidR="00291ADF" w:rsidRDefault="003D31BD" w:rsidP="00ED35E7">
      <w:pPr>
        <w:pStyle w:val="ListParagraph"/>
        <w:numPr>
          <w:ilvl w:val="1"/>
          <w:numId w:val="34"/>
        </w:numPr>
        <w:jc w:val="both"/>
        <w:rPr>
          <w:rFonts w:cs="Arial"/>
          <w:szCs w:val="21"/>
        </w:rPr>
      </w:pPr>
      <w:r w:rsidRPr="00291ADF">
        <w:rPr>
          <w:rFonts w:cs="Arial"/>
          <w:szCs w:val="21"/>
        </w:rPr>
        <w:t>However, the</w:t>
      </w:r>
      <w:r w:rsidR="00264ED8" w:rsidRPr="00291ADF">
        <w:rPr>
          <w:rFonts w:cs="Arial"/>
          <w:szCs w:val="21"/>
        </w:rPr>
        <w:t xml:space="preserve"> former</w:t>
      </w:r>
      <w:r w:rsidR="00412A73" w:rsidRPr="00291ADF">
        <w:rPr>
          <w:rFonts w:cs="Arial"/>
          <w:szCs w:val="21"/>
        </w:rPr>
        <w:t xml:space="preserve"> Department of Human Services</w:t>
      </w:r>
      <w:r w:rsidR="00DA5786" w:rsidRPr="00291ADF">
        <w:rPr>
          <w:rFonts w:cs="Arial"/>
          <w:szCs w:val="21"/>
        </w:rPr>
        <w:t>, when it had responsibility for Centrelink, opposed the proposed use of pre-hearing case management processes in first</w:t>
      </w:r>
      <w:r w:rsidR="00B2137C" w:rsidRPr="00291ADF">
        <w:rPr>
          <w:rFonts w:cs="Arial"/>
          <w:szCs w:val="21"/>
        </w:rPr>
        <w:t xml:space="preserve"> </w:t>
      </w:r>
      <w:r w:rsidR="00DA5786" w:rsidRPr="00291ADF">
        <w:rPr>
          <w:rFonts w:cs="Arial"/>
          <w:szCs w:val="21"/>
        </w:rPr>
        <w:t xml:space="preserve">review cases. </w:t>
      </w:r>
      <w:r w:rsidR="00264ED8" w:rsidRPr="00291ADF">
        <w:rPr>
          <w:rFonts w:cs="Arial"/>
          <w:szCs w:val="21"/>
        </w:rPr>
        <w:t xml:space="preserve">The Department of Human Services </w:t>
      </w:r>
      <w:r w:rsidR="00DA5786" w:rsidRPr="00291ADF">
        <w:rPr>
          <w:rFonts w:cs="Arial"/>
          <w:szCs w:val="21"/>
        </w:rPr>
        <w:t xml:space="preserve">suggested this would have significant </w:t>
      </w:r>
      <w:r w:rsidR="00DA5786" w:rsidRPr="00291ADF">
        <w:rPr>
          <w:rFonts w:cs="Arial"/>
          <w:szCs w:val="21"/>
        </w:rPr>
        <w:lastRenderedPageBreak/>
        <w:t>resourcing implications for the Department and unnecessarily prolong the review process in what is intended to be a quick and economical review.</w:t>
      </w:r>
      <w:r w:rsidR="00DA5786" w:rsidRPr="00291ADF">
        <w:rPr>
          <w:vertAlign w:val="superscript"/>
        </w:rPr>
        <w:footnoteReference w:id="89"/>
      </w:r>
    </w:p>
    <w:p w14:paraId="486D1F8B" w14:textId="77777777" w:rsidR="00291ADF" w:rsidRDefault="00291ADF" w:rsidP="00291ADF">
      <w:pPr>
        <w:pStyle w:val="ListParagraph"/>
        <w:jc w:val="both"/>
        <w:rPr>
          <w:rFonts w:cs="Arial"/>
          <w:szCs w:val="21"/>
        </w:rPr>
      </w:pPr>
    </w:p>
    <w:p w14:paraId="6DA59F87" w14:textId="38EECC7F" w:rsidR="00DA5786" w:rsidRPr="00291ADF" w:rsidRDefault="00DA5786" w:rsidP="00ED35E7">
      <w:pPr>
        <w:pStyle w:val="ListParagraph"/>
        <w:numPr>
          <w:ilvl w:val="1"/>
          <w:numId w:val="34"/>
        </w:numPr>
        <w:jc w:val="both"/>
        <w:rPr>
          <w:rFonts w:cs="Arial"/>
          <w:szCs w:val="21"/>
        </w:rPr>
      </w:pPr>
      <w:r w:rsidRPr="00291ADF">
        <w:rPr>
          <w:rFonts w:cs="Arial"/>
          <w:szCs w:val="21"/>
        </w:rPr>
        <w:t xml:space="preserve">During the </w:t>
      </w:r>
      <w:r w:rsidR="007531BD" w:rsidRPr="00291ADF">
        <w:rPr>
          <w:rFonts w:cs="Arial"/>
          <w:szCs w:val="21"/>
        </w:rPr>
        <w:t>P</w:t>
      </w:r>
      <w:r w:rsidRPr="00291ADF">
        <w:rPr>
          <w:rFonts w:cs="Arial"/>
          <w:szCs w:val="21"/>
        </w:rPr>
        <w:t>arliamentary</w:t>
      </w:r>
      <w:r w:rsidR="007531BD" w:rsidRPr="00291ADF">
        <w:rPr>
          <w:rFonts w:cs="Arial"/>
          <w:szCs w:val="21"/>
        </w:rPr>
        <w:t xml:space="preserve"> Committee</w:t>
      </w:r>
      <w:r w:rsidRPr="00291ADF">
        <w:rPr>
          <w:rFonts w:cs="Arial"/>
          <w:szCs w:val="21"/>
        </w:rPr>
        <w:t xml:space="preserve"> inquiries into the ART Bills</w:t>
      </w:r>
      <w:r w:rsidRPr="00291ADF">
        <w:rPr>
          <w:vertAlign w:val="superscript"/>
        </w:rPr>
        <w:footnoteReference w:id="90"/>
      </w:r>
      <w:r w:rsidRPr="00291ADF">
        <w:rPr>
          <w:rFonts w:cs="Arial"/>
          <w:szCs w:val="21"/>
        </w:rPr>
        <w:t xml:space="preserve"> Emeritus Professor Terry Carney AO suggested that the use of </w:t>
      </w:r>
      <w:r w:rsidR="00B2137C" w:rsidRPr="00291ADF">
        <w:rPr>
          <w:rFonts w:cs="Arial"/>
          <w:szCs w:val="21"/>
        </w:rPr>
        <w:t>ADR</w:t>
      </w:r>
      <w:r w:rsidRPr="00291ADF">
        <w:rPr>
          <w:rFonts w:cs="Arial"/>
          <w:szCs w:val="21"/>
        </w:rPr>
        <w:t xml:space="preserve"> would need to be </w:t>
      </w:r>
      <w:r w:rsidR="00B2137C" w:rsidRPr="00291ADF">
        <w:rPr>
          <w:rFonts w:cs="Arial"/>
          <w:szCs w:val="21"/>
        </w:rPr>
        <w:t>“</w:t>
      </w:r>
      <w:r w:rsidRPr="00291ADF">
        <w:rPr>
          <w:rFonts w:cs="Arial"/>
          <w:szCs w:val="21"/>
        </w:rPr>
        <w:t>judiciously exercised</w:t>
      </w:r>
      <w:r w:rsidR="00B2137C" w:rsidRPr="00291ADF">
        <w:rPr>
          <w:rFonts w:cs="Arial"/>
          <w:szCs w:val="21"/>
        </w:rPr>
        <w:t>”</w:t>
      </w:r>
      <w:r w:rsidRPr="00291ADF">
        <w:rPr>
          <w:rFonts w:cs="Arial"/>
          <w:szCs w:val="21"/>
        </w:rPr>
        <w:t xml:space="preserve"> to avoid it being used by the Department to avoid adverse rulings being made public.</w:t>
      </w:r>
      <w:r w:rsidRPr="00E206FF">
        <w:rPr>
          <w:vertAlign w:val="superscript"/>
        </w:rPr>
        <w:footnoteReference w:id="91"/>
      </w:r>
      <w:r w:rsidRPr="00291ADF">
        <w:rPr>
          <w:rFonts w:cs="Arial"/>
          <w:szCs w:val="21"/>
        </w:rPr>
        <w:t xml:space="preserve"> </w:t>
      </w:r>
    </w:p>
    <w:p w14:paraId="315E553F" w14:textId="2D3446AA" w:rsidR="003B2081" w:rsidRDefault="003B2081" w:rsidP="003B2081">
      <w:pPr>
        <w:pStyle w:val="Heading3"/>
      </w:pPr>
      <w:bookmarkStart w:id="32" w:name="_Toc205997115"/>
      <w:r>
        <w:t>Council consideration and questions</w:t>
      </w:r>
      <w:bookmarkEnd w:id="32"/>
    </w:p>
    <w:p w14:paraId="0D668739" w14:textId="03C9A3E8" w:rsidR="003B2081" w:rsidRDefault="003B2081" w:rsidP="00ED35E7">
      <w:pPr>
        <w:pStyle w:val="ListParagraph"/>
        <w:numPr>
          <w:ilvl w:val="1"/>
          <w:numId w:val="34"/>
        </w:numPr>
        <w:jc w:val="both"/>
        <w:rPr>
          <w:rFonts w:cs="Arial"/>
          <w:szCs w:val="21"/>
        </w:rPr>
      </w:pPr>
      <w:r w:rsidRPr="00291ADF">
        <w:rPr>
          <w:rFonts w:cs="Arial"/>
          <w:szCs w:val="21"/>
        </w:rPr>
        <w:t xml:space="preserve">A key challenge </w:t>
      </w:r>
      <w:r w:rsidR="00B2137C" w:rsidRPr="00291ADF">
        <w:rPr>
          <w:rFonts w:cs="Arial"/>
          <w:szCs w:val="21"/>
        </w:rPr>
        <w:t>f</w:t>
      </w:r>
      <w:r w:rsidRPr="00291ADF">
        <w:rPr>
          <w:rFonts w:cs="Arial"/>
          <w:szCs w:val="21"/>
        </w:rPr>
        <w:t>o</w:t>
      </w:r>
      <w:r w:rsidR="00B2137C" w:rsidRPr="00291ADF">
        <w:rPr>
          <w:rFonts w:cs="Arial"/>
          <w:szCs w:val="21"/>
        </w:rPr>
        <w:t>r</w:t>
      </w:r>
      <w:r w:rsidRPr="00291ADF">
        <w:rPr>
          <w:rFonts w:cs="Arial"/>
          <w:szCs w:val="21"/>
        </w:rPr>
        <w:t xml:space="preserve"> us</w:t>
      </w:r>
      <w:r w:rsidR="00B2137C" w:rsidRPr="00291ADF">
        <w:rPr>
          <w:rFonts w:cs="Arial"/>
          <w:szCs w:val="21"/>
        </w:rPr>
        <w:t>e of</w:t>
      </w:r>
      <w:r w:rsidRPr="00291ADF">
        <w:rPr>
          <w:rFonts w:cs="Arial"/>
          <w:szCs w:val="21"/>
        </w:rPr>
        <w:t xml:space="preserve"> </w:t>
      </w:r>
      <w:r w:rsidR="00B2137C" w:rsidRPr="00291ADF">
        <w:rPr>
          <w:rFonts w:cs="Arial"/>
          <w:szCs w:val="21"/>
        </w:rPr>
        <w:t>ADR</w:t>
      </w:r>
      <w:r w:rsidRPr="00291ADF">
        <w:rPr>
          <w:rFonts w:cs="Arial"/>
          <w:szCs w:val="21"/>
        </w:rPr>
        <w:t xml:space="preserve"> earlier in the review process is the limit on the Department’s participation in first</w:t>
      </w:r>
      <w:r w:rsidR="00B2137C" w:rsidRPr="00291ADF">
        <w:rPr>
          <w:rFonts w:cs="Arial"/>
          <w:szCs w:val="21"/>
        </w:rPr>
        <w:t xml:space="preserve"> </w:t>
      </w:r>
      <w:r w:rsidRPr="00291ADF">
        <w:rPr>
          <w:rFonts w:cs="Arial"/>
          <w:szCs w:val="21"/>
        </w:rPr>
        <w:t>review proceedings, as discussed under Key Issue 3.</w:t>
      </w:r>
      <w:r w:rsidRPr="00E206FF">
        <w:rPr>
          <w:rStyle w:val="FootnoteReference"/>
          <w:rFonts w:cs="Arial"/>
          <w:szCs w:val="21"/>
        </w:rPr>
        <w:footnoteReference w:id="92"/>
      </w:r>
      <w:r w:rsidRPr="00291ADF">
        <w:rPr>
          <w:rFonts w:cs="Arial"/>
          <w:szCs w:val="21"/>
        </w:rPr>
        <w:t xml:space="preserve"> </w:t>
      </w:r>
    </w:p>
    <w:p w14:paraId="69A1B6C6" w14:textId="77777777" w:rsidR="00291ADF" w:rsidRPr="00291ADF" w:rsidRDefault="00291ADF" w:rsidP="00291ADF">
      <w:pPr>
        <w:pStyle w:val="ListParagraph"/>
        <w:jc w:val="both"/>
        <w:rPr>
          <w:rFonts w:cs="Arial"/>
          <w:szCs w:val="21"/>
        </w:rPr>
      </w:pPr>
    </w:p>
    <w:p w14:paraId="565D72AD" w14:textId="30099410" w:rsidR="00DA5786" w:rsidRPr="00291ADF" w:rsidRDefault="003D31BD" w:rsidP="00ED35E7">
      <w:pPr>
        <w:pStyle w:val="ListParagraph"/>
        <w:numPr>
          <w:ilvl w:val="1"/>
          <w:numId w:val="34"/>
        </w:numPr>
        <w:jc w:val="both"/>
        <w:rPr>
          <w:rFonts w:cs="Arial"/>
          <w:szCs w:val="21"/>
        </w:rPr>
      </w:pPr>
      <w:r w:rsidRPr="00291ADF">
        <w:rPr>
          <w:rFonts w:cs="Arial"/>
          <w:szCs w:val="21"/>
        </w:rPr>
        <w:t>The Council is interested to hear from</w:t>
      </w:r>
      <w:r w:rsidR="00052A87" w:rsidRPr="00291ADF">
        <w:rPr>
          <w:rFonts w:cs="Arial"/>
          <w:szCs w:val="21"/>
        </w:rPr>
        <w:t xml:space="preserve"> </w:t>
      </w:r>
      <w:r w:rsidR="00F444A9" w:rsidRPr="00291ADF">
        <w:rPr>
          <w:rFonts w:cs="Arial"/>
          <w:szCs w:val="21"/>
        </w:rPr>
        <w:t xml:space="preserve">the community and from stakeholders about experiences using </w:t>
      </w:r>
      <w:r w:rsidR="00B2137C" w:rsidRPr="00291ADF">
        <w:rPr>
          <w:rFonts w:cs="Arial"/>
          <w:szCs w:val="21"/>
        </w:rPr>
        <w:t>ADR</w:t>
      </w:r>
      <w:r w:rsidR="00F444A9" w:rsidRPr="00291ADF">
        <w:rPr>
          <w:rFonts w:cs="Arial"/>
          <w:szCs w:val="21"/>
        </w:rPr>
        <w:t xml:space="preserve"> </w:t>
      </w:r>
      <w:r w:rsidR="00E4505E" w:rsidRPr="00291ADF">
        <w:rPr>
          <w:rFonts w:cs="Arial"/>
          <w:szCs w:val="21"/>
        </w:rPr>
        <w:t xml:space="preserve">in social security matters </w:t>
      </w:r>
      <w:r w:rsidR="00F444A9" w:rsidRPr="00291ADF">
        <w:rPr>
          <w:rFonts w:cs="Arial"/>
          <w:szCs w:val="21"/>
        </w:rPr>
        <w:t>in the ART</w:t>
      </w:r>
      <w:r w:rsidR="00E4505E" w:rsidRPr="00291ADF">
        <w:rPr>
          <w:rFonts w:cs="Arial"/>
          <w:szCs w:val="21"/>
        </w:rPr>
        <w:t xml:space="preserve">, and whether there are any changes that could assist with the quick and informal resolution of matters. </w:t>
      </w:r>
    </w:p>
    <w:p w14:paraId="58600C90" w14:textId="64B68528" w:rsidR="00DA5786" w:rsidRDefault="00DA5786" w:rsidP="00DA5786">
      <w:pPr>
        <w:pStyle w:val="PolicyStatement"/>
        <w:rPr>
          <w:rFonts w:ascii="Corbel" w:hAnsi="Corbel"/>
          <w:b/>
          <w:sz w:val="24"/>
        </w:rPr>
      </w:pPr>
      <w:r w:rsidRPr="001A2E97">
        <w:rPr>
          <w:rFonts w:ascii="Corbel" w:hAnsi="Corbel"/>
          <w:b/>
          <w:sz w:val="24"/>
        </w:rPr>
        <w:t>Questions</w:t>
      </w:r>
    </w:p>
    <w:p w14:paraId="3840CBA0" w14:textId="49FEE457" w:rsidR="00E23F7A" w:rsidRPr="00E23F7A" w:rsidRDefault="00E23F7A" w:rsidP="00E23F7A">
      <w:pPr>
        <w:pStyle w:val="PolicyStatement"/>
        <w:rPr>
          <w:rFonts w:cs="Arial"/>
          <w:szCs w:val="21"/>
        </w:rPr>
      </w:pPr>
      <w:r w:rsidRPr="00E23F7A">
        <w:rPr>
          <w:rFonts w:cs="Arial"/>
          <w:szCs w:val="21"/>
        </w:rPr>
        <w:t>12. What is your experience of alternative dispute resolution (ADR</w:t>
      </w:r>
      <w:r>
        <w:rPr>
          <w:rFonts w:cs="Arial"/>
          <w:szCs w:val="21"/>
        </w:rPr>
        <w:t>)</w:t>
      </w:r>
      <w:r w:rsidRPr="00E23F7A">
        <w:rPr>
          <w:rFonts w:cs="Arial"/>
          <w:szCs w:val="21"/>
        </w:rPr>
        <w:t xml:space="preserve"> processes during ART review of social security matters?</w:t>
      </w:r>
    </w:p>
    <w:p w14:paraId="28D08A93" w14:textId="77777777" w:rsidR="00E23F7A" w:rsidRPr="00E23F7A" w:rsidRDefault="00E23F7A" w:rsidP="00E23F7A">
      <w:pPr>
        <w:pStyle w:val="PolicyStatement"/>
        <w:rPr>
          <w:rFonts w:cs="Arial"/>
          <w:szCs w:val="21"/>
        </w:rPr>
      </w:pPr>
      <w:r w:rsidRPr="00E23F7A">
        <w:rPr>
          <w:rFonts w:cs="Arial"/>
          <w:szCs w:val="21"/>
        </w:rPr>
        <w:t>13. Are there any changes you would suggest to the ADR process to support the ART’s objectives in relation to accessibility, responsiveness and the quick and informal resolution of applications?</w:t>
      </w:r>
    </w:p>
    <w:p w14:paraId="20E114AE" w14:textId="24EDB344" w:rsidR="0016236D" w:rsidRDefault="00291ADF" w:rsidP="00291ADF">
      <w:pPr>
        <w:pStyle w:val="Heading2"/>
      </w:pPr>
      <w:bookmarkStart w:id="33" w:name="_Toc200542490"/>
      <w:bookmarkStart w:id="34" w:name="_Toc205997116"/>
      <w:r>
        <w:t xml:space="preserve">Key Issue 5: </w:t>
      </w:r>
      <w:r w:rsidR="0016236D">
        <w:t>Role of the Guidance and Appeals Panel</w:t>
      </w:r>
      <w:bookmarkEnd w:id="33"/>
      <w:bookmarkEnd w:id="34"/>
    </w:p>
    <w:p w14:paraId="44A78D88" w14:textId="7A81F869" w:rsidR="00142E78" w:rsidRDefault="00142E78" w:rsidP="00142E78">
      <w:pPr>
        <w:pStyle w:val="Heading3"/>
      </w:pPr>
      <w:bookmarkStart w:id="35" w:name="_Toc205997117"/>
      <w:r>
        <w:t>Overview of the Guidance and Appeals Panel</w:t>
      </w:r>
      <w:bookmarkEnd w:id="35"/>
    </w:p>
    <w:p w14:paraId="63596C84" w14:textId="097793C5" w:rsidR="00142E78" w:rsidRDefault="00142E78" w:rsidP="00ED35E7">
      <w:pPr>
        <w:pStyle w:val="ListParagraph"/>
        <w:numPr>
          <w:ilvl w:val="1"/>
          <w:numId w:val="34"/>
        </w:numPr>
        <w:jc w:val="both"/>
      </w:pPr>
      <w:r w:rsidRPr="00142E78">
        <w:t>Established by Part 5 of the ART Act, the G</w:t>
      </w:r>
      <w:r w:rsidR="00B2137C">
        <w:t>AP</w:t>
      </w:r>
      <w:r w:rsidRPr="00142E78">
        <w:t xml:space="preserve"> provides a mechanism for escalating significant issues and addressing material errors in ART decisions.</w:t>
      </w:r>
      <w:r w:rsidRPr="00142E78">
        <w:rPr>
          <w:vertAlign w:val="superscript"/>
        </w:rPr>
        <w:footnoteReference w:id="93"/>
      </w:r>
      <w:r w:rsidRPr="00142E78">
        <w:t xml:space="preserve"> The objective of the GAP is to promote consistent decision-making, </w:t>
      </w:r>
      <w:r w:rsidR="00B2137C">
        <w:t xml:space="preserve">make </w:t>
      </w:r>
      <w:r w:rsidRPr="00142E78">
        <w:t>rapid responses to emerging issues and increase confidence in ART decisions.</w:t>
      </w:r>
      <w:r w:rsidRPr="00142E78">
        <w:rPr>
          <w:vertAlign w:val="superscript"/>
        </w:rPr>
        <w:footnoteReference w:id="94"/>
      </w:r>
      <w:r w:rsidRPr="00142E78">
        <w:t xml:space="preserve"> ART applicants do not have an automatic right </w:t>
      </w:r>
      <w:r w:rsidRPr="00142E78">
        <w:lastRenderedPageBreak/>
        <w:t>of review by the GAP, and not all ART decisions can be referred to the GAP.</w:t>
      </w:r>
      <w:r w:rsidRPr="00142E78">
        <w:rPr>
          <w:vertAlign w:val="superscript"/>
        </w:rPr>
        <w:footnoteReference w:id="95"/>
      </w:r>
      <w:r w:rsidRPr="00142E78">
        <w:t xml:space="preserve"> The President of the ART has </w:t>
      </w:r>
      <w:r w:rsidR="00D273F8">
        <w:t xml:space="preserve">a </w:t>
      </w:r>
      <w:r w:rsidRPr="00142E78">
        <w:t>discretion to refer a matter to the GAP</w:t>
      </w:r>
      <w:r w:rsidR="0098216F">
        <w:t xml:space="preserve">, either on application or on the President’s own motion, </w:t>
      </w:r>
      <w:r w:rsidRPr="00142E78">
        <w:t>and this power mirrors the authority of a</w:t>
      </w:r>
      <w:r w:rsidR="00B2137C">
        <w:t>n appellate</w:t>
      </w:r>
      <w:r w:rsidRPr="00142E78">
        <w:t xml:space="preserve"> </w:t>
      </w:r>
      <w:r w:rsidR="00B2137C">
        <w:t>c</w:t>
      </w:r>
      <w:r w:rsidRPr="00142E78">
        <w:t>ourt</w:t>
      </w:r>
      <w:r w:rsidR="007531BD">
        <w:t xml:space="preserve"> </w:t>
      </w:r>
      <w:r w:rsidRPr="00142E78">
        <w:t>to grant leave to appeal.</w:t>
      </w:r>
      <w:r w:rsidRPr="00142E78">
        <w:rPr>
          <w:vertAlign w:val="superscript"/>
        </w:rPr>
        <w:footnoteReference w:id="96"/>
      </w:r>
      <w:r w:rsidRPr="00142E78">
        <w:t xml:space="preserve"> This discretion is intended to focus the GAP on matters that raise an error of fact or law materially affecting </w:t>
      </w:r>
      <w:r w:rsidR="00B2137C">
        <w:t>an</w:t>
      </w:r>
      <w:r w:rsidRPr="00142E78">
        <w:t xml:space="preserve"> ART decision or that raise an issue of significance to administrative decision-making.</w:t>
      </w:r>
      <w:r w:rsidRPr="00142E78">
        <w:rPr>
          <w:vertAlign w:val="superscript"/>
        </w:rPr>
        <w:footnoteReference w:id="97"/>
      </w:r>
      <w:r w:rsidRPr="00142E78">
        <w:t xml:space="preserve"> </w:t>
      </w:r>
    </w:p>
    <w:p w14:paraId="7E3BE8D4" w14:textId="0F46CAC0" w:rsidR="00291ADF" w:rsidRPr="00142E78" w:rsidRDefault="00291ADF" w:rsidP="00291ADF">
      <w:pPr>
        <w:pStyle w:val="ListParagraph"/>
        <w:jc w:val="both"/>
      </w:pPr>
    </w:p>
    <w:p w14:paraId="056403A6" w14:textId="4B6C9A59" w:rsidR="00291ADF" w:rsidRPr="00142E78" w:rsidRDefault="00142E78" w:rsidP="00ED35E7">
      <w:pPr>
        <w:pStyle w:val="ListParagraph"/>
        <w:numPr>
          <w:ilvl w:val="1"/>
          <w:numId w:val="34"/>
        </w:numPr>
        <w:jc w:val="both"/>
      </w:pPr>
      <w:r w:rsidRPr="00142E78">
        <w:t xml:space="preserve">A decision of the GAP on </w:t>
      </w:r>
      <w:r w:rsidR="0098216F">
        <w:t>an issue of significance to administrative decision-making</w:t>
      </w:r>
      <w:r w:rsidRPr="00142E78">
        <w:t xml:space="preserve"> is intended to provide clarity for others seeking review to enhance the quality of future administrative decisions, both by the </w:t>
      </w:r>
      <w:r w:rsidR="00B2137C">
        <w:t>primary</w:t>
      </w:r>
      <w:r w:rsidRPr="00142E78">
        <w:t xml:space="preserve"> decision-maker and by the ART on similar issues. The ART Act requires ART members to treat decisions </w:t>
      </w:r>
      <w:r w:rsidR="00BB7B55">
        <w:t xml:space="preserve">by GAP </w:t>
      </w:r>
      <w:r w:rsidRPr="00142E78">
        <w:t xml:space="preserve">as </w:t>
      </w:r>
      <w:r w:rsidR="00BB7B55">
        <w:t xml:space="preserve">“Tribunal </w:t>
      </w:r>
      <w:r w:rsidRPr="00142E78">
        <w:t>guidance decisions</w:t>
      </w:r>
      <w:r w:rsidR="00BB7B55">
        <w:t>”</w:t>
      </w:r>
      <w:r w:rsidR="00BE0F2D">
        <w:t>,</w:t>
      </w:r>
      <w:r w:rsidRPr="00142E78">
        <w:t xml:space="preserve"> </w:t>
      </w:r>
      <w:r w:rsidR="0098216F">
        <w:t xml:space="preserve">and have regard to </w:t>
      </w:r>
      <w:r w:rsidR="00D9133E">
        <w:t>them</w:t>
      </w:r>
      <w:r w:rsidR="0098216F">
        <w:t xml:space="preserve"> whe</w:t>
      </w:r>
      <w:r w:rsidR="00BB7B55">
        <w:t>n making a dec</w:t>
      </w:r>
      <w:r w:rsidR="00411B02">
        <w:t>i</w:t>
      </w:r>
      <w:r w:rsidR="00BB7B55">
        <w:t xml:space="preserve">sion in a proceeding that raises similar </w:t>
      </w:r>
      <w:r w:rsidR="0098216F">
        <w:t>facts or issues</w:t>
      </w:r>
      <w:r w:rsidR="00BB7B55">
        <w:t>.</w:t>
      </w:r>
      <w:r w:rsidR="00D9133E">
        <w:rPr>
          <w:rStyle w:val="FootnoteReference"/>
        </w:rPr>
        <w:footnoteReference w:id="98"/>
      </w:r>
      <w:r w:rsidR="00D9133E">
        <w:t xml:space="preserve"> </w:t>
      </w:r>
      <w:r w:rsidR="00BB7B55">
        <w:t>The</w:t>
      </w:r>
      <w:r w:rsidR="00D9133E">
        <w:t xml:space="preserve"> </w:t>
      </w:r>
      <w:r w:rsidR="00BB7B55">
        <w:t>AR</w:t>
      </w:r>
      <w:r w:rsidR="00D9133E">
        <w:t xml:space="preserve">T is not bound to follow </w:t>
      </w:r>
      <w:r w:rsidR="00BB7B55">
        <w:t xml:space="preserve">a Tribunal </w:t>
      </w:r>
      <w:r w:rsidR="00D9133E">
        <w:t>guidance decision</w:t>
      </w:r>
      <w:r w:rsidR="00BB7B55">
        <w:t>,</w:t>
      </w:r>
      <w:r w:rsidR="00D9133E">
        <w:t xml:space="preserve"> as </w:t>
      </w:r>
      <w:r w:rsidR="00BB7B55">
        <w:t xml:space="preserve">it is </w:t>
      </w:r>
      <w:r w:rsidR="00D9133E">
        <w:t>not binding precedent</w:t>
      </w:r>
      <w:r w:rsidRPr="00142E78">
        <w:t>.</w:t>
      </w:r>
      <w:r w:rsidRPr="00142E78">
        <w:rPr>
          <w:vertAlign w:val="superscript"/>
        </w:rPr>
        <w:footnoteReference w:id="99"/>
      </w:r>
      <w:r w:rsidRPr="00142E78">
        <w:t xml:space="preserve"> </w:t>
      </w:r>
      <w:r w:rsidR="00BB7B55">
        <w:t>Tribunal g</w:t>
      </w:r>
      <w:r w:rsidRPr="00142E78">
        <w:t xml:space="preserve">uidance decisions are also intended to influence primary decision-making </w:t>
      </w:r>
      <w:r w:rsidR="00BB7B55">
        <w:t xml:space="preserve">in </w:t>
      </w:r>
      <w:r w:rsidRPr="00142E78">
        <w:t>agencies.</w:t>
      </w:r>
      <w:r w:rsidRPr="00142E78">
        <w:rPr>
          <w:vertAlign w:val="superscript"/>
        </w:rPr>
        <w:footnoteReference w:id="100"/>
      </w:r>
      <w:r w:rsidRPr="00142E78">
        <w:t xml:space="preserve"> </w:t>
      </w:r>
      <w:r w:rsidR="00291ADF">
        <w:tab/>
      </w:r>
      <w:r w:rsidR="00291ADF">
        <w:br/>
      </w:r>
    </w:p>
    <w:p w14:paraId="47784F1F" w14:textId="5F519636" w:rsidR="00142E78" w:rsidRDefault="00AF7F46" w:rsidP="00142E78">
      <w:pPr>
        <w:pStyle w:val="Heading3"/>
      </w:pPr>
      <w:bookmarkStart w:id="36" w:name="_Toc205997118"/>
      <w:r>
        <w:t>Current role</w:t>
      </w:r>
      <w:r w:rsidR="00142E78">
        <w:t xml:space="preserve"> of the GAP in social security matters</w:t>
      </w:r>
      <w:bookmarkEnd w:id="36"/>
    </w:p>
    <w:p w14:paraId="6E44AE76" w14:textId="0F7BB0D7" w:rsidR="00142E78" w:rsidRDefault="00AF7F46" w:rsidP="00142E78">
      <w:pPr>
        <w:pStyle w:val="Heading4"/>
      </w:pPr>
      <w:r>
        <w:t>President’s own-initiative referral</w:t>
      </w:r>
    </w:p>
    <w:p w14:paraId="5B99482F" w14:textId="73E92340" w:rsidR="00D1339A" w:rsidRPr="00291ADF" w:rsidRDefault="00D1339A" w:rsidP="00ED35E7">
      <w:pPr>
        <w:pStyle w:val="ListParagraph"/>
        <w:numPr>
          <w:ilvl w:val="1"/>
          <w:numId w:val="34"/>
        </w:numPr>
        <w:jc w:val="both"/>
        <w:rPr>
          <w:szCs w:val="21"/>
        </w:rPr>
      </w:pPr>
      <w:r w:rsidRPr="00291ADF">
        <w:rPr>
          <w:szCs w:val="21"/>
        </w:rPr>
        <w:t>The ART Act specifies that parties cannot apply to the GAP for</w:t>
      </w:r>
      <w:r w:rsidR="00142E78" w:rsidRPr="00291ADF">
        <w:rPr>
          <w:szCs w:val="21"/>
        </w:rPr>
        <w:t xml:space="preserve"> review </w:t>
      </w:r>
      <w:r w:rsidRPr="00291ADF">
        <w:rPr>
          <w:szCs w:val="21"/>
        </w:rPr>
        <w:t xml:space="preserve">of either first </w:t>
      </w:r>
      <w:r w:rsidR="00B2137C" w:rsidRPr="00291ADF">
        <w:rPr>
          <w:szCs w:val="21"/>
        </w:rPr>
        <w:t xml:space="preserve">review </w:t>
      </w:r>
      <w:r w:rsidRPr="00291ADF">
        <w:rPr>
          <w:szCs w:val="21"/>
        </w:rPr>
        <w:t>or second</w:t>
      </w:r>
      <w:r w:rsidR="00B2137C" w:rsidRPr="00291ADF">
        <w:rPr>
          <w:szCs w:val="21"/>
        </w:rPr>
        <w:t xml:space="preserve"> </w:t>
      </w:r>
      <w:r w:rsidRPr="00291ADF">
        <w:rPr>
          <w:szCs w:val="21"/>
        </w:rPr>
        <w:t xml:space="preserve">review </w:t>
      </w:r>
      <w:r w:rsidR="00142E78" w:rsidRPr="00291ADF">
        <w:rPr>
          <w:szCs w:val="21"/>
        </w:rPr>
        <w:t xml:space="preserve">social </w:t>
      </w:r>
      <w:r w:rsidRPr="00291ADF">
        <w:rPr>
          <w:szCs w:val="21"/>
        </w:rPr>
        <w:t>security</w:t>
      </w:r>
      <w:r w:rsidR="00142E78" w:rsidRPr="00291ADF">
        <w:rPr>
          <w:szCs w:val="21"/>
        </w:rPr>
        <w:t xml:space="preserve"> decision</w:t>
      </w:r>
      <w:r w:rsidRPr="00291ADF">
        <w:rPr>
          <w:szCs w:val="21"/>
        </w:rPr>
        <w:t>s</w:t>
      </w:r>
      <w:r w:rsidR="00142E78" w:rsidRPr="00291ADF">
        <w:rPr>
          <w:szCs w:val="21"/>
        </w:rPr>
        <w:t>.</w:t>
      </w:r>
      <w:r w:rsidR="00BE0F2D">
        <w:rPr>
          <w:rStyle w:val="FootnoteReference"/>
          <w:szCs w:val="21"/>
        </w:rPr>
        <w:footnoteReference w:id="101"/>
      </w:r>
      <w:r w:rsidR="00142E78" w:rsidRPr="00291ADF">
        <w:rPr>
          <w:szCs w:val="21"/>
        </w:rPr>
        <w:t xml:space="preserve"> </w:t>
      </w:r>
      <w:r w:rsidR="00415328" w:rsidRPr="00291ADF">
        <w:rPr>
          <w:szCs w:val="21"/>
        </w:rPr>
        <w:t>T</w:t>
      </w:r>
      <w:r w:rsidR="00142E78" w:rsidRPr="00291ADF">
        <w:rPr>
          <w:szCs w:val="21"/>
        </w:rPr>
        <w:t xml:space="preserve">he </w:t>
      </w:r>
      <w:r w:rsidRPr="00291ADF">
        <w:rPr>
          <w:szCs w:val="21"/>
        </w:rPr>
        <w:t xml:space="preserve">ART </w:t>
      </w:r>
      <w:r w:rsidR="00142E78" w:rsidRPr="00291ADF">
        <w:rPr>
          <w:szCs w:val="21"/>
        </w:rPr>
        <w:t xml:space="preserve">President </w:t>
      </w:r>
      <w:r w:rsidRPr="00291ADF">
        <w:rPr>
          <w:szCs w:val="21"/>
        </w:rPr>
        <w:t>has the</w:t>
      </w:r>
      <w:r w:rsidR="00142E78" w:rsidRPr="00291ADF">
        <w:rPr>
          <w:szCs w:val="21"/>
        </w:rPr>
        <w:t xml:space="preserve"> discretion to refer an application for review</w:t>
      </w:r>
      <w:r w:rsidRPr="00291ADF">
        <w:rPr>
          <w:szCs w:val="21"/>
        </w:rPr>
        <w:t xml:space="preserve"> by the GAP if the President is satisfied:</w:t>
      </w:r>
    </w:p>
    <w:p w14:paraId="3A5AF07B" w14:textId="77777777" w:rsidR="00D1339A" w:rsidRDefault="00D1339A" w:rsidP="00D1339A">
      <w:pPr>
        <w:pStyle w:val="ListParagraph"/>
        <w:numPr>
          <w:ilvl w:val="0"/>
          <w:numId w:val="16"/>
        </w:numPr>
        <w:jc w:val="both"/>
        <w:rPr>
          <w:szCs w:val="21"/>
        </w:rPr>
      </w:pPr>
      <w:r w:rsidRPr="00D1339A">
        <w:rPr>
          <w:szCs w:val="21"/>
        </w:rPr>
        <w:t>the application raises an issue of significance to administrative decision</w:t>
      </w:r>
      <w:r w:rsidRPr="00D1339A">
        <w:rPr>
          <w:rFonts w:ascii="Cambria Math" w:hAnsi="Cambria Math" w:cs="Cambria Math"/>
          <w:szCs w:val="21"/>
        </w:rPr>
        <w:t>‑</w:t>
      </w:r>
      <w:r w:rsidRPr="00D1339A">
        <w:rPr>
          <w:szCs w:val="21"/>
        </w:rPr>
        <w:t>making; and</w:t>
      </w:r>
    </w:p>
    <w:p w14:paraId="4466F38F" w14:textId="3E2360DE" w:rsidR="00D1339A" w:rsidRDefault="00D1339A" w:rsidP="00D1339A">
      <w:pPr>
        <w:pStyle w:val="ListParagraph"/>
        <w:numPr>
          <w:ilvl w:val="0"/>
          <w:numId w:val="16"/>
        </w:numPr>
        <w:jc w:val="both"/>
        <w:rPr>
          <w:szCs w:val="21"/>
        </w:rPr>
      </w:pPr>
      <w:r w:rsidRPr="00D1339A">
        <w:rPr>
          <w:szCs w:val="21"/>
        </w:rPr>
        <w:t xml:space="preserve">it is appropriate in the interests of justice that the </w:t>
      </w:r>
      <w:r w:rsidR="00B2137C">
        <w:rPr>
          <w:szCs w:val="21"/>
        </w:rPr>
        <w:t>AR</w:t>
      </w:r>
      <w:r w:rsidRPr="00D1339A">
        <w:rPr>
          <w:szCs w:val="21"/>
        </w:rPr>
        <w:t xml:space="preserve">T be constituted by </w:t>
      </w:r>
      <w:r>
        <w:rPr>
          <w:szCs w:val="21"/>
        </w:rPr>
        <w:t xml:space="preserve">the GAP </w:t>
      </w:r>
      <w:r w:rsidRPr="00D1339A">
        <w:rPr>
          <w:szCs w:val="21"/>
        </w:rPr>
        <w:t>for the purposes of the proceeding in relation to the application</w:t>
      </w:r>
      <w:r w:rsidR="00142E78" w:rsidRPr="00D1339A">
        <w:rPr>
          <w:szCs w:val="21"/>
        </w:rPr>
        <w:t>.</w:t>
      </w:r>
      <w:r>
        <w:rPr>
          <w:rStyle w:val="FootnoteReference"/>
          <w:szCs w:val="21"/>
        </w:rPr>
        <w:footnoteReference w:id="102"/>
      </w:r>
      <w:r w:rsidR="00142E78" w:rsidRPr="00D1339A">
        <w:rPr>
          <w:szCs w:val="21"/>
        </w:rPr>
        <w:t xml:space="preserve"> </w:t>
      </w:r>
    </w:p>
    <w:p w14:paraId="6E47FA4A" w14:textId="77777777" w:rsidR="00291ADF" w:rsidRPr="00D1339A" w:rsidRDefault="00291ADF" w:rsidP="00291ADF">
      <w:pPr>
        <w:pStyle w:val="ListParagraph"/>
        <w:jc w:val="both"/>
        <w:rPr>
          <w:szCs w:val="21"/>
        </w:rPr>
      </w:pPr>
    </w:p>
    <w:p w14:paraId="2AD69DFF" w14:textId="047F6E76" w:rsidR="00771A94" w:rsidRPr="00291ADF" w:rsidRDefault="00D1339A" w:rsidP="00ED35E7">
      <w:pPr>
        <w:pStyle w:val="ListParagraph"/>
        <w:numPr>
          <w:ilvl w:val="1"/>
          <w:numId w:val="34"/>
        </w:numPr>
        <w:jc w:val="both"/>
        <w:rPr>
          <w:szCs w:val="21"/>
        </w:rPr>
      </w:pPr>
      <w:r w:rsidRPr="00291ADF">
        <w:rPr>
          <w:szCs w:val="21"/>
        </w:rPr>
        <w:t xml:space="preserve">The </w:t>
      </w:r>
      <w:hyperlink r:id="rId18" w:history="1">
        <w:r w:rsidRPr="00291ADF">
          <w:rPr>
            <w:rStyle w:val="Hyperlink"/>
            <w:szCs w:val="21"/>
          </w:rPr>
          <w:t>Administrative Review Tribunal (Guidance and Appeals Panel) Practice Direction 2024</w:t>
        </w:r>
      </w:hyperlink>
      <w:r w:rsidRPr="00291ADF">
        <w:rPr>
          <w:szCs w:val="21"/>
        </w:rPr>
        <w:t xml:space="preserve"> sets out the practices and procedures for referral of matters to the GAP. It states that </w:t>
      </w:r>
      <w:r w:rsidR="00415328" w:rsidRPr="00291ADF">
        <w:rPr>
          <w:szCs w:val="21"/>
        </w:rPr>
        <w:t>AR</w:t>
      </w:r>
      <w:r w:rsidRPr="00291ADF">
        <w:rPr>
          <w:szCs w:val="21"/>
        </w:rPr>
        <w:t>T members and staff will inform the President of any application for review that may warrant consideration of whether it is appropriate for referral to the GAP.</w:t>
      </w:r>
      <w:r>
        <w:rPr>
          <w:rStyle w:val="FootnoteReference"/>
          <w:szCs w:val="21"/>
        </w:rPr>
        <w:footnoteReference w:id="103"/>
      </w:r>
      <w:r w:rsidR="00771A94" w:rsidRPr="00291ADF">
        <w:rPr>
          <w:szCs w:val="21"/>
        </w:rPr>
        <w:t xml:space="preserve"> In considering whether to make a referral on the President’s own initiative, the President will consider:</w:t>
      </w:r>
    </w:p>
    <w:p w14:paraId="0DA74C9D" w14:textId="2733C2DA" w:rsidR="00D1339A" w:rsidRDefault="00771A94" w:rsidP="00771A94">
      <w:pPr>
        <w:pStyle w:val="ListParagraph"/>
        <w:numPr>
          <w:ilvl w:val="0"/>
          <w:numId w:val="17"/>
        </w:numPr>
        <w:jc w:val="both"/>
        <w:rPr>
          <w:szCs w:val="21"/>
        </w:rPr>
      </w:pPr>
      <w:r w:rsidRPr="00771A94">
        <w:rPr>
          <w:szCs w:val="21"/>
        </w:rPr>
        <w:lastRenderedPageBreak/>
        <w:t>the circumstances of the parties to the proceeding, including whether a referral is likely to disadvantage a party unfairly or cause an unacceptable delay in reaching an outcome</w:t>
      </w:r>
      <w:r>
        <w:rPr>
          <w:szCs w:val="21"/>
        </w:rPr>
        <w:t>;</w:t>
      </w:r>
    </w:p>
    <w:p w14:paraId="07C6EF87" w14:textId="6DBB433F" w:rsidR="00771A94" w:rsidRDefault="00771A94" w:rsidP="00771A94">
      <w:pPr>
        <w:pStyle w:val="ListParagraph"/>
        <w:numPr>
          <w:ilvl w:val="0"/>
          <w:numId w:val="17"/>
        </w:numPr>
        <w:jc w:val="both"/>
        <w:rPr>
          <w:szCs w:val="21"/>
        </w:rPr>
      </w:pPr>
      <w:r>
        <w:rPr>
          <w:szCs w:val="21"/>
        </w:rPr>
        <w:t>whether the proceeding is likely to have a broader impact on persons beyond the parties to the proceeding or is likely to improve administrative decision-making; and</w:t>
      </w:r>
    </w:p>
    <w:p w14:paraId="7F77BDF3" w14:textId="3868BD7B" w:rsidR="00771A94" w:rsidRDefault="00771A94" w:rsidP="00771A94">
      <w:pPr>
        <w:pStyle w:val="ListParagraph"/>
        <w:numPr>
          <w:ilvl w:val="0"/>
          <w:numId w:val="17"/>
        </w:numPr>
        <w:jc w:val="both"/>
        <w:rPr>
          <w:szCs w:val="21"/>
        </w:rPr>
      </w:pPr>
      <w:r>
        <w:rPr>
          <w:szCs w:val="21"/>
        </w:rPr>
        <w:t xml:space="preserve">other relevant discretionary factors, such as whether a referral would hinder the </w:t>
      </w:r>
      <w:r w:rsidR="00415328">
        <w:rPr>
          <w:szCs w:val="21"/>
        </w:rPr>
        <w:t>AR</w:t>
      </w:r>
      <w:r>
        <w:rPr>
          <w:szCs w:val="21"/>
        </w:rPr>
        <w:t xml:space="preserve">T’s </w:t>
      </w:r>
      <w:r w:rsidR="00415328">
        <w:rPr>
          <w:szCs w:val="21"/>
        </w:rPr>
        <w:t xml:space="preserve">ability </w:t>
      </w:r>
      <w:r>
        <w:rPr>
          <w:szCs w:val="21"/>
        </w:rPr>
        <w:t xml:space="preserve">effectively </w:t>
      </w:r>
      <w:r w:rsidR="00415328">
        <w:rPr>
          <w:szCs w:val="21"/>
        </w:rPr>
        <w:t xml:space="preserve">to </w:t>
      </w:r>
      <w:r>
        <w:rPr>
          <w:szCs w:val="21"/>
        </w:rPr>
        <w:t>pursue its statutory objective</w:t>
      </w:r>
      <w:r w:rsidR="00415328">
        <w:rPr>
          <w:szCs w:val="21"/>
        </w:rPr>
        <w:t>s</w:t>
      </w:r>
      <w:r>
        <w:rPr>
          <w:szCs w:val="21"/>
        </w:rPr>
        <w:t>.</w:t>
      </w:r>
    </w:p>
    <w:p w14:paraId="2539D820" w14:textId="77777777" w:rsidR="00291ADF" w:rsidRPr="00771A94" w:rsidRDefault="00291ADF" w:rsidP="00291ADF">
      <w:pPr>
        <w:pStyle w:val="ListParagraph"/>
        <w:ind w:left="1080"/>
        <w:jc w:val="both"/>
        <w:rPr>
          <w:szCs w:val="21"/>
        </w:rPr>
      </w:pPr>
    </w:p>
    <w:p w14:paraId="48816412" w14:textId="063F52C8" w:rsidR="00D1339A" w:rsidRPr="00291ADF" w:rsidRDefault="00771A94" w:rsidP="00ED35E7">
      <w:pPr>
        <w:pStyle w:val="ListParagraph"/>
        <w:numPr>
          <w:ilvl w:val="1"/>
          <w:numId w:val="34"/>
        </w:numPr>
        <w:jc w:val="both"/>
        <w:rPr>
          <w:szCs w:val="21"/>
        </w:rPr>
      </w:pPr>
      <w:r w:rsidRPr="00291ADF">
        <w:rPr>
          <w:szCs w:val="21"/>
        </w:rPr>
        <w:t>The Practice Direction clarifies that proceedings that raise an issue of significance to administrative decision-making may include matters that are novel, complex, could potentially affect a large number of individuals, or involve significant systemic issues that require guidance.</w:t>
      </w:r>
      <w:r>
        <w:rPr>
          <w:rStyle w:val="FootnoteReference"/>
          <w:szCs w:val="21"/>
        </w:rPr>
        <w:footnoteReference w:id="104"/>
      </w:r>
    </w:p>
    <w:p w14:paraId="32B53D5B" w14:textId="61371CA5" w:rsidR="00142E78" w:rsidRDefault="00771A94" w:rsidP="00AF7F46">
      <w:pPr>
        <w:pStyle w:val="Heading3"/>
      </w:pPr>
      <w:bookmarkStart w:id="37" w:name="_Toc205997119"/>
      <w:r>
        <w:t>Previous proposal for the GAP to conduct second</w:t>
      </w:r>
      <w:r w:rsidR="00F16B94">
        <w:t xml:space="preserve"> </w:t>
      </w:r>
      <w:r>
        <w:t>review</w:t>
      </w:r>
      <w:bookmarkEnd w:id="37"/>
    </w:p>
    <w:p w14:paraId="390CA760" w14:textId="2C7B9098" w:rsidR="004305AB" w:rsidRDefault="00771A94" w:rsidP="00ED35E7">
      <w:pPr>
        <w:pStyle w:val="ListParagraph"/>
        <w:numPr>
          <w:ilvl w:val="1"/>
          <w:numId w:val="34"/>
        </w:numPr>
        <w:jc w:val="both"/>
      </w:pPr>
      <w:r>
        <w:t>Under the draft ART legislation as initially introduced, social security applicants would</w:t>
      </w:r>
      <w:r w:rsidRPr="00771A94">
        <w:t xml:space="preserve"> </w:t>
      </w:r>
      <w:r>
        <w:t>have had</w:t>
      </w:r>
      <w:r w:rsidRPr="00142E78">
        <w:t xml:space="preserve"> access to a single </w:t>
      </w:r>
      <w:r w:rsidR="004305AB">
        <w:t xml:space="preserve">level of review </w:t>
      </w:r>
      <w:r w:rsidRPr="00142E78">
        <w:t xml:space="preserve">in the ART, with complex or significant matters </w:t>
      </w:r>
      <w:r w:rsidR="00415328">
        <w:t>cap</w:t>
      </w:r>
      <w:r w:rsidR="004305AB">
        <w:t xml:space="preserve">able </w:t>
      </w:r>
      <w:r w:rsidR="00415328">
        <w:t>of</w:t>
      </w:r>
      <w:r w:rsidR="004305AB">
        <w:t xml:space="preserve"> be</w:t>
      </w:r>
      <w:r w:rsidR="00415328">
        <w:t>ing</w:t>
      </w:r>
      <w:r w:rsidR="004305AB">
        <w:t xml:space="preserve"> </w:t>
      </w:r>
      <w:r w:rsidR="00474F09">
        <w:t>referred</w:t>
      </w:r>
      <w:r w:rsidR="004305AB">
        <w:t xml:space="preserve"> to the</w:t>
      </w:r>
      <w:r w:rsidRPr="00142E78">
        <w:t xml:space="preserve"> GAP.</w:t>
      </w:r>
      <w:r w:rsidR="001963D0">
        <w:t xml:space="preserve"> Parties would have also had the ability to apply for decisions of the ART to be referred to the GAP.</w:t>
      </w:r>
      <w:r w:rsidR="001963D0">
        <w:rPr>
          <w:rStyle w:val="FootnoteReference"/>
        </w:rPr>
        <w:footnoteReference w:id="105"/>
      </w:r>
      <w:r w:rsidR="004305AB">
        <w:t xml:space="preserve"> The Attorney-General’s Department described this proposed structure as combining </w:t>
      </w:r>
      <w:r w:rsidR="004305AB" w:rsidRPr="00142E78">
        <w:t xml:space="preserve">the </w:t>
      </w:r>
      <w:r w:rsidR="00415328">
        <w:t>“</w:t>
      </w:r>
      <w:r w:rsidR="004305AB" w:rsidRPr="00142E78">
        <w:t>best features</w:t>
      </w:r>
      <w:r w:rsidR="00415328">
        <w:t>”</w:t>
      </w:r>
      <w:r w:rsidR="004305AB" w:rsidRPr="00142E78">
        <w:t xml:space="preserve"> of first and </w:t>
      </w:r>
      <w:r w:rsidR="00A93AC7" w:rsidRPr="00142E78">
        <w:t>second</w:t>
      </w:r>
      <w:r w:rsidR="00415328">
        <w:t xml:space="preserve"> </w:t>
      </w:r>
      <w:r w:rsidR="004305AB" w:rsidRPr="00142E78">
        <w:t>review.</w:t>
      </w:r>
      <w:r w:rsidR="004305AB" w:rsidRPr="00142E78">
        <w:rPr>
          <w:vertAlign w:val="superscript"/>
        </w:rPr>
        <w:footnoteReference w:id="106"/>
      </w:r>
      <w:r w:rsidR="004305AB">
        <w:t xml:space="preserve"> The Department </w:t>
      </w:r>
      <w:r w:rsidR="004305AB" w:rsidRPr="00142E78">
        <w:t xml:space="preserve">pointed to the existing two-tier model as </w:t>
      </w:r>
      <w:r w:rsidR="004305AB" w:rsidRPr="00CE7B1B">
        <w:rPr>
          <w:szCs w:val="21"/>
        </w:rPr>
        <w:t>contributing</w:t>
      </w:r>
      <w:r w:rsidR="004305AB" w:rsidRPr="00142E78">
        <w:t xml:space="preserve"> to the structural challenge in escalating </w:t>
      </w:r>
      <w:proofErr w:type="spellStart"/>
      <w:r w:rsidR="004305AB" w:rsidRPr="00142E78">
        <w:t>Robodebt</w:t>
      </w:r>
      <w:proofErr w:type="spellEnd"/>
      <w:r w:rsidR="004305AB" w:rsidRPr="00142E78">
        <w:t xml:space="preserve">-related legal issues, </w:t>
      </w:r>
      <w:r w:rsidR="004305AB">
        <w:t>and</w:t>
      </w:r>
      <w:r w:rsidR="004305AB" w:rsidRPr="00142E78">
        <w:t xml:space="preserve"> descri</w:t>
      </w:r>
      <w:r w:rsidR="004305AB">
        <w:t>bed</w:t>
      </w:r>
      <w:r w:rsidR="004305AB" w:rsidRPr="00142E78">
        <w:t xml:space="preserve"> the GAP as providing a </w:t>
      </w:r>
      <w:r w:rsidR="004305AB">
        <w:t>different two-tier model which allowed issues of significance to be escalated as needed</w:t>
      </w:r>
      <w:r w:rsidR="004305AB" w:rsidRPr="00142E78">
        <w:t>.</w:t>
      </w:r>
      <w:r w:rsidR="004305AB" w:rsidRPr="00142E78">
        <w:rPr>
          <w:vertAlign w:val="superscript"/>
        </w:rPr>
        <w:footnoteReference w:id="107"/>
      </w:r>
      <w:r w:rsidR="00291ADF">
        <w:tab/>
      </w:r>
      <w:r w:rsidR="00291ADF">
        <w:br/>
      </w:r>
    </w:p>
    <w:p w14:paraId="28922A2A" w14:textId="1C23931C" w:rsidR="00A10C99" w:rsidRDefault="00A10C99" w:rsidP="00ED35E7">
      <w:pPr>
        <w:pStyle w:val="ListParagraph"/>
        <w:numPr>
          <w:ilvl w:val="1"/>
          <w:numId w:val="34"/>
        </w:numPr>
        <w:jc w:val="both"/>
      </w:pPr>
      <w:r>
        <w:t xml:space="preserve">This proposed structure broadly aligned with </w:t>
      </w:r>
      <w:r w:rsidR="00415328">
        <w:t>the</w:t>
      </w:r>
      <w:r>
        <w:t xml:space="preserve"> merits review structure recommended by the Council in its 1995 report, </w:t>
      </w:r>
      <w:r w:rsidRPr="00291ADF">
        <w:rPr>
          <w:i/>
        </w:rPr>
        <w:t>Better Decisions: Review of Commonwealth Administrative Review Tribunals</w:t>
      </w:r>
      <w:r>
        <w:t>. In the report, the Council recommended that existing review</w:t>
      </w:r>
      <w:r w:rsidRPr="00A10C99">
        <w:t xml:space="preserve"> </w:t>
      </w:r>
      <w:r>
        <w:t>tribunals including the SSAT be replaced with a single new tribunal, the Administrative Review Tribunal. As part of this, the Council noted that it still regarded the availability of a second tier of merits review important, to enable the review of cases of particular significance for government or agency policy.</w:t>
      </w:r>
      <w:r>
        <w:rPr>
          <w:rStyle w:val="FootnoteReference"/>
        </w:rPr>
        <w:footnoteReference w:id="108"/>
      </w:r>
      <w:r>
        <w:t xml:space="preserve"> The Council therefore recommended the establishment of Review Panels to undertake second</w:t>
      </w:r>
      <w:r w:rsidR="00415328">
        <w:t xml:space="preserve"> </w:t>
      </w:r>
      <w:r>
        <w:t>reviews of cases raising issues of general application, to promote improved government decision-making.</w:t>
      </w:r>
      <w:r>
        <w:rPr>
          <w:rStyle w:val="FootnoteReference"/>
        </w:rPr>
        <w:footnoteReference w:id="109"/>
      </w:r>
    </w:p>
    <w:p w14:paraId="1BCF598A" w14:textId="77777777" w:rsidR="00291ADF" w:rsidRDefault="00291ADF" w:rsidP="00291ADF">
      <w:pPr>
        <w:pStyle w:val="ListParagraph"/>
        <w:jc w:val="both"/>
      </w:pPr>
    </w:p>
    <w:p w14:paraId="0C40D525" w14:textId="7EDF87EA" w:rsidR="00A96196" w:rsidRDefault="00EA706E" w:rsidP="00ED35E7">
      <w:pPr>
        <w:pStyle w:val="ListParagraph"/>
        <w:numPr>
          <w:ilvl w:val="1"/>
          <w:numId w:val="34"/>
        </w:numPr>
        <w:jc w:val="both"/>
      </w:pPr>
      <w:r>
        <w:lastRenderedPageBreak/>
        <w:t>The</w:t>
      </w:r>
      <w:r w:rsidR="004305AB" w:rsidRPr="00142E78">
        <w:t xml:space="preserve"> </w:t>
      </w:r>
      <w:r w:rsidR="004305AB">
        <w:t xml:space="preserve">Parliamentary </w:t>
      </w:r>
      <w:r w:rsidR="004305AB" w:rsidRPr="00142E78">
        <w:t>Committee</w:t>
      </w:r>
      <w:r>
        <w:t xml:space="preserve"> inquiries into the ART Bills received </w:t>
      </w:r>
      <w:r w:rsidR="00415328">
        <w:t xml:space="preserve">some submissions </w:t>
      </w:r>
      <w:r>
        <w:t>that the GAP would not be an effective replacement for the two-tier review system that existed within the AAT. S</w:t>
      </w:r>
      <w:r w:rsidR="00415328">
        <w:t>ome s</w:t>
      </w:r>
      <w:r>
        <w:t>takeholders raised concern</w:t>
      </w:r>
      <w:r w:rsidR="00415328">
        <w:t>s</w:t>
      </w:r>
      <w:r>
        <w:t xml:space="preserve"> that under the Bill as drafted, the GAP was unlikely to consider cases </w:t>
      </w:r>
      <w:r w:rsidR="00AA2CD1">
        <w:t>that had</w:t>
      </w:r>
      <w:r>
        <w:t xml:space="preserve"> substantial impacts on individuals </w:t>
      </w:r>
      <w:r w:rsidR="00AA2CD1">
        <w:t>unless they also raised issues of significance to administrative decision-making</w:t>
      </w:r>
      <w:r w:rsidR="00ED6C94">
        <w:t xml:space="preserve">, and that </w:t>
      </w:r>
      <w:r w:rsidR="00415328">
        <w:t xml:space="preserve">criteria </w:t>
      </w:r>
      <w:r w:rsidR="00ED6C94">
        <w:t>for accessing the GAP may not be adapted to the circumstances of disadvantaged applicants</w:t>
      </w:r>
      <w:r w:rsidR="00AA2CD1">
        <w:t>.</w:t>
      </w:r>
      <w:r w:rsidR="00AA2CD1">
        <w:rPr>
          <w:rStyle w:val="FootnoteReference"/>
        </w:rPr>
        <w:footnoteReference w:id="110"/>
      </w:r>
      <w:r w:rsidR="00AA2CD1">
        <w:t xml:space="preserve"> National Legal Aid submitted that the two-tier review process should be retained until the range of federal government reforms were in place and there had been sufficient time to see how the ART </w:t>
      </w:r>
      <w:r w:rsidR="00415328">
        <w:t>structure</w:t>
      </w:r>
      <w:r w:rsidR="00AA2CD1">
        <w:t>, including the GAP, w</w:t>
      </w:r>
      <w:r w:rsidR="00415328">
        <w:t>as</w:t>
      </w:r>
      <w:r w:rsidR="00AA2CD1">
        <w:t xml:space="preserve"> implemented.</w:t>
      </w:r>
      <w:r w:rsidR="00AA2CD1">
        <w:rPr>
          <w:rStyle w:val="FootnoteReference"/>
        </w:rPr>
        <w:footnoteReference w:id="111"/>
      </w:r>
      <w:r w:rsidR="00291ADF">
        <w:br/>
      </w:r>
    </w:p>
    <w:p w14:paraId="179A4C09" w14:textId="7A7AF350" w:rsidR="00AA2CD1" w:rsidRDefault="00A10C99" w:rsidP="00ED35E7">
      <w:pPr>
        <w:pStyle w:val="ListParagraph"/>
        <w:numPr>
          <w:ilvl w:val="1"/>
          <w:numId w:val="34"/>
        </w:numPr>
        <w:jc w:val="both"/>
      </w:pPr>
      <w:r>
        <w:t>The subsequent amendments to the ART Bills, in response to stakeholder concerns, re-established the two-tier review structure and narrowed the availability of GAP review</w:t>
      </w:r>
      <w:r w:rsidR="00415328">
        <w:t xml:space="preserve"> for social services matters</w:t>
      </w:r>
      <w:r>
        <w:t>. The Senate Legal and Constitutional Affairs Legislation Committee described this amendment as creating</w:t>
      </w:r>
      <w:r w:rsidR="00AA2CD1">
        <w:t xml:space="preserve"> </w:t>
      </w:r>
      <w:r w:rsidR="00415328">
        <w:t>“</w:t>
      </w:r>
      <w:r w:rsidR="00AA2CD1">
        <w:t>a coherent pathway through the appeals process that intersects appropriately with the Guidance and Appeals Panel</w:t>
      </w:r>
      <w:r w:rsidR="00415328">
        <w:t>”</w:t>
      </w:r>
      <w:r w:rsidR="00AA2CD1">
        <w:t>.</w:t>
      </w:r>
      <w:r>
        <w:rPr>
          <w:rStyle w:val="FootnoteReference"/>
        </w:rPr>
        <w:footnoteReference w:id="112"/>
      </w:r>
    </w:p>
    <w:p w14:paraId="1A2040F3" w14:textId="613FBA08" w:rsidR="00A10C99" w:rsidRDefault="00A10C99" w:rsidP="00A10C99">
      <w:pPr>
        <w:pStyle w:val="Heading3"/>
      </w:pPr>
      <w:bookmarkStart w:id="38" w:name="_Toc205997120"/>
      <w:r>
        <w:t>Council consideration and questions</w:t>
      </w:r>
      <w:bookmarkEnd w:id="38"/>
    </w:p>
    <w:p w14:paraId="162100DC" w14:textId="32F65804" w:rsidR="00A10C99" w:rsidRPr="00A10C99" w:rsidRDefault="00A10C99" w:rsidP="00ED35E7">
      <w:pPr>
        <w:pStyle w:val="ListParagraph"/>
        <w:numPr>
          <w:ilvl w:val="1"/>
          <w:numId w:val="34"/>
        </w:numPr>
      </w:pPr>
      <w:r>
        <w:t xml:space="preserve">The Council </w:t>
      </w:r>
      <w:r w:rsidR="00AF7F46">
        <w:t>is seeking</w:t>
      </w:r>
      <w:r>
        <w:t xml:space="preserve"> feedback from the public and stakeholders about the </w:t>
      </w:r>
      <w:r w:rsidR="00AF7F46">
        <w:t xml:space="preserve">current mechanisms for review by the GAP and the role it should play in respect of social security reviews. </w:t>
      </w:r>
    </w:p>
    <w:p w14:paraId="0406E6C1" w14:textId="77777777" w:rsidR="003707AB" w:rsidRPr="001A2E97" w:rsidRDefault="003707AB" w:rsidP="003707AB">
      <w:pPr>
        <w:pStyle w:val="PolicyStatement"/>
        <w:pBdr>
          <w:top w:val="single" w:sz="4" w:space="0" w:color="F2F2F2" w:themeColor="background1" w:themeShade="F2"/>
        </w:pBdr>
        <w:rPr>
          <w:rFonts w:ascii="Corbel" w:hAnsi="Corbel"/>
          <w:b/>
          <w:sz w:val="24"/>
        </w:rPr>
      </w:pPr>
      <w:r w:rsidRPr="001A2E97">
        <w:rPr>
          <w:rFonts w:ascii="Corbel" w:hAnsi="Corbel"/>
          <w:b/>
          <w:sz w:val="24"/>
        </w:rPr>
        <w:t>Questions</w:t>
      </w:r>
    </w:p>
    <w:p w14:paraId="1E7770FB" w14:textId="77777777" w:rsidR="00E23F7A" w:rsidRPr="00E23F7A" w:rsidRDefault="00E23F7A" w:rsidP="00E23F7A">
      <w:pPr>
        <w:pStyle w:val="PolicyStatement"/>
        <w:pBdr>
          <w:top w:val="single" w:sz="4" w:space="0" w:color="F2F2F2" w:themeColor="background1" w:themeShade="F2"/>
        </w:pBdr>
      </w:pPr>
      <w:bookmarkStart w:id="39" w:name="_Hlk201666632"/>
      <w:r w:rsidRPr="00E23F7A">
        <w:t>14. What is your view of the current provisions for access to the GAP in the ART? Do they support the intended role of the GAP in ensuring that significant and emerging issues are quickly dealt with at a higher level and in promoting consistent ART decision-making?</w:t>
      </w:r>
    </w:p>
    <w:p w14:paraId="67361710" w14:textId="77777777" w:rsidR="00E23F7A" w:rsidRPr="00E23F7A" w:rsidRDefault="00E23F7A" w:rsidP="00E23F7A">
      <w:pPr>
        <w:pStyle w:val="PolicyStatement"/>
        <w:pBdr>
          <w:top w:val="single" w:sz="4" w:space="0" w:color="F2F2F2" w:themeColor="background1" w:themeShade="F2"/>
        </w:pBdr>
      </w:pPr>
      <w:r w:rsidRPr="00E23F7A">
        <w:t>15. If a single-tier system of review were introduced, would any changes be needed to the provisions and criteria for referrals to the GAP?</w:t>
      </w:r>
    </w:p>
    <w:bookmarkEnd w:id="39"/>
    <w:p w14:paraId="11FBE53E" w14:textId="77777777" w:rsidR="003707AB" w:rsidRPr="003707AB" w:rsidRDefault="003707AB" w:rsidP="003707AB"/>
    <w:p w14:paraId="2B7EA35C" w14:textId="7574C250" w:rsidR="003D3D4E" w:rsidRDefault="003D3D4E" w:rsidP="00ED35E7">
      <w:pPr>
        <w:spacing w:before="0" w:after="0" w:line="240" w:lineRule="auto"/>
      </w:pPr>
      <w:r>
        <w:br w:type="page"/>
      </w:r>
    </w:p>
    <w:p w14:paraId="5A66A51B" w14:textId="0672B864" w:rsidR="003D3D4E" w:rsidRDefault="003D3D4E" w:rsidP="00E944DC">
      <w:pPr>
        <w:pStyle w:val="Heading1"/>
      </w:pPr>
      <w:bookmarkStart w:id="40" w:name="_Toc205997121"/>
      <w:r>
        <w:lastRenderedPageBreak/>
        <w:t>Appendix A: History of social security review</w:t>
      </w:r>
      <w:bookmarkEnd w:id="40"/>
    </w:p>
    <w:p w14:paraId="51645C51" w14:textId="77777777" w:rsidR="003D3D4E" w:rsidRPr="008D6AE6" w:rsidRDefault="003D3D4E" w:rsidP="00E944DC">
      <w:pPr>
        <w:pStyle w:val="Heading3"/>
      </w:pPr>
      <w:bookmarkStart w:id="41" w:name="_Toc205997122"/>
      <w:r>
        <w:t>Social Security Appeals Tribunal</w:t>
      </w:r>
      <w:bookmarkEnd w:id="41"/>
    </w:p>
    <w:p w14:paraId="12368298" w14:textId="567FF775" w:rsidR="003D3D4E" w:rsidRDefault="003D3D4E" w:rsidP="003D3D4E">
      <w:pPr>
        <w:jc w:val="both"/>
      </w:pPr>
      <w:r>
        <w:t>Independent merits review of social security decisions first began in 1975, with the establishment of</w:t>
      </w:r>
      <w:r w:rsidR="005A6F34">
        <w:t xml:space="preserve"> </w:t>
      </w:r>
      <w:r>
        <w:t>SSATs in each State and Territory, which provided an avenue of appeal from a decision of an officer of the Department of Social Services. The establishment of the SSATs</w:t>
      </w:r>
      <w:r w:rsidR="00415328">
        <w:t>,</w:t>
      </w:r>
      <w:r>
        <w:t xml:space="preserve"> separate from the AAT</w:t>
      </w:r>
      <w:r w:rsidR="00415328">
        <w:t>,</w:t>
      </w:r>
      <w:r>
        <w:t xml:space="preserve"> recognised the need for a </w:t>
      </w:r>
      <w:r w:rsidR="00415328">
        <w:t>high</w:t>
      </w:r>
      <w:r w:rsidR="00837A2D">
        <w:t>-</w:t>
      </w:r>
      <w:r w:rsidR="00415328">
        <w:t xml:space="preserve">volume </w:t>
      </w:r>
      <w:r>
        <w:t>decision-making tribunal in social security.</w:t>
      </w:r>
      <w:r>
        <w:rPr>
          <w:rStyle w:val="FootnoteReference"/>
        </w:rPr>
        <w:footnoteReference w:id="113"/>
      </w:r>
      <w:r>
        <w:t xml:space="preserve"> </w:t>
      </w:r>
    </w:p>
    <w:p w14:paraId="503CBBAA" w14:textId="2F18A391" w:rsidR="003D3D4E" w:rsidRDefault="003D3D4E" w:rsidP="003D3D4E">
      <w:pPr>
        <w:jc w:val="both"/>
      </w:pPr>
      <w:r>
        <w:t xml:space="preserve">The SSATs were originally non-statutory and were constituted by two part-time members: a lawyer and a welfare/community representative, as well as a full-time </w:t>
      </w:r>
      <w:r w:rsidR="00415328">
        <w:t xml:space="preserve">officer </w:t>
      </w:r>
      <w:r>
        <w:t xml:space="preserve">of the Department of Social Services on secondment. Initially, the SSAT only had the power to make recommendations to </w:t>
      </w:r>
      <w:r w:rsidR="00415328">
        <w:t xml:space="preserve">the </w:t>
      </w:r>
      <w:r>
        <w:t xml:space="preserve">Department. In 1988, in response to recommendations of the Council, the SSAT was established </w:t>
      </w:r>
      <w:r w:rsidR="00415328">
        <w:t>by statute,</w:t>
      </w:r>
      <w:r>
        <w:t xml:space="preserve"> and acquired determinative powers as well as independence of its membership.</w:t>
      </w:r>
      <w:r>
        <w:rPr>
          <w:rStyle w:val="FootnoteReference"/>
        </w:rPr>
        <w:footnoteReference w:id="114"/>
      </w:r>
    </w:p>
    <w:p w14:paraId="44F8364F" w14:textId="5E5A8F84" w:rsidR="003D3D4E" w:rsidRDefault="003D3D4E" w:rsidP="003D3D4E">
      <w:pPr>
        <w:jc w:val="both"/>
      </w:pPr>
      <w:r>
        <w:t xml:space="preserve">From 1988, the AAT was given jurisdiction to review decisions of the SSAT, to provide </w:t>
      </w:r>
      <w:r w:rsidRPr="00052A87">
        <w:t xml:space="preserve">a </w:t>
      </w:r>
      <w:r w:rsidR="00415328">
        <w:t>“</w:t>
      </w:r>
      <w:r w:rsidRPr="00052A87">
        <w:t>mechanism of further administrative review for complex and difficult cases</w:t>
      </w:r>
      <w:r w:rsidR="00415328">
        <w:t>”</w:t>
      </w:r>
      <w:r>
        <w:t>.</w:t>
      </w:r>
      <w:r>
        <w:rPr>
          <w:rStyle w:val="FootnoteReference"/>
        </w:rPr>
        <w:footnoteReference w:id="115"/>
      </w:r>
    </w:p>
    <w:p w14:paraId="01484E78" w14:textId="154C0BEC" w:rsidR="003D3D4E" w:rsidRDefault="003D3D4E" w:rsidP="003D3D4E">
      <w:pPr>
        <w:jc w:val="both"/>
      </w:pPr>
      <w:r>
        <w:t>The differences between the review procedures in the SSAT and AAT broadly (though not completely) remained in place despite the tribunal structures changing over time.</w:t>
      </w:r>
      <w:r w:rsidRPr="00BE2867">
        <w:t xml:space="preserve"> The SSAT’s statutory objective </w:t>
      </w:r>
      <w:r>
        <w:t>was to</w:t>
      </w:r>
      <w:r w:rsidRPr="00BE2867">
        <w:t xml:space="preserve"> provide a mechanism of review that was fair, just, economical, informal and quick.</w:t>
      </w:r>
      <w:r w:rsidRPr="00BE2867">
        <w:rPr>
          <w:vertAlign w:val="superscript"/>
        </w:rPr>
        <w:footnoteReference w:id="116"/>
      </w:r>
      <w:r w:rsidRPr="00BE2867">
        <w:t xml:space="preserve"> </w:t>
      </w:r>
      <w:r>
        <w:t xml:space="preserve">SSAT hearings were conducted without formality, through a discussion between the </w:t>
      </w:r>
      <w:r w:rsidR="00415328">
        <w:t>SSA</w:t>
      </w:r>
      <w:r>
        <w:t>T and the applicant (or their representative). The Department did not appear at hearings</w:t>
      </w:r>
      <w:r w:rsidRPr="00BE2867">
        <w:t>.</w:t>
      </w:r>
      <w:r w:rsidRPr="00BE2867">
        <w:rPr>
          <w:rStyle w:val="FootnoteReference"/>
        </w:rPr>
        <w:footnoteReference w:id="117"/>
      </w:r>
      <w:r>
        <w:t xml:space="preserve"> In </w:t>
      </w:r>
      <w:r w:rsidR="00415328">
        <w:t xml:space="preserve">the </w:t>
      </w:r>
      <w:r>
        <w:t xml:space="preserve">AAT </w:t>
      </w:r>
      <w:r w:rsidR="00415328">
        <w:t>the</w:t>
      </w:r>
      <w:r>
        <w:t xml:space="preserve"> review generally involved a lengthier process, with preliminary conferences between the parties (including the Department, which participated in proceedings) and then a full hearing if the matter had not resolved earlier.</w:t>
      </w:r>
      <w:r>
        <w:rPr>
          <w:rStyle w:val="FootnoteReference"/>
        </w:rPr>
        <w:footnoteReference w:id="118"/>
      </w:r>
    </w:p>
    <w:p w14:paraId="4DF6F5EF" w14:textId="77777777" w:rsidR="003D3D4E" w:rsidRDefault="003D3D4E" w:rsidP="00E944DC">
      <w:pPr>
        <w:pStyle w:val="Heading3"/>
      </w:pPr>
      <w:bookmarkStart w:id="42" w:name="_Toc205997123"/>
      <w:r>
        <w:t>2015 Tribunal amalgamation</w:t>
      </w:r>
      <w:bookmarkEnd w:id="42"/>
    </w:p>
    <w:p w14:paraId="1645AF57" w14:textId="2F57DFA1" w:rsidR="003D3D4E" w:rsidRDefault="003D3D4E" w:rsidP="003D3D4E">
      <w:pPr>
        <w:jc w:val="both"/>
      </w:pPr>
      <w:r>
        <w:t>In 2015, the SSAT and a number of other federal tribunals were merged into the AAT.</w:t>
      </w:r>
      <w:r w:rsidRPr="00EC6B9A">
        <w:t xml:space="preserve"> </w:t>
      </w:r>
      <w:r>
        <w:t>The objective of the amalgamation was to streamline and simplify the Commonwealth merits review system and improve access to justice by promoting greater awareness of the AAT’s function.</w:t>
      </w:r>
      <w:r>
        <w:rPr>
          <w:rStyle w:val="FootnoteReference"/>
        </w:rPr>
        <w:footnoteReference w:id="119"/>
      </w:r>
      <w:r>
        <w:t xml:space="preserve"> </w:t>
      </w:r>
      <w:r w:rsidRPr="00AE007B">
        <w:t xml:space="preserve">This restructure </w:t>
      </w:r>
      <w:r w:rsidR="00415328">
        <w:t xml:space="preserve">was </w:t>
      </w:r>
      <w:r w:rsidRPr="00AE007B">
        <w:t xml:space="preserve">intended to balance maintaining specialisation in </w:t>
      </w:r>
      <w:r w:rsidR="00415328">
        <w:t xml:space="preserve">certain </w:t>
      </w:r>
      <w:r w:rsidRPr="00AE007B">
        <w:t>jurisdiction</w:t>
      </w:r>
      <w:r w:rsidR="00415328">
        <w:t>al</w:t>
      </w:r>
      <w:r w:rsidRPr="00AE007B">
        <w:t xml:space="preserve"> areas with harmonising and simplifying procedures where appropriate</w:t>
      </w:r>
      <w:r w:rsidR="00415328">
        <w:t>,</w:t>
      </w:r>
      <w:r w:rsidRPr="00AE007B">
        <w:t xml:space="preserve"> without making </w:t>
      </w:r>
      <w:r w:rsidR="00415328">
        <w:t>“</w:t>
      </w:r>
      <w:r w:rsidRPr="00AE007B">
        <w:t>significant changes</w:t>
      </w:r>
      <w:r w:rsidR="00415328">
        <w:t>”</w:t>
      </w:r>
      <w:r w:rsidRPr="00AE007B">
        <w:t>.</w:t>
      </w:r>
      <w:r w:rsidRPr="00AE007B">
        <w:rPr>
          <w:vertAlign w:val="superscript"/>
        </w:rPr>
        <w:footnoteReference w:id="120"/>
      </w:r>
    </w:p>
    <w:p w14:paraId="0A644F8F" w14:textId="3FF00BB4" w:rsidR="003D3D4E" w:rsidRDefault="003D3D4E" w:rsidP="003D3D4E">
      <w:pPr>
        <w:jc w:val="both"/>
      </w:pPr>
      <w:r>
        <w:lastRenderedPageBreak/>
        <w:t xml:space="preserve">The amalgamated </w:t>
      </w:r>
      <w:r w:rsidR="00E31FA1">
        <w:t>AAT</w:t>
      </w:r>
      <w:r>
        <w:t xml:space="preserve"> preserved the distinct procedural features from the former SSAT and AAT in relation to social security matters.</w:t>
      </w:r>
      <w:r w:rsidRPr="00AE007B">
        <w:rPr>
          <w:vertAlign w:val="superscript"/>
        </w:rPr>
        <w:footnoteReference w:id="121"/>
      </w:r>
      <w:r w:rsidRPr="00AE007B">
        <w:t xml:space="preserve"> </w:t>
      </w:r>
      <w:r>
        <w:t>Social security decisions were reviewed at first instance by the Social Services and Child Support Division with a right of appeal to the General Division. AAT1 review was intended to be quick and informal, and the agency decision-maker was not a party to proceedings. Second review in the General Division was more comprehensive, involving the decision-maker as a party and the use of pre-hearing case-management, including dispute resolution.</w:t>
      </w:r>
      <w:r w:rsidRPr="00EC6B9A">
        <w:t xml:space="preserve"> </w:t>
      </w:r>
    </w:p>
    <w:p w14:paraId="454CE835" w14:textId="2E4C129B" w:rsidR="003D3D4E" w:rsidRDefault="003D3D4E" w:rsidP="003D3D4E">
      <w:pPr>
        <w:jc w:val="both"/>
      </w:pPr>
      <w:r w:rsidRPr="00AE007B">
        <w:t xml:space="preserve">The preservation of these distinct procedural features </w:t>
      </w:r>
      <w:r w:rsidR="00E31FA1">
        <w:t xml:space="preserve">of the </w:t>
      </w:r>
      <w:r w:rsidRPr="00AE007B">
        <w:t xml:space="preserve">amalgamated bodies was described as </w:t>
      </w:r>
      <w:r w:rsidR="00E31FA1">
        <w:t>“</w:t>
      </w:r>
      <w:r w:rsidRPr="00AE007B">
        <w:t>crucial to managing the workload of their respective jurisdictions [within the AAT]</w:t>
      </w:r>
      <w:r w:rsidR="00E31FA1">
        <w:t>”</w:t>
      </w:r>
      <w:r w:rsidRPr="00AE007B">
        <w:t>.</w:t>
      </w:r>
      <w:r w:rsidRPr="00AE007B">
        <w:rPr>
          <w:vertAlign w:val="superscript"/>
        </w:rPr>
        <w:footnoteReference w:id="122"/>
      </w:r>
    </w:p>
    <w:p w14:paraId="32750921" w14:textId="77777777" w:rsidR="003D3D4E" w:rsidRDefault="003D3D4E" w:rsidP="003D3D4E">
      <w:pPr>
        <w:pStyle w:val="Heading3"/>
      </w:pPr>
      <w:bookmarkStart w:id="43" w:name="_Toc205997124"/>
      <w:proofErr w:type="spellStart"/>
      <w:r>
        <w:t>Robodebt</w:t>
      </w:r>
      <w:proofErr w:type="spellEnd"/>
      <w:r>
        <w:t xml:space="preserve"> Royal Commission</w:t>
      </w:r>
      <w:bookmarkEnd w:id="43"/>
      <w:r>
        <w:t xml:space="preserve"> </w:t>
      </w:r>
    </w:p>
    <w:p w14:paraId="4EEC0297" w14:textId="6728B4AA" w:rsidR="003D3D4E" w:rsidRDefault="003D3D4E" w:rsidP="003D3D4E">
      <w:pPr>
        <w:jc w:val="both"/>
      </w:pPr>
      <w:r w:rsidRPr="00E17FA4">
        <w:t xml:space="preserve">The terms of reference for the Royal Commission into the </w:t>
      </w:r>
      <w:proofErr w:type="spellStart"/>
      <w:r w:rsidRPr="00E17FA4">
        <w:t>Robodebt</w:t>
      </w:r>
      <w:proofErr w:type="spellEnd"/>
      <w:r w:rsidRPr="00E17FA4">
        <w:t xml:space="preserve"> Scheme</w:t>
      </w:r>
      <w:r>
        <w:t xml:space="preserve"> </w:t>
      </w:r>
      <w:r w:rsidRPr="00E17FA4">
        <w:t xml:space="preserve">included the requirement to inquire into how the federal government responded to adverse decisions made by the AAT. </w:t>
      </w:r>
      <w:r>
        <w:t>The Commission noted that:</w:t>
      </w:r>
    </w:p>
    <w:p w14:paraId="4F2C3F42" w14:textId="77777777" w:rsidR="003D3D4E" w:rsidRPr="00E17FA4" w:rsidRDefault="003D3D4E" w:rsidP="003D3D4E">
      <w:pPr>
        <w:ind w:left="720"/>
        <w:jc w:val="both"/>
      </w:pPr>
      <w:r>
        <w:t>Effective merits review is an essential part of the legal framework that protects the rights and interests of individuals; it also promotes government accountability and plays a broader important role in improving the quality and consistency of government decisions.</w:t>
      </w:r>
      <w:r>
        <w:rPr>
          <w:rStyle w:val="FootnoteReference"/>
        </w:rPr>
        <w:footnoteReference w:id="123"/>
      </w:r>
    </w:p>
    <w:p w14:paraId="6F83B019" w14:textId="77777777" w:rsidR="003D3D4E" w:rsidRPr="00E17FA4" w:rsidRDefault="003D3D4E" w:rsidP="003D3D4E">
      <w:pPr>
        <w:jc w:val="both"/>
      </w:pPr>
      <w:r w:rsidRPr="00E17FA4">
        <w:t>Scrutiny by the Commission of the system of social security appeals highlighted the deficiencies in the Department of Social Services and Department of Human Services policies and systems in relation to their ability to monitor and systemically review and implement AAT decisions in an effective manner.</w:t>
      </w:r>
      <w:r w:rsidRPr="00E17FA4">
        <w:rPr>
          <w:vertAlign w:val="superscript"/>
        </w:rPr>
        <w:footnoteReference w:id="124"/>
      </w:r>
      <w:r w:rsidRPr="00E17FA4">
        <w:t xml:space="preserve"> The Commission’s report revealed inadequacies with certain features of the merits review system, notably at</w:t>
      </w:r>
      <w:r>
        <w:t xml:space="preserve"> the</w:t>
      </w:r>
      <w:r w:rsidRPr="00E17FA4">
        <w:t xml:space="preserve"> AAT1 level where social security decisions were not published. </w:t>
      </w:r>
    </w:p>
    <w:p w14:paraId="2A07A938" w14:textId="77777777" w:rsidR="003D3D4E" w:rsidRDefault="003D3D4E" w:rsidP="003D3D4E">
      <w:pPr>
        <w:jc w:val="both"/>
      </w:pPr>
      <w:r w:rsidRPr="00E17FA4">
        <w:t>The Commission found that there was no discernible reason why AAT1 decisions involving significant points of law or policy in social security matters should not have been published.</w:t>
      </w:r>
      <w:r w:rsidRPr="00E17FA4">
        <w:rPr>
          <w:vertAlign w:val="superscript"/>
        </w:rPr>
        <w:footnoteReference w:id="125"/>
      </w:r>
      <w:r w:rsidRPr="00E17FA4">
        <w:t xml:space="preserve"> Publishing reasons would have promoted uniformity in decision-making, and allowed public scrutiny and wider community understanding as to how the AAT was applying law and policy.</w:t>
      </w:r>
      <w:r w:rsidRPr="00E17FA4">
        <w:rPr>
          <w:vertAlign w:val="superscript"/>
        </w:rPr>
        <w:footnoteReference w:id="126"/>
      </w:r>
      <w:r w:rsidRPr="00E17FA4">
        <w:t xml:space="preserve"> The Commission noted that government and community stakeholders supported publication of significant decisions in an accessible form.</w:t>
      </w:r>
      <w:r w:rsidRPr="00E17FA4">
        <w:rPr>
          <w:vertAlign w:val="superscript"/>
        </w:rPr>
        <w:footnoteReference w:id="127"/>
      </w:r>
      <w:r w:rsidRPr="00E17FA4">
        <w:t xml:space="preserve"> </w:t>
      </w:r>
    </w:p>
    <w:p w14:paraId="02F37FD2" w14:textId="77777777" w:rsidR="003D3D4E" w:rsidRDefault="003D3D4E" w:rsidP="003D3D4E">
      <w:pPr>
        <w:jc w:val="both"/>
      </w:pPr>
      <w:r w:rsidRPr="00E17FA4">
        <w:t>The Commission made a number of key recommendations</w:t>
      </w:r>
      <w:r>
        <w:t xml:space="preserve"> relevant to the review of social security decisions</w:t>
      </w:r>
      <w:r w:rsidRPr="00E17FA4">
        <w:t xml:space="preserve"> including: </w:t>
      </w:r>
    </w:p>
    <w:p w14:paraId="527B50C9" w14:textId="77777777" w:rsidR="003D3D4E" w:rsidRDefault="003D3D4E" w:rsidP="003D3D4E">
      <w:pPr>
        <w:pStyle w:val="ListParagraph"/>
        <w:numPr>
          <w:ilvl w:val="0"/>
          <w:numId w:val="18"/>
        </w:numPr>
        <w:jc w:val="both"/>
      </w:pPr>
      <w:r>
        <w:t>Training of Departmental legal officers in relation to the preparation of advices in relation to AAT decisions, to ensure they deliver services in line with the Commonwealth model litigant obligations (Recommendation 20.2)</w:t>
      </w:r>
    </w:p>
    <w:p w14:paraId="5FD72362" w14:textId="77777777" w:rsidR="003D3D4E" w:rsidRDefault="003D3D4E" w:rsidP="003D3D4E">
      <w:pPr>
        <w:pStyle w:val="ListParagraph"/>
        <w:numPr>
          <w:ilvl w:val="0"/>
          <w:numId w:val="18"/>
        </w:numPr>
        <w:jc w:val="both"/>
      </w:pPr>
      <w:r>
        <w:lastRenderedPageBreak/>
        <w:t>Establishment of a system within the Department of Social Services for identifying all significant AAT decisions and bringing them to the attention of its Secretary (Recommendation 20.3)</w:t>
      </w:r>
    </w:p>
    <w:p w14:paraId="5B755AD0" w14:textId="77777777" w:rsidR="003D3D4E" w:rsidRDefault="003D3D4E" w:rsidP="003D3D4E">
      <w:pPr>
        <w:pStyle w:val="ListParagraph"/>
        <w:numPr>
          <w:ilvl w:val="0"/>
          <w:numId w:val="18"/>
        </w:numPr>
        <w:jc w:val="both"/>
      </w:pPr>
      <w:r>
        <w:t>The development of a system for publication of first instance tribunal decisions on social security which</w:t>
      </w:r>
      <w:r w:rsidRPr="00E17FA4">
        <w:t xml:space="preserve"> involve significant conclusions of law or have implications for social security policy</w:t>
      </w:r>
      <w:r>
        <w:t xml:space="preserve"> (Recommendation 20.4)</w:t>
      </w:r>
    </w:p>
    <w:p w14:paraId="4029D333" w14:textId="77777777" w:rsidR="003D3D4E" w:rsidRPr="003B2081" w:rsidRDefault="003D3D4E" w:rsidP="003D3D4E">
      <w:pPr>
        <w:pStyle w:val="ListParagraph"/>
        <w:numPr>
          <w:ilvl w:val="0"/>
          <w:numId w:val="18"/>
        </w:numPr>
        <w:jc w:val="both"/>
      </w:pPr>
      <w:r>
        <w:t>Powers for the Ombudsman to refer or recommend referral of matters to the Tribunal (Recommendation 21.5)</w:t>
      </w:r>
    </w:p>
    <w:p w14:paraId="51F71449" w14:textId="6B9BFDDB" w:rsidR="005A6F34" w:rsidRDefault="005A6F34">
      <w:pPr>
        <w:sectPr w:rsidR="005A6F34" w:rsidSect="00205A93">
          <w:pgSz w:w="11906" w:h="16838"/>
          <w:pgMar w:top="1701" w:right="1418" w:bottom="1418" w:left="1418" w:header="709" w:footer="709" w:gutter="0"/>
          <w:cols w:space="708"/>
          <w:docGrid w:linePitch="360"/>
        </w:sectPr>
      </w:pPr>
    </w:p>
    <w:p w14:paraId="344DB985" w14:textId="77777777" w:rsidR="00205A93" w:rsidRPr="002031F4" w:rsidRDefault="00A701FA" w:rsidP="00CF4510">
      <w:pPr>
        <w:pStyle w:val="URL"/>
        <w:spacing w:before="12480"/>
        <w:rPr>
          <w:rFonts w:ascii="DINOT-Bold" w:hAnsi="DINOT-Bold"/>
          <w:b w:val="0"/>
          <w:color w:val="FFFFFF" w:themeColor="background1"/>
        </w:rPr>
      </w:pPr>
      <w:r>
        <w:rPr>
          <w:rFonts w:ascii="DINOT-Bold" w:hAnsi="DINOT-Bold"/>
          <w:b w:val="0"/>
          <w:noProof/>
          <w:color w:val="FFFFFF" w:themeColor="background1"/>
        </w:rPr>
        <w:lastRenderedPageBreak/>
        <mc:AlternateContent>
          <mc:Choice Requires="wps">
            <w:drawing>
              <wp:anchor distT="0" distB="0" distL="114300" distR="114300" simplePos="0" relativeHeight="251659264" behindDoc="1" locked="0" layoutInCell="1" allowOverlap="1" wp14:anchorId="0804D026" wp14:editId="3BB202EB">
                <wp:simplePos x="1304925" y="1076325"/>
                <wp:positionH relativeFrom="page">
                  <wp:align>center</wp:align>
                </wp:positionH>
                <wp:positionV relativeFrom="page">
                  <wp:align>center</wp:align>
                </wp:positionV>
                <wp:extent cx="7560000" cy="10692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721ED" id="Rectangle 3" o:spid="_x0000_s1026" style="position:absolute;margin-left:0;margin-top:0;width:595.3pt;height:841.9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" fillcolor="#335da5 [3204]" stroked="f" strokeweight="2pt">
                <w10:wrap anchorx="page" anchory="page"/>
              </v:rect>
            </w:pict>
          </mc:Fallback>
        </mc:AlternateContent>
      </w:r>
      <w:r w:rsidR="00D94016" w:rsidRPr="002031F4">
        <w:rPr>
          <w:rFonts w:ascii="DINOT-Bold" w:hAnsi="DINOT-Bold"/>
          <w:b w:val="0"/>
          <w:color w:val="FFFFFF" w:themeColor="background1"/>
        </w:rPr>
        <w:t>ag.gov.au</w:t>
      </w:r>
    </w:p>
    <w:p w14:paraId="24D2E687" w14:textId="68565642" w:rsidR="00205A93" w:rsidRPr="002031F4" w:rsidRDefault="00205A93" w:rsidP="004D1339">
      <w:pPr>
        <w:jc w:val="center"/>
        <w:rPr>
          <w:color w:val="FFFFFF" w:themeColor="background1"/>
        </w:rPr>
      </w:pPr>
      <w:r w:rsidRPr="002031F4">
        <w:rPr>
          <w:color w:val="FFFFFF" w:themeColor="background1"/>
        </w:rPr>
        <w:t xml:space="preserve">All information in this publication is correct as at </w:t>
      </w:r>
      <w:r w:rsidR="00D23314">
        <w:rPr>
          <w:color w:val="FFFFFF" w:themeColor="background1"/>
        </w:rPr>
        <w:t>August 2025</w:t>
      </w:r>
    </w:p>
    <w:sectPr w:rsidR="00205A93" w:rsidRPr="002031F4" w:rsidSect="00205A93">
      <w:headerReference w:type="default" r:id="rId19"/>
      <w:footerReference w:type="default" r:id="rId20"/>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D60FD" w14:textId="77777777" w:rsidR="00E55C1A" w:rsidRDefault="00E55C1A" w:rsidP="00346C4A">
      <w:r>
        <w:separator/>
      </w:r>
    </w:p>
    <w:p w14:paraId="133E845B" w14:textId="77777777" w:rsidR="00E55C1A" w:rsidRDefault="00E55C1A" w:rsidP="00346C4A"/>
  </w:endnote>
  <w:endnote w:type="continuationSeparator" w:id="0">
    <w:p w14:paraId="1FE88E70" w14:textId="77777777" w:rsidR="00E55C1A" w:rsidRDefault="00E55C1A" w:rsidP="00346C4A">
      <w:r>
        <w:continuationSeparator/>
      </w:r>
    </w:p>
    <w:p w14:paraId="37AD2964" w14:textId="77777777" w:rsidR="00E55C1A" w:rsidRDefault="00E55C1A" w:rsidP="00346C4A"/>
  </w:endnote>
  <w:endnote w:type="continuationNotice" w:id="1">
    <w:p w14:paraId="3BBB0BF5" w14:textId="77777777" w:rsidR="00E55C1A" w:rsidRDefault="00E55C1A"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INOT-Bold">
    <w:altName w:val="Calibri"/>
    <w:panose1 w:val="00000000000000000000"/>
    <w:charset w:val="00"/>
    <w:family w:val="swiss"/>
    <w:notTrueType/>
    <w:pitch w:val="variable"/>
    <w:sig w:usb0="800000AF" w:usb1="400020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8FED2" w14:textId="77777777" w:rsidR="000D1BC4" w:rsidRDefault="000D1BC4" w:rsidP="00841111">
    <w:pPr>
      <w:pStyle w:val="Footer"/>
    </w:pPr>
    <w:r>
      <w:fldChar w:fldCharType="begin"/>
    </w:r>
    <w:r>
      <w:instrText xml:space="preserve"> PAGE   \* MERGEFORMAT </w:instrText>
    </w:r>
    <w:r>
      <w:fldChar w:fldCharType="separate"/>
    </w:r>
    <w:r>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6CBD7" w14:textId="752D2C64" w:rsidR="000D1BC4" w:rsidRPr="0042556C" w:rsidRDefault="000D1BC4" w:rsidP="0042556C">
    <w:pPr>
      <w:pStyle w:val="Footer"/>
    </w:pPr>
    <w:r w:rsidRPr="003D033A">
      <w:fldChar w:fldCharType="begin"/>
    </w:r>
    <w:r w:rsidRPr="003D033A">
      <w:instrText xml:space="preserve"> PAGE   \* MERGEFORMAT </w:instrText>
    </w:r>
    <w:r w:rsidRPr="003D033A">
      <w:fldChar w:fldCharType="separate"/>
    </w:r>
    <w:r>
      <w:t>2</w:t>
    </w:r>
    <w:r w:rsidRPr="003D033A">
      <w:fldChar w:fldCharType="end"/>
    </w:r>
    <w:r>
      <w:rPr>
        <w:noProof/>
      </w:rPr>
      <w:t xml:space="preserve"> </w:t>
    </w:r>
    <w:r w:rsidRPr="00935B35">
      <w:rPr>
        <w:noProof/>
        <w:color w:val="DCDDD9"/>
      </w:rPr>
      <w:drawing>
        <wp:anchor distT="0" distB="0" distL="114300" distR="114300" simplePos="0" relativeHeight="251659264" behindDoc="1" locked="0" layoutInCell="1" allowOverlap="1" wp14:anchorId="38638A3F" wp14:editId="5DBB6947">
          <wp:simplePos x="0" y="0"/>
          <wp:positionH relativeFrom="page">
            <wp:posOffset>0</wp:posOffset>
          </wp:positionH>
          <wp:positionV relativeFrom="page">
            <wp:posOffset>9801225</wp:posOffset>
          </wp:positionV>
          <wp:extent cx="7559040" cy="890270"/>
          <wp:effectExtent l="0" t="0" r="381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95 Administrative Review Council A4 footer.jpg"/>
                  <pic:cNvPicPr/>
                </pic:nvPicPr>
                <pic:blipFill rotWithShape="1">
                  <a:blip r:embed="rId1">
                    <a:extLst>
                      <a:ext uri="{28A0092B-C50C-407E-A947-70E740481C1C}">
                        <a14:useLocalDpi xmlns:a14="http://schemas.microsoft.com/office/drawing/2010/main" val="0"/>
                      </a:ext>
                    </a:extLst>
                  </a:blip>
                  <a:srcRect t="91673"/>
                  <a:stretch/>
                </pic:blipFill>
                <pic:spPr bwMode="auto">
                  <a:xfrm>
                    <a:off x="0" y="0"/>
                    <a:ext cx="7559040" cy="890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5B35">
      <w:rPr>
        <w:noProof/>
        <w:color w:val="DCDDD9"/>
      </w:rPr>
      <w:t>|</w:t>
    </w:r>
    <w:r>
      <w:rPr>
        <w:noProof/>
      </w:rPr>
      <w:t xml:space="preserve"> </w:t>
    </w:r>
    <w:r>
      <w:t>Administrative Review Council – Social Security Issues Paper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2ADF6774" w14:textId="77777777" w:rsidR="000D1BC4" w:rsidRDefault="000D1BC4" w:rsidP="000D56E4">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CBE30" w14:textId="77777777" w:rsidR="000D1BC4" w:rsidRDefault="000D1BC4"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B9921" w14:textId="77777777" w:rsidR="00E55C1A" w:rsidRDefault="00E55C1A" w:rsidP="00346C4A">
      <w:r>
        <w:separator/>
      </w:r>
    </w:p>
    <w:p w14:paraId="470E4541" w14:textId="77777777" w:rsidR="00E55C1A" w:rsidRDefault="00E55C1A" w:rsidP="00346C4A"/>
  </w:footnote>
  <w:footnote w:type="continuationSeparator" w:id="0">
    <w:p w14:paraId="1A8EDF91" w14:textId="77777777" w:rsidR="00E55C1A" w:rsidRDefault="00E55C1A" w:rsidP="00346C4A">
      <w:r>
        <w:continuationSeparator/>
      </w:r>
    </w:p>
    <w:p w14:paraId="7623751F" w14:textId="77777777" w:rsidR="00E55C1A" w:rsidRDefault="00E55C1A" w:rsidP="00346C4A"/>
  </w:footnote>
  <w:footnote w:type="continuationNotice" w:id="1">
    <w:p w14:paraId="45DF1BC6" w14:textId="77777777" w:rsidR="00E55C1A" w:rsidRDefault="00E55C1A" w:rsidP="00346C4A"/>
  </w:footnote>
  <w:footnote w:id="2">
    <w:p w14:paraId="07856274" w14:textId="73261284" w:rsidR="000D1BC4" w:rsidRDefault="000D1BC4" w:rsidP="00411B02">
      <w:pPr>
        <w:pStyle w:val="FootnoteText"/>
        <w:jc w:val="both"/>
      </w:pPr>
      <w:r>
        <w:rPr>
          <w:rStyle w:val="FootnoteReference"/>
        </w:rPr>
        <w:footnoteRef/>
      </w:r>
      <w:r>
        <w:t xml:space="preserve"> Parliament of Australia Senate Standing Committee on Legal and Constitutional Affairs </w:t>
      </w:r>
      <w:r>
        <w:rPr>
          <w:i/>
        </w:rPr>
        <w:t>Administrative Review Tribunal Bill 2023 [Provisions] and related bills</w:t>
      </w:r>
      <w:r>
        <w:t xml:space="preserve"> Report (May 2024) Recommendation 3.</w:t>
      </w:r>
    </w:p>
  </w:footnote>
  <w:footnote w:id="3">
    <w:p w14:paraId="5C1ADA25" w14:textId="08603ACA" w:rsidR="000D1BC4" w:rsidRDefault="000D1BC4" w:rsidP="00411B02">
      <w:pPr>
        <w:pStyle w:val="FootnoteText"/>
        <w:jc w:val="both"/>
      </w:pPr>
      <w:r>
        <w:rPr>
          <w:rStyle w:val="FootnoteReference"/>
        </w:rPr>
        <w:footnoteRef/>
      </w:r>
      <w:r>
        <w:t xml:space="preserve">  As defined in the </w:t>
      </w:r>
      <w:r w:rsidRPr="00E07027">
        <w:rPr>
          <w:i/>
        </w:rPr>
        <w:t xml:space="preserve">Administrative Review Tribunal </w:t>
      </w:r>
      <w:r>
        <w:rPr>
          <w:i/>
        </w:rPr>
        <w:t>Act</w:t>
      </w:r>
      <w:r w:rsidRPr="00E07027">
        <w:rPr>
          <w:i/>
        </w:rPr>
        <w:t xml:space="preserve"> 202</w:t>
      </w:r>
      <w:r>
        <w:rPr>
          <w:i/>
        </w:rPr>
        <w:t>4</w:t>
      </w:r>
      <w:r w:rsidRPr="00E07027">
        <w:rPr>
          <w:i/>
        </w:rPr>
        <w:t xml:space="preserve"> </w:t>
      </w:r>
      <w:r>
        <w:rPr>
          <w:iCs/>
        </w:rPr>
        <w:t>(</w:t>
      </w:r>
      <w:r>
        <w:rPr>
          <w:iCs/>
        </w:rPr>
        <w:t>Cth) (“</w:t>
      </w:r>
      <w:r>
        <w:t>ART Act”) s 131C.The Inquiry will also include consideration of review of “ART social services decisions”, as defined in s 131</w:t>
      </w:r>
      <w:r>
        <w:t>D(3), which are first tier decisions of the ART of “eligible social services decisions”.</w:t>
      </w:r>
    </w:p>
  </w:footnote>
  <w:footnote w:id="4">
    <w:p w14:paraId="44DA7C10" w14:textId="77777777" w:rsidR="008A339D" w:rsidRPr="00844B0C" w:rsidRDefault="008A339D" w:rsidP="008A339D">
      <w:pPr>
        <w:pStyle w:val="FootnoteText"/>
      </w:pPr>
      <w:r>
        <w:rPr>
          <w:rStyle w:val="FootnoteReference"/>
        </w:rPr>
        <w:footnoteRef/>
      </w:r>
      <w:r>
        <w:t xml:space="preserve"> ART Act s 9. </w:t>
      </w:r>
      <w:r w:rsidRPr="00844B0C">
        <w:t>The Tribunal must pursue the objective of providing an independent mechanism of review that:</w:t>
      </w:r>
    </w:p>
    <w:p w14:paraId="0CD6474F" w14:textId="77777777" w:rsidR="008A339D" w:rsidRPr="00844B0C" w:rsidRDefault="008A339D" w:rsidP="008A339D">
      <w:pPr>
        <w:pStyle w:val="FootnoteText"/>
        <w:ind w:left="720"/>
      </w:pPr>
      <w:r w:rsidRPr="00844B0C">
        <w:t>(a) is fair and just; and</w:t>
      </w:r>
    </w:p>
    <w:p w14:paraId="137A5ED8" w14:textId="77777777" w:rsidR="008A339D" w:rsidRPr="00844B0C" w:rsidRDefault="008A339D" w:rsidP="008A339D">
      <w:pPr>
        <w:pStyle w:val="FootnoteText"/>
        <w:ind w:left="720"/>
      </w:pPr>
      <w:r w:rsidRPr="00844B0C">
        <w:t>(b) ensures that applications to the Tribunal are resolved as quickly, and with as little formality and expense, as a proper consideration of the matters before the Tribunal permits; and</w:t>
      </w:r>
    </w:p>
    <w:p w14:paraId="58954056" w14:textId="77777777" w:rsidR="008A339D" w:rsidRPr="00844B0C" w:rsidRDefault="008A339D" w:rsidP="008A339D">
      <w:pPr>
        <w:pStyle w:val="FootnoteText"/>
        <w:ind w:left="720"/>
      </w:pPr>
      <w:r w:rsidRPr="00844B0C">
        <w:t>(c) is accessible and responsive to the diverse needs of parties to proceedings; and</w:t>
      </w:r>
    </w:p>
    <w:p w14:paraId="70D20219" w14:textId="77777777" w:rsidR="008A339D" w:rsidRPr="00844B0C" w:rsidRDefault="008A339D" w:rsidP="008A339D">
      <w:pPr>
        <w:pStyle w:val="FootnoteText"/>
        <w:ind w:left="720"/>
      </w:pPr>
      <w:r w:rsidRPr="00844B0C">
        <w:t>(d) improves the transparency and quality of government decision</w:t>
      </w:r>
      <w:r w:rsidRPr="00844B0C">
        <w:noBreakHyphen/>
        <w:t>making; and</w:t>
      </w:r>
    </w:p>
    <w:p w14:paraId="43A777A3" w14:textId="77777777" w:rsidR="008A339D" w:rsidRPr="00844B0C" w:rsidRDefault="008A339D" w:rsidP="008A339D">
      <w:pPr>
        <w:pStyle w:val="FootnoteText"/>
        <w:ind w:left="720"/>
      </w:pPr>
      <w:r w:rsidRPr="00844B0C">
        <w:t>(e) promotes public trust and confidence in the Tribunal.</w:t>
      </w:r>
    </w:p>
    <w:p w14:paraId="1A3D69F6" w14:textId="21CBF44E" w:rsidR="008A339D" w:rsidRDefault="008A339D">
      <w:pPr>
        <w:pStyle w:val="FootnoteText"/>
      </w:pPr>
    </w:p>
  </w:footnote>
  <w:footnote w:id="5">
    <w:p w14:paraId="5B560AE3" w14:textId="0DD01F6D" w:rsidR="000D1BC4" w:rsidRDefault="000D1BC4">
      <w:pPr>
        <w:pStyle w:val="FootnoteText"/>
      </w:pPr>
      <w:r>
        <w:rPr>
          <w:rStyle w:val="FootnoteReference"/>
        </w:rPr>
        <w:footnoteRef/>
      </w:r>
      <w:r>
        <w:t xml:space="preserve"> ART Act s 9.</w:t>
      </w:r>
    </w:p>
  </w:footnote>
  <w:footnote w:id="6">
    <w:p w14:paraId="14A46D5D" w14:textId="324D0C08" w:rsidR="000D1BC4" w:rsidRDefault="000D1BC4" w:rsidP="00F67DB1">
      <w:pPr>
        <w:pStyle w:val="FootnoteText"/>
        <w:jc w:val="both"/>
      </w:pPr>
      <w:r>
        <w:rPr>
          <w:rStyle w:val="FootnoteReference"/>
        </w:rPr>
        <w:footnoteRef/>
      </w:r>
      <w:r>
        <w:t xml:space="preserve"> </w:t>
      </w:r>
      <w:r>
        <w:rPr>
          <w:i/>
        </w:rPr>
        <w:t xml:space="preserve">Administrative Appeals Tribunal Act 1975 </w:t>
      </w:r>
      <w:r>
        <w:t>(</w:t>
      </w:r>
      <w:r>
        <w:t>Cth) (“AAT Act”) s 2A;</w:t>
      </w:r>
      <w:r>
        <w:rPr>
          <w:i/>
        </w:rPr>
        <w:t xml:space="preserve"> </w:t>
      </w:r>
      <w:r>
        <w:t>Revised Explanatory Memorandum, Administrative Review Tribunal Bill 2024 (“ART Bill”) 36-37.</w:t>
      </w:r>
    </w:p>
  </w:footnote>
  <w:footnote w:id="7">
    <w:p w14:paraId="64863E9C" w14:textId="50D35A5C" w:rsidR="000D1BC4" w:rsidRDefault="000D1BC4">
      <w:pPr>
        <w:pStyle w:val="FootnoteText"/>
      </w:pPr>
      <w:r>
        <w:rPr>
          <w:rStyle w:val="FootnoteReference"/>
        </w:rPr>
        <w:footnoteRef/>
      </w:r>
      <w:r>
        <w:t xml:space="preserve"> Revised Explanatory Memorandum, ART Bill 36.</w:t>
      </w:r>
    </w:p>
  </w:footnote>
  <w:footnote w:id="8">
    <w:p w14:paraId="2544F955" w14:textId="67CFE4AB" w:rsidR="000D1BC4" w:rsidRDefault="000D1BC4" w:rsidP="006F431C">
      <w:pPr>
        <w:pStyle w:val="FootnoteText"/>
        <w:jc w:val="both"/>
      </w:pPr>
      <w:r>
        <w:rPr>
          <w:rStyle w:val="FootnoteReference"/>
        </w:rPr>
        <w:footnoteRef/>
      </w:r>
      <w:r>
        <w:t xml:space="preserve"> </w:t>
      </w:r>
      <w:r w:rsidRPr="00704AA8">
        <w:t xml:space="preserve">The rights, requirements and procedures underpinning merits review of social security decisions are primarily set out in the ART Act, as modified by Part 4A of the </w:t>
      </w:r>
      <w:r w:rsidRPr="00ED51FC">
        <w:rPr>
          <w:i/>
        </w:rPr>
        <w:t xml:space="preserve">Social Security (Administration) Act </w:t>
      </w:r>
      <w:r w:rsidRPr="00ED51FC">
        <w:rPr>
          <w:i/>
          <w:iCs/>
        </w:rPr>
        <w:t>1999</w:t>
      </w:r>
      <w:r w:rsidRPr="00704AA8">
        <w:t xml:space="preserve"> (</w:t>
      </w:r>
      <w:r w:rsidRPr="00704AA8">
        <w:t>Cth) (</w:t>
      </w:r>
      <w:r>
        <w:t>“</w:t>
      </w:r>
      <w:r w:rsidRPr="00704AA8">
        <w:t>SSA Act</w:t>
      </w:r>
      <w:r>
        <w:t>”</w:t>
      </w:r>
      <w:r w:rsidRPr="00704AA8">
        <w:t>). Part 5A of the ART Act provides for second</w:t>
      </w:r>
      <w:r>
        <w:t xml:space="preserve"> </w:t>
      </w:r>
      <w:r w:rsidRPr="00704AA8">
        <w:t xml:space="preserve">review for eligible social services </w:t>
      </w:r>
      <w:r>
        <w:t xml:space="preserve">decisions. The </w:t>
      </w:r>
      <w:hyperlink r:id="rId1" w:history="1">
        <w:r w:rsidRPr="00226975">
          <w:rPr>
            <w:rStyle w:val="Hyperlink"/>
          </w:rPr>
          <w:t>Administrative Review Tribunal (Common Procedures) Practice Direction 2024</w:t>
        </w:r>
      </w:hyperlink>
      <w:r>
        <w:rPr>
          <w:rStyle w:val="Hyperlink"/>
        </w:rPr>
        <w:t xml:space="preserve"> </w:t>
      </w:r>
      <w:r w:rsidRPr="00F67DB1">
        <w:t xml:space="preserve">provides for </w:t>
      </w:r>
      <w:r>
        <w:t>directions about the practices and procedures relating to applications for review and the conduct of proceedings.</w:t>
      </w:r>
    </w:p>
  </w:footnote>
  <w:footnote w:id="9">
    <w:p w14:paraId="7D1B90E1" w14:textId="25249262" w:rsidR="000D1BC4" w:rsidRDefault="000D1BC4" w:rsidP="00F67DB1">
      <w:pPr>
        <w:pStyle w:val="FootnoteText"/>
        <w:jc w:val="both"/>
      </w:pPr>
      <w:r>
        <w:rPr>
          <w:rStyle w:val="FootnoteReference"/>
        </w:rPr>
        <w:footnoteRef/>
      </w:r>
      <w:r>
        <w:t xml:space="preserve"> House of Representatives Standing Committee on Social Policy and Legal Affairs, </w:t>
      </w:r>
      <w:hyperlink r:id="rId2" w:history="1">
        <w:r w:rsidRPr="00F67DB1">
          <w:rPr>
            <w:rStyle w:val="Hyperlink"/>
            <w:i/>
            <w:iCs/>
          </w:rPr>
          <w:t>Inquiry into the Administrative Review Tribunal Bill 2023 and the Administrative Review Tribunal (Consequential and Transitional Provisions No.1) Bill 2023</w:t>
        </w:r>
      </w:hyperlink>
      <w:r>
        <w:t xml:space="preserve">, Australian Parliament website; </w:t>
      </w:r>
      <w:r w:rsidRPr="00CA38EA">
        <w:t>Senate Constitutional and Legal Affairs Legislation Committee</w:t>
      </w:r>
      <w:r>
        <w:t xml:space="preserve">, </w:t>
      </w:r>
      <w:hyperlink r:id="rId3" w:history="1">
        <w:r w:rsidRPr="001D7328">
          <w:rPr>
            <w:rStyle w:val="Hyperlink"/>
            <w:i/>
            <w:iCs/>
          </w:rPr>
          <w:t>Administrative Review Tribunal Bill 2023 [Provisions] and related bills</w:t>
        </w:r>
      </w:hyperlink>
      <w:r>
        <w:t>, Australian Parliament website.</w:t>
      </w:r>
    </w:p>
  </w:footnote>
  <w:footnote w:id="10">
    <w:p w14:paraId="4A9AC060" w14:textId="15126CE5" w:rsidR="000D1BC4" w:rsidRDefault="000D1BC4" w:rsidP="00E22A4B">
      <w:pPr>
        <w:pStyle w:val="FootnoteText"/>
        <w:jc w:val="both"/>
      </w:pPr>
      <w:r>
        <w:rPr>
          <w:rStyle w:val="FootnoteReference"/>
        </w:rPr>
        <w:footnoteRef/>
      </w:r>
      <w:r>
        <w:t xml:space="preserve"> Parliament of Australia Senate Standing Committee on Legal and Constitutional Affairs </w:t>
      </w:r>
      <w:r>
        <w:rPr>
          <w:i/>
        </w:rPr>
        <w:t>Administrative Review Tribunal Bill 2023 [Provisions] and related bills</w:t>
      </w:r>
      <w:r>
        <w:t xml:space="preserve"> Report (May 2024) 37, Recommendation 3.</w:t>
      </w:r>
    </w:p>
  </w:footnote>
  <w:footnote w:id="11">
    <w:p w14:paraId="5D95488C" w14:textId="7EE8568B" w:rsidR="000D1BC4" w:rsidRDefault="000D1BC4" w:rsidP="00832A88">
      <w:pPr>
        <w:pStyle w:val="FootnoteText"/>
      </w:pPr>
      <w:r>
        <w:rPr>
          <w:rStyle w:val="FootnoteReference"/>
        </w:rPr>
        <w:footnoteRef/>
      </w:r>
      <w:r>
        <w:t xml:space="preserve"> Revised Explanatory Memorandum, ART Bill 7.</w:t>
      </w:r>
    </w:p>
  </w:footnote>
  <w:footnote w:id="12">
    <w:p w14:paraId="20FB2983" w14:textId="7BF16032" w:rsidR="000D1BC4" w:rsidRDefault="000D1BC4" w:rsidP="00AC6E76">
      <w:pPr>
        <w:pStyle w:val="FootnoteText"/>
        <w:jc w:val="both"/>
      </w:pPr>
      <w:r>
        <w:rPr>
          <w:rStyle w:val="FootnoteReference"/>
        </w:rPr>
        <w:footnoteRef/>
      </w:r>
      <w:r>
        <w:t xml:space="preserve"> This fall in proportion appears to partly be the result of a significant increase in the volume of lodgments in some other Divisions of the AAT, particularly the Migration and Refugee Division which had a 69% increase in lodgments from 2022/23, with migration (non-refugee) lodgments increasing by 114%: AAT </w:t>
      </w:r>
      <w:r w:rsidRPr="00F67DB1">
        <w:rPr>
          <w:i/>
        </w:rPr>
        <w:t>Annual Report 2023</w:t>
      </w:r>
      <w:r>
        <w:rPr>
          <w:i/>
        </w:rPr>
        <w:t>-2</w:t>
      </w:r>
      <w:r w:rsidRPr="00F67DB1">
        <w:rPr>
          <w:i/>
        </w:rPr>
        <w:t>4</w:t>
      </w:r>
      <w:r>
        <w:rPr>
          <w:i/>
        </w:rPr>
        <w:t xml:space="preserve"> </w:t>
      </w:r>
      <w:r>
        <w:t>(Commonwealth, 24 September 2024).</w:t>
      </w:r>
    </w:p>
  </w:footnote>
  <w:footnote w:id="13">
    <w:p w14:paraId="1563AFE8" w14:textId="21675AC8" w:rsidR="000D1BC4" w:rsidRDefault="000D1BC4" w:rsidP="00F67DB1">
      <w:pPr>
        <w:pStyle w:val="FootnoteText"/>
        <w:jc w:val="both"/>
      </w:pPr>
      <w:r>
        <w:rPr>
          <w:rStyle w:val="FootnoteReference"/>
        </w:rPr>
        <w:footnoteRef/>
      </w:r>
      <w:r>
        <w:t xml:space="preserve"> AAT </w:t>
      </w:r>
      <w:r w:rsidRPr="00F67DB1">
        <w:rPr>
          <w:i/>
          <w:iCs/>
        </w:rPr>
        <w:t>Annual Report 2023</w:t>
      </w:r>
      <w:r>
        <w:rPr>
          <w:i/>
          <w:iCs/>
        </w:rPr>
        <w:t>-</w:t>
      </w:r>
      <w:r w:rsidRPr="00F67DB1">
        <w:rPr>
          <w:i/>
          <w:iCs/>
        </w:rPr>
        <w:t>24</w:t>
      </w:r>
      <w:r>
        <w:t xml:space="preserve"> (Commonwealth, 2024) “Performance – Social Services and Child Support </w:t>
      </w:r>
      <w:r w:rsidRPr="00BC74DF">
        <w:t>Division</w:t>
      </w:r>
      <w:r w:rsidRPr="00F67DB1">
        <w:t>”</w:t>
      </w:r>
      <w:r>
        <w:t> 39</w:t>
      </w:r>
      <w:r w:rsidRPr="00BC74DF">
        <w:t>.</w:t>
      </w:r>
    </w:p>
  </w:footnote>
  <w:footnote w:id="14">
    <w:p w14:paraId="3E250E5C" w14:textId="69915631" w:rsidR="000D1BC4" w:rsidRPr="00FB3C31" w:rsidRDefault="000D1BC4" w:rsidP="00416D50">
      <w:pPr>
        <w:pStyle w:val="FootnoteText"/>
        <w:jc w:val="both"/>
        <w:rPr>
          <w:szCs w:val="18"/>
        </w:rPr>
      </w:pPr>
      <w:r w:rsidRPr="00FB3C31">
        <w:rPr>
          <w:rStyle w:val="FootnoteReference"/>
          <w:szCs w:val="18"/>
        </w:rPr>
        <w:footnoteRef/>
      </w:r>
      <w:r w:rsidRPr="00FB3C31">
        <w:rPr>
          <w:szCs w:val="18"/>
        </w:rPr>
        <w:t xml:space="preserve"> </w:t>
      </w:r>
      <w:r>
        <w:rPr>
          <w:szCs w:val="18"/>
        </w:rPr>
        <w:t>For the jurisdictional area see ART Act s 196(1)(f)</w:t>
      </w:r>
      <w:r w:rsidRPr="00FB3C31">
        <w:rPr>
          <w:szCs w:val="18"/>
        </w:rPr>
        <w:t>.</w:t>
      </w:r>
      <w:r>
        <w:rPr>
          <w:szCs w:val="18"/>
        </w:rPr>
        <w:t xml:space="preserve"> The social security jurisdictional area includes Centrelink and Paid Parental Leave lists: “About us: Structure”, </w:t>
      </w:r>
      <w:r>
        <w:rPr>
          <w:i/>
          <w:szCs w:val="18"/>
        </w:rPr>
        <w:t>Administrative Review Tribunal</w:t>
      </w:r>
      <w:r w:rsidRPr="00BC74DF">
        <w:t xml:space="preserve"> </w:t>
      </w:r>
      <w:r>
        <w:t>&lt;</w:t>
      </w:r>
      <w:r w:rsidRPr="00BC74DF">
        <w:rPr>
          <w:szCs w:val="18"/>
        </w:rPr>
        <w:t>https://www.art.gov.au/about-us/structure</w:t>
      </w:r>
      <w:r>
        <w:rPr>
          <w:szCs w:val="18"/>
        </w:rPr>
        <w:t xml:space="preserve">&gt;.  </w:t>
      </w:r>
    </w:p>
  </w:footnote>
  <w:footnote w:id="15">
    <w:p w14:paraId="57469A12" w14:textId="3412E683" w:rsidR="000D1BC4" w:rsidRDefault="000D1BC4" w:rsidP="00AC6E76">
      <w:pPr>
        <w:pStyle w:val="FootnoteText"/>
        <w:jc w:val="both"/>
      </w:pPr>
      <w:r>
        <w:rPr>
          <w:rStyle w:val="FootnoteReference"/>
        </w:rPr>
        <w:footnoteRef/>
      </w:r>
      <w:r>
        <w:t xml:space="preserve"> “</w:t>
      </w:r>
      <w:r w:rsidRPr="001255FE">
        <w:rPr>
          <w:szCs w:val="18"/>
        </w:rPr>
        <w:t>Administrative Review Tribunal Caseload Report</w:t>
      </w:r>
      <w:r>
        <w:rPr>
          <w:szCs w:val="18"/>
        </w:rPr>
        <w:t xml:space="preserve"> for the period 14 October 2024 to 31 May 2025”, </w:t>
      </w:r>
      <w:r>
        <w:rPr>
          <w:i/>
          <w:szCs w:val="18"/>
        </w:rPr>
        <w:t>Administrative Review Tribunal</w:t>
      </w:r>
      <w:r>
        <w:rPr>
          <w:szCs w:val="18"/>
        </w:rPr>
        <w:t xml:space="preserve"> &lt;</w:t>
      </w:r>
      <w:r w:rsidRPr="00BC74DF">
        <w:rPr>
          <w:szCs w:val="18"/>
        </w:rPr>
        <w:t>https://www.art.gov.au/sites/default/files/2024-12/ART_Caseload_2024-25.pdf</w:t>
      </w:r>
      <w:r>
        <w:rPr>
          <w:szCs w:val="18"/>
        </w:rPr>
        <w:t>&gt;</w:t>
      </w:r>
      <w:r w:rsidRPr="00FB3C31">
        <w:rPr>
          <w:szCs w:val="18"/>
        </w:rPr>
        <w:t>.</w:t>
      </w:r>
      <w:r w:rsidRPr="00664EF8">
        <w:rPr>
          <w:szCs w:val="18"/>
        </w:rPr>
        <w:t xml:space="preserve"> </w:t>
      </w:r>
      <w:r>
        <w:rPr>
          <w:szCs w:val="18"/>
        </w:rPr>
        <w:t>The m</w:t>
      </w:r>
      <w:r w:rsidRPr="00FB3C31">
        <w:rPr>
          <w:szCs w:val="18"/>
        </w:rPr>
        <w:t xml:space="preserve">edian time to finalise is measured in weeks from </w:t>
      </w:r>
      <w:r w:rsidRPr="00FB3C31">
        <w:rPr>
          <w:szCs w:val="18"/>
        </w:rPr>
        <w:t>lodgment to finalisation.</w:t>
      </w:r>
    </w:p>
  </w:footnote>
  <w:footnote w:id="16">
    <w:p w14:paraId="22E972CD" w14:textId="2AF0F52B" w:rsidR="000D1BC4" w:rsidRPr="00FB3C31" w:rsidRDefault="000D1BC4" w:rsidP="00DB2A26">
      <w:pPr>
        <w:pStyle w:val="FootnoteText"/>
        <w:jc w:val="both"/>
        <w:rPr>
          <w:szCs w:val="18"/>
        </w:rPr>
      </w:pPr>
      <w:r w:rsidRPr="00FB3C31">
        <w:rPr>
          <w:rStyle w:val="FootnoteReference"/>
          <w:rFonts w:eastAsiaTheme="majorEastAsia"/>
          <w:szCs w:val="18"/>
        </w:rPr>
        <w:footnoteRef/>
      </w:r>
      <w:r w:rsidRPr="00FB3C31">
        <w:rPr>
          <w:szCs w:val="18"/>
        </w:rPr>
        <w:t xml:space="preserve"> </w:t>
      </w:r>
      <w:r w:rsidRPr="0019222F">
        <w:rPr>
          <w:iCs/>
          <w:szCs w:val="18"/>
        </w:rPr>
        <w:t>Royal Commission into the Robodebt Scheme</w:t>
      </w:r>
      <w:r w:rsidRPr="00FB3C31">
        <w:rPr>
          <w:i/>
          <w:szCs w:val="18"/>
        </w:rPr>
        <w:t xml:space="preserve"> </w:t>
      </w:r>
      <w:r w:rsidRPr="00416D50">
        <w:rPr>
          <w:i/>
          <w:iCs/>
          <w:szCs w:val="18"/>
        </w:rPr>
        <w:t>Report</w:t>
      </w:r>
      <w:r>
        <w:rPr>
          <w:szCs w:val="18"/>
        </w:rPr>
        <w:t xml:space="preserve"> (July </w:t>
      </w:r>
      <w:r w:rsidRPr="00FB3C31">
        <w:rPr>
          <w:szCs w:val="18"/>
        </w:rPr>
        <w:t xml:space="preserve">2023) </w:t>
      </w:r>
      <w:r>
        <w:rPr>
          <w:szCs w:val="18"/>
        </w:rPr>
        <w:t>V</w:t>
      </w:r>
      <w:r w:rsidRPr="00FB3C31">
        <w:rPr>
          <w:szCs w:val="18"/>
        </w:rPr>
        <w:t xml:space="preserve">ol 1, 349. </w:t>
      </w:r>
    </w:p>
  </w:footnote>
  <w:footnote w:id="17">
    <w:p w14:paraId="6673F048" w14:textId="548D4F91" w:rsidR="000D1BC4" w:rsidRDefault="000D1BC4" w:rsidP="00AC6E76">
      <w:pPr>
        <w:pStyle w:val="FootnoteText"/>
        <w:jc w:val="both"/>
      </w:pPr>
      <w:r>
        <w:rPr>
          <w:rStyle w:val="FootnoteReference"/>
        </w:rPr>
        <w:footnoteRef/>
      </w:r>
      <w:r>
        <w:t xml:space="preserve"> </w:t>
      </w:r>
      <w:r w:rsidRPr="0019222F">
        <w:rPr>
          <w:iCs/>
          <w:szCs w:val="18"/>
        </w:rPr>
        <w:t>Royal Commission into the Robodebt Scheme</w:t>
      </w:r>
      <w:r w:rsidRPr="00FB3C31">
        <w:rPr>
          <w:i/>
          <w:szCs w:val="18"/>
        </w:rPr>
        <w:t xml:space="preserve"> </w:t>
      </w:r>
      <w:r w:rsidRPr="00416D50">
        <w:rPr>
          <w:i/>
          <w:iCs/>
          <w:szCs w:val="18"/>
        </w:rPr>
        <w:t>Report</w:t>
      </w:r>
      <w:r>
        <w:rPr>
          <w:szCs w:val="18"/>
        </w:rPr>
        <w:t xml:space="preserve"> (July </w:t>
      </w:r>
      <w:r w:rsidRPr="007F78F2">
        <w:rPr>
          <w:szCs w:val="18"/>
        </w:rPr>
        <w:t xml:space="preserve">2023) Vol </w:t>
      </w:r>
      <w:r w:rsidRPr="0019222F">
        <w:rPr>
          <w:szCs w:val="18"/>
        </w:rPr>
        <w:t>1</w:t>
      </w:r>
      <w:r w:rsidRPr="007F78F2">
        <w:rPr>
          <w:szCs w:val="18"/>
        </w:rPr>
        <w:t xml:space="preserve">, </w:t>
      </w:r>
      <w:r w:rsidRPr="0019222F">
        <w:rPr>
          <w:szCs w:val="18"/>
        </w:rPr>
        <w:t xml:space="preserve">xiii-xv, </w:t>
      </w:r>
      <w:r w:rsidRPr="007F78F2">
        <w:rPr>
          <w:szCs w:val="18"/>
        </w:rPr>
        <w:t>Recommendations</w:t>
      </w:r>
      <w:r>
        <w:rPr>
          <w:szCs w:val="18"/>
        </w:rPr>
        <w:t xml:space="preserve"> 10.1, 11.2-11.4, 12.1, 13.3-13.4. </w:t>
      </w:r>
    </w:p>
  </w:footnote>
  <w:footnote w:id="18">
    <w:p w14:paraId="4817B96A" w14:textId="79C40605" w:rsidR="000D1BC4" w:rsidRPr="00206A97" w:rsidRDefault="000D1BC4" w:rsidP="00AC6E76">
      <w:pPr>
        <w:pStyle w:val="FootnoteText"/>
        <w:jc w:val="both"/>
        <w:rPr>
          <w:szCs w:val="18"/>
        </w:rPr>
      </w:pPr>
      <w:r w:rsidRPr="00206A97">
        <w:rPr>
          <w:rStyle w:val="FootnoteReference"/>
          <w:szCs w:val="18"/>
        </w:rPr>
        <w:footnoteRef/>
      </w:r>
      <w:r w:rsidRPr="00206A97">
        <w:rPr>
          <w:szCs w:val="18"/>
        </w:rPr>
        <w:t xml:space="preserve"> </w:t>
      </w:r>
      <w:r w:rsidRPr="006A233C">
        <w:rPr>
          <w:szCs w:val="18"/>
        </w:rPr>
        <w:t>AAT</w:t>
      </w:r>
      <w:r w:rsidRPr="00206A97">
        <w:rPr>
          <w:szCs w:val="18"/>
        </w:rPr>
        <w:t xml:space="preserve"> </w:t>
      </w:r>
      <w:r w:rsidRPr="00F67DB1">
        <w:rPr>
          <w:i/>
          <w:iCs/>
          <w:szCs w:val="18"/>
        </w:rPr>
        <w:t>Annual Report 2022-2023</w:t>
      </w:r>
      <w:r>
        <w:rPr>
          <w:szCs w:val="18"/>
        </w:rPr>
        <w:t xml:space="preserve"> (Commonwealth, 2023)</w:t>
      </w:r>
      <w:r w:rsidRPr="00206A97">
        <w:rPr>
          <w:szCs w:val="18"/>
        </w:rPr>
        <w:t xml:space="preserve"> </w:t>
      </w:r>
      <w:r>
        <w:rPr>
          <w:szCs w:val="18"/>
        </w:rPr>
        <w:t>38.</w:t>
      </w:r>
    </w:p>
  </w:footnote>
  <w:footnote w:id="19">
    <w:p w14:paraId="5130F278" w14:textId="40FD99AE" w:rsidR="000D1BC4" w:rsidRPr="00206A97" w:rsidRDefault="000D1BC4" w:rsidP="00AC6E76">
      <w:pPr>
        <w:pStyle w:val="FootnoteText"/>
        <w:jc w:val="both"/>
        <w:rPr>
          <w:szCs w:val="18"/>
        </w:rPr>
      </w:pPr>
      <w:r w:rsidRPr="00206A97">
        <w:rPr>
          <w:rStyle w:val="FootnoteReference"/>
          <w:szCs w:val="18"/>
        </w:rPr>
        <w:footnoteRef/>
      </w:r>
      <w:r w:rsidRPr="00206A97">
        <w:rPr>
          <w:szCs w:val="18"/>
        </w:rPr>
        <w:t xml:space="preserve"> </w:t>
      </w:r>
      <w:r>
        <w:rPr>
          <w:szCs w:val="18"/>
        </w:rPr>
        <w:t>In</w:t>
      </w:r>
      <w:r w:rsidRPr="00206A97">
        <w:rPr>
          <w:szCs w:val="18"/>
        </w:rPr>
        <w:t xml:space="preserve"> the AAT, the </w:t>
      </w:r>
      <w:r w:rsidRPr="00206A97">
        <w:rPr>
          <w:rFonts w:cs="Arial"/>
          <w:color w:val="000000"/>
          <w:szCs w:val="18"/>
        </w:rPr>
        <w:t>Social Services and Child Support Division (</w:t>
      </w:r>
      <w:r>
        <w:rPr>
          <w:rFonts w:cs="Arial"/>
          <w:color w:val="000000"/>
          <w:szCs w:val="18"/>
        </w:rPr>
        <w:t>“</w:t>
      </w:r>
      <w:r w:rsidRPr="00206A97">
        <w:rPr>
          <w:rFonts w:cs="Arial"/>
          <w:color w:val="000000"/>
          <w:szCs w:val="18"/>
        </w:rPr>
        <w:t>SSCSD</w:t>
      </w:r>
      <w:r>
        <w:rPr>
          <w:rFonts w:cs="Arial"/>
          <w:color w:val="000000"/>
          <w:szCs w:val="18"/>
        </w:rPr>
        <w:t>”</w:t>
      </w:r>
      <w:r w:rsidRPr="00206A97">
        <w:rPr>
          <w:rFonts w:cs="Arial"/>
          <w:color w:val="000000"/>
          <w:szCs w:val="18"/>
        </w:rPr>
        <w:t>) was the second largest division</w:t>
      </w:r>
      <w:r w:rsidRPr="00206A97">
        <w:rPr>
          <w:rFonts w:eastAsiaTheme="minorHAnsi" w:cs="Arial"/>
          <w:szCs w:val="18"/>
        </w:rPr>
        <w:t>.</w:t>
      </w:r>
    </w:p>
  </w:footnote>
  <w:footnote w:id="20">
    <w:p w14:paraId="5DD2D310" w14:textId="27F6C216" w:rsidR="000D1BC4" w:rsidRPr="00120913" w:rsidRDefault="000D1BC4" w:rsidP="00AC6E76">
      <w:pPr>
        <w:pStyle w:val="FootnoteText"/>
        <w:jc w:val="both"/>
        <w:rPr>
          <w:sz w:val="16"/>
          <w:szCs w:val="16"/>
        </w:rPr>
      </w:pPr>
      <w:r w:rsidRPr="00206A97">
        <w:rPr>
          <w:rStyle w:val="FootnoteReference"/>
          <w:szCs w:val="18"/>
        </w:rPr>
        <w:footnoteRef/>
      </w:r>
      <w:r w:rsidRPr="00206A97">
        <w:rPr>
          <w:szCs w:val="18"/>
        </w:rPr>
        <w:t xml:space="preserve"> Social Security Rights Victoria, Submission </w:t>
      </w:r>
      <w:r>
        <w:rPr>
          <w:szCs w:val="18"/>
        </w:rPr>
        <w:t xml:space="preserve">No </w:t>
      </w:r>
      <w:r w:rsidRPr="00206A97">
        <w:rPr>
          <w:szCs w:val="18"/>
        </w:rPr>
        <w:t>31</w:t>
      </w:r>
      <w:r>
        <w:rPr>
          <w:szCs w:val="18"/>
        </w:rPr>
        <w:t xml:space="preserve"> to Senate Legal and Constitutional Affairs References Committee, </w:t>
      </w:r>
      <w:r>
        <w:rPr>
          <w:i/>
          <w:szCs w:val="18"/>
        </w:rPr>
        <w:t>Inquiry</w:t>
      </w:r>
      <w:r w:rsidRPr="00206A97">
        <w:rPr>
          <w:szCs w:val="18"/>
        </w:rPr>
        <w:t xml:space="preserve"> </w:t>
      </w:r>
      <w:r>
        <w:rPr>
          <w:i/>
          <w:szCs w:val="18"/>
        </w:rPr>
        <w:t>into</w:t>
      </w:r>
      <w:r w:rsidRPr="00F67DB1">
        <w:rPr>
          <w:i/>
          <w:szCs w:val="18"/>
        </w:rPr>
        <w:t xml:space="preserve"> the performance and integrity of Australia’s administrative review system</w:t>
      </w:r>
      <w:r>
        <w:rPr>
          <w:szCs w:val="18"/>
        </w:rPr>
        <w:t xml:space="preserve"> (12 December 2021) </w:t>
      </w:r>
      <w:r w:rsidRPr="00206A97">
        <w:rPr>
          <w:szCs w:val="18"/>
        </w:rPr>
        <w:t>5.</w:t>
      </w:r>
    </w:p>
  </w:footnote>
  <w:footnote w:id="21">
    <w:p w14:paraId="459609EA" w14:textId="7F2D4C6C" w:rsidR="000D1BC4" w:rsidRDefault="000D1BC4" w:rsidP="00F67DB1">
      <w:pPr>
        <w:pStyle w:val="FootnoteText"/>
        <w:jc w:val="both"/>
      </w:pPr>
      <w:r>
        <w:rPr>
          <w:rStyle w:val="FootnoteReference"/>
        </w:rPr>
        <w:footnoteRef/>
      </w:r>
      <w:r>
        <w:t xml:space="preserve"> House of Representatives Standing Committee on Social Policy and Legal Affairs </w:t>
      </w:r>
      <w:r w:rsidRPr="00206A97">
        <w:rPr>
          <w:i/>
        </w:rPr>
        <w:t>Inquiry into the Administrative Review Tribunal Bill 2023 and the Administrative Review Tribunal (Consequential and Transitional Provisions No.1) Bill 2023</w:t>
      </w:r>
      <w:r>
        <w:t xml:space="preserve"> Report (February 2024) 27-8.</w:t>
      </w:r>
    </w:p>
  </w:footnote>
  <w:footnote w:id="22">
    <w:p w14:paraId="1B65B102" w14:textId="7027ECF8" w:rsidR="000D1BC4" w:rsidRPr="00FB3C31" w:rsidRDefault="000D1BC4" w:rsidP="00AE007B">
      <w:pPr>
        <w:pStyle w:val="FootnoteText"/>
        <w:rPr>
          <w:szCs w:val="18"/>
        </w:rPr>
      </w:pPr>
      <w:r w:rsidRPr="00FB3C31">
        <w:rPr>
          <w:rStyle w:val="FootnoteReference"/>
          <w:szCs w:val="18"/>
        </w:rPr>
        <w:footnoteRef/>
      </w:r>
      <w:r w:rsidRPr="00FB3C31">
        <w:rPr>
          <w:szCs w:val="18"/>
        </w:rPr>
        <w:t xml:space="preserve"> Revised Explanatory Memorandum, Administrative Review Tribunal (Consequential and Transitional Provisions No 1) Bill 2024</w:t>
      </w:r>
      <w:r>
        <w:rPr>
          <w:szCs w:val="18"/>
        </w:rPr>
        <w:t xml:space="preserve"> </w:t>
      </w:r>
      <w:r w:rsidRPr="00FB3C31">
        <w:rPr>
          <w:szCs w:val="18"/>
        </w:rPr>
        <w:t>1.</w:t>
      </w:r>
    </w:p>
  </w:footnote>
  <w:footnote w:id="23">
    <w:p w14:paraId="37314516" w14:textId="77777777" w:rsidR="000D1BC4" w:rsidRPr="00A20A2F" w:rsidRDefault="000D1BC4" w:rsidP="003A4541">
      <w:pPr>
        <w:pStyle w:val="FootnoteText"/>
        <w:jc w:val="both"/>
      </w:pPr>
      <w:r>
        <w:rPr>
          <w:rStyle w:val="FootnoteReference"/>
        </w:rPr>
        <w:footnoteRef/>
      </w:r>
      <w:r>
        <w:t xml:space="preserve"> </w:t>
      </w:r>
      <w:r>
        <w:rPr>
          <w:i/>
        </w:rPr>
        <w:t>Social Security Guide</w:t>
      </w:r>
      <w:r>
        <w:t>, version 1.329, released 12 May 2025, Part 6.10 &lt;</w:t>
      </w:r>
      <w:r w:rsidRPr="00A20A2F">
        <w:t>https://guides.dss.gov.au/social-security-guide/6/10</w:t>
      </w:r>
      <w:r>
        <w:t>&gt;.</w:t>
      </w:r>
    </w:p>
  </w:footnote>
  <w:footnote w:id="24">
    <w:p w14:paraId="783435EE" w14:textId="58C64AEB" w:rsidR="000D1BC4" w:rsidRPr="00A20A2F" w:rsidRDefault="000D1BC4" w:rsidP="003500A3">
      <w:pPr>
        <w:pStyle w:val="FootnoteText"/>
      </w:pPr>
      <w:r>
        <w:rPr>
          <w:rStyle w:val="FootnoteReference"/>
        </w:rPr>
        <w:footnoteRef/>
      </w:r>
      <w:r>
        <w:t xml:space="preserve"> </w:t>
      </w:r>
      <w:r w:rsidRPr="003A4541">
        <w:rPr>
          <w:iCs/>
        </w:rPr>
        <w:t>SSA Act</w:t>
      </w:r>
      <w:r>
        <w:rPr>
          <w:i/>
        </w:rPr>
        <w:t xml:space="preserve"> </w:t>
      </w:r>
      <w:r>
        <w:t>s 126.</w:t>
      </w:r>
    </w:p>
  </w:footnote>
  <w:footnote w:id="25">
    <w:p w14:paraId="0605DC9B" w14:textId="43AFF307" w:rsidR="000D1BC4" w:rsidRDefault="000D1BC4" w:rsidP="00F67DB1">
      <w:pPr>
        <w:pStyle w:val="FootnoteText"/>
        <w:jc w:val="both"/>
      </w:pPr>
      <w:r>
        <w:rPr>
          <w:rStyle w:val="FootnoteReference"/>
        </w:rPr>
        <w:footnoteRef/>
      </w:r>
      <w:r>
        <w:t xml:space="preserve"> Parliament of Australia </w:t>
      </w:r>
      <w:r w:rsidRPr="001F09D7">
        <w:t xml:space="preserve">Senate Standing Committee on Community Affairs </w:t>
      </w:r>
      <w:r w:rsidRPr="00F67DB1">
        <w:rPr>
          <w:i/>
        </w:rPr>
        <w:t>Centrelink’s Compliance Program</w:t>
      </w:r>
      <w:r>
        <w:rPr>
          <w:i/>
        </w:rPr>
        <w:t xml:space="preserve"> </w:t>
      </w:r>
      <w:r>
        <w:t>Interim Report (</w:t>
      </w:r>
      <w:r w:rsidRPr="001F09D7">
        <w:t>September 2020</w:t>
      </w:r>
      <w:r>
        <w:t xml:space="preserve">) 24; Economic Justice Australia (“EJA”) </w:t>
      </w:r>
      <w:r w:rsidRPr="00F67DB1">
        <w:t>Submission</w:t>
      </w:r>
      <w:r>
        <w:t xml:space="preserve"> to Robodebt Royal Commission (February 2023) 13-17. </w:t>
      </w:r>
    </w:p>
  </w:footnote>
  <w:footnote w:id="26">
    <w:p w14:paraId="29ECE493" w14:textId="500B1F25" w:rsidR="000D1BC4" w:rsidRDefault="000D1BC4" w:rsidP="000239E9">
      <w:pPr>
        <w:pStyle w:val="FootnoteText"/>
        <w:jc w:val="both"/>
      </w:pPr>
      <w:r>
        <w:rPr>
          <w:rStyle w:val="FootnoteReference"/>
        </w:rPr>
        <w:footnoteRef/>
      </w:r>
      <w:r>
        <w:t xml:space="preserve"> Parliament of Australia </w:t>
      </w:r>
      <w:r w:rsidRPr="001F09D7">
        <w:t xml:space="preserve">Senate Standing Committee on Community Affairs </w:t>
      </w:r>
      <w:r w:rsidRPr="00DB10F5">
        <w:rPr>
          <w:i/>
        </w:rPr>
        <w:t>Centrelink’s Compliance Program</w:t>
      </w:r>
      <w:r>
        <w:t xml:space="preserve"> Interim R</w:t>
      </w:r>
      <w:r w:rsidRPr="001F09D7">
        <w:t xml:space="preserve">eport </w:t>
      </w:r>
      <w:r>
        <w:t>(</w:t>
      </w:r>
      <w:r w:rsidRPr="001F09D7">
        <w:t>September 2020</w:t>
      </w:r>
      <w:r>
        <w:t>) 25.</w:t>
      </w:r>
    </w:p>
  </w:footnote>
  <w:footnote w:id="27">
    <w:p w14:paraId="0009B313" w14:textId="3FA77B30" w:rsidR="000D1BC4" w:rsidRDefault="000D1BC4" w:rsidP="00DB2A26">
      <w:pPr>
        <w:pStyle w:val="FootnoteText"/>
        <w:jc w:val="both"/>
      </w:pPr>
      <w:r>
        <w:rPr>
          <w:rStyle w:val="FootnoteReference"/>
        </w:rPr>
        <w:footnoteRef/>
      </w:r>
      <w:r>
        <w:t xml:space="preserve"> National Legal Aid </w:t>
      </w:r>
      <w:r w:rsidRPr="00F67DB1">
        <w:t>Submission</w:t>
      </w:r>
      <w:r>
        <w:t xml:space="preserve"> No 26 to House of Representatives Standing Committee on Social Policy and Legal Affairs </w:t>
      </w:r>
      <w:r>
        <w:rPr>
          <w:i/>
        </w:rPr>
        <w:t xml:space="preserve">Inquiry into </w:t>
      </w:r>
      <w:r w:rsidRPr="007722F5">
        <w:rPr>
          <w:i/>
        </w:rPr>
        <w:t>Administrative Review Tribunal Bill 2023 and the Administrative Review Tribunal (Consequential and Transitional Provisions No.1) Bill 2023 (Consequential and Transitional Bill)</w:t>
      </w:r>
      <w:r>
        <w:rPr>
          <w:i/>
        </w:rPr>
        <w:t xml:space="preserve"> </w:t>
      </w:r>
      <w:r>
        <w:t>(January 2024) 2, 6.</w:t>
      </w:r>
    </w:p>
  </w:footnote>
  <w:footnote w:id="28">
    <w:p w14:paraId="2991EFFC" w14:textId="7FD526FE" w:rsidR="000D1BC4" w:rsidRDefault="000D1BC4" w:rsidP="00EA59D4">
      <w:pPr>
        <w:pStyle w:val="FootnoteText"/>
      </w:pPr>
      <w:r>
        <w:rPr>
          <w:rStyle w:val="FootnoteReference"/>
        </w:rPr>
        <w:footnoteRef/>
      </w:r>
      <w:r>
        <w:t xml:space="preserve"> </w:t>
      </w:r>
      <w:r w:rsidRPr="00EC7CAE">
        <w:t>Services Australia</w:t>
      </w:r>
      <w:r>
        <w:t xml:space="preserve"> </w:t>
      </w:r>
      <w:r w:rsidRPr="00F67DB1">
        <w:rPr>
          <w:i/>
        </w:rPr>
        <w:t>Annual Report 2023-24</w:t>
      </w:r>
      <w:r>
        <w:t xml:space="preserve"> (Commonwealth, 2024) 40.</w:t>
      </w:r>
    </w:p>
  </w:footnote>
  <w:footnote w:id="29">
    <w:p w14:paraId="0F995E6B" w14:textId="14B90088" w:rsidR="000D1BC4" w:rsidRDefault="000D1BC4" w:rsidP="00EA59D4">
      <w:pPr>
        <w:pStyle w:val="FootnoteText"/>
        <w:jc w:val="both"/>
      </w:pPr>
      <w:r>
        <w:rPr>
          <w:rStyle w:val="FootnoteReference"/>
        </w:rPr>
        <w:footnoteRef/>
      </w:r>
      <w:r>
        <w:t xml:space="preserve"> “</w:t>
      </w:r>
      <w:r w:rsidRPr="00231562">
        <w:t>Explanations and formal reviews of a Centrelink decision</w:t>
      </w:r>
      <w:r>
        <w:t xml:space="preserve">”, </w:t>
      </w:r>
      <w:r w:rsidRPr="00F67DB1">
        <w:rPr>
          <w:i/>
        </w:rPr>
        <w:t>Services Australia</w:t>
      </w:r>
      <w:r>
        <w:t xml:space="preserve"> &lt;</w:t>
      </w:r>
      <w:r w:rsidRPr="00231562">
        <w:t>https://www.servicesaustralia.gov.au/explanations-and-formal-reviews-centrelink-decision?context=64107</w:t>
      </w:r>
      <w:r>
        <w:t>&gt;.</w:t>
      </w:r>
    </w:p>
  </w:footnote>
  <w:footnote w:id="30">
    <w:p w14:paraId="0F2780F3" w14:textId="5421F69F" w:rsidR="000D1BC4" w:rsidRDefault="000D1BC4" w:rsidP="00AC6E76">
      <w:pPr>
        <w:pStyle w:val="FootnoteText"/>
        <w:jc w:val="both"/>
      </w:pPr>
      <w:r>
        <w:rPr>
          <w:rStyle w:val="FootnoteReference"/>
        </w:rPr>
        <w:footnoteRef/>
      </w:r>
      <w:r>
        <w:t xml:space="preserve"> The </w:t>
      </w:r>
      <w:r w:rsidRPr="00EC7CAE">
        <w:t>Services Australia</w:t>
      </w:r>
      <w:r>
        <w:t xml:space="preserve"> </w:t>
      </w:r>
      <w:r w:rsidRPr="00F67DB1">
        <w:rPr>
          <w:i/>
          <w:iCs/>
        </w:rPr>
        <w:t>Annual Report 2023-24</w:t>
      </w:r>
      <w:r>
        <w:t xml:space="preserve"> (Commonwealth, 2024) 128 notes that: “In 2023-24 the AAT made a number of decisions relating to the agency’s former practices of income apportionment (used prior to 7 December 2020), which was found to be unlawful”.</w:t>
      </w:r>
    </w:p>
  </w:footnote>
  <w:footnote w:id="31">
    <w:p w14:paraId="798AA1B9" w14:textId="55B6B2D8" w:rsidR="000D1BC4" w:rsidRPr="000954CE" w:rsidRDefault="000D1BC4" w:rsidP="003500A3">
      <w:pPr>
        <w:pStyle w:val="FootnoteText"/>
      </w:pPr>
      <w:r>
        <w:rPr>
          <w:rStyle w:val="FootnoteReference"/>
        </w:rPr>
        <w:footnoteRef/>
      </w:r>
      <w:r>
        <w:t xml:space="preserve"> Administrative Review Council (ARC) </w:t>
      </w:r>
      <w:r>
        <w:rPr>
          <w:i/>
        </w:rPr>
        <w:t>Social Security Appeals</w:t>
      </w:r>
      <w:r>
        <w:t xml:space="preserve"> Report (AGPS, Canberra,1981) 46.</w:t>
      </w:r>
    </w:p>
  </w:footnote>
  <w:footnote w:id="32">
    <w:p w14:paraId="3A85788D" w14:textId="46BAC960" w:rsidR="000D1BC4" w:rsidRDefault="000D1BC4">
      <w:pPr>
        <w:pStyle w:val="FootnoteText"/>
      </w:pPr>
      <w:r>
        <w:rPr>
          <w:rStyle w:val="FootnoteReference"/>
        </w:rPr>
        <w:footnoteRef/>
      </w:r>
      <w:r>
        <w:t xml:space="preserve"> Under the ART Act s 131</w:t>
      </w:r>
      <w:r>
        <w:t>D(3), second review is available for an “ART social services decision”.</w:t>
      </w:r>
    </w:p>
  </w:footnote>
  <w:footnote w:id="33">
    <w:p w14:paraId="1C09292C" w14:textId="7B78ECE2" w:rsidR="000D1BC4" w:rsidRDefault="000D1BC4" w:rsidP="00F772FB">
      <w:pPr>
        <w:pStyle w:val="FootnoteText"/>
      </w:pPr>
      <w:r>
        <w:rPr>
          <w:rStyle w:val="FootnoteReference"/>
        </w:rPr>
        <w:footnoteRef/>
      </w:r>
      <w:r>
        <w:t xml:space="preserve"> </w:t>
      </w:r>
      <w:r w:rsidRPr="00F67DB1">
        <w:t>Revised Explanatory Memorandum</w:t>
      </w:r>
      <w:r>
        <w:t>, ART Bill [44]-[45].</w:t>
      </w:r>
    </w:p>
  </w:footnote>
  <w:footnote w:id="34">
    <w:p w14:paraId="267D2CDE" w14:textId="37B079C0" w:rsidR="000D1BC4" w:rsidRDefault="000D1BC4" w:rsidP="00F772FB">
      <w:pPr>
        <w:pStyle w:val="FootnoteText"/>
      </w:pPr>
      <w:r>
        <w:rPr>
          <w:rStyle w:val="FootnoteReference"/>
        </w:rPr>
        <w:footnoteRef/>
      </w:r>
      <w:r>
        <w:t xml:space="preserve"> </w:t>
      </w:r>
      <w:r w:rsidRPr="00F67DB1">
        <w:rPr>
          <w:iCs/>
        </w:rPr>
        <w:t>ART Act</w:t>
      </w:r>
      <w:r>
        <w:rPr>
          <w:i/>
        </w:rPr>
        <w:t xml:space="preserve"> </w:t>
      </w:r>
      <w:r>
        <w:t>ss 62-64.</w:t>
      </w:r>
    </w:p>
  </w:footnote>
  <w:footnote w:id="35">
    <w:p w14:paraId="2B2EF6C0" w14:textId="3049583B" w:rsidR="000D1BC4" w:rsidRDefault="000D1BC4" w:rsidP="00F772FB">
      <w:pPr>
        <w:pStyle w:val="FootnoteText"/>
      </w:pPr>
      <w:r>
        <w:rPr>
          <w:rStyle w:val="FootnoteReference"/>
        </w:rPr>
        <w:footnoteRef/>
      </w:r>
      <w:r>
        <w:t xml:space="preserve"> </w:t>
      </w:r>
      <w:r w:rsidRPr="003A4541">
        <w:rPr>
          <w:iCs/>
        </w:rPr>
        <w:t>SSA Act</w:t>
      </w:r>
      <w:r>
        <w:t xml:space="preserve"> s 168.</w:t>
      </w:r>
    </w:p>
  </w:footnote>
  <w:footnote w:id="36">
    <w:p w14:paraId="3F6E542C" w14:textId="62B1F84D" w:rsidR="000D1BC4" w:rsidRDefault="000D1BC4" w:rsidP="00AC6E76">
      <w:pPr>
        <w:pStyle w:val="FootnoteText"/>
        <w:jc w:val="both"/>
      </w:pPr>
      <w:r>
        <w:rPr>
          <w:rStyle w:val="FootnoteReference"/>
        </w:rPr>
        <w:footnoteRef/>
      </w:r>
      <w:r>
        <w:t xml:space="preserve"> Department of Social Services “Answer to Question on Notice IQ24-000026” Senate Legal and Constitutional Affairs Legislation Committee</w:t>
      </w:r>
      <w:r>
        <w:rPr>
          <w:i/>
          <w:iCs/>
        </w:rPr>
        <w:t xml:space="preserve"> Administrative Review Tribunal Bill 2023</w:t>
      </w:r>
      <w:r>
        <w:t> </w:t>
      </w:r>
      <w:r>
        <w:rPr>
          <w:i/>
          <w:iCs/>
        </w:rPr>
        <w:t>[Provisions] and related Bills</w:t>
      </w:r>
      <w:r>
        <w:t xml:space="preserve"> (May 2024).</w:t>
      </w:r>
      <w:r w:rsidDel="00071CBE">
        <w:t xml:space="preserve"> </w:t>
      </w:r>
    </w:p>
  </w:footnote>
  <w:footnote w:id="37">
    <w:p w14:paraId="069FF753" w14:textId="573ADEB4" w:rsidR="000D1BC4" w:rsidRDefault="000D1BC4" w:rsidP="00F772FB">
      <w:pPr>
        <w:pStyle w:val="FootnoteText"/>
        <w:jc w:val="both"/>
      </w:pPr>
      <w:r>
        <w:rPr>
          <w:rStyle w:val="FootnoteReference"/>
        </w:rPr>
        <w:footnoteRef/>
      </w:r>
      <w:r>
        <w:t xml:space="preserve"> </w:t>
      </w:r>
      <w:r w:rsidRPr="00F67DB1">
        <w:rPr>
          <w:iCs/>
        </w:rPr>
        <w:t>ART Act</w:t>
      </w:r>
      <w:r w:rsidRPr="00997922">
        <w:rPr>
          <w:i/>
        </w:rPr>
        <w:t xml:space="preserve"> </w:t>
      </w:r>
      <w:r>
        <w:t>s 113.</w:t>
      </w:r>
    </w:p>
  </w:footnote>
  <w:footnote w:id="38">
    <w:p w14:paraId="41DFEEBD" w14:textId="3576B071" w:rsidR="000D1BC4" w:rsidRPr="006953C5" w:rsidRDefault="000D1BC4" w:rsidP="00F772FB">
      <w:pPr>
        <w:pStyle w:val="FootnoteText"/>
      </w:pPr>
      <w:r>
        <w:rPr>
          <w:rStyle w:val="FootnoteReference"/>
        </w:rPr>
        <w:footnoteRef/>
      </w:r>
      <w:r>
        <w:t xml:space="preserve"> </w:t>
      </w:r>
      <w:r w:rsidRPr="0019222F">
        <w:rPr>
          <w:iCs/>
          <w:szCs w:val="18"/>
        </w:rPr>
        <w:t xml:space="preserve">Royal Commission into the </w:t>
      </w:r>
      <w:r w:rsidRPr="0019222F">
        <w:rPr>
          <w:iCs/>
          <w:szCs w:val="18"/>
        </w:rPr>
        <w:t>Robodebt Scheme</w:t>
      </w:r>
      <w:r w:rsidRPr="00FB3C31">
        <w:rPr>
          <w:i/>
          <w:szCs w:val="18"/>
        </w:rPr>
        <w:t xml:space="preserve"> </w:t>
      </w:r>
      <w:r w:rsidRPr="00416D50">
        <w:rPr>
          <w:i/>
          <w:iCs/>
          <w:szCs w:val="18"/>
        </w:rPr>
        <w:t>Report</w:t>
      </w:r>
      <w:r>
        <w:rPr>
          <w:szCs w:val="18"/>
        </w:rPr>
        <w:t xml:space="preserve"> (July </w:t>
      </w:r>
      <w:r w:rsidRPr="007F78F2">
        <w:rPr>
          <w:szCs w:val="18"/>
        </w:rPr>
        <w:t xml:space="preserve">2023) Vol </w:t>
      </w:r>
      <w:r>
        <w:t>2, 554,</w:t>
      </w:r>
      <w:r w:rsidRPr="006953C5">
        <w:t xml:space="preserve"> </w:t>
      </w:r>
      <w:r w:rsidRPr="001D7328">
        <w:t>Recommendation 20.4</w:t>
      </w:r>
      <w:r w:rsidRPr="006953C5">
        <w:t>.</w:t>
      </w:r>
    </w:p>
  </w:footnote>
  <w:footnote w:id="39">
    <w:p w14:paraId="457AD9B6" w14:textId="35FF1318" w:rsidR="000D1BC4" w:rsidRDefault="000D1BC4" w:rsidP="00E30BCA">
      <w:pPr>
        <w:pStyle w:val="FootnoteText"/>
        <w:jc w:val="both"/>
      </w:pPr>
      <w:r>
        <w:rPr>
          <w:rStyle w:val="FootnoteReference"/>
          <w:rFonts w:eastAsiaTheme="majorEastAsia"/>
        </w:rPr>
        <w:footnoteRef/>
      </w:r>
      <w:r>
        <w:t xml:space="preserve"> ARC </w:t>
      </w:r>
      <w:r>
        <w:rPr>
          <w:i/>
        </w:rPr>
        <w:t>The Structure and Form of Social Security Appeals</w:t>
      </w:r>
      <w:r>
        <w:t xml:space="preserve"> Report No 21 (AGPS, Canberra, 1984) 185.</w:t>
      </w:r>
    </w:p>
  </w:footnote>
  <w:footnote w:id="40">
    <w:p w14:paraId="41B9BE86" w14:textId="440CB7DB" w:rsidR="000D1BC4" w:rsidRDefault="000D1BC4" w:rsidP="00E30BCA">
      <w:pPr>
        <w:pStyle w:val="FootnoteText"/>
        <w:jc w:val="both"/>
      </w:pPr>
      <w:r>
        <w:rPr>
          <w:rStyle w:val="FootnoteReference"/>
          <w:rFonts w:eastAsiaTheme="majorEastAsia"/>
        </w:rPr>
        <w:footnoteRef/>
      </w:r>
      <w:r>
        <w:t xml:space="preserve"> ARC </w:t>
      </w:r>
      <w:r w:rsidRPr="00F501CE">
        <w:rPr>
          <w:i/>
        </w:rPr>
        <w:t>Better Decisions</w:t>
      </w:r>
      <w:r>
        <w:rPr>
          <w:i/>
        </w:rPr>
        <w:t>: Review of Commonwealth Merits Review Tribunals</w:t>
      </w:r>
      <w:r>
        <w:t xml:space="preserve"> Report No </w:t>
      </w:r>
      <w:r w:rsidRPr="00DD2891">
        <w:t>39</w:t>
      </w:r>
      <w:r>
        <w:t xml:space="preserve"> (AGPS, Canberra, 1995) </w:t>
      </w:r>
      <w:r w:rsidRPr="00DD2891">
        <w:t>146</w:t>
      </w:r>
      <w:r w:rsidRPr="001D7328">
        <w:t>.</w:t>
      </w:r>
    </w:p>
  </w:footnote>
  <w:footnote w:id="41">
    <w:p w14:paraId="1BF899B9" w14:textId="77D3CB0B" w:rsidR="000D1BC4" w:rsidRDefault="000D1BC4" w:rsidP="002E30FA">
      <w:pPr>
        <w:pStyle w:val="FootnoteText"/>
        <w:jc w:val="both"/>
      </w:pPr>
      <w:r>
        <w:rPr>
          <w:rStyle w:val="FootnoteReference"/>
        </w:rPr>
        <w:footnoteRef/>
      </w:r>
      <w:r>
        <w:t xml:space="preserve"> I D F </w:t>
      </w:r>
      <w:r>
        <w:t xml:space="preserve">Callinan AC </w:t>
      </w:r>
      <w:r w:rsidRPr="00FA152A">
        <w:rPr>
          <w:i/>
        </w:rPr>
        <w:t>Review</w:t>
      </w:r>
      <w:r>
        <w:rPr>
          <w:i/>
        </w:rPr>
        <w:t>: section 4</w:t>
      </w:r>
      <w:r w:rsidRPr="00FA152A">
        <w:rPr>
          <w:i/>
        </w:rPr>
        <w:t xml:space="preserve"> of the Tribunals Amalgamation Act 2015</w:t>
      </w:r>
      <w:r>
        <w:rPr>
          <w:i/>
        </w:rPr>
        <w:t xml:space="preserve"> (Cth)</w:t>
      </w:r>
      <w:r>
        <w:t xml:space="preserve"> Report (23 July 2019). </w:t>
      </w:r>
    </w:p>
  </w:footnote>
  <w:footnote w:id="42">
    <w:p w14:paraId="2192344F" w14:textId="36F619E3" w:rsidR="000D1BC4" w:rsidRDefault="000D1BC4" w:rsidP="00E30BCA">
      <w:pPr>
        <w:pStyle w:val="FootnoteText"/>
        <w:jc w:val="both"/>
      </w:pPr>
      <w:r>
        <w:rPr>
          <w:rStyle w:val="FootnoteReference"/>
        </w:rPr>
        <w:footnoteRef/>
      </w:r>
      <w:r>
        <w:t xml:space="preserve"> I D F Callinan AC </w:t>
      </w:r>
      <w:r w:rsidRPr="00FA152A">
        <w:rPr>
          <w:i/>
        </w:rPr>
        <w:t>Review</w:t>
      </w:r>
      <w:r>
        <w:rPr>
          <w:i/>
        </w:rPr>
        <w:t>: section 4</w:t>
      </w:r>
      <w:r w:rsidRPr="00FA152A">
        <w:rPr>
          <w:i/>
        </w:rPr>
        <w:t xml:space="preserve"> of the Tribunals Amalgamation Act 2015</w:t>
      </w:r>
      <w:r>
        <w:rPr>
          <w:i/>
        </w:rPr>
        <w:t xml:space="preserve"> (Cth)</w:t>
      </w:r>
      <w:r>
        <w:t xml:space="preserve"> Report (23 July 2019) 13.</w:t>
      </w:r>
    </w:p>
  </w:footnote>
  <w:footnote w:id="43">
    <w:p w14:paraId="323924C7" w14:textId="1A4BDE54" w:rsidR="000D1BC4" w:rsidRPr="007722F5" w:rsidRDefault="000D1BC4" w:rsidP="00F772FB">
      <w:pPr>
        <w:pStyle w:val="FootnoteText"/>
        <w:jc w:val="both"/>
      </w:pPr>
      <w:r>
        <w:rPr>
          <w:rStyle w:val="FootnoteReference"/>
        </w:rPr>
        <w:footnoteRef/>
      </w:r>
      <w:r>
        <w:t xml:space="preserve"> </w:t>
      </w:r>
      <w:r w:rsidRPr="002A000E">
        <w:t xml:space="preserve">Attorney-General’s Department (AGD), Submission No 6 to House of Representatives Standing Committee on Social Policy and Legal Affairs </w:t>
      </w:r>
      <w:r w:rsidRPr="002A000E">
        <w:rPr>
          <w:i/>
        </w:rPr>
        <w:t xml:space="preserve">Inquiry into Administrative Review Tribunal Bill 2023 and the Administrative Review Tribunal (Consequential and Transitional Provisions No.1) Bill 2023 (Consequential and Transitional Bill) </w:t>
      </w:r>
      <w:r w:rsidRPr="002A000E">
        <w:t>(January 2024) 9.</w:t>
      </w:r>
    </w:p>
  </w:footnote>
  <w:footnote w:id="44">
    <w:p w14:paraId="5544B857" w14:textId="6B9CED37" w:rsidR="000D1BC4" w:rsidRDefault="000D1BC4" w:rsidP="00F772FB">
      <w:pPr>
        <w:pStyle w:val="FootnoteText"/>
        <w:jc w:val="both"/>
      </w:pPr>
      <w:r>
        <w:rPr>
          <w:rStyle w:val="FootnoteReference"/>
        </w:rPr>
        <w:footnoteRef/>
      </w:r>
      <w:r>
        <w:t xml:space="preserve"> AGD Submission No 6 to </w:t>
      </w:r>
      <w:r w:rsidRPr="00F67DB1">
        <w:t>House of Representatives Standing Committee on Social Policy and Legal Affairs</w:t>
      </w:r>
      <w:r>
        <w:t xml:space="preserve"> </w:t>
      </w:r>
      <w:r>
        <w:rPr>
          <w:i/>
        </w:rPr>
        <w:t xml:space="preserve">Inquiry into </w:t>
      </w:r>
      <w:r w:rsidRPr="007722F5">
        <w:rPr>
          <w:i/>
        </w:rPr>
        <w:t>Administrative Review Tribunal Bill 2023 and the Administrative Review Tribunal (Consequential and Transitional Provisions No.1) Bill 2023 (Consequential and Transitional Bill)</w:t>
      </w:r>
      <w:r>
        <w:rPr>
          <w:i/>
        </w:rPr>
        <w:t xml:space="preserve"> </w:t>
      </w:r>
      <w:r>
        <w:t>(January 2024) 10.</w:t>
      </w:r>
    </w:p>
  </w:footnote>
  <w:footnote w:id="45">
    <w:p w14:paraId="416B7CF1" w14:textId="7E4559BA" w:rsidR="000D1BC4" w:rsidRDefault="000D1BC4" w:rsidP="00F67DB1">
      <w:pPr>
        <w:pStyle w:val="FootnoteText"/>
        <w:jc w:val="both"/>
      </w:pPr>
      <w:r>
        <w:rPr>
          <w:rStyle w:val="FootnoteReference"/>
        </w:rPr>
        <w:footnoteRef/>
      </w:r>
      <w:r>
        <w:t xml:space="preserve"> Parliament of Australia Senate Standing Committee on Legal and Constitutional Affairs </w:t>
      </w:r>
      <w:r>
        <w:rPr>
          <w:i/>
        </w:rPr>
        <w:t>Administrative Review Tribunal Bill 2023 [Provisions] and related bills</w:t>
      </w:r>
      <w:r>
        <w:t xml:space="preserve"> Report (May 2024) 2.</w:t>
      </w:r>
    </w:p>
  </w:footnote>
  <w:footnote w:id="46">
    <w:p w14:paraId="53A4F72D" w14:textId="0CEF1DA9" w:rsidR="000D1BC4" w:rsidRDefault="000D1BC4" w:rsidP="00F772FB">
      <w:pPr>
        <w:pStyle w:val="FootnoteText"/>
      </w:pPr>
      <w:r>
        <w:rPr>
          <w:rStyle w:val="FootnoteReference"/>
        </w:rPr>
        <w:footnoteRef/>
      </w:r>
      <w:r>
        <w:t xml:space="preserve"> Revised Explanatory Memorandum, ART Bill [45].</w:t>
      </w:r>
    </w:p>
  </w:footnote>
  <w:footnote w:id="47">
    <w:p w14:paraId="7AAB5A14" w14:textId="4590336D" w:rsidR="000D1BC4" w:rsidRDefault="000D1BC4" w:rsidP="00AC6E76">
      <w:pPr>
        <w:pStyle w:val="FootnoteText"/>
        <w:jc w:val="both"/>
      </w:pPr>
      <w:r>
        <w:rPr>
          <w:rStyle w:val="FootnoteReference"/>
        </w:rPr>
        <w:footnoteRef/>
      </w:r>
      <w:r>
        <w:t xml:space="preserve"> Parliament of Australia Senate Standing Committee on Legal and Constitutional Affairs </w:t>
      </w:r>
      <w:r>
        <w:rPr>
          <w:i/>
        </w:rPr>
        <w:t>Administrative Review Tribunal Bill 2023 [Provisions] and related bills</w:t>
      </w:r>
      <w:r>
        <w:t xml:space="preserve"> Report (May 2024) 25.</w:t>
      </w:r>
    </w:p>
  </w:footnote>
  <w:footnote w:id="48">
    <w:p w14:paraId="44E15BA7" w14:textId="4811A401" w:rsidR="000D1BC4" w:rsidRDefault="000D1BC4" w:rsidP="00AC6E76">
      <w:pPr>
        <w:pStyle w:val="FootnoteText"/>
        <w:jc w:val="both"/>
      </w:pPr>
      <w:r>
        <w:rPr>
          <w:rStyle w:val="FootnoteReference"/>
        </w:rPr>
        <w:footnoteRef/>
      </w:r>
      <w:r>
        <w:t xml:space="preserve"> Parliament of Australia House of Representatives Standing Committee of Social Policy and Legal Affairs</w:t>
      </w:r>
      <w:r>
        <w:rPr>
          <w:i/>
        </w:rPr>
        <w:t xml:space="preserve"> Inquiry into the Administrative Review Tribunal Bill 2023 and the Administrative Review Tribunal (Consequential and Transitional Provisions No.1) Bill 2023</w:t>
      </w:r>
      <w:r>
        <w:t xml:space="preserve"> Report (February 2024) 27-28.</w:t>
      </w:r>
    </w:p>
  </w:footnote>
  <w:footnote w:id="49">
    <w:p w14:paraId="1485EDF0" w14:textId="67CD982C" w:rsidR="000D1BC4" w:rsidRDefault="000D1BC4" w:rsidP="00AC6E76">
      <w:pPr>
        <w:pStyle w:val="FootnoteText"/>
        <w:jc w:val="both"/>
      </w:pPr>
      <w:r>
        <w:rPr>
          <w:rStyle w:val="FootnoteReference"/>
        </w:rPr>
        <w:footnoteRef/>
      </w:r>
      <w:r>
        <w:t xml:space="preserve"> Parliament of Australia Senate Standing Committee on Legal and Constitutional Affairs </w:t>
      </w:r>
      <w:r>
        <w:rPr>
          <w:i/>
        </w:rPr>
        <w:t>Administrative Review Tribunal Bill 2023 [Provisions] and related bills</w:t>
      </w:r>
      <w:r>
        <w:t xml:space="preserve"> Report (May 2024) 25-26.</w:t>
      </w:r>
    </w:p>
  </w:footnote>
  <w:footnote w:id="50">
    <w:p w14:paraId="7105C29D" w14:textId="5553B9B5" w:rsidR="000D1BC4" w:rsidRDefault="000D1BC4" w:rsidP="00AC6E76">
      <w:pPr>
        <w:pStyle w:val="FootnoteText"/>
        <w:jc w:val="both"/>
      </w:pPr>
      <w:r>
        <w:rPr>
          <w:rStyle w:val="FootnoteReference"/>
        </w:rPr>
        <w:footnoteRef/>
      </w:r>
      <w:r>
        <w:t xml:space="preserve"> Parliament of Australia Senate Standing Committee on Legal and Constitutional Affairs </w:t>
      </w:r>
      <w:r>
        <w:rPr>
          <w:i/>
        </w:rPr>
        <w:t>Administrative Review Tribunal Bill 2023 [Provisions] and related bills</w:t>
      </w:r>
      <w:r>
        <w:t xml:space="preserve"> Report (May 2024) 25-28.</w:t>
      </w:r>
    </w:p>
  </w:footnote>
  <w:footnote w:id="51">
    <w:p w14:paraId="0507E43E" w14:textId="080839E9" w:rsidR="000D1BC4" w:rsidRDefault="000D1BC4" w:rsidP="00F67DB1">
      <w:pPr>
        <w:pStyle w:val="FootnoteText"/>
        <w:jc w:val="both"/>
      </w:pPr>
      <w:r>
        <w:rPr>
          <w:rStyle w:val="FootnoteReference"/>
        </w:rPr>
        <w:footnoteRef/>
      </w:r>
      <w:r>
        <w:t xml:space="preserve"> Parliament of Australia House of Representatives Standing Committee of Social Policy and Legal Affairs</w:t>
      </w:r>
      <w:r>
        <w:rPr>
          <w:i/>
        </w:rPr>
        <w:t xml:space="preserve"> Inquiry into the Administrative Review Tribunal Bill 2023 and the Administrative Review Tribunal (Consequential and Transitional Provisions No1) Bill 2023</w:t>
      </w:r>
      <w:r>
        <w:t xml:space="preserve"> Report (February 2024) 28-29.</w:t>
      </w:r>
    </w:p>
  </w:footnote>
  <w:footnote w:id="52">
    <w:p w14:paraId="1ACBE4E2" w14:textId="3EA25B5D" w:rsidR="000D1BC4" w:rsidRPr="00C53E7B" w:rsidRDefault="000D1BC4" w:rsidP="00AC6E76">
      <w:pPr>
        <w:pStyle w:val="FootnoteText"/>
        <w:jc w:val="both"/>
      </w:pPr>
      <w:r>
        <w:rPr>
          <w:rStyle w:val="FootnoteReference"/>
        </w:rPr>
        <w:footnoteRef/>
      </w:r>
      <w:r>
        <w:t xml:space="preserve"> AGD Submission No 6 to House of Representatives Standing Committee of Social Policy and Legal Affairs</w:t>
      </w:r>
      <w:r>
        <w:rPr>
          <w:i/>
        </w:rPr>
        <w:t xml:space="preserve">, Inquiry into the Administrative Review Tribunal Bill 2023 and the Administrative Review Tribunal (Consequential and Transitional Provisions No.1) Bill 2023 </w:t>
      </w:r>
      <w:r>
        <w:t>(January 2024) 9.</w:t>
      </w:r>
    </w:p>
  </w:footnote>
  <w:footnote w:id="53">
    <w:p w14:paraId="1B187B16" w14:textId="7597CFB4" w:rsidR="000D1BC4" w:rsidRDefault="000D1BC4" w:rsidP="00DB2A26">
      <w:pPr>
        <w:pStyle w:val="FootnoteText"/>
        <w:jc w:val="both"/>
      </w:pPr>
      <w:r>
        <w:rPr>
          <w:rStyle w:val="FootnoteReference"/>
        </w:rPr>
        <w:footnoteRef/>
      </w:r>
      <w:r>
        <w:t xml:space="preserve"> I D F Callinan AC </w:t>
      </w:r>
      <w:r w:rsidRPr="00FA152A">
        <w:rPr>
          <w:i/>
        </w:rPr>
        <w:t>Review</w:t>
      </w:r>
      <w:r>
        <w:rPr>
          <w:i/>
        </w:rPr>
        <w:t>: section 4</w:t>
      </w:r>
      <w:r w:rsidRPr="00FA152A">
        <w:rPr>
          <w:i/>
        </w:rPr>
        <w:t xml:space="preserve"> of the Tribunals Amalgamation Act 2015</w:t>
      </w:r>
      <w:r>
        <w:rPr>
          <w:i/>
        </w:rPr>
        <w:t xml:space="preserve"> (Cth)</w:t>
      </w:r>
      <w:r>
        <w:t xml:space="preserve"> Report (23 July 2019) 13 (Measure 13).</w:t>
      </w:r>
    </w:p>
  </w:footnote>
  <w:footnote w:id="54">
    <w:p w14:paraId="29B40EB1" w14:textId="41A08996" w:rsidR="000D1BC4" w:rsidRDefault="000D1BC4" w:rsidP="00AC6E76">
      <w:pPr>
        <w:pStyle w:val="FootnoteText"/>
        <w:jc w:val="both"/>
      </w:pPr>
      <w:r>
        <w:rPr>
          <w:rStyle w:val="FootnoteReference"/>
        </w:rPr>
        <w:footnoteRef/>
      </w:r>
      <w:r>
        <w:t xml:space="preserve"> I D F </w:t>
      </w:r>
      <w:r>
        <w:t xml:space="preserve">Callinan AC </w:t>
      </w:r>
      <w:r w:rsidRPr="00FA152A">
        <w:rPr>
          <w:i/>
        </w:rPr>
        <w:t>Review</w:t>
      </w:r>
      <w:r>
        <w:rPr>
          <w:i/>
        </w:rPr>
        <w:t>: section 4</w:t>
      </w:r>
      <w:r w:rsidRPr="00FA152A">
        <w:rPr>
          <w:i/>
        </w:rPr>
        <w:t xml:space="preserve"> of the Tribunals Amalgamation Act 2015</w:t>
      </w:r>
      <w:r>
        <w:rPr>
          <w:i/>
        </w:rPr>
        <w:t xml:space="preserve"> (Cth)</w:t>
      </w:r>
      <w:r>
        <w:t xml:space="preserve"> Report (23 July 2019) 159-160.</w:t>
      </w:r>
    </w:p>
  </w:footnote>
  <w:footnote w:id="55">
    <w:p w14:paraId="6D272440" w14:textId="60FE9357" w:rsidR="000D1BC4" w:rsidRDefault="000D1BC4" w:rsidP="00E30BCA">
      <w:pPr>
        <w:pStyle w:val="FootnoteText"/>
      </w:pPr>
      <w:r>
        <w:rPr>
          <w:rStyle w:val="FootnoteReference"/>
        </w:rPr>
        <w:footnoteRef/>
      </w:r>
      <w:r>
        <w:t xml:space="preserve"> Revised Explanatory Memorandum ART Bill 4-5, 7.</w:t>
      </w:r>
    </w:p>
  </w:footnote>
  <w:footnote w:id="56">
    <w:p w14:paraId="1B92C65C" w14:textId="77777777" w:rsidR="00E23F7A" w:rsidRPr="00844B0C" w:rsidRDefault="00E23F7A" w:rsidP="00E23F7A">
      <w:pPr>
        <w:pStyle w:val="FootnoteText"/>
      </w:pPr>
      <w:r>
        <w:rPr>
          <w:rStyle w:val="FootnoteReference"/>
        </w:rPr>
        <w:footnoteRef/>
      </w:r>
      <w:r>
        <w:t xml:space="preserve"> ART Act s 9. </w:t>
      </w:r>
      <w:r w:rsidRPr="00844B0C">
        <w:t>The Tribunal must pursue the objective of providing an independent mechanism of review that:</w:t>
      </w:r>
    </w:p>
    <w:p w14:paraId="68D0753C" w14:textId="77777777" w:rsidR="00E23F7A" w:rsidRPr="00844B0C" w:rsidRDefault="00E23F7A" w:rsidP="00E23F7A">
      <w:pPr>
        <w:pStyle w:val="FootnoteText"/>
        <w:ind w:left="720"/>
      </w:pPr>
      <w:r w:rsidRPr="00844B0C">
        <w:t>(a) is fair and just; and</w:t>
      </w:r>
    </w:p>
    <w:p w14:paraId="202E7962" w14:textId="77777777" w:rsidR="00E23F7A" w:rsidRPr="00844B0C" w:rsidRDefault="00E23F7A" w:rsidP="00E23F7A">
      <w:pPr>
        <w:pStyle w:val="FootnoteText"/>
        <w:ind w:left="720"/>
      </w:pPr>
      <w:r w:rsidRPr="00844B0C">
        <w:t>(b) ensures that applications to the Tribunal are resolved as quickly, and with as little formality and expense, as a proper consideration of the matters before the Tribunal permits; and</w:t>
      </w:r>
    </w:p>
    <w:p w14:paraId="31F35E5F" w14:textId="77777777" w:rsidR="00E23F7A" w:rsidRPr="00844B0C" w:rsidRDefault="00E23F7A" w:rsidP="00E23F7A">
      <w:pPr>
        <w:pStyle w:val="FootnoteText"/>
        <w:ind w:left="720"/>
      </w:pPr>
      <w:r w:rsidRPr="00844B0C">
        <w:t>(c) is accessible and responsive to the diverse needs of parties to proceedings; and</w:t>
      </w:r>
    </w:p>
    <w:p w14:paraId="60783E13" w14:textId="77777777" w:rsidR="00E23F7A" w:rsidRPr="00844B0C" w:rsidRDefault="00E23F7A" w:rsidP="00E23F7A">
      <w:pPr>
        <w:pStyle w:val="FootnoteText"/>
        <w:ind w:left="720"/>
      </w:pPr>
      <w:r w:rsidRPr="00844B0C">
        <w:t>(d) improves the transparency and quality of government decision</w:t>
      </w:r>
      <w:r w:rsidRPr="00844B0C">
        <w:noBreakHyphen/>
        <w:t>making; and</w:t>
      </w:r>
    </w:p>
    <w:p w14:paraId="0A43E507" w14:textId="5671AC40" w:rsidR="00E23F7A" w:rsidRDefault="00E23F7A" w:rsidP="00E23F7A">
      <w:pPr>
        <w:pStyle w:val="FootnoteText"/>
        <w:ind w:left="720"/>
      </w:pPr>
      <w:r w:rsidRPr="00844B0C">
        <w:t>(e) promotes public trust and confidence in the Tribunal.</w:t>
      </w:r>
    </w:p>
  </w:footnote>
  <w:footnote w:id="57">
    <w:p w14:paraId="73854BD4" w14:textId="62FEF992" w:rsidR="000D1BC4" w:rsidRDefault="000D1BC4" w:rsidP="00F44F56">
      <w:pPr>
        <w:pStyle w:val="FootnoteText"/>
      </w:pPr>
      <w:r>
        <w:rPr>
          <w:rStyle w:val="FootnoteReference"/>
        </w:rPr>
        <w:footnoteRef/>
      </w:r>
      <w:r>
        <w:t xml:space="preserve"> SSA </w:t>
      </w:r>
      <w:r w:rsidRPr="000239E9">
        <w:rPr>
          <w:iCs/>
        </w:rPr>
        <w:t>Act</w:t>
      </w:r>
      <w:r w:rsidRPr="00A75AFC">
        <w:rPr>
          <w:i/>
        </w:rPr>
        <w:t xml:space="preserve"> </w:t>
      </w:r>
      <w:r>
        <w:t>ss 142, 142A.</w:t>
      </w:r>
    </w:p>
  </w:footnote>
  <w:footnote w:id="58">
    <w:p w14:paraId="74984784" w14:textId="6BCB8DF7" w:rsidR="000D1BC4" w:rsidRDefault="000D1BC4" w:rsidP="003707AB">
      <w:pPr>
        <w:pStyle w:val="FootnoteText"/>
      </w:pPr>
      <w:r>
        <w:rPr>
          <w:rStyle w:val="FootnoteReference"/>
        </w:rPr>
        <w:footnoteRef/>
      </w:r>
      <w:r>
        <w:t xml:space="preserve"> </w:t>
      </w:r>
      <w:r w:rsidRPr="00F67DB1">
        <w:rPr>
          <w:iCs/>
        </w:rPr>
        <w:t>SSA Act</w:t>
      </w:r>
      <w:r w:rsidRPr="00D67DB9">
        <w:rPr>
          <w:iCs/>
        </w:rPr>
        <w:t>;</w:t>
      </w:r>
      <w:r>
        <w:t xml:space="preserve"> </w:t>
      </w:r>
      <w:r w:rsidRPr="00943FB3">
        <w:rPr>
          <w:i/>
        </w:rPr>
        <w:t>Social Security Act 1991</w:t>
      </w:r>
      <w:r>
        <w:t xml:space="preserve"> (</w:t>
      </w:r>
      <w:r>
        <w:t>Cth).</w:t>
      </w:r>
    </w:p>
  </w:footnote>
  <w:footnote w:id="59">
    <w:p w14:paraId="10FC848C" w14:textId="58448A00" w:rsidR="000D1BC4" w:rsidRDefault="000D1BC4" w:rsidP="003707AB">
      <w:pPr>
        <w:pStyle w:val="FootnoteText"/>
      </w:pPr>
      <w:r>
        <w:rPr>
          <w:rStyle w:val="FootnoteReference"/>
        </w:rPr>
        <w:footnoteRef/>
      </w:r>
      <w:r>
        <w:t xml:space="preserve"> </w:t>
      </w:r>
      <w:r w:rsidRPr="00F67DB1">
        <w:rPr>
          <w:iCs/>
        </w:rPr>
        <w:t>SSA Act</w:t>
      </w:r>
      <w:r w:rsidRPr="00943FB3">
        <w:rPr>
          <w:i/>
        </w:rPr>
        <w:t xml:space="preserve"> </w:t>
      </w:r>
      <w:r>
        <w:t>s 8.</w:t>
      </w:r>
    </w:p>
  </w:footnote>
  <w:footnote w:id="60">
    <w:p w14:paraId="3FDF92BA" w14:textId="62C4B4DB" w:rsidR="000D1BC4" w:rsidRDefault="000D1BC4" w:rsidP="00AC6E76">
      <w:pPr>
        <w:pStyle w:val="FootnoteText"/>
        <w:jc w:val="both"/>
      </w:pPr>
      <w:r>
        <w:rPr>
          <w:rStyle w:val="FootnoteReference"/>
        </w:rPr>
        <w:footnoteRef/>
      </w:r>
      <w:r>
        <w:t xml:space="preserve"> </w:t>
      </w:r>
      <w:r w:rsidRPr="001174D7">
        <w:rPr>
          <w:i/>
        </w:rPr>
        <w:t>Families, Housing, Community Services and Indigenous Affairs and Other Legislation Amendment (Miscellaneous Measures) Act 2010</w:t>
      </w:r>
      <w:r>
        <w:t xml:space="preserve"> (</w:t>
      </w:r>
      <w:r>
        <w:t>Cth); Explanatory Memorandum, Families, Housing, Community Services and Indigenous Affairs and Other Legislation Amendment (Miscellaneous Measures) Bill 2008 (Cth) 2-3.</w:t>
      </w:r>
    </w:p>
  </w:footnote>
  <w:footnote w:id="61">
    <w:p w14:paraId="7F0CB039" w14:textId="2F5B33AA" w:rsidR="000D1BC4" w:rsidRDefault="000D1BC4" w:rsidP="00AC6E76">
      <w:pPr>
        <w:pStyle w:val="FootnoteText"/>
        <w:jc w:val="both"/>
      </w:pPr>
      <w:r>
        <w:rPr>
          <w:rStyle w:val="FootnoteReference"/>
        </w:rPr>
        <w:footnoteRef/>
      </w:r>
      <w:r>
        <w:t xml:space="preserve"> Explanatory Memorandum, Families, Housing, Community Services and Indigenous Affairs and Other Legislation Amendment (Miscellaneous Measures) Bill 2008 (Cth) 2-3.</w:t>
      </w:r>
    </w:p>
  </w:footnote>
  <w:footnote w:id="62">
    <w:p w14:paraId="24D185ED" w14:textId="58D9CF22" w:rsidR="000D1BC4" w:rsidRDefault="000D1BC4" w:rsidP="00AC6E76">
      <w:pPr>
        <w:pStyle w:val="FootnoteText"/>
        <w:jc w:val="both"/>
      </w:pPr>
      <w:r>
        <w:rPr>
          <w:rStyle w:val="FootnoteReference"/>
        </w:rPr>
        <w:footnoteRef/>
      </w:r>
      <w:r>
        <w:t xml:space="preserve">  AAT Act ss 32; 34(1</w:t>
      </w:r>
      <w:r>
        <w:t>A)(b),  34J(2), 39(2)(b);  AGD Submission No 6 to</w:t>
      </w:r>
      <w:r w:rsidRPr="00AD6555">
        <w:t xml:space="preserve"> </w:t>
      </w:r>
      <w:r>
        <w:t>House of Representatives Standing Committee of Social Policy and Legal Affairs</w:t>
      </w:r>
      <w:r>
        <w:rPr>
          <w:i/>
        </w:rPr>
        <w:t xml:space="preserve"> Inquiry into the Administrative Review Tribunal Bill 2023 and the Administrative Review Tribunal (Consequential and Transitional Provisions No1) Bill 2023</w:t>
      </w:r>
      <w:r>
        <w:t xml:space="preserve"> (January 2024) 10.</w:t>
      </w:r>
    </w:p>
  </w:footnote>
  <w:footnote w:id="63">
    <w:p w14:paraId="150B9B75" w14:textId="74BDB6BF" w:rsidR="000D1BC4" w:rsidRDefault="000D1BC4" w:rsidP="00AC6E76">
      <w:pPr>
        <w:pStyle w:val="FootnoteText"/>
        <w:jc w:val="both"/>
      </w:pPr>
      <w:r>
        <w:rPr>
          <w:rStyle w:val="FootnoteReference"/>
        </w:rPr>
        <w:footnoteRef/>
      </w:r>
      <w:r>
        <w:t xml:space="preserve"> </w:t>
      </w:r>
      <w:r w:rsidRPr="00F67DB1">
        <w:rPr>
          <w:iCs/>
        </w:rPr>
        <w:t>ART Act</w:t>
      </w:r>
      <w:r w:rsidRPr="00943FB3">
        <w:rPr>
          <w:i/>
        </w:rPr>
        <w:t xml:space="preserve"> </w:t>
      </w:r>
      <w:r w:rsidRPr="002D4521">
        <w:t xml:space="preserve">s 60; </w:t>
      </w:r>
      <w:r w:rsidRPr="000239E9">
        <w:rPr>
          <w:iCs/>
        </w:rPr>
        <w:t>SSA Act</w:t>
      </w:r>
      <w:r w:rsidRPr="002D4521">
        <w:t xml:space="preserve"> s 142B; </w:t>
      </w:r>
      <w:r w:rsidRPr="002D4521">
        <w:rPr>
          <w:i/>
        </w:rPr>
        <w:t xml:space="preserve">Administrative Review Tribunal Rules </w:t>
      </w:r>
      <w:r w:rsidRPr="00F67DB1">
        <w:rPr>
          <w:i/>
        </w:rPr>
        <w:t>2024</w:t>
      </w:r>
      <w:r w:rsidRPr="002D4521">
        <w:t xml:space="preserve"> (Cth) </w:t>
      </w:r>
      <w:r>
        <w:t>rr</w:t>
      </w:r>
      <w:r w:rsidRPr="002D4521">
        <w:t xml:space="preserve"> 7–12.</w:t>
      </w:r>
    </w:p>
  </w:footnote>
  <w:footnote w:id="64">
    <w:p w14:paraId="36B55B4C" w14:textId="083B7F50" w:rsidR="000D1BC4" w:rsidRDefault="000D1BC4" w:rsidP="00C912D8">
      <w:pPr>
        <w:pStyle w:val="FootnoteText"/>
      </w:pPr>
      <w:r>
        <w:rPr>
          <w:rStyle w:val="FootnoteReference"/>
        </w:rPr>
        <w:footnoteRef/>
      </w:r>
      <w:r>
        <w:t xml:space="preserve"> </w:t>
      </w:r>
      <w:r w:rsidRPr="00F67DB1">
        <w:rPr>
          <w:iCs/>
        </w:rPr>
        <w:t>ART Act</w:t>
      </w:r>
      <w:r>
        <w:t xml:space="preserve"> s 60.</w:t>
      </w:r>
    </w:p>
  </w:footnote>
  <w:footnote w:id="65">
    <w:p w14:paraId="015B50BA" w14:textId="791B5127" w:rsidR="000D1BC4" w:rsidRDefault="000D1BC4" w:rsidP="00C912D8">
      <w:pPr>
        <w:pStyle w:val="FootnoteText"/>
      </w:pPr>
      <w:r>
        <w:rPr>
          <w:rStyle w:val="FootnoteReference"/>
        </w:rPr>
        <w:footnoteRef/>
      </w:r>
      <w:r>
        <w:t xml:space="preserve"> </w:t>
      </w:r>
      <w:r w:rsidRPr="00F67DB1">
        <w:rPr>
          <w:iCs/>
        </w:rPr>
        <w:t>SSA Act</w:t>
      </w:r>
      <w:r>
        <w:t xml:space="preserve"> s 142B.</w:t>
      </w:r>
    </w:p>
  </w:footnote>
  <w:footnote w:id="66">
    <w:p w14:paraId="3F066547" w14:textId="57CE661B" w:rsidR="000D1BC4" w:rsidRDefault="000D1BC4" w:rsidP="00C912D8">
      <w:pPr>
        <w:pStyle w:val="FootnoteText"/>
      </w:pPr>
      <w:r>
        <w:rPr>
          <w:rStyle w:val="FootnoteReference"/>
        </w:rPr>
        <w:footnoteRef/>
      </w:r>
      <w:r>
        <w:t xml:space="preserve"> </w:t>
      </w:r>
      <w:r w:rsidRPr="00F67DB1">
        <w:rPr>
          <w:iCs/>
        </w:rPr>
        <w:t>ART Act</w:t>
      </w:r>
      <w:r w:rsidRPr="00943FB3">
        <w:rPr>
          <w:i/>
        </w:rPr>
        <w:t xml:space="preserve"> </w:t>
      </w:r>
      <w:r>
        <w:t>s 63(2).</w:t>
      </w:r>
    </w:p>
  </w:footnote>
  <w:footnote w:id="67">
    <w:p w14:paraId="717B28D5" w14:textId="1C55DABC" w:rsidR="000D1BC4" w:rsidRDefault="000D1BC4" w:rsidP="003707AB">
      <w:pPr>
        <w:pStyle w:val="FootnoteText"/>
        <w:jc w:val="both"/>
      </w:pPr>
      <w:r>
        <w:rPr>
          <w:rStyle w:val="FootnoteReference"/>
        </w:rPr>
        <w:footnoteRef/>
      </w:r>
      <w:r>
        <w:t xml:space="preserve"> AGD noted that the reforms would be complemented by a focus on capability of members and registrars to support applicants to effectively participate; timely referral to legal assistance and other support services, and the availability of accessibility supports: AGD Submission No 6 to House of Representatives Standing Committee on Social Policy and Legal Affairs </w:t>
      </w:r>
      <w:r>
        <w:rPr>
          <w:i/>
        </w:rPr>
        <w:t xml:space="preserve">Inquiry into </w:t>
      </w:r>
      <w:r w:rsidRPr="007722F5">
        <w:rPr>
          <w:i/>
        </w:rPr>
        <w:t>Administrative Review Tribunal Bill 2023 and the Administrative Review Tribunal (Consequential and Transitional Provisions No.1) Bill 2023 (Consequential and Transitional Bill)</w:t>
      </w:r>
      <w:r>
        <w:rPr>
          <w:i/>
        </w:rPr>
        <w:t xml:space="preserve"> </w:t>
      </w:r>
      <w:r>
        <w:t>(January 2024) 10.</w:t>
      </w:r>
    </w:p>
  </w:footnote>
  <w:footnote w:id="68">
    <w:p w14:paraId="1CDA546A" w14:textId="52A29D27" w:rsidR="000D1BC4" w:rsidRDefault="000D1BC4" w:rsidP="003707AB">
      <w:pPr>
        <w:pStyle w:val="FootnoteText"/>
        <w:jc w:val="both"/>
      </w:pPr>
      <w:r w:rsidRPr="00D60A1B">
        <w:rPr>
          <w:rStyle w:val="FootnoteReference"/>
        </w:rPr>
        <w:footnoteRef/>
      </w:r>
      <w:r w:rsidRPr="00D60A1B">
        <w:t xml:space="preserve"> For example, see </w:t>
      </w:r>
      <w:r>
        <w:t xml:space="preserve">EJA </w:t>
      </w:r>
      <w:r w:rsidRPr="00F67DB1">
        <w:t>Submission</w:t>
      </w:r>
      <w:r>
        <w:t xml:space="preserve"> No 7</w:t>
      </w:r>
      <w:r w:rsidRPr="00D60A1B">
        <w:t xml:space="preserve"> to </w:t>
      </w:r>
      <w:r>
        <w:t xml:space="preserve">House of Representatives Standing Committee on Social Policy and Legal Affairs </w:t>
      </w:r>
      <w:r>
        <w:rPr>
          <w:i/>
        </w:rPr>
        <w:t xml:space="preserve">Inquiry into </w:t>
      </w:r>
      <w:r w:rsidRPr="007722F5">
        <w:rPr>
          <w:i/>
        </w:rPr>
        <w:t>Administrative Review Tribunal Bill 2023 and the Administrative Review Tribunal (Consequential and Transitional Provisions No.1) Bill 2023 (Consequential and Transitional Bill)</w:t>
      </w:r>
      <w:r>
        <w:rPr>
          <w:i/>
        </w:rPr>
        <w:t xml:space="preserve"> </w:t>
      </w:r>
      <w:r>
        <w:t xml:space="preserve">(January 2024) </w:t>
      </w:r>
      <w:r w:rsidRPr="00997922">
        <w:t>2</w:t>
      </w:r>
      <w:r>
        <w:t>;</w:t>
      </w:r>
      <w:r w:rsidRPr="00997922">
        <w:t xml:space="preserve"> </w:t>
      </w:r>
      <w:r w:rsidRPr="002A6176">
        <w:t>Department of Human Services</w:t>
      </w:r>
      <w:r>
        <w:t xml:space="preserve"> (“DHS”)</w:t>
      </w:r>
      <w:r w:rsidRPr="002A6176">
        <w:t xml:space="preserve"> </w:t>
      </w:r>
      <w:r w:rsidRPr="00F67DB1">
        <w:t>Submission</w:t>
      </w:r>
      <w:r w:rsidRPr="002A6176">
        <w:t xml:space="preserve"> to</w:t>
      </w:r>
      <w:r w:rsidRPr="000A317E">
        <w:t xml:space="preserve"> </w:t>
      </w:r>
      <w:r>
        <w:t xml:space="preserve">I D F Callinan AC </w:t>
      </w:r>
      <w:r w:rsidRPr="00FA152A">
        <w:rPr>
          <w:i/>
        </w:rPr>
        <w:t>Review</w:t>
      </w:r>
      <w:r>
        <w:rPr>
          <w:i/>
        </w:rPr>
        <w:t>: section 4</w:t>
      </w:r>
      <w:r w:rsidRPr="00FA152A">
        <w:rPr>
          <w:i/>
        </w:rPr>
        <w:t xml:space="preserve"> of the Tribunals Amalgamation Act 2015</w:t>
      </w:r>
      <w:r>
        <w:rPr>
          <w:i/>
        </w:rPr>
        <w:t xml:space="preserve"> (Cth)</w:t>
      </w:r>
      <w:r>
        <w:t xml:space="preserve"> (24 August 2018)</w:t>
      </w:r>
      <w:r w:rsidRPr="002A6176">
        <w:t xml:space="preserve"> </w:t>
      </w:r>
      <w:r>
        <w:t>7.</w:t>
      </w:r>
    </w:p>
  </w:footnote>
  <w:footnote w:id="69">
    <w:p w14:paraId="7EE522AC" w14:textId="2424DFE8" w:rsidR="000D1BC4" w:rsidRDefault="000D1BC4" w:rsidP="003707AB">
      <w:pPr>
        <w:pStyle w:val="FootnoteText"/>
      </w:pPr>
      <w:r>
        <w:rPr>
          <w:rStyle w:val="FootnoteReference"/>
        </w:rPr>
        <w:footnoteRef/>
      </w:r>
      <w:r>
        <w:t xml:space="preserve"> </w:t>
      </w:r>
      <w:r w:rsidRPr="00F67DB1">
        <w:rPr>
          <w:iCs/>
        </w:rPr>
        <w:t>ART Act</w:t>
      </w:r>
      <w:r>
        <w:t xml:space="preserve"> s 9(b).</w:t>
      </w:r>
    </w:p>
  </w:footnote>
  <w:footnote w:id="70">
    <w:p w14:paraId="37701B38" w14:textId="5DAA3E70" w:rsidR="000D1BC4" w:rsidRDefault="000D1BC4" w:rsidP="003707AB">
      <w:pPr>
        <w:pStyle w:val="FootnoteText"/>
      </w:pPr>
      <w:r>
        <w:rPr>
          <w:rStyle w:val="FootnoteReference"/>
        </w:rPr>
        <w:footnoteRef/>
      </w:r>
      <w:r>
        <w:t xml:space="preserve"> </w:t>
      </w:r>
      <w:r w:rsidRPr="00F67DB1">
        <w:rPr>
          <w:iCs/>
        </w:rPr>
        <w:t>ART Act</w:t>
      </w:r>
      <w:r w:rsidRPr="00943FB3">
        <w:rPr>
          <w:i/>
        </w:rPr>
        <w:t xml:space="preserve"> </w:t>
      </w:r>
      <w:r>
        <w:t>s 56(3), 61(1A) Note.</w:t>
      </w:r>
    </w:p>
  </w:footnote>
  <w:footnote w:id="71">
    <w:p w14:paraId="62D0FB33" w14:textId="77777777" w:rsidR="000D1BC4" w:rsidRDefault="000D1BC4" w:rsidP="003707AB">
      <w:pPr>
        <w:pStyle w:val="FootnoteText"/>
      </w:pPr>
      <w:r>
        <w:rPr>
          <w:rStyle w:val="FootnoteReference"/>
        </w:rPr>
        <w:footnoteRef/>
      </w:r>
      <w:r>
        <w:t xml:space="preserve"> </w:t>
      </w:r>
      <w:r w:rsidRPr="00F67DB1">
        <w:rPr>
          <w:i/>
          <w:iCs/>
        </w:rPr>
        <w:t>Legal Services Directions 2017</w:t>
      </w:r>
      <w:r w:rsidRPr="004F2F44">
        <w:t xml:space="preserve"> (Cth)</w:t>
      </w:r>
      <w:r>
        <w:t>.</w:t>
      </w:r>
    </w:p>
  </w:footnote>
  <w:footnote w:id="72">
    <w:p w14:paraId="0641B4CA" w14:textId="672A454C" w:rsidR="000D1BC4" w:rsidRDefault="000D1BC4" w:rsidP="003707AB">
      <w:pPr>
        <w:pStyle w:val="FootnoteText"/>
      </w:pPr>
      <w:r>
        <w:rPr>
          <w:rStyle w:val="FootnoteReference"/>
        </w:rPr>
        <w:footnoteRef/>
      </w:r>
      <w:r>
        <w:t xml:space="preserve"> </w:t>
      </w:r>
      <w:r w:rsidRPr="00F67DB1">
        <w:rPr>
          <w:i/>
          <w:iCs/>
        </w:rPr>
        <w:t>Legal Services Directions 2017</w:t>
      </w:r>
      <w:r w:rsidRPr="00EB2F80">
        <w:t xml:space="preserve"> (Cth) App B cl 3</w:t>
      </w:r>
      <w:r>
        <w:t>.</w:t>
      </w:r>
    </w:p>
  </w:footnote>
  <w:footnote w:id="73">
    <w:p w14:paraId="21C15405" w14:textId="7766CC19" w:rsidR="000D1BC4" w:rsidRDefault="000D1BC4" w:rsidP="003707AB">
      <w:pPr>
        <w:pStyle w:val="FootnoteText"/>
      </w:pPr>
      <w:r>
        <w:rPr>
          <w:rStyle w:val="FootnoteReference"/>
        </w:rPr>
        <w:footnoteRef/>
      </w:r>
      <w:r>
        <w:t xml:space="preserve"> </w:t>
      </w:r>
      <w:r w:rsidRPr="00F67DB1">
        <w:rPr>
          <w:iCs/>
        </w:rPr>
        <w:t>ART Act</w:t>
      </w:r>
      <w:r w:rsidRPr="00943FB3">
        <w:rPr>
          <w:i/>
        </w:rPr>
        <w:t xml:space="preserve"> </w:t>
      </w:r>
      <w:r>
        <w:t>s 56(1).</w:t>
      </w:r>
    </w:p>
  </w:footnote>
  <w:footnote w:id="74">
    <w:p w14:paraId="10C104DB" w14:textId="3DB0C39C" w:rsidR="000D1BC4" w:rsidRDefault="000D1BC4" w:rsidP="003707AB">
      <w:pPr>
        <w:pStyle w:val="FootnoteText"/>
      </w:pPr>
      <w:r>
        <w:rPr>
          <w:rStyle w:val="FootnoteReference"/>
        </w:rPr>
        <w:footnoteRef/>
      </w:r>
      <w:r>
        <w:t xml:space="preserve"> </w:t>
      </w:r>
      <w:r w:rsidRPr="00F67DB1">
        <w:rPr>
          <w:i/>
          <w:iCs/>
        </w:rPr>
        <w:t>Legal Services Directions 2017</w:t>
      </w:r>
      <w:r w:rsidRPr="00417359">
        <w:t xml:space="preserve"> (Cth) App B cl 4</w:t>
      </w:r>
      <w:r>
        <w:t>.</w:t>
      </w:r>
    </w:p>
  </w:footnote>
  <w:footnote w:id="75">
    <w:p w14:paraId="57E41282" w14:textId="1629FF95" w:rsidR="000D1BC4" w:rsidRDefault="000D1BC4" w:rsidP="00AC6E76">
      <w:pPr>
        <w:pStyle w:val="FootnoteText"/>
        <w:jc w:val="both"/>
      </w:pPr>
      <w:r>
        <w:rPr>
          <w:rStyle w:val="FootnoteReference"/>
        </w:rPr>
        <w:footnoteRef/>
      </w:r>
      <w:r>
        <w:t xml:space="preserve"> </w:t>
      </w:r>
      <w:r w:rsidRPr="00F67DB1">
        <w:rPr>
          <w:iCs/>
        </w:rPr>
        <w:t xml:space="preserve">ART Act </w:t>
      </w:r>
      <w:r w:rsidRPr="00066C86">
        <w:rPr>
          <w:iCs/>
        </w:rPr>
        <w:t>s</w:t>
      </w:r>
      <w:r>
        <w:t xml:space="preserve"> 56(3); Revised </w:t>
      </w:r>
      <w:r w:rsidRPr="00BB2215">
        <w:t xml:space="preserve">Explanatory Memorandum </w:t>
      </w:r>
      <w:r>
        <w:t xml:space="preserve">ART </w:t>
      </w:r>
      <w:r w:rsidRPr="00BB2215">
        <w:t xml:space="preserve">Bill </w:t>
      </w:r>
      <w:r>
        <w:t>68, 483</w:t>
      </w:r>
      <w:r w:rsidRPr="00BB2215">
        <w:t>.</w:t>
      </w:r>
    </w:p>
  </w:footnote>
  <w:footnote w:id="76">
    <w:p w14:paraId="37F5A5B8" w14:textId="68958D23" w:rsidR="000D1BC4" w:rsidRDefault="000D1BC4" w:rsidP="00AC6E76">
      <w:pPr>
        <w:pStyle w:val="FootnoteText"/>
        <w:jc w:val="both"/>
      </w:pPr>
      <w:r>
        <w:rPr>
          <w:rStyle w:val="FootnoteReference"/>
        </w:rPr>
        <w:footnoteRef/>
      </w:r>
      <w:r>
        <w:t xml:space="preserve"> </w:t>
      </w:r>
      <w:r w:rsidRPr="00F67DB1">
        <w:rPr>
          <w:iCs/>
        </w:rPr>
        <w:t>AAT Act</w:t>
      </w:r>
      <w:r w:rsidRPr="00417359">
        <w:rPr>
          <w:i/>
        </w:rPr>
        <w:t xml:space="preserve"> </w:t>
      </w:r>
      <w:r w:rsidRPr="00417359">
        <w:t xml:space="preserve">s 33(1AA); </w:t>
      </w:r>
      <w:r w:rsidRPr="009F22B9">
        <w:rPr>
          <w:i/>
        </w:rPr>
        <w:t xml:space="preserve">Legal Services Directions </w:t>
      </w:r>
      <w:r w:rsidRPr="00F67DB1">
        <w:rPr>
          <w:iCs/>
        </w:rPr>
        <w:t>2017</w:t>
      </w:r>
      <w:r w:rsidRPr="00417359">
        <w:t xml:space="preserve"> (Cth) App B</w:t>
      </w:r>
      <w:r>
        <w:t>.</w:t>
      </w:r>
    </w:p>
  </w:footnote>
  <w:footnote w:id="77">
    <w:p w14:paraId="65E34781" w14:textId="4C546CFA" w:rsidR="000D1BC4" w:rsidRDefault="000D1BC4" w:rsidP="003707AB">
      <w:pPr>
        <w:pStyle w:val="FootnoteText"/>
      </w:pPr>
      <w:r>
        <w:rPr>
          <w:rStyle w:val="FootnoteReference"/>
        </w:rPr>
        <w:footnoteRef/>
      </w:r>
      <w:r>
        <w:t xml:space="preserve"> </w:t>
      </w:r>
      <w:r w:rsidRPr="009F22B9">
        <w:rPr>
          <w:i/>
        </w:rPr>
        <w:t>Legal Services Directions 2017</w:t>
      </w:r>
      <w:r w:rsidRPr="004F2F44">
        <w:t xml:space="preserve"> (Cth) </w:t>
      </w:r>
      <w:r>
        <w:t>S</w:t>
      </w:r>
      <w:r w:rsidRPr="004F2F44">
        <w:t>ch 1 cl 4.</w:t>
      </w:r>
    </w:p>
  </w:footnote>
  <w:footnote w:id="78">
    <w:p w14:paraId="5B3AFA86" w14:textId="776EE9FB" w:rsidR="000D1BC4" w:rsidRDefault="000D1BC4" w:rsidP="003707AB">
      <w:pPr>
        <w:pStyle w:val="FootnoteText"/>
      </w:pPr>
      <w:r>
        <w:rPr>
          <w:rStyle w:val="FootnoteReference"/>
        </w:rPr>
        <w:footnoteRef/>
      </w:r>
      <w:r>
        <w:t xml:space="preserve"> </w:t>
      </w:r>
      <w:r w:rsidRPr="000A317E">
        <w:rPr>
          <w:iCs/>
        </w:rPr>
        <w:t xml:space="preserve">AAT </w:t>
      </w:r>
      <w:r w:rsidRPr="00F67DB1">
        <w:rPr>
          <w:iCs/>
        </w:rPr>
        <w:t>Act</w:t>
      </w:r>
      <w:r w:rsidRPr="00417359">
        <w:rPr>
          <w:i/>
        </w:rPr>
        <w:t xml:space="preserve"> </w:t>
      </w:r>
      <w:r w:rsidRPr="00417359">
        <w:t xml:space="preserve">s 33(1AA); </w:t>
      </w:r>
      <w:bookmarkStart w:id="27" w:name="_Hlk200875697"/>
      <w:r w:rsidRPr="009F22B9">
        <w:rPr>
          <w:i/>
        </w:rPr>
        <w:t>Legal Services Directions 2017</w:t>
      </w:r>
      <w:r w:rsidRPr="00417359">
        <w:t xml:space="preserve"> (Cth) App B cl 3-4</w:t>
      </w:r>
      <w:bookmarkEnd w:id="27"/>
      <w:r w:rsidRPr="00417359">
        <w:t>.</w:t>
      </w:r>
    </w:p>
  </w:footnote>
  <w:footnote w:id="79">
    <w:p w14:paraId="00A9DEA5" w14:textId="1E92520F" w:rsidR="000D1BC4" w:rsidRDefault="000D1BC4" w:rsidP="00F67DB1">
      <w:pPr>
        <w:pStyle w:val="FootnoteText"/>
        <w:jc w:val="both"/>
      </w:pPr>
      <w:r>
        <w:rPr>
          <w:rStyle w:val="FootnoteReference"/>
        </w:rPr>
        <w:footnoteRef/>
      </w:r>
      <w:r>
        <w:t xml:space="preserve"> </w:t>
      </w:r>
      <w:r w:rsidRPr="0019222F">
        <w:rPr>
          <w:iCs/>
          <w:szCs w:val="18"/>
        </w:rPr>
        <w:t xml:space="preserve">Royal Commission into the </w:t>
      </w:r>
      <w:r w:rsidRPr="0019222F">
        <w:rPr>
          <w:iCs/>
          <w:szCs w:val="18"/>
        </w:rPr>
        <w:t>Robodebt Scheme</w:t>
      </w:r>
      <w:r w:rsidRPr="00FB3C31">
        <w:rPr>
          <w:i/>
          <w:szCs w:val="18"/>
        </w:rPr>
        <w:t xml:space="preserve"> </w:t>
      </w:r>
      <w:r w:rsidRPr="00416D50">
        <w:rPr>
          <w:i/>
          <w:iCs/>
          <w:szCs w:val="18"/>
        </w:rPr>
        <w:t>Report</w:t>
      </w:r>
      <w:r>
        <w:rPr>
          <w:szCs w:val="18"/>
        </w:rPr>
        <w:t xml:space="preserve"> (July </w:t>
      </w:r>
      <w:r w:rsidRPr="007F78F2">
        <w:rPr>
          <w:szCs w:val="18"/>
        </w:rPr>
        <w:t xml:space="preserve">2023) Vol </w:t>
      </w:r>
      <w:r>
        <w:rPr>
          <w:szCs w:val="18"/>
        </w:rPr>
        <w:t xml:space="preserve">2 </w:t>
      </w:r>
      <w:r>
        <w:t xml:space="preserve">559; </w:t>
      </w:r>
      <w:r w:rsidRPr="009F22B9">
        <w:rPr>
          <w:i/>
        </w:rPr>
        <w:t>Legal Services Directions 2017</w:t>
      </w:r>
      <w:r w:rsidRPr="00E734B8">
        <w:t xml:space="preserve"> (Cth) </w:t>
      </w:r>
      <w:r>
        <w:t>A</w:t>
      </w:r>
      <w:r w:rsidRPr="00E734B8">
        <w:t xml:space="preserve">pp B cl 2(f); </w:t>
      </w:r>
      <w:r>
        <w:t>“</w:t>
      </w:r>
      <w:r w:rsidRPr="00E734B8">
        <w:t>Guidance Note 1</w:t>
      </w:r>
      <w:r>
        <w:t>”</w:t>
      </w:r>
      <w:r w:rsidRPr="00E734B8">
        <w:t>, Office of Legal Services Coordination (Web Page, 29 June 2019) [8]</w:t>
      </w:r>
      <w:r>
        <w:t>,</w:t>
      </w:r>
      <w:r w:rsidRPr="00E734B8">
        <w:t xml:space="preserve"> citing </w:t>
      </w:r>
      <w:r w:rsidRPr="00E734B8">
        <w:rPr>
          <w:i/>
        </w:rPr>
        <w:t>Kasupene v Minister for Immigration and Citizenship</w:t>
      </w:r>
      <w:r w:rsidRPr="00E734B8">
        <w:t xml:space="preserve"> [2008] FCA 1608; </w:t>
      </w:r>
      <w:r w:rsidRPr="00E734B8">
        <w:rPr>
          <w:i/>
        </w:rPr>
        <w:t>SZLPO v Minister for Immigration and Citizenship</w:t>
      </w:r>
      <w:r w:rsidRPr="00E734B8">
        <w:t xml:space="preserve"> [No 2] (2009) 177 FCR 29, 29 [4]; </w:t>
      </w:r>
      <w:r w:rsidRPr="00E734B8">
        <w:rPr>
          <w:i/>
        </w:rPr>
        <w:t>Laing v Central Authority</w:t>
      </w:r>
      <w:r w:rsidRPr="00E734B8">
        <w:t xml:space="preserve"> [1999] FamCA 100; See discussion in Eugene Wheelahan, </w:t>
      </w:r>
      <w:r>
        <w:t>“</w:t>
      </w:r>
      <w:r w:rsidRPr="00E734B8">
        <w:t>Model Litigant Obligations: What are they and how are they enforced?’</w:t>
      </w:r>
      <w:r>
        <w:t>”</w:t>
      </w:r>
      <w:r w:rsidRPr="00E734B8">
        <w:t>(Seminar Paper, Federal Court Ethics Seminar Series, 15 March 2016) [22]-[23].</w:t>
      </w:r>
    </w:p>
  </w:footnote>
  <w:footnote w:id="80">
    <w:p w14:paraId="0FCF0C01" w14:textId="6E62D7D2" w:rsidR="000D1BC4" w:rsidRDefault="000D1BC4" w:rsidP="003707AB">
      <w:pPr>
        <w:pStyle w:val="FootnoteText"/>
      </w:pPr>
      <w:r>
        <w:rPr>
          <w:rStyle w:val="FootnoteReference"/>
        </w:rPr>
        <w:footnoteRef/>
      </w:r>
      <w:r>
        <w:t xml:space="preserve"> </w:t>
      </w:r>
      <w:r w:rsidRPr="0019222F">
        <w:rPr>
          <w:iCs/>
          <w:szCs w:val="18"/>
        </w:rPr>
        <w:t xml:space="preserve">Royal Commission into the </w:t>
      </w:r>
      <w:r w:rsidRPr="0019222F">
        <w:rPr>
          <w:iCs/>
          <w:szCs w:val="18"/>
        </w:rPr>
        <w:t>Robodebt Scheme</w:t>
      </w:r>
      <w:r w:rsidRPr="00FB3C31">
        <w:rPr>
          <w:i/>
          <w:szCs w:val="18"/>
        </w:rPr>
        <w:t xml:space="preserve"> </w:t>
      </w:r>
      <w:r w:rsidRPr="00416D50">
        <w:rPr>
          <w:i/>
          <w:iCs/>
          <w:szCs w:val="18"/>
        </w:rPr>
        <w:t>Report</w:t>
      </w:r>
      <w:r>
        <w:rPr>
          <w:szCs w:val="18"/>
        </w:rPr>
        <w:t xml:space="preserve"> (July </w:t>
      </w:r>
      <w:r w:rsidRPr="007F78F2">
        <w:rPr>
          <w:szCs w:val="18"/>
        </w:rPr>
        <w:t xml:space="preserve">2023) Vol </w:t>
      </w:r>
      <w:r>
        <w:rPr>
          <w:szCs w:val="18"/>
        </w:rPr>
        <w:t xml:space="preserve">2 </w:t>
      </w:r>
      <w:r>
        <w:t>559.</w:t>
      </w:r>
    </w:p>
  </w:footnote>
  <w:footnote w:id="81">
    <w:p w14:paraId="2AC3BA74" w14:textId="5EF5BEF5" w:rsidR="000D1BC4" w:rsidRDefault="000D1BC4" w:rsidP="003707AB">
      <w:pPr>
        <w:pStyle w:val="FootnoteText"/>
      </w:pPr>
      <w:r>
        <w:rPr>
          <w:rStyle w:val="FootnoteReference"/>
        </w:rPr>
        <w:footnoteRef/>
      </w:r>
      <w:r>
        <w:t xml:space="preserve"> </w:t>
      </w:r>
      <w:r w:rsidRPr="00F67DB1">
        <w:rPr>
          <w:iCs/>
        </w:rPr>
        <w:t>SSA Act</w:t>
      </w:r>
      <w:r w:rsidRPr="00943FB3">
        <w:rPr>
          <w:i/>
        </w:rPr>
        <w:t xml:space="preserve"> </w:t>
      </w:r>
      <w:r>
        <w:t>s 8.</w:t>
      </w:r>
    </w:p>
  </w:footnote>
  <w:footnote w:id="82">
    <w:p w14:paraId="6E2A0084" w14:textId="7B63D178" w:rsidR="000D1BC4" w:rsidRDefault="000D1BC4" w:rsidP="00DA5786">
      <w:pPr>
        <w:pStyle w:val="FootnoteText"/>
        <w:jc w:val="both"/>
      </w:pPr>
      <w:r>
        <w:rPr>
          <w:rStyle w:val="FootnoteReference"/>
        </w:rPr>
        <w:footnoteRef/>
      </w:r>
      <w:r>
        <w:t xml:space="preserve"> ART Act s 87 provides that at any time during a proceeding, the Tribunal may by order direct that the proceeding (or any part) be referred to a dispute resolution process. Subsection 87(2) specifies that parties to the dispute resolution process must act in good faith.</w:t>
      </w:r>
    </w:p>
  </w:footnote>
  <w:footnote w:id="83">
    <w:p w14:paraId="5C62C708" w14:textId="6669B1B4" w:rsidR="000D1BC4" w:rsidRDefault="000D1BC4" w:rsidP="00DA5786">
      <w:pPr>
        <w:pStyle w:val="FootnoteText"/>
        <w:jc w:val="both"/>
      </w:pPr>
      <w:r>
        <w:rPr>
          <w:rStyle w:val="FootnoteReference"/>
        </w:rPr>
        <w:footnoteRef/>
      </w:r>
      <w:r>
        <w:t xml:space="preserve"> Department of Social Services “Answer to Question on Notice IQ24-000026” Senate Legal and Constitutional Affairs Legislation Committee</w:t>
      </w:r>
      <w:r>
        <w:rPr>
          <w:i/>
          <w:iCs/>
        </w:rPr>
        <w:t xml:space="preserve"> Administrative Review Tribunal Bill 2023</w:t>
      </w:r>
      <w:r>
        <w:t> </w:t>
      </w:r>
      <w:r>
        <w:rPr>
          <w:i/>
          <w:iCs/>
        </w:rPr>
        <w:t>[Provisions] and related Bills</w:t>
      </w:r>
      <w:r>
        <w:t xml:space="preserve"> (May 2024).</w:t>
      </w:r>
    </w:p>
  </w:footnote>
  <w:footnote w:id="84">
    <w:p w14:paraId="547A5A24" w14:textId="587D5CEC" w:rsidR="000D1BC4" w:rsidRDefault="000D1BC4" w:rsidP="00DA5786">
      <w:pPr>
        <w:pStyle w:val="FootnoteText"/>
        <w:jc w:val="both"/>
      </w:pPr>
      <w:r>
        <w:rPr>
          <w:rStyle w:val="FootnoteReference"/>
          <w:rFonts w:eastAsiaTheme="majorEastAsia"/>
        </w:rPr>
        <w:footnoteRef/>
      </w:r>
      <w:r>
        <w:t xml:space="preserve"> Parliament of Australia House of Representatives Standing Committee of Social Policy and Legal Affairs</w:t>
      </w:r>
      <w:r>
        <w:rPr>
          <w:i/>
        </w:rPr>
        <w:t xml:space="preserve"> Inquiry into the Administrative Review Tribunal Bill 2023 and the Administrative Review Tribunal (Consequential and Transitional Provisions No.1) Bill 2023</w:t>
      </w:r>
      <w:r>
        <w:t xml:space="preserve"> Report (February 2024) 28.</w:t>
      </w:r>
    </w:p>
  </w:footnote>
  <w:footnote w:id="85">
    <w:p w14:paraId="74E107EB" w14:textId="5C62A3CC" w:rsidR="000D1BC4" w:rsidRDefault="000D1BC4" w:rsidP="00DA5786">
      <w:pPr>
        <w:pStyle w:val="FootnoteText"/>
        <w:jc w:val="both"/>
      </w:pPr>
      <w:r>
        <w:rPr>
          <w:rStyle w:val="FootnoteReference"/>
          <w:rFonts w:eastAsiaTheme="majorEastAsia"/>
        </w:rPr>
        <w:footnoteRef/>
      </w:r>
      <w:r>
        <w:t xml:space="preserve"> Professor Emeritus Terry Carney Submission No 6 to Senate Standing Committee on Legal and Constitutional Affairs </w:t>
      </w:r>
      <w:r>
        <w:rPr>
          <w:i/>
        </w:rPr>
        <w:t>Inquiry into Administrative Review Tribunal Bill 2023 [Provisions] and related bills</w:t>
      </w:r>
      <w:r>
        <w:t xml:space="preserve"> (6 March 2024) 2.</w:t>
      </w:r>
    </w:p>
  </w:footnote>
  <w:footnote w:id="86">
    <w:p w14:paraId="1643DDC6" w14:textId="64881E89" w:rsidR="000D1BC4" w:rsidRDefault="000D1BC4" w:rsidP="00F67DB1">
      <w:pPr>
        <w:pStyle w:val="FootnoteText"/>
        <w:jc w:val="both"/>
      </w:pPr>
      <w:r>
        <w:rPr>
          <w:rStyle w:val="FootnoteReference"/>
        </w:rPr>
        <w:footnoteRef/>
      </w:r>
      <w:r>
        <w:t xml:space="preserve"> “</w:t>
      </w:r>
      <w:r w:rsidRPr="00412A73">
        <w:t>By consent</w:t>
      </w:r>
      <w:r>
        <w:t>” refers to</w:t>
      </w:r>
      <w:r w:rsidRPr="00412A73">
        <w:t xml:space="preserve"> applications finalised by </w:t>
      </w:r>
      <w:r>
        <w:t xml:space="preserve">the </w:t>
      </w:r>
      <w:r w:rsidRPr="00412A73">
        <w:t xml:space="preserve">AAT in accordance with terms of agreement reached by </w:t>
      </w:r>
      <w:r>
        <w:t xml:space="preserve">the </w:t>
      </w:r>
      <w:r w:rsidRPr="00412A73">
        <w:t>parties either in course of ADR or at any stage of review proceedings</w:t>
      </w:r>
      <w:r>
        <w:t>.</w:t>
      </w:r>
    </w:p>
  </w:footnote>
  <w:footnote w:id="87">
    <w:p w14:paraId="70BAD03E" w14:textId="39B89CF5" w:rsidR="000D1BC4" w:rsidRDefault="000D1BC4" w:rsidP="00F67DB1">
      <w:pPr>
        <w:pStyle w:val="FootnoteText"/>
        <w:jc w:val="both"/>
      </w:pPr>
      <w:r>
        <w:rPr>
          <w:rStyle w:val="FootnoteReference"/>
        </w:rPr>
        <w:footnoteRef/>
      </w:r>
      <w:r>
        <w:t xml:space="preserve"> “</w:t>
      </w:r>
      <w:r w:rsidRPr="00412A73">
        <w:t>Dismissed – settlement</w:t>
      </w:r>
      <w:r>
        <w:t>” refers to</w:t>
      </w:r>
      <w:r w:rsidRPr="00412A73">
        <w:t xml:space="preserve"> </w:t>
      </w:r>
      <w:r>
        <w:t>w</w:t>
      </w:r>
      <w:r w:rsidRPr="00412A73">
        <w:t>here an application relates to recovery of a debt, parties may agree in writing to settle the proceedings. The application is taken to have been dismissed.</w:t>
      </w:r>
    </w:p>
  </w:footnote>
  <w:footnote w:id="88">
    <w:p w14:paraId="6935D632" w14:textId="13751DC2" w:rsidR="000D1BC4" w:rsidRDefault="000D1BC4" w:rsidP="000239E9">
      <w:pPr>
        <w:pStyle w:val="FootnoteText"/>
        <w:jc w:val="both"/>
      </w:pPr>
      <w:r>
        <w:rPr>
          <w:rStyle w:val="FootnoteReference"/>
        </w:rPr>
        <w:footnoteRef/>
      </w:r>
      <w:r>
        <w:t xml:space="preserve"> AGD Submission No 6 to House of Representatives Standing Committee on Social Policy and Legal Affairs </w:t>
      </w:r>
      <w:r>
        <w:rPr>
          <w:i/>
        </w:rPr>
        <w:t xml:space="preserve">Inquiry into </w:t>
      </w:r>
      <w:r w:rsidRPr="007722F5">
        <w:rPr>
          <w:i/>
        </w:rPr>
        <w:t>Administrative Review Tribunal Bill 2023 and the Administrative Review Tribunal (Consequential and Transitional Provisions No.1) Bill 2023 (Consequential and Transitional Bill)</w:t>
      </w:r>
      <w:r>
        <w:rPr>
          <w:i/>
        </w:rPr>
        <w:t xml:space="preserve"> </w:t>
      </w:r>
      <w:r>
        <w:t>(January 2024).</w:t>
      </w:r>
    </w:p>
  </w:footnote>
  <w:footnote w:id="89">
    <w:p w14:paraId="7C97EE8B" w14:textId="73F33614" w:rsidR="000D1BC4" w:rsidRDefault="000D1BC4" w:rsidP="00DA5786">
      <w:pPr>
        <w:pStyle w:val="FootnoteText"/>
        <w:jc w:val="both"/>
      </w:pPr>
      <w:r w:rsidRPr="002A6176">
        <w:rPr>
          <w:rStyle w:val="FootnoteReference"/>
        </w:rPr>
        <w:footnoteRef/>
      </w:r>
      <w:r w:rsidRPr="002A6176">
        <w:t xml:space="preserve"> </w:t>
      </w:r>
      <w:r>
        <w:t>DHS</w:t>
      </w:r>
      <w:r w:rsidRPr="002A6176">
        <w:t xml:space="preserve"> </w:t>
      </w:r>
      <w:r w:rsidRPr="00DB10F5">
        <w:t>Submission</w:t>
      </w:r>
      <w:r w:rsidRPr="002A6176">
        <w:t xml:space="preserve"> to</w:t>
      </w:r>
      <w:r w:rsidRPr="000A317E">
        <w:t xml:space="preserve"> </w:t>
      </w:r>
      <w:r>
        <w:t xml:space="preserve">I D F Callinan AC </w:t>
      </w:r>
      <w:r w:rsidRPr="00FA152A">
        <w:rPr>
          <w:i/>
        </w:rPr>
        <w:t>Review</w:t>
      </w:r>
      <w:r>
        <w:rPr>
          <w:i/>
        </w:rPr>
        <w:t>: section 4</w:t>
      </w:r>
      <w:r w:rsidRPr="00FA152A">
        <w:rPr>
          <w:i/>
        </w:rPr>
        <w:t xml:space="preserve"> of the Tribunals Amalgamation Act 2015</w:t>
      </w:r>
      <w:r>
        <w:rPr>
          <w:i/>
        </w:rPr>
        <w:t xml:space="preserve"> (</w:t>
      </w:r>
      <w:r>
        <w:rPr>
          <w:i/>
        </w:rPr>
        <w:t xml:space="preserve">Cth) </w:t>
      </w:r>
      <w:r>
        <w:t xml:space="preserve">(24 August 2018) </w:t>
      </w:r>
      <w:r w:rsidRPr="002A6176">
        <w:t>8</w:t>
      </w:r>
      <w:r>
        <w:t>.</w:t>
      </w:r>
      <w:r w:rsidRPr="002A6176">
        <w:t xml:space="preserve"> </w:t>
      </w:r>
    </w:p>
  </w:footnote>
  <w:footnote w:id="90">
    <w:p w14:paraId="7828FCE7" w14:textId="2E97B187" w:rsidR="000D1BC4" w:rsidRDefault="000D1BC4" w:rsidP="00DA5786">
      <w:pPr>
        <w:pStyle w:val="FootnoteText"/>
        <w:jc w:val="both"/>
      </w:pPr>
      <w:r w:rsidRPr="00D60A1B">
        <w:rPr>
          <w:rStyle w:val="FootnoteReference"/>
        </w:rPr>
        <w:footnoteRef/>
      </w:r>
      <w:r w:rsidRPr="00D60A1B">
        <w:t xml:space="preserve"> For example, see EJA </w:t>
      </w:r>
      <w:r w:rsidRPr="00416D50">
        <w:t>Submission</w:t>
      </w:r>
      <w:r>
        <w:t xml:space="preserve"> No 7</w:t>
      </w:r>
      <w:r w:rsidRPr="00D60A1B">
        <w:t xml:space="preserve"> to </w:t>
      </w:r>
      <w:r>
        <w:t xml:space="preserve">House of Representatives Standing Committee on Social Policy and Legal Affairs </w:t>
      </w:r>
      <w:r>
        <w:rPr>
          <w:i/>
        </w:rPr>
        <w:t xml:space="preserve">Inquiry into </w:t>
      </w:r>
      <w:r w:rsidRPr="007722F5">
        <w:rPr>
          <w:i/>
        </w:rPr>
        <w:t>Administrative Review Tribunal Bill 2023 and the Administrative Review Tribunal (Consequential and Transitional Provisions No.1) Bill 2023 (Consequential and Transitional Bill)</w:t>
      </w:r>
      <w:r>
        <w:rPr>
          <w:i/>
        </w:rPr>
        <w:t xml:space="preserve"> </w:t>
      </w:r>
      <w:r>
        <w:t>(January 2024); DHS</w:t>
      </w:r>
      <w:r w:rsidRPr="002A6176">
        <w:t xml:space="preserve">, </w:t>
      </w:r>
      <w:r w:rsidRPr="00416D50">
        <w:t>Submission</w:t>
      </w:r>
      <w:r w:rsidRPr="002A6176">
        <w:t xml:space="preserve"> to </w:t>
      </w:r>
      <w:r w:rsidRPr="002A6176">
        <w:rPr>
          <w:i/>
        </w:rPr>
        <w:t>Statutory Review of the Tribunals Amalgamation Act 2015</w:t>
      </w:r>
      <w:r w:rsidRPr="002A6176">
        <w:t xml:space="preserve"> </w:t>
      </w:r>
      <w:r>
        <w:t>7.</w:t>
      </w:r>
    </w:p>
  </w:footnote>
  <w:footnote w:id="91">
    <w:p w14:paraId="577B2DF1" w14:textId="3836476E" w:rsidR="000D1BC4" w:rsidRPr="00EB535A" w:rsidRDefault="000D1BC4" w:rsidP="00DA5786">
      <w:pPr>
        <w:pStyle w:val="FootnoteText"/>
        <w:jc w:val="both"/>
      </w:pPr>
      <w:r>
        <w:rPr>
          <w:rStyle w:val="FootnoteReference"/>
        </w:rPr>
        <w:footnoteRef/>
      </w:r>
      <w:r>
        <w:t xml:space="preserve"> Professor Emeritus </w:t>
      </w:r>
      <w:r w:rsidRPr="00EB535A">
        <w:t>Terry Carney</w:t>
      </w:r>
      <w:r>
        <w:t xml:space="preserve"> </w:t>
      </w:r>
      <w:r w:rsidRPr="00416D50">
        <w:t>Submission</w:t>
      </w:r>
      <w:r>
        <w:t xml:space="preserve"> No 6 to Senate Standing Committee on Legal and Constitutional Affairs </w:t>
      </w:r>
      <w:r>
        <w:rPr>
          <w:i/>
        </w:rPr>
        <w:t>Inquiry into Administrative Review Tribunal Bill 2023 [Provisions] and related bills</w:t>
      </w:r>
      <w:r>
        <w:t xml:space="preserve"> 9.</w:t>
      </w:r>
    </w:p>
  </w:footnote>
  <w:footnote w:id="92">
    <w:p w14:paraId="57FA31FC" w14:textId="546E84D1" w:rsidR="000D1BC4" w:rsidRDefault="000D1BC4" w:rsidP="003B2081">
      <w:pPr>
        <w:pStyle w:val="FootnoteText"/>
      </w:pPr>
      <w:r>
        <w:rPr>
          <w:rStyle w:val="FootnoteReference"/>
        </w:rPr>
        <w:footnoteRef/>
      </w:r>
      <w:r>
        <w:t xml:space="preserve"> </w:t>
      </w:r>
      <w:r w:rsidRPr="00F67DB1">
        <w:rPr>
          <w:iCs/>
        </w:rPr>
        <w:t>ART Act</w:t>
      </w:r>
      <w:r>
        <w:t xml:space="preserve"> ss 63(2) 87.</w:t>
      </w:r>
    </w:p>
  </w:footnote>
  <w:footnote w:id="93">
    <w:p w14:paraId="6830E2AA" w14:textId="3CE1FDAC" w:rsidR="000D1BC4" w:rsidRPr="0036669C" w:rsidRDefault="000D1BC4" w:rsidP="00142E78">
      <w:pPr>
        <w:pStyle w:val="FootnoteText"/>
        <w:rPr>
          <w:szCs w:val="18"/>
        </w:rPr>
      </w:pPr>
      <w:r w:rsidRPr="0036669C">
        <w:rPr>
          <w:rStyle w:val="FootnoteReference"/>
          <w:szCs w:val="18"/>
        </w:rPr>
        <w:footnoteRef/>
      </w:r>
      <w:r w:rsidRPr="0036669C">
        <w:rPr>
          <w:szCs w:val="18"/>
        </w:rPr>
        <w:t xml:space="preserve"> Revised Explanatory Memorandum </w:t>
      </w:r>
      <w:r>
        <w:rPr>
          <w:szCs w:val="18"/>
        </w:rPr>
        <w:t>ART Bill</w:t>
      </w:r>
      <w:r w:rsidRPr="0036669C">
        <w:rPr>
          <w:szCs w:val="18"/>
        </w:rPr>
        <w:t xml:space="preserve"> 113.</w:t>
      </w:r>
    </w:p>
  </w:footnote>
  <w:footnote w:id="94">
    <w:p w14:paraId="36748F2A" w14:textId="1D0B7BF7" w:rsidR="000D1BC4" w:rsidRPr="0036669C" w:rsidRDefault="000D1BC4" w:rsidP="00142E78">
      <w:pPr>
        <w:pStyle w:val="FootnoteText"/>
        <w:rPr>
          <w:szCs w:val="18"/>
        </w:rPr>
      </w:pPr>
      <w:r w:rsidRPr="0036669C">
        <w:rPr>
          <w:rStyle w:val="FootnoteReference"/>
          <w:szCs w:val="18"/>
        </w:rPr>
        <w:footnoteRef/>
      </w:r>
      <w:r w:rsidRPr="0036669C">
        <w:rPr>
          <w:szCs w:val="18"/>
        </w:rPr>
        <w:t xml:space="preserve"> House of Representatives, Administrative Review Tribunal Bill 2023, Second Reading Speech, The Hon Mark Dreyfus, 7/12/23, 9202.</w:t>
      </w:r>
    </w:p>
  </w:footnote>
  <w:footnote w:id="95">
    <w:p w14:paraId="30A51E51" w14:textId="77777777" w:rsidR="000D1BC4" w:rsidRPr="0036669C" w:rsidRDefault="000D1BC4" w:rsidP="00F67DB1">
      <w:pPr>
        <w:pStyle w:val="FootnoteText"/>
        <w:jc w:val="both"/>
        <w:rPr>
          <w:szCs w:val="18"/>
        </w:rPr>
      </w:pPr>
      <w:r w:rsidRPr="0036669C">
        <w:rPr>
          <w:rStyle w:val="FootnoteReference"/>
          <w:szCs w:val="18"/>
        </w:rPr>
        <w:footnoteRef/>
      </w:r>
      <w:r w:rsidRPr="0036669C">
        <w:rPr>
          <w:szCs w:val="18"/>
        </w:rPr>
        <w:t xml:space="preserve"> Particular decisions including some decisions made under the </w:t>
      </w:r>
      <w:r w:rsidRPr="0036669C">
        <w:rPr>
          <w:i/>
          <w:szCs w:val="18"/>
        </w:rPr>
        <w:t>Freedom of Information Act 1982</w:t>
      </w:r>
      <w:r w:rsidRPr="0036669C">
        <w:rPr>
          <w:szCs w:val="18"/>
        </w:rPr>
        <w:t>, Veterans’ Review Board and the Intelligence and Security jurisdictional area of the ART.</w:t>
      </w:r>
    </w:p>
  </w:footnote>
  <w:footnote w:id="96">
    <w:p w14:paraId="4988DE05" w14:textId="7FD34025" w:rsidR="000D1BC4" w:rsidRPr="0036669C" w:rsidRDefault="000D1BC4" w:rsidP="00F67DB1">
      <w:pPr>
        <w:pStyle w:val="FootnoteText"/>
        <w:jc w:val="both"/>
        <w:rPr>
          <w:szCs w:val="18"/>
        </w:rPr>
      </w:pPr>
      <w:r w:rsidRPr="0036669C">
        <w:rPr>
          <w:rStyle w:val="FootnoteReference"/>
          <w:szCs w:val="18"/>
        </w:rPr>
        <w:footnoteRef/>
      </w:r>
      <w:r w:rsidRPr="0036669C">
        <w:rPr>
          <w:szCs w:val="18"/>
        </w:rPr>
        <w:t xml:space="preserve"> </w:t>
      </w:r>
      <w:r>
        <w:rPr>
          <w:szCs w:val="18"/>
        </w:rPr>
        <w:t xml:space="preserve">ART Act ss 122, 123; </w:t>
      </w:r>
      <w:r w:rsidRPr="0036669C">
        <w:rPr>
          <w:szCs w:val="18"/>
        </w:rPr>
        <w:t>The Hon Justice Emilios</w:t>
      </w:r>
      <w:r w:rsidRPr="0036669C" w:rsidDel="002B63E0">
        <w:rPr>
          <w:szCs w:val="18"/>
        </w:rPr>
        <w:t xml:space="preserve"> </w:t>
      </w:r>
      <w:r>
        <w:rPr>
          <w:szCs w:val="18"/>
        </w:rPr>
        <w:t>Kyrou “</w:t>
      </w:r>
      <w:r w:rsidRPr="0036669C">
        <w:rPr>
          <w:szCs w:val="18"/>
        </w:rPr>
        <w:t>Key Features of the New Administrative Review Tribunal</w:t>
      </w:r>
      <w:r>
        <w:rPr>
          <w:szCs w:val="18"/>
        </w:rPr>
        <w:t>”</w:t>
      </w:r>
      <w:r w:rsidRPr="0036669C">
        <w:rPr>
          <w:szCs w:val="18"/>
        </w:rPr>
        <w:t>, C</w:t>
      </w:r>
      <w:r>
        <w:rPr>
          <w:szCs w:val="18"/>
        </w:rPr>
        <w:t xml:space="preserve">ouncil of </w:t>
      </w:r>
      <w:r w:rsidRPr="0036669C">
        <w:rPr>
          <w:szCs w:val="18"/>
        </w:rPr>
        <w:t>A</w:t>
      </w:r>
      <w:r>
        <w:rPr>
          <w:szCs w:val="18"/>
        </w:rPr>
        <w:t xml:space="preserve">ustralian </w:t>
      </w:r>
      <w:r w:rsidRPr="0036669C">
        <w:rPr>
          <w:szCs w:val="18"/>
        </w:rPr>
        <w:t>T</w:t>
      </w:r>
      <w:r>
        <w:rPr>
          <w:szCs w:val="18"/>
        </w:rPr>
        <w:t>ribunals</w:t>
      </w:r>
      <w:r w:rsidRPr="0036669C">
        <w:rPr>
          <w:szCs w:val="18"/>
        </w:rPr>
        <w:t xml:space="preserve"> seminar </w:t>
      </w:r>
      <w:r>
        <w:rPr>
          <w:szCs w:val="18"/>
        </w:rPr>
        <w:t>(</w:t>
      </w:r>
      <w:r w:rsidRPr="0036669C">
        <w:rPr>
          <w:szCs w:val="18"/>
        </w:rPr>
        <w:t>Adelaide</w:t>
      </w:r>
      <w:r>
        <w:rPr>
          <w:szCs w:val="18"/>
        </w:rPr>
        <w:t>,</w:t>
      </w:r>
      <w:r w:rsidRPr="0036669C">
        <w:rPr>
          <w:szCs w:val="18"/>
        </w:rPr>
        <w:t xml:space="preserve"> 16 April 2024</w:t>
      </w:r>
      <w:r>
        <w:rPr>
          <w:szCs w:val="18"/>
        </w:rPr>
        <w:t>).</w:t>
      </w:r>
    </w:p>
  </w:footnote>
  <w:footnote w:id="97">
    <w:p w14:paraId="22BA426E" w14:textId="47087B74" w:rsidR="000D1BC4" w:rsidRPr="0036669C" w:rsidRDefault="000D1BC4" w:rsidP="00F67DB1">
      <w:pPr>
        <w:pStyle w:val="FootnoteText"/>
        <w:jc w:val="both"/>
        <w:rPr>
          <w:szCs w:val="18"/>
        </w:rPr>
      </w:pPr>
      <w:r w:rsidRPr="0036669C">
        <w:rPr>
          <w:rStyle w:val="FootnoteReference"/>
          <w:szCs w:val="18"/>
        </w:rPr>
        <w:footnoteRef/>
      </w:r>
      <w:r w:rsidRPr="0036669C">
        <w:rPr>
          <w:szCs w:val="18"/>
        </w:rPr>
        <w:t xml:space="preserve"> These circumstances are: first instance referral - s 122(1); or second instance referral relating to an issue of administrative significance - s 128(2)(a); or second instance referral based on possible error or fact of law - s 128(2)(b).</w:t>
      </w:r>
    </w:p>
  </w:footnote>
  <w:footnote w:id="98">
    <w:p w14:paraId="074E1A98" w14:textId="4625CB04" w:rsidR="000D1BC4" w:rsidRDefault="000D1BC4">
      <w:pPr>
        <w:pStyle w:val="FootnoteText"/>
      </w:pPr>
      <w:r>
        <w:rPr>
          <w:rStyle w:val="FootnoteReference"/>
        </w:rPr>
        <w:footnoteRef/>
      </w:r>
      <w:r>
        <w:t xml:space="preserve"> ART Act ss 109, 110.</w:t>
      </w:r>
    </w:p>
  </w:footnote>
  <w:footnote w:id="99">
    <w:p w14:paraId="5194DDBC" w14:textId="5D86FC85" w:rsidR="000D1BC4" w:rsidRPr="0036669C" w:rsidRDefault="000D1BC4" w:rsidP="00F67DB1">
      <w:pPr>
        <w:pStyle w:val="FootnoteText"/>
        <w:jc w:val="both"/>
        <w:rPr>
          <w:szCs w:val="18"/>
        </w:rPr>
      </w:pPr>
      <w:r w:rsidRPr="0036669C">
        <w:rPr>
          <w:rStyle w:val="FootnoteReference"/>
          <w:szCs w:val="18"/>
        </w:rPr>
        <w:footnoteRef/>
      </w:r>
      <w:r w:rsidRPr="0036669C">
        <w:rPr>
          <w:szCs w:val="18"/>
        </w:rPr>
        <w:t xml:space="preserve"> </w:t>
      </w:r>
      <w:r>
        <w:rPr>
          <w:szCs w:val="18"/>
        </w:rPr>
        <w:t xml:space="preserve">ART Act s 110(3). See also </w:t>
      </w:r>
      <w:r w:rsidRPr="0036669C">
        <w:rPr>
          <w:szCs w:val="18"/>
        </w:rPr>
        <w:t xml:space="preserve">Addendum to the Revised Explanatory Memorandum </w:t>
      </w:r>
      <w:r>
        <w:rPr>
          <w:szCs w:val="18"/>
        </w:rPr>
        <w:t xml:space="preserve">ART Bill 2024 </w:t>
      </w:r>
      <w:r w:rsidRPr="0036669C">
        <w:rPr>
          <w:szCs w:val="18"/>
        </w:rPr>
        <w:t>[739A]</w:t>
      </w:r>
      <w:r>
        <w:rPr>
          <w:szCs w:val="18"/>
        </w:rPr>
        <w:t xml:space="preserve"> </w:t>
      </w:r>
      <w:r w:rsidRPr="0036669C">
        <w:rPr>
          <w:szCs w:val="18"/>
        </w:rPr>
        <w:t>1</w:t>
      </w:r>
      <w:r>
        <w:rPr>
          <w:szCs w:val="18"/>
        </w:rPr>
        <w:t>.</w:t>
      </w:r>
    </w:p>
  </w:footnote>
  <w:footnote w:id="100">
    <w:p w14:paraId="570B5162" w14:textId="5C812E8C" w:rsidR="000D1BC4" w:rsidRPr="0036669C" w:rsidRDefault="000D1BC4" w:rsidP="00142E78">
      <w:pPr>
        <w:pStyle w:val="FootnoteText"/>
        <w:rPr>
          <w:szCs w:val="18"/>
        </w:rPr>
      </w:pPr>
      <w:r w:rsidRPr="0036669C">
        <w:rPr>
          <w:rStyle w:val="FootnoteReference"/>
          <w:szCs w:val="18"/>
        </w:rPr>
        <w:footnoteRef/>
      </w:r>
      <w:r w:rsidRPr="0036669C">
        <w:rPr>
          <w:szCs w:val="18"/>
        </w:rPr>
        <w:t xml:space="preserve"> Addendum to the Revised Explanatory Memorandum</w:t>
      </w:r>
      <w:r>
        <w:rPr>
          <w:szCs w:val="18"/>
        </w:rPr>
        <w:t>,</w:t>
      </w:r>
      <w:r w:rsidRPr="00B13EB9">
        <w:rPr>
          <w:szCs w:val="18"/>
        </w:rPr>
        <w:t xml:space="preserve"> </w:t>
      </w:r>
      <w:r>
        <w:rPr>
          <w:szCs w:val="18"/>
        </w:rPr>
        <w:t>ART Bill 2024</w:t>
      </w:r>
      <w:r w:rsidRPr="0036669C">
        <w:rPr>
          <w:szCs w:val="18"/>
        </w:rPr>
        <w:t xml:space="preserve"> [739B] 1</w:t>
      </w:r>
      <w:r>
        <w:rPr>
          <w:szCs w:val="18"/>
        </w:rPr>
        <w:t>.</w:t>
      </w:r>
      <w:r w:rsidRPr="0036669C">
        <w:rPr>
          <w:szCs w:val="18"/>
        </w:rPr>
        <w:t xml:space="preserve"> </w:t>
      </w:r>
    </w:p>
  </w:footnote>
  <w:footnote w:id="101">
    <w:p w14:paraId="6C6CCD66" w14:textId="25EFFDC1" w:rsidR="000D1BC4" w:rsidRDefault="000D1BC4">
      <w:pPr>
        <w:pStyle w:val="FootnoteText"/>
      </w:pPr>
      <w:r>
        <w:rPr>
          <w:rStyle w:val="FootnoteReference"/>
        </w:rPr>
        <w:footnoteRef/>
      </w:r>
      <w:r>
        <w:t xml:space="preserve"> ART Act s 131W.</w:t>
      </w:r>
    </w:p>
  </w:footnote>
  <w:footnote w:id="102">
    <w:p w14:paraId="74EC240F" w14:textId="02E6A4C4" w:rsidR="000D1BC4" w:rsidRDefault="000D1BC4">
      <w:pPr>
        <w:pStyle w:val="FootnoteText"/>
      </w:pPr>
      <w:r>
        <w:rPr>
          <w:rStyle w:val="FootnoteReference"/>
        </w:rPr>
        <w:footnoteRef/>
      </w:r>
      <w:r>
        <w:t xml:space="preserve"> ART Act s 122.</w:t>
      </w:r>
    </w:p>
  </w:footnote>
  <w:footnote w:id="103">
    <w:p w14:paraId="1EBC8FDA" w14:textId="7C9C5EB1" w:rsidR="000D1BC4" w:rsidRDefault="000D1BC4">
      <w:pPr>
        <w:pStyle w:val="FootnoteText"/>
      </w:pPr>
      <w:r>
        <w:rPr>
          <w:rStyle w:val="FootnoteReference"/>
        </w:rPr>
        <w:footnoteRef/>
      </w:r>
      <w:r>
        <w:t xml:space="preserve"> </w:t>
      </w:r>
      <w:r w:rsidRPr="00771A94">
        <w:rPr>
          <w:szCs w:val="21"/>
        </w:rPr>
        <w:t>Administrative Review Tribunal (Guidance and Appeals Panel) Practice Direction 2024</w:t>
      </w:r>
      <w:r>
        <w:rPr>
          <w:szCs w:val="21"/>
        </w:rPr>
        <w:t xml:space="preserve"> s 2.2.</w:t>
      </w:r>
    </w:p>
  </w:footnote>
  <w:footnote w:id="104">
    <w:p w14:paraId="48B36851" w14:textId="15E99787" w:rsidR="000D1BC4" w:rsidRPr="00AA2CD1" w:rsidRDefault="000D1BC4" w:rsidP="00771A94">
      <w:pPr>
        <w:pStyle w:val="FootnoteText"/>
        <w:rPr>
          <w:szCs w:val="18"/>
        </w:rPr>
      </w:pPr>
      <w:r w:rsidRPr="00AA2CD1">
        <w:rPr>
          <w:rStyle w:val="FootnoteReference"/>
          <w:szCs w:val="18"/>
        </w:rPr>
        <w:footnoteRef/>
      </w:r>
      <w:r w:rsidRPr="00AA2CD1">
        <w:rPr>
          <w:szCs w:val="18"/>
        </w:rPr>
        <w:t xml:space="preserve"> Administrative Review Tribunal (Guidance and Appeals Panel) Practice Direction 2024 </w:t>
      </w:r>
      <w:r>
        <w:rPr>
          <w:szCs w:val="18"/>
        </w:rPr>
        <w:t>s</w:t>
      </w:r>
      <w:r w:rsidRPr="00AA2CD1">
        <w:rPr>
          <w:szCs w:val="18"/>
        </w:rPr>
        <w:t>s 5.2</w:t>
      </w:r>
      <w:r>
        <w:rPr>
          <w:szCs w:val="18"/>
        </w:rPr>
        <w:t>-</w:t>
      </w:r>
      <w:r w:rsidRPr="00AA2CD1">
        <w:rPr>
          <w:szCs w:val="18"/>
        </w:rPr>
        <w:t>5.5.</w:t>
      </w:r>
    </w:p>
  </w:footnote>
  <w:footnote w:id="105">
    <w:p w14:paraId="2F269A2A" w14:textId="7FA0B9C1" w:rsidR="000D1BC4" w:rsidRDefault="000D1BC4" w:rsidP="00F67DB1">
      <w:pPr>
        <w:pStyle w:val="FootnoteText"/>
        <w:jc w:val="both"/>
      </w:pPr>
      <w:r>
        <w:rPr>
          <w:rStyle w:val="FootnoteReference"/>
        </w:rPr>
        <w:footnoteRef/>
      </w:r>
      <w:r>
        <w:t xml:space="preserve"> Supplementary Explanatory Memorandum relating to sheet SE106, ART Bill 2 at 3-4.</w:t>
      </w:r>
    </w:p>
  </w:footnote>
  <w:footnote w:id="106">
    <w:p w14:paraId="755735F6" w14:textId="77CB4C82" w:rsidR="000D1BC4" w:rsidRPr="00AA2CD1" w:rsidRDefault="000D1BC4" w:rsidP="00F67DB1">
      <w:pPr>
        <w:pStyle w:val="FootnoteText"/>
        <w:jc w:val="both"/>
        <w:rPr>
          <w:szCs w:val="18"/>
        </w:rPr>
      </w:pPr>
      <w:r w:rsidRPr="00AA2CD1">
        <w:rPr>
          <w:rStyle w:val="FootnoteReference"/>
          <w:szCs w:val="18"/>
        </w:rPr>
        <w:footnoteRef/>
      </w:r>
      <w:r w:rsidRPr="00AA2CD1">
        <w:rPr>
          <w:szCs w:val="18"/>
        </w:rPr>
        <w:t xml:space="preserve"> </w:t>
      </w:r>
      <w:r>
        <w:t>Parliament of Australia House of Representatives Standing Committee of Social Policy and Legal Affairs</w:t>
      </w:r>
      <w:r>
        <w:rPr>
          <w:i/>
        </w:rPr>
        <w:t xml:space="preserve"> Inquiry into the Administrative Review Tribunal Bill 2023 and the Administrative Review Tribunal (Consequential and Transitional Provisions No.1) Bill 2023</w:t>
      </w:r>
      <w:r>
        <w:t xml:space="preserve"> Report (February 2024) </w:t>
      </w:r>
      <w:r w:rsidRPr="00AA2CD1">
        <w:rPr>
          <w:szCs w:val="18"/>
        </w:rPr>
        <w:t>[2.82].</w:t>
      </w:r>
    </w:p>
  </w:footnote>
  <w:footnote w:id="107">
    <w:p w14:paraId="527365C2" w14:textId="3FFD4320" w:rsidR="000D1BC4" w:rsidRPr="00AA2CD1" w:rsidRDefault="000D1BC4" w:rsidP="004305AB">
      <w:pPr>
        <w:pStyle w:val="FootnoteText"/>
        <w:rPr>
          <w:szCs w:val="18"/>
        </w:rPr>
      </w:pPr>
      <w:r w:rsidRPr="00AA2CD1">
        <w:rPr>
          <w:rStyle w:val="FootnoteReference"/>
          <w:szCs w:val="18"/>
        </w:rPr>
        <w:footnoteRef/>
      </w:r>
      <w:r w:rsidRPr="00AA2CD1">
        <w:rPr>
          <w:szCs w:val="18"/>
        </w:rPr>
        <w:t xml:space="preserve"> </w:t>
      </w:r>
      <w:r>
        <w:rPr>
          <w:szCs w:val="18"/>
        </w:rPr>
        <w:t xml:space="preserve">Evidence to House of Representatives Standing Committee on Social Policy and Legal Affairs, Parliament of Australia, Canberra, 9 February 2024, 14 (Sara </w:t>
      </w:r>
      <w:r w:rsidRPr="00AA2CD1">
        <w:rPr>
          <w:szCs w:val="18"/>
        </w:rPr>
        <w:t>Samios</w:t>
      </w:r>
      <w:r>
        <w:rPr>
          <w:szCs w:val="18"/>
        </w:rPr>
        <w:t>,</w:t>
      </w:r>
      <w:r w:rsidRPr="00AA2CD1">
        <w:rPr>
          <w:szCs w:val="18"/>
        </w:rPr>
        <w:t xml:space="preserve"> </w:t>
      </w:r>
      <w:r>
        <w:rPr>
          <w:szCs w:val="18"/>
        </w:rPr>
        <w:t>AGD).</w:t>
      </w:r>
    </w:p>
  </w:footnote>
  <w:footnote w:id="108">
    <w:p w14:paraId="0F9C4F49" w14:textId="6732D03E" w:rsidR="000D1BC4" w:rsidRPr="000D51C0" w:rsidRDefault="000D1BC4" w:rsidP="00A10C99">
      <w:pPr>
        <w:pStyle w:val="FootnoteText"/>
        <w:jc w:val="both"/>
      </w:pPr>
      <w:r>
        <w:rPr>
          <w:rStyle w:val="FootnoteReference"/>
        </w:rPr>
        <w:footnoteRef/>
      </w:r>
      <w:r>
        <w:t xml:space="preserve"> ARC </w:t>
      </w:r>
      <w:r>
        <w:rPr>
          <w:i/>
        </w:rPr>
        <w:t>Better Decisions: Review of Commonwealth Administrative Review Tribunals</w:t>
      </w:r>
      <w:r>
        <w:t xml:space="preserve"> Report No 39 (AGPS, Canberra, 1995) 146.</w:t>
      </w:r>
    </w:p>
  </w:footnote>
  <w:footnote w:id="109">
    <w:p w14:paraId="5F960D75" w14:textId="38001732" w:rsidR="000D1BC4" w:rsidRDefault="000D1BC4" w:rsidP="00F67DB1">
      <w:pPr>
        <w:pStyle w:val="FootnoteText"/>
        <w:jc w:val="both"/>
      </w:pPr>
      <w:r>
        <w:rPr>
          <w:rStyle w:val="FootnoteReference"/>
        </w:rPr>
        <w:footnoteRef/>
      </w:r>
      <w:r>
        <w:t xml:space="preserve"> ARC </w:t>
      </w:r>
      <w:r>
        <w:rPr>
          <w:i/>
        </w:rPr>
        <w:t>Better Decisions: Review of Commonwealth Administrative Review Tribunals</w:t>
      </w:r>
      <w:r>
        <w:t xml:space="preserve"> Report No 39 (AGPS, Canberra, 1995) 146-151. </w:t>
      </w:r>
    </w:p>
  </w:footnote>
  <w:footnote w:id="110">
    <w:p w14:paraId="0C6C3E84" w14:textId="2C73427E" w:rsidR="000D1BC4" w:rsidRDefault="000D1BC4" w:rsidP="00F67DB1">
      <w:pPr>
        <w:pStyle w:val="FootnoteText"/>
        <w:jc w:val="both"/>
      </w:pPr>
      <w:r w:rsidRPr="00AA2CD1">
        <w:rPr>
          <w:rStyle w:val="FootnoteReference"/>
          <w:szCs w:val="18"/>
        </w:rPr>
        <w:footnoteRef/>
      </w:r>
      <w:r w:rsidRPr="00AA2CD1">
        <w:rPr>
          <w:szCs w:val="18"/>
        </w:rPr>
        <w:t xml:space="preserve"> </w:t>
      </w:r>
      <w:r>
        <w:t>Parliament of Australia House of Representatives Standing Committee of Social Policy and Legal Affairs</w:t>
      </w:r>
      <w:r>
        <w:rPr>
          <w:i/>
        </w:rPr>
        <w:t xml:space="preserve"> Inquiry into the Administrative Review Tribunal Bill 2023 and the Administrative Review Tribunal (Consequential and Transitional Provisions No.1) Bill 2023</w:t>
      </w:r>
      <w:r>
        <w:t xml:space="preserve"> Report (February 2024) </w:t>
      </w:r>
      <w:r w:rsidRPr="00AA2CD1">
        <w:rPr>
          <w:szCs w:val="18"/>
        </w:rPr>
        <w:t>30</w:t>
      </w:r>
      <w:r>
        <w:rPr>
          <w:szCs w:val="18"/>
        </w:rPr>
        <w:t xml:space="preserve">; </w:t>
      </w:r>
      <w:r>
        <w:t xml:space="preserve">Parliament of Australia Senate Standing Committee on Legal and Constitutional Affairs </w:t>
      </w:r>
      <w:r>
        <w:rPr>
          <w:i/>
        </w:rPr>
        <w:t>Administrative Review Tribunal Bill 2023 [Provisions] and related bills</w:t>
      </w:r>
      <w:r>
        <w:t xml:space="preserve"> Report (May 2024) 29.</w:t>
      </w:r>
    </w:p>
  </w:footnote>
  <w:footnote w:id="111">
    <w:p w14:paraId="4B9B92D2" w14:textId="667B2728" w:rsidR="000D1BC4" w:rsidRPr="00A10C99" w:rsidRDefault="000D1BC4" w:rsidP="00416D50">
      <w:pPr>
        <w:pStyle w:val="FootnoteText"/>
        <w:jc w:val="both"/>
      </w:pPr>
      <w:r>
        <w:rPr>
          <w:rStyle w:val="FootnoteReference"/>
        </w:rPr>
        <w:footnoteRef/>
      </w:r>
      <w:r>
        <w:t xml:space="preserve"> Parliament of Australia Senate Standing Committee on Legal and Constitutional Affairs </w:t>
      </w:r>
      <w:r>
        <w:rPr>
          <w:i/>
        </w:rPr>
        <w:t>Administrative Review Tribunal Bill 2023 [Provisions] and related bills</w:t>
      </w:r>
      <w:r>
        <w:t xml:space="preserve"> Report (May 2024) 25.</w:t>
      </w:r>
    </w:p>
  </w:footnote>
  <w:footnote w:id="112">
    <w:p w14:paraId="052DAE00" w14:textId="655144A9" w:rsidR="000D1BC4" w:rsidRDefault="000D1BC4" w:rsidP="00416D50">
      <w:pPr>
        <w:pStyle w:val="FootnoteText"/>
        <w:jc w:val="both"/>
      </w:pPr>
      <w:r>
        <w:rPr>
          <w:rStyle w:val="FootnoteReference"/>
        </w:rPr>
        <w:footnoteRef/>
      </w:r>
      <w:r>
        <w:t xml:space="preserve"> Parliament of Australia Senate Standing Committee on Legal and Constitutional Affairs </w:t>
      </w:r>
      <w:r>
        <w:rPr>
          <w:i/>
        </w:rPr>
        <w:t>Administrative Review Tribunal Bill 2023 [Provisions] and related bills</w:t>
      </w:r>
      <w:r>
        <w:t xml:space="preserve"> Report (May 2024) 36.</w:t>
      </w:r>
    </w:p>
  </w:footnote>
  <w:footnote w:id="113">
    <w:p w14:paraId="1F982C1D" w14:textId="70DCB134" w:rsidR="000D1BC4" w:rsidRDefault="000D1BC4" w:rsidP="00291ADF">
      <w:pPr>
        <w:pStyle w:val="FootnoteText"/>
        <w:jc w:val="both"/>
      </w:pPr>
      <w:r>
        <w:rPr>
          <w:rStyle w:val="FootnoteReference"/>
        </w:rPr>
        <w:footnoteRef/>
      </w:r>
      <w:r>
        <w:t xml:space="preserve"> Terry Carney “</w:t>
      </w:r>
      <w:r w:rsidRPr="000C050D">
        <w:t>Welfare appeals and the ARC report to SSAT or not to SSAT: Is that the question?</w:t>
      </w:r>
      <w:r>
        <w:t xml:space="preserve">” (1996) 4(1) </w:t>
      </w:r>
      <w:r>
        <w:rPr>
          <w:i/>
        </w:rPr>
        <w:t>Australian Journal of Administrative Law</w:t>
      </w:r>
      <w:r>
        <w:t xml:space="preserve"> 30. &lt;</w:t>
      </w:r>
      <w:r w:rsidRPr="00E20DD0">
        <w:t xml:space="preserve"> https://ses.library.usyd.edu.au/handle/2123/33435</w:t>
      </w:r>
      <w:r>
        <w:t>&gt;.</w:t>
      </w:r>
    </w:p>
  </w:footnote>
  <w:footnote w:id="114">
    <w:p w14:paraId="2BE10D2F" w14:textId="02E4685A" w:rsidR="000D1BC4" w:rsidRPr="000C050D" w:rsidRDefault="000D1BC4" w:rsidP="00291ADF">
      <w:pPr>
        <w:pStyle w:val="FootnoteText"/>
        <w:jc w:val="both"/>
      </w:pPr>
      <w:r>
        <w:rPr>
          <w:rStyle w:val="FootnoteReference"/>
        </w:rPr>
        <w:footnoteRef/>
      </w:r>
      <w:r>
        <w:t xml:space="preserve"> Terry Carney “</w:t>
      </w:r>
      <w:r w:rsidRPr="000C050D">
        <w:t>Welfare appeals and the ARC report to SSAT or not to SSAT: Is that the question?</w:t>
      </w:r>
      <w:r>
        <w:t xml:space="preserve">” (1996) 4(1) </w:t>
      </w:r>
      <w:r>
        <w:rPr>
          <w:i/>
        </w:rPr>
        <w:t>Australian Journal of Administrative Law</w:t>
      </w:r>
      <w:r>
        <w:t xml:space="preserve"> 30. &lt;</w:t>
      </w:r>
      <w:r w:rsidRPr="00E20DD0">
        <w:t xml:space="preserve"> https://ses.library.usyd.edu.au/handle/2123/33435</w:t>
      </w:r>
      <w:r>
        <w:t xml:space="preserve">&gt;; ARC </w:t>
      </w:r>
      <w:r>
        <w:rPr>
          <w:i/>
        </w:rPr>
        <w:t>The Structure and Form of Social Security Appeals</w:t>
      </w:r>
      <w:r>
        <w:t xml:space="preserve"> Report No 21 (AGPS, Canberra, 1984).</w:t>
      </w:r>
    </w:p>
  </w:footnote>
  <w:footnote w:id="115">
    <w:p w14:paraId="73C383D6" w14:textId="01A5FB2C" w:rsidR="000D1BC4" w:rsidRPr="00F53E2C" w:rsidRDefault="000D1BC4" w:rsidP="00291ADF">
      <w:pPr>
        <w:pStyle w:val="FootnoteText"/>
        <w:jc w:val="both"/>
      </w:pPr>
      <w:r>
        <w:rPr>
          <w:rStyle w:val="FootnoteReference"/>
        </w:rPr>
        <w:footnoteRef/>
      </w:r>
      <w:r>
        <w:t xml:space="preserve"> </w:t>
      </w:r>
      <w:hyperlink r:id="rId4" w:history="1">
        <w:r w:rsidRPr="00F53E2C">
          <w:rPr>
            <w:rStyle w:val="Hyperlink"/>
          </w:rPr>
          <w:t>Commonwealth</w:t>
        </w:r>
        <w:r>
          <w:rPr>
            <w:rStyle w:val="Hyperlink"/>
          </w:rPr>
          <w:t xml:space="preserve"> Parliament</w:t>
        </w:r>
        <w:r w:rsidRPr="00F53E2C">
          <w:rPr>
            <w:rStyle w:val="Hyperlink"/>
          </w:rPr>
          <w:t xml:space="preserve"> Parliamentary Debates</w:t>
        </w:r>
      </w:hyperlink>
      <w:r>
        <w:t>, House of Representatives, 29 September 1988, 1288 (Brian Howe, Minister for Social Services).</w:t>
      </w:r>
    </w:p>
  </w:footnote>
  <w:footnote w:id="116">
    <w:p w14:paraId="2EA598B0" w14:textId="2BC9F444" w:rsidR="000D1BC4" w:rsidRPr="005F634F" w:rsidRDefault="000D1BC4" w:rsidP="00291ADF">
      <w:pPr>
        <w:pStyle w:val="FootnoteText"/>
        <w:jc w:val="both"/>
        <w:rPr>
          <w:sz w:val="16"/>
          <w:szCs w:val="16"/>
        </w:rPr>
      </w:pPr>
      <w:r w:rsidRPr="00FB3C31">
        <w:rPr>
          <w:rStyle w:val="FootnoteReference"/>
          <w:sz w:val="20"/>
        </w:rPr>
        <w:footnoteRef/>
      </w:r>
      <w:r w:rsidRPr="00FB3C31">
        <w:rPr>
          <w:sz w:val="20"/>
        </w:rPr>
        <w:t xml:space="preserve"> </w:t>
      </w:r>
      <w:r w:rsidRPr="00FB3C31">
        <w:rPr>
          <w:szCs w:val="16"/>
        </w:rPr>
        <w:t xml:space="preserve">Social Security Appeals Tribunal </w:t>
      </w:r>
      <w:r>
        <w:rPr>
          <w:szCs w:val="16"/>
        </w:rPr>
        <w:t xml:space="preserve">Submission No 86 to Productivity Commission, </w:t>
      </w:r>
      <w:r w:rsidRPr="00F67DB1">
        <w:rPr>
          <w:i/>
          <w:iCs/>
          <w:szCs w:val="16"/>
        </w:rPr>
        <w:t>Access to Justice Arrangements</w:t>
      </w:r>
      <w:r w:rsidRPr="00FB3C31">
        <w:rPr>
          <w:szCs w:val="16"/>
        </w:rPr>
        <w:t xml:space="preserve"> </w:t>
      </w:r>
      <w:r w:rsidRPr="0019222F">
        <w:rPr>
          <w:szCs w:val="16"/>
        </w:rPr>
        <w:t>Issues Paper</w:t>
      </w:r>
      <w:r w:rsidRPr="00FB3C31">
        <w:rPr>
          <w:szCs w:val="16"/>
        </w:rPr>
        <w:t xml:space="preserve"> </w:t>
      </w:r>
      <w:r>
        <w:rPr>
          <w:szCs w:val="16"/>
        </w:rPr>
        <w:t>(</w:t>
      </w:r>
      <w:r w:rsidRPr="00FB3C31">
        <w:rPr>
          <w:szCs w:val="16"/>
        </w:rPr>
        <w:t>4 November 2013</w:t>
      </w:r>
      <w:r>
        <w:rPr>
          <w:szCs w:val="16"/>
        </w:rPr>
        <w:t>).</w:t>
      </w:r>
    </w:p>
  </w:footnote>
  <w:footnote w:id="117">
    <w:p w14:paraId="21DF59CD" w14:textId="5403195F" w:rsidR="000D1BC4" w:rsidRDefault="000D1BC4" w:rsidP="00291ADF">
      <w:pPr>
        <w:pStyle w:val="FootnoteText"/>
        <w:jc w:val="both"/>
      </w:pPr>
      <w:r>
        <w:rPr>
          <w:rStyle w:val="FootnoteReference"/>
        </w:rPr>
        <w:footnoteRef/>
      </w:r>
      <w:r>
        <w:t xml:space="preserve"> T Brennan “The ART as a response to the Robodebt scandal” (2024) 31 </w:t>
      </w:r>
      <w:r>
        <w:rPr>
          <w:i/>
        </w:rPr>
        <w:t>Australian Journal of Administrative Law</w:t>
      </w:r>
      <w:r>
        <w:t xml:space="preserve"> 18. </w:t>
      </w:r>
    </w:p>
  </w:footnote>
  <w:footnote w:id="118">
    <w:p w14:paraId="1084DA5A" w14:textId="1CC175C6" w:rsidR="000D1BC4" w:rsidRDefault="000D1BC4" w:rsidP="003D3D4E">
      <w:pPr>
        <w:pStyle w:val="FootnoteText"/>
      </w:pPr>
      <w:r>
        <w:rPr>
          <w:rStyle w:val="FootnoteReference"/>
        </w:rPr>
        <w:footnoteRef/>
      </w:r>
      <w:r>
        <w:t xml:space="preserve"> ARC </w:t>
      </w:r>
      <w:r>
        <w:rPr>
          <w:i/>
        </w:rPr>
        <w:t>The Structure and Form of Social Security Appeals</w:t>
      </w:r>
      <w:r>
        <w:t xml:space="preserve"> Report No 21, (AGPS, Canberra, 1984) 15-16.  </w:t>
      </w:r>
    </w:p>
  </w:footnote>
  <w:footnote w:id="119">
    <w:p w14:paraId="53B9701B" w14:textId="15F13FE2" w:rsidR="000D1BC4" w:rsidRPr="00FB3C31" w:rsidRDefault="000D1BC4" w:rsidP="003D3D4E">
      <w:pPr>
        <w:pStyle w:val="FootnoteText"/>
        <w:jc w:val="both"/>
        <w:rPr>
          <w:szCs w:val="18"/>
        </w:rPr>
      </w:pPr>
      <w:r w:rsidRPr="00FB3C31">
        <w:rPr>
          <w:rStyle w:val="FootnoteReference"/>
          <w:szCs w:val="18"/>
        </w:rPr>
        <w:footnoteRef/>
      </w:r>
      <w:r w:rsidRPr="00FB3C31">
        <w:rPr>
          <w:szCs w:val="18"/>
        </w:rPr>
        <w:t xml:space="preserve"> Revised Explanatory Memorandum, Tribunals Amalgamation Bill 2014 2.  </w:t>
      </w:r>
    </w:p>
  </w:footnote>
  <w:footnote w:id="120">
    <w:p w14:paraId="0C0EAB9B" w14:textId="6C286D59" w:rsidR="000D1BC4" w:rsidRPr="00FB3C31" w:rsidRDefault="000D1BC4" w:rsidP="003D3D4E">
      <w:pPr>
        <w:pStyle w:val="FootnoteText"/>
        <w:rPr>
          <w:szCs w:val="18"/>
        </w:rPr>
      </w:pPr>
      <w:r w:rsidRPr="00FB3C31">
        <w:rPr>
          <w:rStyle w:val="FootnoteReference"/>
          <w:szCs w:val="18"/>
        </w:rPr>
        <w:footnoteRef/>
      </w:r>
      <w:r w:rsidRPr="00FB3C31">
        <w:rPr>
          <w:szCs w:val="18"/>
        </w:rPr>
        <w:t xml:space="preserve"> Revised Explanatory Memorandum, Tribunals Amalgamation Bill 2014 3.</w:t>
      </w:r>
    </w:p>
  </w:footnote>
  <w:footnote w:id="121">
    <w:p w14:paraId="29DA0D16" w14:textId="4CF93F8B" w:rsidR="000D1BC4" w:rsidRPr="008943A7" w:rsidRDefault="000D1BC4" w:rsidP="00291ADF">
      <w:pPr>
        <w:pStyle w:val="FootnoteText"/>
        <w:jc w:val="both"/>
        <w:rPr>
          <w:sz w:val="16"/>
          <w:szCs w:val="16"/>
        </w:rPr>
      </w:pPr>
      <w:r w:rsidRPr="00FB3C31">
        <w:rPr>
          <w:rStyle w:val="FootnoteReference"/>
          <w:szCs w:val="18"/>
        </w:rPr>
        <w:footnoteRef/>
      </w:r>
      <w:r w:rsidRPr="00FB3C31">
        <w:rPr>
          <w:szCs w:val="18"/>
        </w:rPr>
        <w:t xml:space="preserve"> A</w:t>
      </w:r>
      <w:r>
        <w:rPr>
          <w:szCs w:val="18"/>
        </w:rPr>
        <w:t>GD</w:t>
      </w:r>
      <w:r w:rsidRPr="00FB3C31">
        <w:rPr>
          <w:szCs w:val="18"/>
        </w:rPr>
        <w:t xml:space="preserve"> </w:t>
      </w:r>
      <w:r w:rsidRPr="00F67DB1">
        <w:rPr>
          <w:i/>
          <w:szCs w:val="18"/>
        </w:rPr>
        <w:t xml:space="preserve">Administrative Review </w:t>
      </w:r>
      <w:r w:rsidRPr="00A86674">
        <w:rPr>
          <w:i/>
          <w:szCs w:val="18"/>
        </w:rPr>
        <w:t>Reform</w:t>
      </w:r>
      <w:r w:rsidRPr="0019222F">
        <w:rPr>
          <w:szCs w:val="18"/>
        </w:rPr>
        <w:t xml:space="preserve"> Issues Paper</w:t>
      </w:r>
      <w:r>
        <w:rPr>
          <w:szCs w:val="18"/>
        </w:rPr>
        <w:t xml:space="preserve"> (</w:t>
      </w:r>
      <w:r w:rsidRPr="00FB3C31">
        <w:rPr>
          <w:szCs w:val="18"/>
        </w:rPr>
        <w:t>April 2023) 81.</w:t>
      </w:r>
    </w:p>
  </w:footnote>
  <w:footnote w:id="122">
    <w:p w14:paraId="2D34CC2D" w14:textId="11079D40" w:rsidR="000D1BC4" w:rsidRPr="00374B1B" w:rsidRDefault="000D1BC4" w:rsidP="003D3D4E">
      <w:pPr>
        <w:pStyle w:val="FootnoteText"/>
        <w:rPr>
          <w:sz w:val="16"/>
          <w:szCs w:val="16"/>
        </w:rPr>
      </w:pPr>
      <w:r>
        <w:rPr>
          <w:rStyle w:val="FootnoteReference"/>
        </w:rPr>
        <w:footnoteRef/>
      </w:r>
      <w:r>
        <w:t xml:space="preserve"> </w:t>
      </w:r>
      <w:r w:rsidRPr="00FB3C31">
        <w:rPr>
          <w:szCs w:val="16"/>
        </w:rPr>
        <w:t>Explanatory Memorandum, Tribunals Amalgamation Bill 201</w:t>
      </w:r>
      <w:r>
        <w:rPr>
          <w:szCs w:val="16"/>
        </w:rPr>
        <w:t>4</w:t>
      </w:r>
      <w:r w:rsidRPr="00FB3C31">
        <w:rPr>
          <w:szCs w:val="16"/>
        </w:rPr>
        <w:t xml:space="preserve"> 13.</w:t>
      </w:r>
    </w:p>
  </w:footnote>
  <w:footnote w:id="123">
    <w:p w14:paraId="5D89A340" w14:textId="46A3837A" w:rsidR="000D1BC4" w:rsidRDefault="000D1BC4" w:rsidP="003D3D4E">
      <w:pPr>
        <w:pStyle w:val="FootnoteText"/>
      </w:pPr>
      <w:r>
        <w:rPr>
          <w:rStyle w:val="FootnoteReference"/>
        </w:rPr>
        <w:footnoteRef/>
      </w:r>
      <w:r>
        <w:t xml:space="preserve"> </w:t>
      </w:r>
      <w:r w:rsidRPr="0019222F">
        <w:rPr>
          <w:iCs/>
          <w:szCs w:val="18"/>
        </w:rPr>
        <w:t xml:space="preserve">Royal Commission into the </w:t>
      </w:r>
      <w:r w:rsidRPr="0019222F">
        <w:rPr>
          <w:iCs/>
          <w:szCs w:val="18"/>
        </w:rPr>
        <w:t>Robodebt Scheme</w:t>
      </w:r>
      <w:r w:rsidRPr="00FB3C31">
        <w:rPr>
          <w:i/>
          <w:szCs w:val="18"/>
        </w:rPr>
        <w:t xml:space="preserve"> </w:t>
      </w:r>
      <w:r w:rsidRPr="00416D50">
        <w:rPr>
          <w:i/>
          <w:iCs/>
          <w:szCs w:val="18"/>
        </w:rPr>
        <w:t>Report</w:t>
      </w:r>
      <w:r>
        <w:rPr>
          <w:szCs w:val="18"/>
        </w:rPr>
        <w:t xml:space="preserve"> (July </w:t>
      </w:r>
      <w:r w:rsidRPr="007F78F2">
        <w:rPr>
          <w:szCs w:val="18"/>
        </w:rPr>
        <w:t xml:space="preserve">2023) Vol </w:t>
      </w:r>
      <w:r>
        <w:rPr>
          <w:szCs w:val="18"/>
        </w:rPr>
        <w:t>2</w:t>
      </w:r>
      <w:r>
        <w:t xml:space="preserve"> 553.</w:t>
      </w:r>
    </w:p>
  </w:footnote>
  <w:footnote w:id="124">
    <w:p w14:paraId="0448C457" w14:textId="09F7B168" w:rsidR="000D1BC4" w:rsidRDefault="000D1BC4" w:rsidP="003D3D4E">
      <w:pPr>
        <w:pStyle w:val="FootnoteText"/>
        <w:jc w:val="both"/>
      </w:pPr>
      <w:r>
        <w:rPr>
          <w:rStyle w:val="FootnoteReference"/>
        </w:rPr>
        <w:footnoteRef/>
      </w:r>
      <w:r>
        <w:t xml:space="preserve"> </w:t>
      </w:r>
      <w:r w:rsidRPr="0019222F">
        <w:rPr>
          <w:iCs/>
          <w:szCs w:val="18"/>
        </w:rPr>
        <w:t xml:space="preserve">Royal Commission into the </w:t>
      </w:r>
      <w:r w:rsidRPr="0019222F">
        <w:rPr>
          <w:iCs/>
          <w:szCs w:val="18"/>
        </w:rPr>
        <w:t>Robodebt Scheme</w:t>
      </w:r>
      <w:r w:rsidRPr="00FB3C31">
        <w:rPr>
          <w:i/>
          <w:szCs w:val="18"/>
        </w:rPr>
        <w:t xml:space="preserve"> </w:t>
      </w:r>
      <w:r w:rsidRPr="00416D50">
        <w:rPr>
          <w:i/>
          <w:iCs/>
          <w:szCs w:val="18"/>
        </w:rPr>
        <w:t>Report</w:t>
      </w:r>
      <w:r>
        <w:rPr>
          <w:szCs w:val="18"/>
        </w:rPr>
        <w:t xml:space="preserve"> (July </w:t>
      </w:r>
      <w:r w:rsidRPr="007F78F2">
        <w:rPr>
          <w:szCs w:val="18"/>
        </w:rPr>
        <w:t xml:space="preserve">2023) Vol </w:t>
      </w:r>
      <w:r>
        <w:rPr>
          <w:szCs w:val="18"/>
        </w:rPr>
        <w:t xml:space="preserve">2 </w:t>
      </w:r>
      <w:r>
        <w:t xml:space="preserve">555. </w:t>
      </w:r>
    </w:p>
  </w:footnote>
  <w:footnote w:id="125">
    <w:p w14:paraId="76A0FB45" w14:textId="7E5DA8E9" w:rsidR="000D1BC4" w:rsidRDefault="000D1BC4" w:rsidP="003D3D4E">
      <w:pPr>
        <w:pStyle w:val="FootnoteText"/>
        <w:jc w:val="both"/>
      </w:pPr>
      <w:r>
        <w:rPr>
          <w:rStyle w:val="FootnoteReference"/>
        </w:rPr>
        <w:footnoteRef/>
      </w:r>
      <w:r>
        <w:t xml:space="preserve"> </w:t>
      </w:r>
      <w:r w:rsidRPr="0019222F">
        <w:rPr>
          <w:iCs/>
          <w:szCs w:val="18"/>
        </w:rPr>
        <w:t xml:space="preserve">Royal Commission into the </w:t>
      </w:r>
      <w:r w:rsidRPr="0019222F">
        <w:rPr>
          <w:iCs/>
          <w:szCs w:val="18"/>
        </w:rPr>
        <w:t>Robodebt Scheme</w:t>
      </w:r>
      <w:r w:rsidRPr="00FB3C31">
        <w:rPr>
          <w:i/>
          <w:szCs w:val="18"/>
        </w:rPr>
        <w:t xml:space="preserve"> </w:t>
      </w:r>
      <w:r w:rsidRPr="00416D50">
        <w:rPr>
          <w:i/>
          <w:iCs/>
          <w:szCs w:val="18"/>
        </w:rPr>
        <w:t>Report</w:t>
      </w:r>
      <w:r>
        <w:rPr>
          <w:szCs w:val="18"/>
        </w:rPr>
        <w:t xml:space="preserve"> (July </w:t>
      </w:r>
      <w:r w:rsidRPr="007F78F2">
        <w:rPr>
          <w:szCs w:val="18"/>
        </w:rPr>
        <w:t xml:space="preserve">2023) Vol </w:t>
      </w:r>
      <w:r>
        <w:rPr>
          <w:szCs w:val="18"/>
        </w:rPr>
        <w:t xml:space="preserve">2 </w:t>
      </w:r>
      <w:r>
        <w:t>554.</w:t>
      </w:r>
    </w:p>
  </w:footnote>
  <w:footnote w:id="126">
    <w:p w14:paraId="18D472B7" w14:textId="1F347B89" w:rsidR="000D1BC4" w:rsidRDefault="000D1BC4" w:rsidP="003D3D4E">
      <w:pPr>
        <w:pStyle w:val="FootnoteText"/>
        <w:jc w:val="both"/>
      </w:pPr>
      <w:r>
        <w:rPr>
          <w:rStyle w:val="FootnoteReference"/>
        </w:rPr>
        <w:footnoteRef/>
      </w:r>
      <w:r>
        <w:t xml:space="preserve"> </w:t>
      </w:r>
      <w:r w:rsidRPr="0019222F">
        <w:rPr>
          <w:iCs/>
          <w:szCs w:val="18"/>
        </w:rPr>
        <w:t xml:space="preserve">Royal Commission into the </w:t>
      </w:r>
      <w:r w:rsidRPr="0019222F">
        <w:rPr>
          <w:iCs/>
          <w:szCs w:val="18"/>
        </w:rPr>
        <w:t>Robodebt Scheme</w:t>
      </w:r>
      <w:r w:rsidRPr="00FB3C31">
        <w:rPr>
          <w:i/>
          <w:szCs w:val="18"/>
        </w:rPr>
        <w:t xml:space="preserve"> </w:t>
      </w:r>
      <w:r w:rsidRPr="00416D50">
        <w:rPr>
          <w:i/>
          <w:iCs/>
          <w:szCs w:val="18"/>
        </w:rPr>
        <w:t>Report</w:t>
      </w:r>
      <w:r>
        <w:rPr>
          <w:szCs w:val="18"/>
        </w:rPr>
        <w:t xml:space="preserve"> (July </w:t>
      </w:r>
      <w:r w:rsidRPr="007F78F2">
        <w:rPr>
          <w:szCs w:val="18"/>
        </w:rPr>
        <w:t xml:space="preserve">2023) Vol </w:t>
      </w:r>
      <w:r>
        <w:rPr>
          <w:szCs w:val="18"/>
        </w:rPr>
        <w:t>2.</w:t>
      </w:r>
    </w:p>
  </w:footnote>
  <w:footnote w:id="127">
    <w:p w14:paraId="294198A5" w14:textId="6A25F372" w:rsidR="000D1BC4" w:rsidRDefault="000D1BC4" w:rsidP="003D3D4E">
      <w:pPr>
        <w:pStyle w:val="FootnoteText"/>
        <w:jc w:val="both"/>
      </w:pPr>
      <w:r>
        <w:rPr>
          <w:rStyle w:val="FootnoteReference"/>
        </w:rPr>
        <w:footnoteRef/>
      </w:r>
      <w:r>
        <w:t xml:space="preserve"> </w:t>
      </w:r>
      <w:r w:rsidRPr="0019222F">
        <w:rPr>
          <w:iCs/>
          <w:szCs w:val="18"/>
        </w:rPr>
        <w:t xml:space="preserve">Royal Commission into the </w:t>
      </w:r>
      <w:r w:rsidRPr="0019222F">
        <w:rPr>
          <w:iCs/>
          <w:szCs w:val="18"/>
        </w:rPr>
        <w:t>Robodebt Scheme</w:t>
      </w:r>
      <w:r w:rsidRPr="00FB3C31">
        <w:rPr>
          <w:i/>
          <w:szCs w:val="18"/>
        </w:rPr>
        <w:t xml:space="preserve"> </w:t>
      </w:r>
      <w:r w:rsidRPr="00416D50">
        <w:rPr>
          <w:i/>
          <w:iCs/>
          <w:szCs w:val="18"/>
        </w:rPr>
        <w:t>Report</w:t>
      </w:r>
      <w:r>
        <w:rPr>
          <w:szCs w:val="18"/>
        </w:rPr>
        <w:t xml:space="preserve"> (July </w:t>
      </w:r>
      <w:r w:rsidRPr="007F78F2">
        <w:rPr>
          <w:szCs w:val="18"/>
        </w:rPr>
        <w:t xml:space="preserve">2023) Vol </w:t>
      </w:r>
      <w:r>
        <w:rPr>
          <w:szCs w:val="18"/>
        </w:rPr>
        <w:t>2</w:t>
      </w:r>
      <w:r>
        <w:t xml:space="preserve"> 563.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F68DE" w14:textId="77777777" w:rsidR="000D1BC4" w:rsidRDefault="000D1BC4"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F9141" w14:textId="77777777" w:rsidR="000D1BC4" w:rsidRDefault="000D1BC4" w:rsidP="00205A93">
    <w:pPr>
      <w:pStyle w:val="Header"/>
      <w:tabs>
        <w:tab w:val="clear" w:pos="4513"/>
        <w:tab w:val="clear" w:pos="9026"/>
        <w:tab w:val="center" w:pos="453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03374" w14:textId="77777777" w:rsidR="000D1BC4" w:rsidRDefault="000D1B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4FF9F" w14:textId="77777777" w:rsidR="000D1BC4" w:rsidRDefault="000D1BC4"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EBE9B" w14:textId="77777777" w:rsidR="000D1BC4" w:rsidRDefault="000D1B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CE228" w14:textId="77777777" w:rsidR="000D1BC4" w:rsidRDefault="000D1BC4"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9727EE6"/>
    <w:lvl w:ilvl="0">
      <w:start w:val="1"/>
      <w:numFmt w:val="decimal"/>
      <w:pStyle w:val="ListNumber"/>
      <w:lvlText w:val="%1."/>
      <w:lvlJc w:val="left"/>
      <w:pPr>
        <w:tabs>
          <w:tab w:val="num" w:pos="360"/>
        </w:tabs>
        <w:ind w:left="360" w:hanging="360"/>
      </w:pPr>
    </w:lvl>
  </w:abstractNum>
  <w:abstractNum w:abstractNumId="1" w15:restartNumberingAfterBreak="0">
    <w:nsid w:val="02907656"/>
    <w:multiLevelType w:val="multilevel"/>
    <w:tmpl w:val="1FAA2C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7846A6"/>
    <w:multiLevelType w:val="hybridMultilevel"/>
    <w:tmpl w:val="3D58DD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9D90814"/>
    <w:multiLevelType w:val="multilevel"/>
    <w:tmpl w:val="48CC1F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BEE5264"/>
    <w:multiLevelType w:val="multilevel"/>
    <w:tmpl w:val="5C9C212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566097"/>
    <w:multiLevelType w:val="multilevel"/>
    <w:tmpl w:val="5C9C212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5E5B08"/>
    <w:multiLevelType w:val="hybridMultilevel"/>
    <w:tmpl w:val="13E24868"/>
    <w:lvl w:ilvl="0" w:tplc="E0B660EE">
      <w:start w:val="1"/>
      <w:numFmt w:val="decimal"/>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8"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F956BC"/>
    <w:multiLevelType w:val="hybridMultilevel"/>
    <w:tmpl w:val="4EE8A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AB3020"/>
    <w:multiLevelType w:val="hybridMultilevel"/>
    <w:tmpl w:val="E15C0F02"/>
    <w:lvl w:ilvl="0" w:tplc="0C090001">
      <w:start w:val="1"/>
      <w:numFmt w:val="bullet"/>
      <w:lvlText w:val=""/>
      <w:lvlJc w:val="left"/>
      <w:pPr>
        <w:ind w:left="1495" w:hanging="360"/>
      </w:pPr>
      <w:rPr>
        <w:rFonts w:ascii="Symbol" w:hAnsi="Symbol" w:hint="default"/>
      </w:rPr>
    </w:lvl>
    <w:lvl w:ilvl="1" w:tplc="0C090003">
      <w:start w:val="1"/>
      <w:numFmt w:val="bullet"/>
      <w:lvlText w:val="o"/>
      <w:lvlJc w:val="left"/>
      <w:pPr>
        <w:ind w:left="2215" w:hanging="360"/>
      </w:pPr>
      <w:rPr>
        <w:rFonts w:ascii="Courier New" w:hAnsi="Courier New" w:cs="Courier New" w:hint="default"/>
      </w:rPr>
    </w:lvl>
    <w:lvl w:ilvl="2" w:tplc="0C090005">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1" w15:restartNumberingAfterBreak="0">
    <w:nsid w:val="23CE5E8C"/>
    <w:multiLevelType w:val="multilevel"/>
    <w:tmpl w:val="5C9C212A"/>
    <w:lvl w:ilvl="0">
      <w:start w:val="1"/>
      <w:numFmt w:val="decimal"/>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186B16"/>
    <w:multiLevelType w:val="multilevel"/>
    <w:tmpl w:val="01C05F2C"/>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2D0E23FF"/>
    <w:multiLevelType w:val="hybridMultilevel"/>
    <w:tmpl w:val="C038A864"/>
    <w:lvl w:ilvl="0" w:tplc="4784FD3E">
      <w:start w:val="13"/>
      <w:numFmt w:val="decimal"/>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14" w15:restartNumberingAfterBreak="0">
    <w:nsid w:val="2D20539D"/>
    <w:multiLevelType w:val="hybridMultilevel"/>
    <w:tmpl w:val="CEBEC9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0934175"/>
    <w:multiLevelType w:val="multilevel"/>
    <w:tmpl w:val="1FAA2C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4CD50FD"/>
    <w:multiLevelType w:val="hybridMultilevel"/>
    <w:tmpl w:val="3286C318"/>
    <w:lvl w:ilvl="0" w:tplc="A916424E">
      <w:start w:val="1"/>
      <w:numFmt w:val="lowerLetter"/>
      <w:pStyle w:val="ListNumber2"/>
      <w:lvlText w:val="%1."/>
      <w:lvlJc w:val="left"/>
      <w:pPr>
        <w:ind w:left="700"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5B23E00"/>
    <w:multiLevelType w:val="hybridMultilevel"/>
    <w:tmpl w:val="750012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A75531"/>
    <w:multiLevelType w:val="hybridMultilevel"/>
    <w:tmpl w:val="EFE242B6"/>
    <w:lvl w:ilvl="0" w:tplc="CFB0343C">
      <w:start w:val="1"/>
      <w:numFmt w:val="bullet"/>
      <w:pStyle w:val="ListBullet2"/>
      <w:lvlText w:val="–"/>
      <w:lvlJc w:val="left"/>
      <w:pPr>
        <w:ind w:left="1400" w:hanging="360"/>
      </w:pPr>
      <w:rPr>
        <w:rFonts w:ascii="Arial" w:hAnsi="Arial" w:hint="default"/>
        <w:color w:val="auto"/>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9" w15:restartNumberingAfterBreak="0">
    <w:nsid w:val="3F9A25E3"/>
    <w:multiLevelType w:val="hybridMultilevel"/>
    <w:tmpl w:val="0F3A8708"/>
    <w:lvl w:ilvl="0" w:tplc="0F021522">
      <w:start w:val="12"/>
      <w:numFmt w:val="decimal"/>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20" w15:restartNumberingAfterBreak="0">
    <w:nsid w:val="42672EEB"/>
    <w:multiLevelType w:val="hybridMultilevel"/>
    <w:tmpl w:val="6EF4F4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5452C73"/>
    <w:multiLevelType w:val="multilevel"/>
    <w:tmpl w:val="5C9C212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2443DB2"/>
    <w:multiLevelType w:val="multilevel"/>
    <w:tmpl w:val="9386074A"/>
    <w:lvl w:ilvl="0">
      <w:start w:val="1"/>
      <w:numFmt w:val="decimal"/>
      <w:lvlText w:val="%1."/>
      <w:lvlJc w:val="left"/>
      <w:pPr>
        <w:ind w:left="1080" w:hanging="72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2706355"/>
    <w:multiLevelType w:val="multilevel"/>
    <w:tmpl w:val="24BA70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36519CC"/>
    <w:multiLevelType w:val="hybridMultilevel"/>
    <w:tmpl w:val="DCA677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6110A8A"/>
    <w:multiLevelType w:val="multilevel"/>
    <w:tmpl w:val="1FAA2C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C1E329B"/>
    <w:multiLevelType w:val="multilevel"/>
    <w:tmpl w:val="5C9C212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FA2107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E25A63"/>
    <w:multiLevelType w:val="multilevel"/>
    <w:tmpl w:val="1FAA2C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3A5E14"/>
    <w:multiLevelType w:val="multilevel"/>
    <w:tmpl w:val="1FAA2C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F4B5DB2"/>
    <w:multiLevelType w:val="multilevel"/>
    <w:tmpl w:val="9C387A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1CC6E65"/>
    <w:multiLevelType w:val="hybridMultilevel"/>
    <w:tmpl w:val="D2C6A14C"/>
    <w:lvl w:ilvl="0" w:tplc="3FBEDB0C">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78036270"/>
    <w:multiLevelType w:val="hybridMultilevel"/>
    <w:tmpl w:val="ECCAAEBC"/>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996B1C"/>
    <w:multiLevelType w:val="hybridMultilevel"/>
    <w:tmpl w:val="C826D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A472B4"/>
    <w:multiLevelType w:val="multilevel"/>
    <w:tmpl w:val="6A440E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A6A7983"/>
    <w:multiLevelType w:val="hybridMultilevel"/>
    <w:tmpl w:val="F2BEE2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AD91D73"/>
    <w:multiLevelType w:val="multilevel"/>
    <w:tmpl w:val="034AAC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AF47CF"/>
    <w:multiLevelType w:val="hybridMultilevel"/>
    <w:tmpl w:val="2278A458"/>
    <w:lvl w:ilvl="0" w:tplc="3FBEDB0C">
      <w:start w:val="1"/>
      <w:numFmt w:val="lowerRoman"/>
      <w:lvlText w:val="(%1)"/>
      <w:lvlJc w:val="right"/>
      <w:pPr>
        <w:ind w:left="1778" w:hanging="360"/>
      </w:pPr>
      <w:rPr>
        <w:rFonts w:hint="default"/>
      </w:rPr>
    </w:lvl>
    <w:lvl w:ilvl="1" w:tplc="5C3CEDB6">
      <w:start w:val="1"/>
      <w:numFmt w:val="lowerLetter"/>
      <w:lvlText w:val="(%2)"/>
      <w:lvlJc w:val="left"/>
      <w:pPr>
        <w:ind w:left="2498" w:hanging="360"/>
      </w:pPr>
      <w:rPr>
        <w:rFonts w:hint="default"/>
      </w:r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0" w15:restartNumberingAfterBreak="0">
    <w:nsid w:val="7D6C62CA"/>
    <w:multiLevelType w:val="multilevel"/>
    <w:tmpl w:val="14A8E9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EF41BA2"/>
    <w:multiLevelType w:val="multilevel"/>
    <w:tmpl w:val="934406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4141608">
    <w:abstractNumId w:val="0"/>
  </w:num>
  <w:num w:numId="2" w16cid:durableId="1892961902">
    <w:abstractNumId w:val="8"/>
  </w:num>
  <w:num w:numId="3" w16cid:durableId="456459750">
    <w:abstractNumId w:val="16"/>
  </w:num>
  <w:num w:numId="4" w16cid:durableId="1804107129">
    <w:abstractNumId w:val="22"/>
  </w:num>
  <w:num w:numId="5" w16cid:durableId="288165886">
    <w:abstractNumId w:val="30"/>
  </w:num>
  <w:num w:numId="6" w16cid:durableId="742947011">
    <w:abstractNumId w:val="2"/>
  </w:num>
  <w:num w:numId="7" w16cid:durableId="667172042">
    <w:abstractNumId w:val="18"/>
  </w:num>
  <w:num w:numId="8" w16cid:durableId="482430400">
    <w:abstractNumId w:val="37"/>
  </w:num>
  <w:num w:numId="9" w16cid:durableId="743795777">
    <w:abstractNumId w:val="20"/>
  </w:num>
  <w:num w:numId="10" w16cid:durableId="1893156376">
    <w:abstractNumId w:val="25"/>
  </w:num>
  <w:num w:numId="11" w16cid:durableId="1301300393">
    <w:abstractNumId w:val="7"/>
  </w:num>
  <w:num w:numId="12" w16cid:durableId="356661419">
    <w:abstractNumId w:val="35"/>
  </w:num>
  <w:num w:numId="13" w16cid:durableId="193612803">
    <w:abstractNumId w:val="10"/>
  </w:num>
  <w:num w:numId="14" w16cid:durableId="1452242963">
    <w:abstractNumId w:val="19"/>
  </w:num>
  <w:num w:numId="15" w16cid:durableId="804087357">
    <w:abstractNumId w:val="34"/>
  </w:num>
  <w:num w:numId="16" w16cid:durableId="682515706">
    <w:abstractNumId w:val="14"/>
  </w:num>
  <w:num w:numId="17" w16cid:durableId="1231958595">
    <w:abstractNumId w:val="3"/>
  </w:num>
  <w:num w:numId="18" w16cid:durableId="1217661251">
    <w:abstractNumId w:val="9"/>
  </w:num>
  <w:num w:numId="19" w16cid:durableId="1145199389">
    <w:abstractNumId w:val="13"/>
  </w:num>
  <w:num w:numId="20" w16cid:durableId="2074154533">
    <w:abstractNumId w:val="12"/>
  </w:num>
  <w:num w:numId="21" w16cid:durableId="2079547170">
    <w:abstractNumId w:val="39"/>
  </w:num>
  <w:num w:numId="22" w16cid:durableId="1935624515">
    <w:abstractNumId w:val="24"/>
  </w:num>
  <w:num w:numId="23" w16cid:durableId="1283029590">
    <w:abstractNumId w:val="6"/>
  </w:num>
  <w:num w:numId="24" w16cid:durableId="2086604966">
    <w:abstractNumId w:val="5"/>
  </w:num>
  <w:num w:numId="25" w16cid:durableId="324434642">
    <w:abstractNumId w:val="21"/>
  </w:num>
  <w:num w:numId="26" w16cid:durableId="1442261240">
    <w:abstractNumId w:val="11"/>
  </w:num>
  <w:num w:numId="27" w16cid:durableId="1001011156">
    <w:abstractNumId w:val="27"/>
  </w:num>
  <w:num w:numId="28" w16cid:durableId="1176845733">
    <w:abstractNumId w:val="28"/>
  </w:num>
  <w:num w:numId="29" w16cid:durableId="103810469">
    <w:abstractNumId w:val="26"/>
  </w:num>
  <w:num w:numId="30" w16cid:durableId="491415464">
    <w:abstractNumId w:val="29"/>
  </w:num>
  <w:num w:numId="31" w16cid:durableId="1881941052">
    <w:abstractNumId w:val="1"/>
  </w:num>
  <w:num w:numId="32" w16cid:durableId="1056120806">
    <w:abstractNumId w:val="31"/>
  </w:num>
  <w:num w:numId="33" w16cid:durableId="1861627352">
    <w:abstractNumId w:val="15"/>
  </w:num>
  <w:num w:numId="34" w16cid:durableId="2080322383">
    <w:abstractNumId w:val="40"/>
  </w:num>
  <w:num w:numId="35" w16cid:durableId="1766923560">
    <w:abstractNumId w:val="4"/>
  </w:num>
  <w:num w:numId="36" w16cid:durableId="1108431016">
    <w:abstractNumId w:val="32"/>
  </w:num>
  <w:num w:numId="37" w16cid:durableId="820148941">
    <w:abstractNumId w:val="36"/>
  </w:num>
  <w:num w:numId="38" w16cid:durableId="1211571388">
    <w:abstractNumId w:val="33"/>
  </w:num>
  <w:num w:numId="39" w16cid:durableId="1701281116">
    <w:abstractNumId w:val="23"/>
  </w:num>
  <w:num w:numId="40" w16cid:durableId="386219791">
    <w:abstractNumId w:val="38"/>
  </w:num>
  <w:num w:numId="41" w16cid:durableId="664285700">
    <w:abstractNumId w:val="41"/>
  </w:num>
  <w:num w:numId="42" w16cid:durableId="141612500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removePersonalInformation/>
  <w:removeDateAndTime/>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6D"/>
    <w:rsid w:val="00003743"/>
    <w:rsid w:val="00004586"/>
    <w:rsid w:val="000047B4"/>
    <w:rsid w:val="00005712"/>
    <w:rsid w:val="00006777"/>
    <w:rsid w:val="00007FD8"/>
    <w:rsid w:val="000117F8"/>
    <w:rsid w:val="00013AAE"/>
    <w:rsid w:val="00017BE8"/>
    <w:rsid w:val="000239E9"/>
    <w:rsid w:val="00025AF4"/>
    <w:rsid w:val="00026139"/>
    <w:rsid w:val="00027071"/>
    <w:rsid w:val="00027601"/>
    <w:rsid w:val="00033321"/>
    <w:rsid w:val="000338E5"/>
    <w:rsid w:val="00033ECC"/>
    <w:rsid w:val="0003422F"/>
    <w:rsid w:val="00046FF0"/>
    <w:rsid w:val="00050176"/>
    <w:rsid w:val="00050684"/>
    <w:rsid w:val="00052A87"/>
    <w:rsid w:val="00054D11"/>
    <w:rsid w:val="00062B65"/>
    <w:rsid w:val="00066C86"/>
    <w:rsid w:val="00067456"/>
    <w:rsid w:val="00071248"/>
    <w:rsid w:val="00071506"/>
    <w:rsid w:val="0007154F"/>
    <w:rsid w:val="00071CBE"/>
    <w:rsid w:val="00075E40"/>
    <w:rsid w:val="00081AB1"/>
    <w:rsid w:val="00083657"/>
    <w:rsid w:val="00090316"/>
    <w:rsid w:val="00093981"/>
    <w:rsid w:val="00093CD9"/>
    <w:rsid w:val="000954CE"/>
    <w:rsid w:val="000A2861"/>
    <w:rsid w:val="000A317E"/>
    <w:rsid w:val="000A7A02"/>
    <w:rsid w:val="000B067A"/>
    <w:rsid w:val="000B1540"/>
    <w:rsid w:val="000B33FD"/>
    <w:rsid w:val="000B4ABA"/>
    <w:rsid w:val="000C050D"/>
    <w:rsid w:val="000C2C25"/>
    <w:rsid w:val="000C4B16"/>
    <w:rsid w:val="000C50C3"/>
    <w:rsid w:val="000C6D8F"/>
    <w:rsid w:val="000D1BC4"/>
    <w:rsid w:val="000D21F6"/>
    <w:rsid w:val="000D42C3"/>
    <w:rsid w:val="000D4500"/>
    <w:rsid w:val="000D56E4"/>
    <w:rsid w:val="000D7AEA"/>
    <w:rsid w:val="000E01A9"/>
    <w:rsid w:val="000E2C66"/>
    <w:rsid w:val="000E6E7D"/>
    <w:rsid w:val="000F123C"/>
    <w:rsid w:val="000F1B63"/>
    <w:rsid w:val="000F2DE0"/>
    <w:rsid w:val="000F2FED"/>
    <w:rsid w:val="000F5E37"/>
    <w:rsid w:val="000F76BE"/>
    <w:rsid w:val="00100F6D"/>
    <w:rsid w:val="0010422F"/>
    <w:rsid w:val="0010616D"/>
    <w:rsid w:val="00107D24"/>
    <w:rsid w:val="00110478"/>
    <w:rsid w:val="00113414"/>
    <w:rsid w:val="00115848"/>
    <w:rsid w:val="0011711B"/>
    <w:rsid w:val="00117F8A"/>
    <w:rsid w:val="00121B9B"/>
    <w:rsid w:val="00122ADC"/>
    <w:rsid w:val="001255FE"/>
    <w:rsid w:val="00130F59"/>
    <w:rsid w:val="00131DD2"/>
    <w:rsid w:val="00133063"/>
    <w:rsid w:val="00133EC0"/>
    <w:rsid w:val="00141CE5"/>
    <w:rsid w:val="00142E78"/>
    <w:rsid w:val="00144908"/>
    <w:rsid w:val="001571C7"/>
    <w:rsid w:val="00161094"/>
    <w:rsid w:val="0016236D"/>
    <w:rsid w:val="00162BD3"/>
    <w:rsid w:val="00167BD0"/>
    <w:rsid w:val="00172717"/>
    <w:rsid w:val="00172A55"/>
    <w:rsid w:val="00173D60"/>
    <w:rsid w:val="001758CD"/>
    <w:rsid w:val="0017665C"/>
    <w:rsid w:val="00177AD2"/>
    <w:rsid w:val="001815A8"/>
    <w:rsid w:val="001840FA"/>
    <w:rsid w:val="00190079"/>
    <w:rsid w:val="001907BF"/>
    <w:rsid w:val="0019222F"/>
    <w:rsid w:val="00196118"/>
    <w:rsid w:val="0019622E"/>
    <w:rsid w:val="001963D0"/>
    <w:rsid w:val="001966A7"/>
    <w:rsid w:val="001A4627"/>
    <w:rsid w:val="001A4979"/>
    <w:rsid w:val="001A52E3"/>
    <w:rsid w:val="001A7A64"/>
    <w:rsid w:val="001B15D3"/>
    <w:rsid w:val="001B3443"/>
    <w:rsid w:val="001B3AC3"/>
    <w:rsid w:val="001B44F8"/>
    <w:rsid w:val="001B49DC"/>
    <w:rsid w:val="001C0326"/>
    <w:rsid w:val="001C192F"/>
    <w:rsid w:val="001C3C42"/>
    <w:rsid w:val="001C6922"/>
    <w:rsid w:val="001C722B"/>
    <w:rsid w:val="001D7328"/>
    <w:rsid w:val="001D7869"/>
    <w:rsid w:val="001E2F75"/>
    <w:rsid w:val="001F09D7"/>
    <w:rsid w:val="001F2F78"/>
    <w:rsid w:val="001F4544"/>
    <w:rsid w:val="001F4A58"/>
    <w:rsid w:val="001F5B6C"/>
    <w:rsid w:val="002026CD"/>
    <w:rsid w:val="00202AE4"/>
    <w:rsid w:val="002031F4"/>
    <w:rsid w:val="002033FC"/>
    <w:rsid w:val="002044BB"/>
    <w:rsid w:val="00205A93"/>
    <w:rsid w:val="00206A97"/>
    <w:rsid w:val="00207793"/>
    <w:rsid w:val="00210B09"/>
    <w:rsid w:val="00210C9E"/>
    <w:rsid w:val="00211840"/>
    <w:rsid w:val="00212B2E"/>
    <w:rsid w:val="00213454"/>
    <w:rsid w:val="00214210"/>
    <w:rsid w:val="00214E14"/>
    <w:rsid w:val="00220E5F"/>
    <w:rsid w:val="002212B5"/>
    <w:rsid w:val="00224751"/>
    <w:rsid w:val="0022508B"/>
    <w:rsid w:val="00226668"/>
    <w:rsid w:val="00231562"/>
    <w:rsid w:val="002317AD"/>
    <w:rsid w:val="00233809"/>
    <w:rsid w:val="00236073"/>
    <w:rsid w:val="00237223"/>
    <w:rsid w:val="00240046"/>
    <w:rsid w:val="0024797F"/>
    <w:rsid w:val="0025119E"/>
    <w:rsid w:val="00251269"/>
    <w:rsid w:val="002535C0"/>
    <w:rsid w:val="002579FE"/>
    <w:rsid w:val="0026311C"/>
    <w:rsid w:val="00264ED8"/>
    <w:rsid w:val="0026668C"/>
    <w:rsid w:val="00266AA8"/>
    <w:rsid w:val="00266AC1"/>
    <w:rsid w:val="0027178C"/>
    <w:rsid w:val="002719FA"/>
    <w:rsid w:val="00272668"/>
    <w:rsid w:val="0027330B"/>
    <w:rsid w:val="0027454B"/>
    <w:rsid w:val="00276E84"/>
    <w:rsid w:val="002803AD"/>
    <w:rsid w:val="00282052"/>
    <w:rsid w:val="00282F6D"/>
    <w:rsid w:val="0028519E"/>
    <w:rsid w:val="002856A5"/>
    <w:rsid w:val="002872ED"/>
    <w:rsid w:val="002905C2"/>
    <w:rsid w:val="00291ADF"/>
    <w:rsid w:val="00295AF2"/>
    <w:rsid w:val="00295C91"/>
    <w:rsid w:val="00297151"/>
    <w:rsid w:val="002A000E"/>
    <w:rsid w:val="002B20E6"/>
    <w:rsid w:val="002B2DE8"/>
    <w:rsid w:val="002B42A3"/>
    <w:rsid w:val="002B63E0"/>
    <w:rsid w:val="002C0CDD"/>
    <w:rsid w:val="002E1A1D"/>
    <w:rsid w:val="002E30FA"/>
    <w:rsid w:val="002E4081"/>
    <w:rsid w:val="002E5B78"/>
    <w:rsid w:val="002F0D40"/>
    <w:rsid w:val="002F32B8"/>
    <w:rsid w:val="002F3AE3"/>
    <w:rsid w:val="00301658"/>
    <w:rsid w:val="0030464B"/>
    <w:rsid w:val="00304D29"/>
    <w:rsid w:val="00306B27"/>
    <w:rsid w:val="0030786C"/>
    <w:rsid w:val="00310CE0"/>
    <w:rsid w:val="00315C31"/>
    <w:rsid w:val="00315C38"/>
    <w:rsid w:val="003233DE"/>
    <w:rsid w:val="00323DEC"/>
    <w:rsid w:val="0032466B"/>
    <w:rsid w:val="00324EAF"/>
    <w:rsid w:val="00327B44"/>
    <w:rsid w:val="003330EB"/>
    <w:rsid w:val="00336605"/>
    <w:rsid w:val="003415FD"/>
    <w:rsid w:val="003419B3"/>
    <w:rsid w:val="003429F0"/>
    <w:rsid w:val="00346C4A"/>
    <w:rsid w:val="003500A3"/>
    <w:rsid w:val="0035097A"/>
    <w:rsid w:val="00351AD8"/>
    <w:rsid w:val="003540A4"/>
    <w:rsid w:val="00360E4E"/>
    <w:rsid w:val="0036669C"/>
    <w:rsid w:val="00366B9C"/>
    <w:rsid w:val="003707AB"/>
    <w:rsid w:val="00370AAA"/>
    <w:rsid w:val="00371C24"/>
    <w:rsid w:val="00372278"/>
    <w:rsid w:val="003731C4"/>
    <w:rsid w:val="00375F77"/>
    <w:rsid w:val="00377A78"/>
    <w:rsid w:val="00381BBE"/>
    <w:rsid w:val="00382903"/>
    <w:rsid w:val="003846FF"/>
    <w:rsid w:val="00385AD4"/>
    <w:rsid w:val="00387924"/>
    <w:rsid w:val="0039087A"/>
    <w:rsid w:val="0039384D"/>
    <w:rsid w:val="00395C23"/>
    <w:rsid w:val="003A2E4F"/>
    <w:rsid w:val="003A4438"/>
    <w:rsid w:val="003A4541"/>
    <w:rsid w:val="003A5013"/>
    <w:rsid w:val="003A5078"/>
    <w:rsid w:val="003A62DD"/>
    <w:rsid w:val="003A775A"/>
    <w:rsid w:val="003B0DAB"/>
    <w:rsid w:val="003B2081"/>
    <w:rsid w:val="003B213A"/>
    <w:rsid w:val="003B43AD"/>
    <w:rsid w:val="003B4857"/>
    <w:rsid w:val="003C0FEC"/>
    <w:rsid w:val="003C15B8"/>
    <w:rsid w:val="003C2AC8"/>
    <w:rsid w:val="003D17F9"/>
    <w:rsid w:val="003D2D88"/>
    <w:rsid w:val="003D31BD"/>
    <w:rsid w:val="003D3D4E"/>
    <w:rsid w:val="003D41EA"/>
    <w:rsid w:val="003D4850"/>
    <w:rsid w:val="003D535A"/>
    <w:rsid w:val="003E09DB"/>
    <w:rsid w:val="003E10B8"/>
    <w:rsid w:val="003E12DD"/>
    <w:rsid w:val="003E5265"/>
    <w:rsid w:val="003E63AD"/>
    <w:rsid w:val="003E6D7D"/>
    <w:rsid w:val="003F0955"/>
    <w:rsid w:val="003F282F"/>
    <w:rsid w:val="003F36A2"/>
    <w:rsid w:val="003F6FE1"/>
    <w:rsid w:val="003F7C17"/>
    <w:rsid w:val="00400F00"/>
    <w:rsid w:val="00404F8B"/>
    <w:rsid w:val="00405256"/>
    <w:rsid w:val="00410031"/>
    <w:rsid w:val="004115A2"/>
    <w:rsid w:val="00411B02"/>
    <w:rsid w:val="00412A73"/>
    <w:rsid w:val="00415328"/>
    <w:rsid w:val="00415C81"/>
    <w:rsid w:val="00416731"/>
    <w:rsid w:val="00416D50"/>
    <w:rsid w:val="004252E7"/>
    <w:rsid w:val="0042556C"/>
    <w:rsid w:val="004305AB"/>
    <w:rsid w:val="00431D39"/>
    <w:rsid w:val="00432378"/>
    <w:rsid w:val="00435117"/>
    <w:rsid w:val="00435EFA"/>
    <w:rsid w:val="00440D65"/>
    <w:rsid w:val="004435E6"/>
    <w:rsid w:val="00446C65"/>
    <w:rsid w:val="0044777E"/>
    <w:rsid w:val="00447B2A"/>
    <w:rsid w:val="00447E31"/>
    <w:rsid w:val="00453923"/>
    <w:rsid w:val="00454B9B"/>
    <w:rsid w:val="00457858"/>
    <w:rsid w:val="00460B0B"/>
    <w:rsid w:val="00461023"/>
    <w:rsid w:val="00462FAC"/>
    <w:rsid w:val="00464631"/>
    <w:rsid w:val="00464B79"/>
    <w:rsid w:val="00466FE6"/>
    <w:rsid w:val="00467BBF"/>
    <w:rsid w:val="00474F09"/>
    <w:rsid w:val="00481F09"/>
    <w:rsid w:val="004867E2"/>
    <w:rsid w:val="004929A9"/>
    <w:rsid w:val="004B1258"/>
    <w:rsid w:val="004B50F4"/>
    <w:rsid w:val="004B6C20"/>
    <w:rsid w:val="004C2FEC"/>
    <w:rsid w:val="004C417B"/>
    <w:rsid w:val="004C6BCF"/>
    <w:rsid w:val="004D1339"/>
    <w:rsid w:val="004D58BF"/>
    <w:rsid w:val="004D59F9"/>
    <w:rsid w:val="004E3B8A"/>
    <w:rsid w:val="004E4335"/>
    <w:rsid w:val="004E5A53"/>
    <w:rsid w:val="004E5ACF"/>
    <w:rsid w:val="004F13EE"/>
    <w:rsid w:val="004F2022"/>
    <w:rsid w:val="004F7C05"/>
    <w:rsid w:val="00501C94"/>
    <w:rsid w:val="00506432"/>
    <w:rsid w:val="0051242B"/>
    <w:rsid w:val="00514209"/>
    <w:rsid w:val="0052051D"/>
    <w:rsid w:val="0052293F"/>
    <w:rsid w:val="005306B5"/>
    <w:rsid w:val="00545EE6"/>
    <w:rsid w:val="00547A29"/>
    <w:rsid w:val="005550E7"/>
    <w:rsid w:val="00555913"/>
    <w:rsid w:val="005564FB"/>
    <w:rsid w:val="005572C7"/>
    <w:rsid w:val="00557D5A"/>
    <w:rsid w:val="0056060F"/>
    <w:rsid w:val="0056199D"/>
    <w:rsid w:val="0056486D"/>
    <w:rsid w:val="005650ED"/>
    <w:rsid w:val="005726EC"/>
    <w:rsid w:val="00575754"/>
    <w:rsid w:val="00586D89"/>
    <w:rsid w:val="00590C09"/>
    <w:rsid w:val="00591E20"/>
    <w:rsid w:val="00592067"/>
    <w:rsid w:val="00595408"/>
    <w:rsid w:val="00595E84"/>
    <w:rsid w:val="005A0C59"/>
    <w:rsid w:val="005A48EB"/>
    <w:rsid w:val="005A6CFB"/>
    <w:rsid w:val="005A6F34"/>
    <w:rsid w:val="005B7F97"/>
    <w:rsid w:val="005C09DA"/>
    <w:rsid w:val="005C5AEB"/>
    <w:rsid w:val="005D518E"/>
    <w:rsid w:val="005E0A3F"/>
    <w:rsid w:val="005E0C8E"/>
    <w:rsid w:val="005E3602"/>
    <w:rsid w:val="005E6883"/>
    <w:rsid w:val="005E772F"/>
    <w:rsid w:val="005F2BC3"/>
    <w:rsid w:val="005F4ECA"/>
    <w:rsid w:val="005F7210"/>
    <w:rsid w:val="0060064C"/>
    <w:rsid w:val="006041BE"/>
    <w:rsid w:val="006043C7"/>
    <w:rsid w:val="00612450"/>
    <w:rsid w:val="00623E45"/>
    <w:rsid w:val="0062453D"/>
    <w:rsid w:val="00624B52"/>
    <w:rsid w:val="00631DF4"/>
    <w:rsid w:val="00634175"/>
    <w:rsid w:val="00637C8C"/>
    <w:rsid w:val="006408AC"/>
    <w:rsid w:val="00642124"/>
    <w:rsid w:val="00643FD6"/>
    <w:rsid w:val="006454DD"/>
    <w:rsid w:val="00650582"/>
    <w:rsid w:val="006511B6"/>
    <w:rsid w:val="00652742"/>
    <w:rsid w:val="00657FF8"/>
    <w:rsid w:val="006639C7"/>
    <w:rsid w:val="00664B52"/>
    <w:rsid w:val="00664EF8"/>
    <w:rsid w:val="006700E9"/>
    <w:rsid w:val="00670D99"/>
    <w:rsid w:val="00670E2B"/>
    <w:rsid w:val="00670ECE"/>
    <w:rsid w:val="006734BB"/>
    <w:rsid w:val="00681A34"/>
    <w:rsid w:val="006821EB"/>
    <w:rsid w:val="0068778A"/>
    <w:rsid w:val="00690413"/>
    <w:rsid w:val="006953C5"/>
    <w:rsid w:val="006A233C"/>
    <w:rsid w:val="006A492F"/>
    <w:rsid w:val="006B2286"/>
    <w:rsid w:val="006B56BB"/>
    <w:rsid w:val="006C027C"/>
    <w:rsid w:val="006C1EBF"/>
    <w:rsid w:val="006C77A8"/>
    <w:rsid w:val="006D0579"/>
    <w:rsid w:val="006D077F"/>
    <w:rsid w:val="006D4098"/>
    <w:rsid w:val="006D5B7E"/>
    <w:rsid w:val="006D7681"/>
    <w:rsid w:val="006D7B2E"/>
    <w:rsid w:val="006E02EA"/>
    <w:rsid w:val="006E0968"/>
    <w:rsid w:val="006E2AF6"/>
    <w:rsid w:val="006E596C"/>
    <w:rsid w:val="006E5C5F"/>
    <w:rsid w:val="006E5D53"/>
    <w:rsid w:val="006F02D0"/>
    <w:rsid w:val="006F0727"/>
    <w:rsid w:val="006F431C"/>
    <w:rsid w:val="00701275"/>
    <w:rsid w:val="00703232"/>
    <w:rsid w:val="00707F56"/>
    <w:rsid w:val="00713558"/>
    <w:rsid w:val="00720149"/>
    <w:rsid w:val="00720D08"/>
    <w:rsid w:val="007263B9"/>
    <w:rsid w:val="007334F8"/>
    <w:rsid w:val="007339CD"/>
    <w:rsid w:val="00734C79"/>
    <w:rsid w:val="007359D8"/>
    <w:rsid w:val="007362D4"/>
    <w:rsid w:val="00747540"/>
    <w:rsid w:val="00751A23"/>
    <w:rsid w:val="00753006"/>
    <w:rsid w:val="007531BD"/>
    <w:rsid w:val="007551C2"/>
    <w:rsid w:val="007651B9"/>
    <w:rsid w:val="0076672A"/>
    <w:rsid w:val="00771A94"/>
    <w:rsid w:val="007741E2"/>
    <w:rsid w:val="00775E45"/>
    <w:rsid w:val="007765D2"/>
    <w:rsid w:val="00776E74"/>
    <w:rsid w:val="00785169"/>
    <w:rsid w:val="00786FDE"/>
    <w:rsid w:val="007954AB"/>
    <w:rsid w:val="007A14C5"/>
    <w:rsid w:val="007A331A"/>
    <w:rsid w:val="007A3E38"/>
    <w:rsid w:val="007A490B"/>
    <w:rsid w:val="007A4A10"/>
    <w:rsid w:val="007A6B03"/>
    <w:rsid w:val="007B1760"/>
    <w:rsid w:val="007C0D9F"/>
    <w:rsid w:val="007C6D9C"/>
    <w:rsid w:val="007C7052"/>
    <w:rsid w:val="007C7DDB"/>
    <w:rsid w:val="007D10EB"/>
    <w:rsid w:val="007D2CC7"/>
    <w:rsid w:val="007D673D"/>
    <w:rsid w:val="007E24E8"/>
    <w:rsid w:val="007F03F9"/>
    <w:rsid w:val="007F2220"/>
    <w:rsid w:val="007F4B3E"/>
    <w:rsid w:val="007F588A"/>
    <w:rsid w:val="007F78F2"/>
    <w:rsid w:val="00810D6E"/>
    <w:rsid w:val="0081174A"/>
    <w:rsid w:val="008127AF"/>
    <w:rsid w:val="00812B46"/>
    <w:rsid w:val="00815700"/>
    <w:rsid w:val="008158D8"/>
    <w:rsid w:val="00817B70"/>
    <w:rsid w:val="008252DE"/>
    <w:rsid w:val="008264EB"/>
    <w:rsid w:val="00826B8F"/>
    <w:rsid w:val="00831E8A"/>
    <w:rsid w:val="00832A88"/>
    <w:rsid w:val="00835C76"/>
    <w:rsid w:val="00837A2D"/>
    <w:rsid w:val="00840773"/>
    <w:rsid w:val="00840C99"/>
    <w:rsid w:val="00841111"/>
    <w:rsid w:val="00843049"/>
    <w:rsid w:val="00844DC4"/>
    <w:rsid w:val="0085209B"/>
    <w:rsid w:val="008544F4"/>
    <w:rsid w:val="00855EE5"/>
    <w:rsid w:val="00856B66"/>
    <w:rsid w:val="00861A5F"/>
    <w:rsid w:val="008644AD"/>
    <w:rsid w:val="00865735"/>
    <w:rsid w:val="00865BD8"/>
    <w:rsid w:val="00865DDB"/>
    <w:rsid w:val="00867538"/>
    <w:rsid w:val="00873D90"/>
    <w:rsid w:val="00873FC8"/>
    <w:rsid w:val="00876846"/>
    <w:rsid w:val="00884C63"/>
    <w:rsid w:val="00885908"/>
    <w:rsid w:val="00885FB9"/>
    <w:rsid w:val="008864B7"/>
    <w:rsid w:val="0089677E"/>
    <w:rsid w:val="00896E8C"/>
    <w:rsid w:val="00897FDB"/>
    <w:rsid w:val="008A13FA"/>
    <w:rsid w:val="008A1DF0"/>
    <w:rsid w:val="008A339D"/>
    <w:rsid w:val="008A7438"/>
    <w:rsid w:val="008B1334"/>
    <w:rsid w:val="008C0278"/>
    <w:rsid w:val="008C24E9"/>
    <w:rsid w:val="008C798F"/>
    <w:rsid w:val="008D0533"/>
    <w:rsid w:val="008D42CB"/>
    <w:rsid w:val="008D48C9"/>
    <w:rsid w:val="008D5B79"/>
    <w:rsid w:val="008D6381"/>
    <w:rsid w:val="008D6AE6"/>
    <w:rsid w:val="008E0C77"/>
    <w:rsid w:val="008E1C0B"/>
    <w:rsid w:val="008E625F"/>
    <w:rsid w:val="008F264D"/>
    <w:rsid w:val="009074E1"/>
    <w:rsid w:val="009112F7"/>
    <w:rsid w:val="009122AF"/>
    <w:rsid w:val="009127BC"/>
    <w:rsid w:val="00912D54"/>
    <w:rsid w:val="0091389F"/>
    <w:rsid w:val="009208F7"/>
    <w:rsid w:val="00921474"/>
    <w:rsid w:val="00922517"/>
    <w:rsid w:val="00922722"/>
    <w:rsid w:val="00922F53"/>
    <w:rsid w:val="009261E6"/>
    <w:rsid w:val="009268E1"/>
    <w:rsid w:val="00927FD7"/>
    <w:rsid w:val="00931DE6"/>
    <w:rsid w:val="00945E7F"/>
    <w:rsid w:val="0095548E"/>
    <w:rsid w:val="009557C1"/>
    <w:rsid w:val="009601B4"/>
    <w:rsid w:val="00960D6E"/>
    <w:rsid w:val="009718DF"/>
    <w:rsid w:val="00972BC1"/>
    <w:rsid w:val="00974B59"/>
    <w:rsid w:val="00980AB2"/>
    <w:rsid w:val="0098216F"/>
    <w:rsid w:val="0098340B"/>
    <w:rsid w:val="00986830"/>
    <w:rsid w:val="009924C3"/>
    <w:rsid w:val="00993102"/>
    <w:rsid w:val="00993AEF"/>
    <w:rsid w:val="009950B3"/>
    <w:rsid w:val="009953CC"/>
    <w:rsid w:val="00996B37"/>
    <w:rsid w:val="009978AB"/>
    <w:rsid w:val="009B1266"/>
    <w:rsid w:val="009C2711"/>
    <w:rsid w:val="009C4A39"/>
    <w:rsid w:val="009C6F10"/>
    <w:rsid w:val="009D148F"/>
    <w:rsid w:val="009D345E"/>
    <w:rsid w:val="009D3D70"/>
    <w:rsid w:val="009D6947"/>
    <w:rsid w:val="009E6F7E"/>
    <w:rsid w:val="009E7A57"/>
    <w:rsid w:val="009F0C8E"/>
    <w:rsid w:val="009F3105"/>
    <w:rsid w:val="009F3A66"/>
    <w:rsid w:val="009F4F6A"/>
    <w:rsid w:val="00A04084"/>
    <w:rsid w:val="00A10C99"/>
    <w:rsid w:val="00A16E36"/>
    <w:rsid w:val="00A171A6"/>
    <w:rsid w:val="00A17E57"/>
    <w:rsid w:val="00A20A2F"/>
    <w:rsid w:val="00A24961"/>
    <w:rsid w:val="00A24B10"/>
    <w:rsid w:val="00A24D6C"/>
    <w:rsid w:val="00A30E9B"/>
    <w:rsid w:val="00A407F4"/>
    <w:rsid w:val="00A4512D"/>
    <w:rsid w:val="00A50244"/>
    <w:rsid w:val="00A502A9"/>
    <w:rsid w:val="00A5213E"/>
    <w:rsid w:val="00A56F17"/>
    <w:rsid w:val="00A57C22"/>
    <w:rsid w:val="00A622C5"/>
    <w:rsid w:val="00A627D7"/>
    <w:rsid w:val="00A656C7"/>
    <w:rsid w:val="00A65DAD"/>
    <w:rsid w:val="00A701FA"/>
    <w:rsid w:val="00A705AF"/>
    <w:rsid w:val="00A72454"/>
    <w:rsid w:val="00A77696"/>
    <w:rsid w:val="00A80557"/>
    <w:rsid w:val="00A807C0"/>
    <w:rsid w:val="00A81D33"/>
    <w:rsid w:val="00A826DC"/>
    <w:rsid w:val="00A86674"/>
    <w:rsid w:val="00A930AE"/>
    <w:rsid w:val="00A93AC7"/>
    <w:rsid w:val="00A96196"/>
    <w:rsid w:val="00AA1A95"/>
    <w:rsid w:val="00AA260F"/>
    <w:rsid w:val="00AA2CD1"/>
    <w:rsid w:val="00AA763F"/>
    <w:rsid w:val="00AB0067"/>
    <w:rsid w:val="00AB197D"/>
    <w:rsid w:val="00AB1EE7"/>
    <w:rsid w:val="00AB4B37"/>
    <w:rsid w:val="00AB5762"/>
    <w:rsid w:val="00AC0C70"/>
    <w:rsid w:val="00AC2679"/>
    <w:rsid w:val="00AC4BE4"/>
    <w:rsid w:val="00AC6BF9"/>
    <w:rsid w:val="00AC6E76"/>
    <w:rsid w:val="00AD05E6"/>
    <w:rsid w:val="00AD0AEF"/>
    <w:rsid w:val="00AD0D3F"/>
    <w:rsid w:val="00AD3410"/>
    <w:rsid w:val="00AD3CC4"/>
    <w:rsid w:val="00AE007B"/>
    <w:rsid w:val="00AE1D7D"/>
    <w:rsid w:val="00AE2A8B"/>
    <w:rsid w:val="00AE3945"/>
    <w:rsid w:val="00AE3F4E"/>
    <w:rsid w:val="00AE3F64"/>
    <w:rsid w:val="00AE61A0"/>
    <w:rsid w:val="00AF7386"/>
    <w:rsid w:val="00AF7934"/>
    <w:rsid w:val="00AF7F46"/>
    <w:rsid w:val="00B00B81"/>
    <w:rsid w:val="00B04580"/>
    <w:rsid w:val="00B04B09"/>
    <w:rsid w:val="00B0630D"/>
    <w:rsid w:val="00B13EB9"/>
    <w:rsid w:val="00B164D5"/>
    <w:rsid w:val="00B16A51"/>
    <w:rsid w:val="00B2137C"/>
    <w:rsid w:val="00B23086"/>
    <w:rsid w:val="00B25440"/>
    <w:rsid w:val="00B27444"/>
    <w:rsid w:val="00B32222"/>
    <w:rsid w:val="00B3618D"/>
    <w:rsid w:val="00B36233"/>
    <w:rsid w:val="00B36E62"/>
    <w:rsid w:val="00B4038E"/>
    <w:rsid w:val="00B42851"/>
    <w:rsid w:val="00B45AC7"/>
    <w:rsid w:val="00B5372F"/>
    <w:rsid w:val="00B61129"/>
    <w:rsid w:val="00B61921"/>
    <w:rsid w:val="00B67E7F"/>
    <w:rsid w:val="00B7222E"/>
    <w:rsid w:val="00B75A04"/>
    <w:rsid w:val="00B839B2"/>
    <w:rsid w:val="00B84FB7"/>
    <w:rsid w:val="00B94252"/>
    <w:rsid w:val="00B94828"/>
    <w:rsid w:val="00B9715A"/>
    <w:rsid w:val="00BA14BE"/>
    <w:rsid w:val="00BA2732"/>
    <w:rsid w:val="00BA293D"/>
    <w:rsid w:val="00BA49BC"/>
    <w:rsid w:val="00BA56B7"/>
    <w:rsid w:val="00BA70AB"/>
    <w:rsid w:val="00BA7A1E"/>
    <w:rsid w:val="00BA7CA9"/>
    <w:rsid w:val="00BB2F6C"/>
    <w:rsid w:val="00BB3875"/>
    <w:rsid w:val="00BB5860"/>
    <w:rsid w:val="00BB6AAD"/>
    <w:rsid w:val="00BB7B55"/>
    <w:rsid w:val="00BC4A19"/>
    <w:rsid w:val="00BC4E6D"/>
    <w:rsid w:val="00BC74DF"/>
    <w:rsid w:val="00BD0617"/>
    <w:rsid w:val="00BD2E9B"/>
    <w:rsid w:val="00BE0F2D"/>
    <w:rsid w:val="00BE1C81"/>
    <w:rsid w:val="00BE22FC"/>
    <w:rsid w:val="00BE2867"/>
    <w:rsid w:val="00BE7CD6"/>
    <w:rsid w:val="00BF64C5"/>
    <w:rsid w:val="00C00930"/>
    <w:rsid w:val="00C060AD"/>
    <w:rsid w:val="00C0670D"/>
    <w:rsid w:val="00C07B70"/>
    <w:rsid w:val="00C113BF"/>
    <w:rsid w:val="00C1210C"/>
    <w:rsid w:val="00C12841"/>
    <w:rsid w:val="00C2176E"/>
    <w:rsid w:val="00C23430"/>
    <w:rsid w:val="00C252AC"/>
    <w:rsid w:val="00C27B85"/>
    <w:rsid w:val="00C27D67"/>
    <w:rsid w:val="00C4631F"/>
    <w:rsid w:val="00C50E16"/>
    <w:rsid w:val="00C55258"/>
    <w:rsid w:val="00C66BFB"/>
    <w:rsid w:val="00C71A0C"/>
    <w:rsid w:val="00C82EEB"/>
    <w:rsid w:val="00C86FF2"/>
    <w:rsid w:val="00C912D8"/>
    <w:rsid w:val="00C96D41"/>
    <w:rsid w:val="00C971DC"/>
    <w:rsid w:val="00CA16B7"/>
    <w:rsid w:val="00CA38EA"/>
    <w:rsid w:val="00CA4BE3"/>
    <w:rsid w:val="00CA62AE"/>
    <w:rsid w:val="00CA79CF"/>
    <w:rsid w:val="00CB5B1A"/>
    <w:rsid w:val="00CC220B"/>
    <w:rsid w:val="00CC3F9D"/>
    <w:rsid w:val="00CC4523"/>
    <w:rsid w:val="00CC5C43"/>
    <w:rsid w:val="00CD02AE"/>
    <w:rsid w:val="00CD1087"/>
    <w:rsid w:val="00CD2A4F"/>
    <w:rsid w:val="00CE03CA"/>
    <w:rsid w:val="00CE22F1"/>
    <w:rsid w:val="00CE3B04"/>
    <w:rsid w:val="00CE50F2"/>
    <w:rsid w:val="00CE6502"/>
    <w:rsid w:val="00CE7B1B"/>
    <w:rsid w:val="00CF072A"/>
    <w:rsid w:val="00CF14A6"/>
    <w:rsid w:val="00CF16F6"/>
    <w:rsid w:val="00CF3663"/>
    <w:rsid w:val="00CF3B8D"/>
    <w:rsid w:val="00CF4510"/>
    <w:rsid w:val="00CF4EC4"/>
    <w:rsid w:val="00CF7D3C"/>
    <w:rsid w:val="00D01A6E"/>
    <w:rsid w:val="00D04FA5"/>
    <w:rsid w:val="00D1339A"/>
    <w:rsid w:val="00D147EB"/>
    <w:rsid w:val="00D1585F"/>
    <w:rsid w:val="00D1696D"/>
    <w:rsid w:val="00D16CCD"/>
    <w:rsid w:val="00D225DE"/>
    <w:rsid w:val="00D23314"/>
    <w:rsid w:val="00D273F8"/>
    <w:rsid w:val="00D34667"/>
    <w:rsid w:val="00D356A6"/>
    <w:rsid w:val="00D401E1"/>
    <w:rsid w:val="00D408B4"/>
    <w:rsid w:val="00D45D94"/>
    <w:rsid w:val="00D524C8"/>
    <w:rsid w:val="00D53030"/>
    <w:rsid w:val="00D60E25"/>
    <w:rsid w:val="00D67DB9"/>
    <w:rsid w:val="00D70262"/>
    <w:rsid w:val="00D70E24"/>
    <w:rsid w:val="00D716B3"/>
    <w:rsid w:val="00D72B61"/>
    <w:rsid w:val="00D73A48"/>
    <w:rsid w:val="00D846AF"/>
    <w:rsid w:val="00D9133E"/>
    <w:rsid w:val="00D94016"/>
    <w:rsid w:val="00DA3D1D"/>
    <w:rsid w:val="00DA5786"/>
    <w:rsid w:val="00DB0138"/>
    <w:rsid w:val="00DB2A26"/>
    <w:rsid w:val="00DB36EA"/>
    <w:rsid w:val="00DB4D49"/>
    <w:rsid w:val="00DB5ECB"/>
    <w:rsid w:val="00DB6286"/>
    <w:rsid w:val="00DB645F"/>
    <w:rsid w:val="00DB76E9"/>
    <w:rsid w:val="00DC0A67"/>
    <w:rsid w:val="00DC1D5E"/>
    <w:rsid w:val="00DC2313"/>
    <w:rsid w:val="00DC4FC0"/>
    <w:rsid w:val="00DC5220"/>
    <w:rsid w:val="00DC5E6B"/>
    <w:rsid w:val="00DC7910"/>
    <w:rsid w:val="00DD2061"/>
    <w:rsid w:val="00DD2891"/>
    <w:rsid w:val="00DD54D4"/>
    <w:rsid w:val="00DD7DAB"/>
    <w:rsid w:val="00DE3355"/>
    <w:rsid w:val="00DE7BCE"/>
    <w:rsid w:val="00DF0064"/>
    <w:rsid w:val="00DF486F"/>
    <w:rsid w:val="00DF5B5B"/>
    <w:rsid w:val="00DF7619"/>
    <w:rsid w:val="00E01E06"/>
    <w:rsid w:val="00E042D8"/>
    <w:rsid w:val="00E04862"/>
    <w:rsid w:val="00E06247"/>
    <w:rsid w:val="00E07027"/>
    <w:rsid w:val="00E07EE7"/>
    <w:rsid w:val="00E10CE5"/>
    <w:rsid w:val="00E1103B"/>
    <w:rsid w:val="00E17B44"/>
    <w:rsid w:val="00E17FA4"/>
    <w:rsid w:val="00E20DD0"/>
    <w:rsid w:val="00E22A4B"/>
    <w:rsid w:val="00E23A30"/>
    <w:rsid w:val="00E23F7A"/>
    <w:rsid w:val="00E25117"/>
    <w:rsid w:val="00E27FEA"/>
    <w:rsid w:val="00E30BCA"/>
    <w:rsid w:val="00E31FA1"/>
    <w:rsid w:val="00E3694E"/>
    <w:rsid w:val="00E4086F"/>
    <w:rsid w:val="00E4293C"/>
    <w:rsid w:val="00E43B3C"/>
    <w:rsid w:val="00E4505E"/>
    <w:rsid w:val="00E50188"/>
    <w:rsid w:val="00E515CB"/>
    <w:rsid w:val="00E51901"/>
    <w:rsid w:val="00E52260"/>
    <w:rsid w:val="00E55C1A"/>
    <w:rsid w:val="00E56A3F"/>
    <w:rsid w:val="00E618F8"/>
    <w:rsid w:val="00E62DA5"/>
    <w:rsid w:val="00E639B6"/>
    <w:rsid w:val="00E6434B"/>
    <w:rsid w:val="00E6463D"/>
    <w:rsid w:val="00E70A6F"/>
    <w:rsid w:val="00E72E9B"/>
    <w:rsid w:val="00E73607"/>
    <w:rsid w:val="00E74545"/>
    <w:rsid w:val="00E82D9F"/>
    <w:rsid w:val="00E8358A"/>
    <w:rsid w:val="00E849DA"/>
    <w:rsid w:val="00E911F2"/>
    <w:rsid w:val="00E9212F"/>
    <w:rsid w:val="00E944DC"/>
    <w:rsid w:val="00E9462E"/>
    <w:rsid w:val="00EA357D"/>
    <w:rsid w:val="00EA470E"/>
    <w:rsid w:val="00EA47A7"/>
    <w:rsid w:val="00EA57EB"/>
    <w:rsid w:val="00EA59D4"/>
    <w:rsid w:val="00EA706E"/>
    <w:rsid w:val="00EB3226"/>
    <w:rsid w:val="00EB52CF"/>
    <w:rsid w:val="00EC213A"/>
    <w:rsid w:val="00EC6603"/>
    <w:rsid w:val="00EC6B9A"/>
    <w:rsid w:val="00EC7744"/>
    <w:rsid w:val="00EC7CAE"/>
    <w:rsid w:val="00ED0AC6"/>
    <w:rsid w:val="00ED0DAD"/>
    <w:rsid w:val="00ED0F46"/>
    <w:rsid w:val="00ED2373"/>
    <w:rsid w:val="00ED35E7"/>
    <w:rsid w:val="00ED51FC"/>
    <w:rsid w:val="00ED6C94"/>
    <w:rsid w:val="00EE3E8A"/>
    <w:rsid w:val="00EE6933"/>
    <w:rsid w:val="00EF0A7F"/>
    <w:rsid w:val="00EF6ECA"/>
    <w:rsid w:val="00F024E1"/>
    <w:rsid w:val="00F06217"/>
    <w:rsid w:val="00F06C10"/>
    <w:rsid w:val="00F1096F"/>
    <w:rsid w:val="00F12589"/>
    <w:rsid w:val="00F12595"/>
    <w:rsid w:val="00F134D9"/>
    <w:rsid w:val="00F1403D"/>
    <w:rsid w:val="00F1463F"/>
    <w:rsid w:val="00F16B94"/>
    <w:rsid w:val="00F21302"/>
    <w:rsid w:val="00F2385F"/>
    <w:rsid w:val="00F27216"/>
    <w:rsid w:val="00F321DE"/>
    <w:rsid w:val="00F33777"/>
    <w:rsid w:val="00F366FE"/>
    <w:rsid w:val="00F40648"/>
    <w:rsid w:val="00F411E3"/>
    <w:rsid w:val="00F444A9"/>
    <w:rsid w:val="00F44F56"/>
    <w:rsid w:val="00F47DA2"/>
    <w:rsid w:val="00F519FC"/>
    <w:rsid w:val="00F53E2C"/>
    <w:rsid w:val="00F6239D"/>
    <w:rsid w:val="00F67DB1"/>
    <w:rsid w:val="00F715D2"/>
    <w:rsid w:val="00F7274F"/>
    <w:rsid w:val="00F752F6"/>
    <w:rsid w:val="00F76FA8"/>
    <w:rsid w:val="00F772FB"/>
    <w:rsid w:val="00F779E8"/>
    <w:rsid w:val="00F86F85"/>
    <w:rsid w:val="00F93F08"/>
    <w:rsid w:val="00F94CED"/>
    <w:rsid w:val="00FA152A"/>
    <w:rsid w:val="00FA2CEE"/>
    <w:rsid w:val="00FA318C"/>
    <w:rsid w:val="00FB2B73"/>
    <w:rsid w:val="00FB3C31"/>
    <w:rsid w:val="00FB6E61"/>
    <w:rsid w:val="00FB6F92"/>
    <w:rsid w:val="00FC026E"/>
    <w:rsid w:val="00FC3A5B"/>
    <w:rsid w:val="00FC5124"/>
    <w:rsid w:val="00FD3E5D"/>
    <w:rsid w:val="00FD4731"/>
    <w:rsid w:val="00FD676F"/>
    <w:rsid w:val="00FF008D"/>
    <w:rsid w:val="00FF0AB0"/>
    <w:rsid w:val="00FF17F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C2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E3B04"/>
    <w:pPr>
      <w:spacing w:before="180" w:after="120" w:line="288" w:lineRule="auto"/>
    </w:pPr>
    <w:rPr>
      <w:rFonts w:ascii="Arial" w:hAnsi="Arial"/>
      <w:color w:val="000000" w:themeColor="text1"/>
      <w:sz w:val="21"/>
      <w:szCs w:val="24"/>
      <w:lang w:eastAsia="en-US"/>
    </w:rPr>
  </w:style>
  <w:style w:type="paragraph" w:styleId="Heading1">
    <w:name w:val="heading 1"/>
    <w:next w:val="Normal"/>
    <w:qFormat/>
    <w:rsid w:val="00CE3B04"/>
    <w:pPr>
      <w:keepNext/>
      <w:spacing w:before="240" w:after="60"/>
      <w:outlineLvl w:val="0"/>
    </w:pPr>
    <w:rPr>
      <w:rFonts w:ascii="Corbel" w:hAnsi="Corbel" w:cs="Arial"/>
      <w:b/>
      <w:bCs/>
      <w:color w:val="335DA5"/>
      <w:kern w:val="28"/>
      <w:sz w:val="44"/>
      <w:szCs w:val="36"/>
      <w:lang w:eastAsia="en-US"/>
    </w:rPr>
  </w:style>
  <w:style w:type="paragraph" w:styleId="Heading2">
    <w:name w:val="heading 2"/>
    <w:next w:val="Normal"/>
    <w:qFormat/>
    <w:rsid w:val="00CE3B04"/>
    <w:pPr>
      <w:keepNext/>
      <w:spacing w:before="240" w:after="60"/>
      <w:outlineLvl w:val="1"/>
    </w:pPr>
    <w:rPr>
      <w:rFonts w:ascii="Corbel" w:hAnsi="Corbel" w:cs="Arial"/>
      <w:b/>
      <w:bCs/>
      <w:iCs/>
      <w:color w:val="273747"/>
      <w:sz w:val="36"/>
      <w:szCs w:val="28"/>
      <w:lang w:eastAsia="en-US"/>
    </w:rPr>
  </w:style>
  <w:style w:type="paragraph" w:styleId="Heading3">
    <w:name w:val="heading 3"/>
    <w:next w:val="Normal"/>
    <w:link w:val="Heading3Char"/>
    <w:qFormat/>
    <w:rsid w:val="00CE3B04"/>
    <w:pPr>
      <w:keepNext/>
      <w:spacing w:before="180" w:after="60"/>
      <w:outlineLvl w:val="2"/>
    </w:pPr>
    <w:rPr>
      <w:rFonts w:ascii="Corbel" w:hAnsi="Corbel" w:cs="Arial"/>
      <w:bCs/>
      <w:color w:val="335DA5"/>
      <w:sz w:val="30"/>
      <w:szCs w:val="26"/>
      <w:lang w:eastAsia="en-US"/>
    </w:rPr>
  </w:style>
  <w:style w:type="paragraph" w:styleId="Heading4">
    <w:name w:val="heading 4"/>
    <w:next w:val="Normal"/>
    <w:qFormat/>
    <w:rsid w:val="00CE3B04"/>
    <w:pPr>
      <w:keepNext/>
      <w:spacing w:before="240" w:after="60"/>
      <w:outlineLvl w:val="3"/>
    </w:pPr>
    <w:rPr>
      <w:rFonts w:ascii="Corbel" w:hAnsi="Corbel"/>
      <w:bCs/>
      <w:i/>
      <w:color w:val="273747"/>
      <w:sz w:val="28"/>
      <w:szCs w:val="28"/>
      <w:lang w:eastAsia="en-US"/>
    </w:rPr>
  </w:style>
  <w:style w:type="paragraph" w:styleId="Heading5">
    <w:name w:val="heading 5"/>
    <w:next w:val="Normal"/>
    <w:rsid w:val="00CE3B04"/>
    <w:pPr>
      <w:keepNext/>
      <w:spacing w:before="240" w:after="60"/>
      <w:outlineLvl w:val="4"/>
    </w:pPr>
    <w:rPr>
      <w:rFonts w:ascii="Arial" w:hAnsi="Arial"/>
      <w:bCs/>
      <w:iCs/>
      <w:color w:val="335DA5"/>
      <w:sz w:val="24"/>
      <w:szCs w:val="26"/>
      <w:lang w:eastAsia="en-US"/>
    </w:rPr>
  </w:style>
  <w:style w:type="paragraph" w:styleId="Heading6">
    <w:name w:val="heading 6"/>
    <w:next w:val="Normal"/>
    <w:rsid w:val="00CE3B04"/>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CE3B04"/>
    <w:pPr>
      <w:keepNext/>
      <w:keepLines/>
      <w:spacing w:before="40"/>
      <w:outlineLvl w:val="6"/>
    </w:pPr>
    <w:rPr>
      <w:rFonts w:ascii="Arial" w:eastAsiaTheme="majorEastAsia" w:hAnsi="Arial" w:cstheme="majorBidi"/>
      <w:b/>
      <w:i/>
      <w:iCs/>
      <w:color w:val="192E51"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CE3B04"/>
    <w:rPr>
      <w:i/>
      <w:iCs/>
    </w:rPr>
  </w:style>
  <w:style w:type="character" w:styleId="Strong">
    <w:name w:val="Strong"/>
    <w:basedOn w:val="DefaultParagraphFont"/>
    <w:rsid w:val="00CE3B04"/>
    <w:rPr>
      <w:b/>
      <w:bCs/>
    </w:rPr>
  </w:style>
  <w:style w:type="paragraph" w:styleId="Subtitle">
    <w:name w:val="Subtitle"/>
    <w:next w:val="Normal"/>
    <w:link w:val="SubtitleChar"/>
    <w:qFormat/>
    <w:rsid w:val="00A701FA"/>
    <w:pPr>
      <w:numPr>
        <w:ilvl w:val="1"/>
      </w:numPr>
      <w:spacing w:before="120" w:after="60"/>
      <w:jc w:val="center"/>
    </w:pPr>
    <w:rPr>
      <w:rFonts w:ascii="Corbel" w:eastAsiaTheme="majorEastAsia" w:hAnsi="Corbel" w:cstheme="majorBidi"/>
      <w:iCs/>
      <w:color w:val="FFFFFF" w:themeColor="background1"/>
      <w:spacing w:val="15"/>
      <w:sz w:val="40"/>
      <w:szCs w:val="24"/>
      <w:lang w:eastAsia="en-US"/>
    </w:rPr>
  </w:style>
  <w:style w:type="character" w:customStyle="1" w:styleId="SubtitleChar">
    <w:name w:val="Subtitle Char"/>
    <w:basedOn w:val="DefaultParagraphFont"/>
    <w:link w:val="Subtitle"/>
    <w:rsid w:val="00A701FA"/>
    <w:rPr>
      <w:rFonts w:ascii="Corbel" w:eastAsiaTheme="majorEastAsia" w:hAnsi="Corbel" w:cstheme="majorBidi"/>
      <w:iCs/>
      <w:color w:val="FFFFFF" w:themeColor="background1"/>
      <w:spacing w:val="15"/>
      <w:sz w:val="40"/>
      <w:szCs w:val="24"/>
      <w:lang w:eastAsia="en-US"/>
    </w:rPr>
  </w:style>
  <w:style w:type="paragraph" w:styleId="Title">
    <w:name w:val="Title"/>
    <w:next w:val="Normal"/>
    <w:link w:val="TitleChar"/>
    <w:qFormat/>
    <w:rsid w:val="00A701FA"/>
    <w:pPr>
      <w:spacing w:before="4440" w:after="120"/>
      <w:contextualSpacing/>
      <w:jc w:val="center"/>
    </w:pPr>
    <w:rPr>
      <w:rFonts w:ascii="Corbel" w:eastAsiaTheme="majorEastAsia" w:hAnsi="Corbel" w:cstheme="majorBidi"/>
      <w:b/>
      <w:color w:val="FFFFFF" w:themeColor="background1"/>
      <w:kern w:val="28"/>
      <w:sz w:val="56"/>
      <w:szCs w:val="52"/>
      <w:lang w:eastAsia="en-US"/>
    </w:rPr>
  </w:style>
  <w:style w:type="character" w:customStyle="1" w:styleId="TitleChar">
    <w:name w:val="Title Char"/>
    <w:basedOn w:val="DefaultParagraphFont"/>
    <w:link w:val="Title"/>
    <w:rsid w:val="00A701FA"/>
    <w:rPr>
      <w:rFonts w:ascii="Corbel" w:eastAsiaTheme="majorEastAsia" w:hAnsi="Corbel" w:cstheme="majorBidi"/>
      <w:b/>
      <w:color w:val="FFFFFF" w:themeColor="background1"/>
      <w:kern w:val="28"/>
      <w:sz w:val="56"/>
      <w:szCs w:val="52"/>
      <w:lang w:eastAsia="en-US"/>
    </w:rPr>
  </w:style>
  <w:style w:type="paragraph" w:styleId="NoSpacing">
    <w:name w:val="No Spacing"/>
    <w:uiPriority w:val="1"/>
    <w:rsid w:val="00CE3B04"/>
    <w:rPr>
      <w:sz w:val="24"/>
      <w:szCs w:val="24"/>
      <w:lang w:eastAsia="en-US"/>
    </w:rPr>
  </w:style>
  <w:style w:type="character" w:styleId="SubtleEmphasis">
    <w:name w:val="Subtle Emphasis"/>
    <w:basedOn w:val="DefaultParagraphFont"/>
    <w:uiPriority w:val="19"/>
    <w:rsid w:val="00CE3B04"/>
    <w:rPr>
      <w:i/>
      <w:iCs/>
      <w:color w:val="808080" w:themeColor="text1" w:themeTint="7F"/>
    </w:rPr>
  </w:style>
  <w:style w:type="character" w:styleId="IntenseEmphasis">
    <w:name w:val="Intense Emphasis"/>
    <w:basedOn w:val="DefaultParagraphFont"/>
    <w:uiPriority w:val="21"/>
    <w:rsid w:val="00CE3B04"/>
    <w:rPr>
      <w:b/>
      <w:bCs/>
      <w:i/>
      <w:iCs/>
      <w:color w:val="335DA5" w:themeColor="accent1"/>
    </w:rPr>
  </w:style>
  <w:style w:type="paragraph" w:styleId="Quote">
    <w:name w:val="Quote"/>
    <w:next w:val="Normal"/>
    <w:link w:val="QuoteChar"/>
    <w:uiPriority w:val="29"/>
    <w:qFormat/>
    <w:rsid w:val="00CE3B04"/>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CE3B04"/>
    <w:rPr>
      <w:rFonts w:ascii="Arial" w:hAnsi="Arial"/>
      <w:i/>
      <w:iCs/>
      <w:color w:val="000000" w:themeColor="text1"/>
      <w:sz w:val="22"/>
      <w:szCs w:val="24"/>
      <w:lang w:eastAsia="en-US"/>
    </w:rPr>
  </w:style>
  <w:style w:type="paragraph" w:styleId="IntenseQuote">
    <w:name w:val="Intense Quote"/>
    <w:next w:val="Normal"/>
    <w:link w:val="IntenseQuoteChar"/>
    <w:uiPriority w:val="30"/>
    <w:rsid w:val="00CE3B04"/>
    <w:pPr>
      <w:pBdr>
        <w:bottom w:val="single" w:sz="4" w:space="4" w:color="335DA5" w:themeColor="accent1"/>
      </w:pBdr>
      <w:spacing w:before="200" w:after="280"/>
      <w:ind w:left="936" w:right="936"/>
    </w:pPr>
    <w:rPr>
      <w:rFonts w:ascii="Arial" w:hAnsi="Arial"/>
      <w:b/>
      <w:bCs/>
      <w:i/>
      <w:iCs/>
      <w:color w:val="335DA5" w:themeColor="accent1"/>
      <w:sz w:val="22"/>
      <w:szCs w:val="24"/>
      <w:lang w:eastAsia="en-US"/>
    </w:rPr>
  </w:style>
  <w:style w:type="character" w:customStyle="1" w:styleId="IntenseQuoteChar">
    <w:name w:val="Intense Quote Char"/>
    <w:basedOn w:val="DefaultParagraphFont"/>
    <w:link w:val="IntenseQuote"/>
    <w:uiPriority w:val="30"/>
    <w:rsid w:val="00CE3B04"/>
    <w:rPr>
      <w:rFonts w:ascii="Arial" w:hAnsi="Arial"/>
      <w:b/>
      <w:bCs/>
      <w:i/>
      <w:iCs/>
      <w:color w:val="335DA5" w:themeColor="accent1"/>
      <w:sz w:val="22"/>
      <w:szCs w:val="24"/>
      <w:lang w:eastAsia="en-US"/>
    </w:rPr>
  </w:style>
  <w:style w:type="character" w:styleId="SubtleReference">
    <w:name w:val="Subtle Reference"/>
    <w:basedOn w:val="DefaultParagraphFont"/>
    <w:uiPriority w:val="31"/>
    <w:rsid w:val="00CE3B04"/>
    <w:rPr>
      <w:smallCaps/>
      <w:color w:val="EEF1F8" w:themeColor="accent2"/>
      <w:u w:val="single"/>
    </w:rPr>
  </w:style>
  <w:style w:type="character" w:styleId="IntenseReference">
    <w:name w:val="Intense Reference"/>
    <w:basedOn w:val="DefaultParagraphFont"/>
    <w:uiPriority w:val="32"/>
    <w:rsid w:val="00CE3B04"/>
    <w:rPr>
      <w:b/>
      <w:bCs/>
      <w:i/>
      <w:smallCaps/>
      <w:color w:val="EEF1F8" w:themeColor="accent2"/>
      <w:spacing w:val="5"/>
      <w:u w:val="none"/>
    </w:rPr>
  </w:style>
  <w:style w:type="paragraph" w:styleId="ListBullet2">
    <w:name w:val="List Bullet 2"/>
    <w:basedOn w:val="ListBullet"/>
    <w:rsid w:val="001B49DC"/>
    <w:pPr>
      <w:numPr>
        <w:numId w:val="7"/>
      </w:numPr>
      <w:spacing w:line="259" w:lineRule="auto"/>
      <w:ind w:left="680" w:hanging="340"/>
    </w:pPr>
  </w:style>
  <w:style w:type="paragraph" w:styleId="ListNumber2">
    <w:name w:val="List Number 2"/>
    <w:basedOn w:val="ListBullet"/>
    <w:rsid w:val="001B49DC"/>
    <w:pPr>
      <w:numPr>
        <w:numId w:val="3"/>
      </w:numPr>
      <w:ind w:left="1020" w:hanging="340"/>
    </w:pPr>
  </w:style>
  <w:style w:type="paragraph" w:styleId="ListBullet">
    <w:name w:val="List Bullet"/>
    <w:basedOn w:val="Normal"/>
    <w:qFormat/>
    <w:rsid w:val="001B49DC"/>
    <w:pPr>
      <w:numPr>
        <w:numId w:val="2"/>
      </w:numPr>
      <w:tabs>
        <w:tab w:val="left" w:pos="340"/>
        <w:tab w:val="left" w:pos="680"/>
      </w:tabs>
      <w:spacing w:before="60" w:after="60"/>
      <w:ind w:left="340" w:hanging="340"/>
      <w:contextualSpacing/>
    </w:pPr>
  </w:style>
  <w:style w:type="paragraph" w:styleId="ListParagraph">
    <w:name w:val="List Paragraph"/>
    <w:basedOn w:val="Normal"/>
    <w:uiPriority w:val="34"/>
    <w:qFormat/>
    <w:rsid w:val="00CE3B04"/>
    <w:pPr>
      <w:ind w:left="720"/>
      <w:contextualSpacing/>
    </w:pPr>
  </w:style>
  <w:style w:type="paragraph" w:styleId="ListNumber3">
    <w:name w:val="List Number 3"/>
    <w:aliases w:val="List Third Level"/>
    <w:basedOn w:val="ListNumber2"/>
    <w:rsid w:val="00CE3B04"/>
    <w:pPr>
      <w:numPr>
        <w:numId w:val="4"/>
      </w:numPr>
      <w:tabs>
        <w:tab w:val="num" w:pos="1440"/>
      </w:tabs>
    </w:pPr>
    <w:rPr>
      <w:rFonts w:eastAsia="Cambria"/>
      <w:color w:val="auto"/>
      <w:szCs w:val="22"/>
      <w:lang w:val="en-US"/>
    </w:rPr>
  </w:style>
  <w:style w:type="paragraph" w:customStyle="1" w:styleId="ImageTitle">
    <w:name w:val="Image Title"/>
    <w:locked/>
    <w:rsid w:val="00CE3B04"/>
    <w:pPr>
      <w:tabs>
        <w:tab w:val="num" w:pos="1080"/>
      </w:tabs>
      <w:spacing w:before="120" w:line="240" w:lineRule="exact"/>
    </w:pPr>
    <w:rPr>
      <w:rFonts w:ascii="Arial" w:hAnsi="Arial"/>
      <w:color w:val="000000" w:themeColor="text1"/>
      <w:sz w:val="21"/>
      <w:szCs w:val="24"/>
      <w:lang w:eastAsia="en-US"/>
    </w:rPr>
  </w:style>
  <w:style w:type="paragraph" w:styleId="BalloonText">
    <w:name w:val="Balloon Text"/>
    <w:basedOn w:val="Normal"/>
    <w:link w:val="BalloonTextChar"/>
    <w:rsid w:val="00CE3B04"/>
    <w:rPr>
      <w:rFonts w:ascii="Tahoma" w:hAnsi="Tahoma" w:cs="Tahoma"/>
      <w:sz w:val="16"/>
      <w:szCs w:val="16"/>
    </w:rPr>
  </w:style>
  <w:style w:type="character" w:customStyle="1" w:styleId="BalloonTextChar">
    <w:name w:val="Balloon Text Char"/>
    <w:basedOn w:val="DefaultParagraphFont"/>
    <w:link w:val="BalloonText"/>
    <w:rsid w:val="00CE3B04"/>
    <w:rPr>
      <w:rFonts w:ascii="Tahoma" w:hAnsi="Tahoma" w:cs="Tahoma"/>
      <w:color w:val="000000" w:themeColor="text1"/>
      <w:sz w:val="16"/>
      <w:szCs w:val="16"/>
      <w:lang w:eastAsia="en-US"/>
    </w:rPr>
  </w:style>
  <w:style w:type="table" w:styleId="TableGrid">
    <w:name w:val="Table Grid"/>
    <w:basedOn w:val="TableNormal"/>
    <w:uiPriority w:val="39"/>
    <w:locked/>
    <w:rsid w:val="00CE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CE3B0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E62DA5"/>
    <w:pPr>
      <w:spacing w:before="60" w:after="60" w:line="288" w:lineRule="auto"/>
    </w:pPr>
    <w:rPr>
      <w:rFonts w:ascii="Arial" w:hAnsi="Arial"/>
      <w:b/>
      <w:color w:val="000000" w:themeColor="text1"/>
      <w:sz w:val="21"/>
      <w:szCs w:val="24"/>
      <w:lang w:eastAsia="en-US"/>
    </w:rPr>
  </w:style>
  <w:style w:type="table" w:styleId="TableColumns2">
    <w:name w:val="Table Columns 2"/>
    <w:basedOn w:val="TableNormal"/>
    <w:locked/>
    <w:rsid w:val="00CE3B0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CE3B04"/>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CE3B0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CE3B0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CE3B0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CE3B04"/>
    <w:pPr>
      <w:spacing w:before="120" w:after="120"/>
    </w:pPr>
    <w:rPr>
      <w:rFonts w:ascii="Corbel" w:hAnsi="Corbel"/>
      <w:b/>
      <w:color w:val="273747"/>
      <w:sz w:val="24"/>
      <w:szCs w:val="24"/>
      <w:lang w:val="en-US" w:eastAsia="en-US"/>
    </w:rPr>
  </w:style>
  <w:style w:type="paragraph" w:styleId="Header">
    <w:name w:val="header"/>
    <w:link w:val="HeaderChar"/>
    <w:qFormat/>
    <w:rsid w:val="00CE3B04"/>
    <w:pPr>
      <w:tabs>
        <w:tab w:val="center" w:pos="4513"/>
        <w:tab w:val="right" w:pos="9026"/>
      </w:tabs>
    </w:pPr>
    <w:rPr>
      <w:rFonts w:ascii="Arial" w:hAnsi="Arial"/>
      <w:sz w:val="21"/>
      <w:szCs w:val="24"/>
      <w:lang w:eastAsia="en-US"/>
    </w:rPr>
  </w:style>
  <w:style w:type="character" w:customStyle="1" w:styleId="HeaderChar">
    <w:name w:val="Header Char"/>
    <w:basedOn w:val="DefaultParagraphFont"/>
    <w:link w:val="Header"/>
    <w:rsid w:val="00CE3B04"/>
    <w:rPr>
      <w:rFonts w:ascii="Arial" w:hAnsi="Arial"/>
      <w:sz w:val="21"/>
      <w:szCs w:val="24"/>
      <w:lang w:eastAsia="en-US"/>
    </w:rPr>
  </w:style>
  <w:style w:type="paragraph" w:styleId="Footer">
    <w:name w:val="footer"/>
    <w:link w:val="FooterChar"/>
    <w:uiPriority w:val="99"/>
    <w:qFormat/>
    <w:rsid w:val="0042556C"/>
    <w:pPr>
      <w:tabs>
        <w:tab w:val="center" w:pos="0"/>
        <w:tab w:val="right" w:pos="9026"/>
      </w:tabs>
    </w:pPr>
    <w:rPr>
      <w:rFonts w:ascii="Arial" w:hAnsi="Arial"/>
      <w:szCs w:val="24"/>
      <w:lang w:eastAsia="en-US"/>
    </w:rPr>
  </w:style>
  <w:style w:type="character" w:customStyle="1" w:styleId="FooterChar">
    <w:name w:val="Footer Char"/>
    <w:basedOn w:val="DefaultParagraphFont"/>
    <w:link w:val="Footer"/>
    <w:uiPriority w:val="99"/>
    <w:rsid w:val="0042556C"/>
    <w:rPr>
      <w:rFonts w:ascii="Arial" w:hAnsi="Arial"/>
      <w:szCs w:val="24"/>
      <w:lang w:eastAsia="en-US"/>
    </w:rPr>
  </w:style>
  <w:style w:type="paragraph" w:customStyle="1" w:styleId="TableHeaderWhite">
    <w:name w:val="Table Header White"/>
    <w:basedOn w:val="Normal"/>
    <w:next w:val="Tabletextleft"/>
    <w:qFormat/>
    <w:rsid w:val="00CE3B04"/>
    <w:pPr>
      <w:spacing w:before="80" w:after="80"/>
    </w:pPr>
    <w:rPr>
      <w:rFonts w:eastAsia="Cambria"/>
      <w:b/>
      <w:color w:val="FFFFFF" w:themeColor="background1"/>
      <w:szCs w:val="22"/>
      <w:lang w:val="en-US"/>
    </w:rPr>
  </w:style>
  <w:style w:type="table" w:styleId="TableGrid7">
    <w:name w:val="Table Grid 7"/>
    <w:basedOn w:val="TableNormal"/>
    <w:locked/>
    <w:rsid w:val="00CE3B0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CE3B04"/>
    <w:pPr>
      <w:spacing w:before="60"/>
    </w:pPr>
    <w:rPr>
      <w:rFonts w:cs="Arial"/>
      <w:b/>
      <w:sz w:val="20"/>
    </w:rPr>
  </w:style>
  <w:style w:type="paragraph" w:customStyle="1" w:styleId="FigureTitle">
    <w:name w:val="Figure Title"/>
    <w:next w:val="Normal"/>
    <w:qFormat/>
    <w:rsid w:val="00CE3B04"/>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CE3B04"/>
    <w:pPr>
      <w:spacing w:before="100" w:beforeAutospacing="1" w:after="100" w:afterAutospacing="1"/>
    </w:pPr>
    <w:rPr>
      <w:lang w:eastAsia="en-AU"/>
    </w:rPr>
  </w:style>
  <w:style w:type="paragraph" w:customStyle="1" w:styleId="Headertext">
    <w:name w:val="Header text"/>
    <w:rsid w:val="00CE3B04"/>
    <w:pPr>
      <w:jc w:val="right"/>
    </w:pPr>
    <w:rPr>
      <w:rFonts w:ascii="Arial" w:hAnsi="Arial"/>
      <w:szCs w:val="24"/>
      <w:lang w:eastAsia="en-US"/>
    </w:rPr>
  </w:style>
  <w:style w:type="character" w:styleId="Hyperlink">
    <w:name w:val="Hyperlink"/>
    <w:basedOn w:val="DefaultParagraphFont"/>
    <w:uiPriority w:val="99"/>
    <w:qFormat/>
    <w:rsid w:val="00CE3B04"/>
    <w:rPr>
      <w:color w:val="335DA5" w:themeColor="hyperlink"/>
      <w:u w:val="single"/>
    </w:rPr>
  </w:style>
  <w:style w:type="table" w:customStyle="1" w:styleId="PHNGreyTable">
    <w:name w:val="PHN Grey Table"/>
    <w:basedOn w:val="TableNormal"/>
    <w:uiPriority w:val="99"/>
    <w:rsid w:val="00CE3B04"/>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CE3B04"/>
    <w:pPr>
      <w:numPr>
        <w:numId w:val="5"/>
      </w:numPr>
    </w:pPr>
    <w:rPr>
      <w:szCs w:val="20"/>
    </w:rPr>
  </w:style>
  <w:style w:type="paragraph" w:customStyle="1" w:styleId="Tablelistnumber">
    <w:name w:val="Table list number"/>
    <w:basedOn w:val="Tabletextleft"/>
    <w:qFormat/>
    <w:rsid w:val="00CE3B04"/>
    <w:pPr>
      <w:numPr>
        <w:numId w:val="6"/>
      </w:numPr>
    </w:pPr>
    <w:rPr>
      <w:bCs/>
      <w14:numSpacing w14:val="proportional"/>
    </w:rPr>
  </w:style>
  <w:style w:type="paragraph" w:customStyle="1" w:styleId="TableHeader">
    <w:name w:val="Table Header"/>
    <w:basedOn w:val="Normal"/>
    <w:next w:val="Tabletextleft"/>
    <w:qFormat/>
    <w:rsid w:val="00CE3B04"/>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3B04"/>
    <w:rPr>
      <w:szCs w:val="32"/>
    </w:rPr>
  </w:style>
  <w:style w:type="paragraph" w:styleId="FootnoteText">
    <w:name w:val="footnote text"/>
    <w:link w:val="FootnoteTextChar"/>
    <w:uiPriority w:val="99"/>
    <w:rsid w:val="00CE3B04"/>
    <w:rPr>
      <w:rFonts w:ascii="Arial" w:hAnsi="Arial"/>
      <w:sz w:val="18"/>
      <w:lang w:eastAsia="en-US"/>
    </w:rPr>
  </w:style>
  <w:style w:type="character" w:customStyle="1" w:styleId="FootnoteTextChar">
    <w:name w:val="Footnote Text Char"/>
    <w:basedOn w:val="DefaultParagraphFont"/>
    <w:link w:val="FootnoteText"/>
    <w:uiPriority w:val="99"/>
    <w:rsid w:val="00CE3B04"/>
    <w:rPr>
      <w:rFonts w:ascii="Arial" w:hAnsi="Arial"/>
      <w:sz w:val="18"/>
      <w:lang w:eastAsia="en-US"/>
    </w:rPr>
  </w:style>
  <w:style w:type="paragraph" w:styleId="Caption">
    <w:name w:val="caption"/>
    <w:basedOn w:val="Normal"/>
    <w:next w:val="Normal"/>
    <w:unhideWhenUsed/>
    <w:rsid w:val="00CE3B04"/>
    <w:pPr>
      <w:spacing w:after="200"/>
    </w:pPr>
    <w:rPr>
      <w:b/>
      <w:bCs/>
      <w:color w:val="335DA5" w:themeColor="accent1"/>
      <w:sz w:val="18"/>
      <w:szCs w:val="18"/>
    </w:rPr>
  </w:style>
  <w:style w:type="paragraph" w:customStyle="1" w:styleId="VisionBox">
    <w:name w:val="VisionBox"/>
    <w:basedOn w:val="Normal"/>
    <w:qFormat/>
    <w:rsid w:val="00CE3B04"/>
    <w:pPr>
      <w:keepLines/>
      <w:pBdr>
        <w:top w:val="single" w:sz="12" w:space="15" w:color="D4E79C"/>
        <w:bottom w:val="single" w:sz="12" w:space="10" w:color="D4E79C"/>
      </w:pBdr>
      <w:spacing w:before="240" w:after="240" w:line="340" w:lineRule="exact"/>
    </w:pPr>
    <w:rPr>
      <w:rFonts w:eastAsiaTheme="minorHAnsi"/>
      <w:color w:val="273747"/>
    </w:rPr>
  </w:style>
  <w:style w:type="paragraph" w:customStyle="1" w:styleId="Style1">
    <w:name w:val="Style1"/>
    <w:next w:val="Normal"/>
    <w:rsid w:val="00CE3B04"/>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CE3B04"/>
    <w:pPr>
      <w:pBdr>
        <w:top w:val="single" w:sz="4" w:space="1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EEF1F8"/>
      <w:spacing w:before="240"/>
      <w:ind w:left="227" w:right="227"/>
    </w:pPr>
  </w:style>
  <w:style w:type="table" w:customStyle="1" w:styleId="DepartmentofHealthtable">
    <w:name w:val="Department of Health table"/>
    <w:basedOn w:val="TableNormal"/>
    <w:uiPriority w:val="99"/>
    <w:rsid w:val="00CE3B04"/>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CE3B04"/>
    <w:rPr>
      <w:rFonts w:ascii="Corbel" w:hAnsi="Corbel"/>
      <w:b/>
      <w:color w:val="273747"/>
      <w:sz w:val="24"/>
      <w:szCs w:val="24"/>
      <w:lang w:val="en-US" w:eastAsia="en-US"/>
    </w:rPr>
  </w:style>
  <w:style w:type="paragraph" w:customStyle="1" w:styleId="IntroPara">
    <w:name w:val="Intro Para"/>
    <w:basedOn w:val="Normal"/>
    <w:next w:val="Normal"/>
    <w:qFormat/>
    <w:rsid w:val="00A701FA"/>
    <w:pPr>
      <w:spacing w:before="480" w:line="400" w:lineRule="exact"/>
    </w:pPr>
    <w:rPr>
      <w:color w:val="273747" w:themeColor="text2"/>
      <w:sz w:val="28"/>
    </w:rPr>
  </w:style>
  <w:style w:type="paragraph" w:customStyle="1" w:styleId="TableTextright">
    <w:name w:val="Table Text right"/>
    <w:basedOn w:val="Tabletextleft"/>
    <w:rsid w:val="00CE3B04"/>
    <w:pPr>
      <w:jc w:val="right"/>
    </w:pPr>
  </w:style>
  <w:style w:type="paragraph" w:customStyle="1" w:styleId="Tabletextright0">
    <w:name w:val="Table text right"/>
    <w:basedOn w:val="Tabletextleft"/>
    <w:rsid w:val="00CE3B04"/>
    <w:pPr>
      <w:jc w:val="right"/>
    </w:pPr>
  </w:style>
  <w:style w:type="paragraph" w:customStyle="1" w:styleId="Tabletextcentre">
    <w:name w:val="Table text centre"/>
    <w:basedOn w:val="Tabletextleft"/>
    <w:rsid w:val="00CE3B04"/>
    <w:pPr>
      <w:jc w:val="center"/>
    </w:pPr>
  </w:style>
  <w:style w:type="paragraph" w:customStyle="1" w:styleId="Boxheading">
    <w:name w:val="Box heading"/>
    <w:basedOn w:val="Boxtype"/>
    <w:qFormat/>
    <w:rsid w:val="00CE3B04"/>
    <w:pPr>
      <w:spacing w:before="240"/>
    </w:pPr>
    <w:rPr>
      <w:rFonts w:ascii="Corbel" w:hAnsi="Corbel" w:cs="Times New Roman"/>
      <w:b/>
      <w:bCs/>
      <w:color w:val="273747"/>
      <w:sz w:val="28"/>
      <w:szCs w:val="20"/>
    </w:rPr>
  </w:style>
  <w:style w:type="paragraph" w:customStyle="1" w:styleId="Boxtype">
    <w:name w:val="Box type"/>
    <w:next w:val="Normal"/>
    <w:qFormat/>
    <w:rsid w:val="00CE3B04"/>
    <w:pPr>
      <w:pBdr>
        <w:top w:val="single" w:sz="6" w:space="10" w:color="335DA5"/>
        <w:left w:val="single" w:sz="6" w:space="10" w:color="335DA5"/>
        <w:bottom w:val="single" w:sz="6" w:space="10" w:color="335DA5"/>
        <w:right w:val="single" w:sz="6" w:space="10" w:color="335DA5"/>
      </w:pBdr>
      <w:spacing w:after="240" w:line="288"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CE3B04"/>
  </w:style>
  <w:style w:type="paragraph" w:customStyle="1" w:styleId="URL">
    <w:name w:val="URL"/>
    <w:basedOn w:val="Normal"/>
    <w:rsid w:val="00CE3B04"/>
    <w:pPr>
      <w:spacing w:before="3120"/>
      <w:jc w:val="center"/>
    </w:pPr>
    <w:rPr>
      <w:b/>
      <w:bCs/>
      <w:sz w:val="24"/>
      <w:szCs w:val="20"/>
    </w:rPr>
  </w:style>
  <w:style w:type="paragraph" w:styleId="BodyText">
    <w:name w:val="Body Text"/>
    <w:basedOn w:val="Normal"/>
    <w:link w:val="BodyTextChar"/>
    <w:semiHidden/>
    <w:unhideWhenUsed/>
    <w:rsid w:val="00CE3B04"/>
  </w:style>
  <w:style w:type="character" w:customStyle="1" w:styleId="BodyTextChar">
    <w:name w:val="Body Text Char"/>
    <w:basedOn w:val="DefaultParagraphFont"/>
    <w:link w:val="BodyText"/>
    <w:semiHidden/>
    <w:rsid w:val="00CE3B04"/>
    <w:rPr>
      <w:rFonts w:ascii="Arial" w:hAnsi="Arial"/>
      <w:color w:val="000000" w:themeColor="text1"/>
      <w:sz w:val="21"/>
      <w:szCs w:val="24"/>
      <w:lang w:eastAsia="en-US"/>
    </w:rPr>
  </w:style>
  <w:style w:type="character" w:customStyle="1" w:styleId="Heading7Char">
    <w:name w:val="Heading 7 Char"/>
    <w:basedOn w:val="DefaultParagraphFont"/>
    <w:link w:val="Heading7"/>
    <w:semiHidden/>
    <w:rsid w:val="00CE3B04"/>
    <w:rPr>
      <w:rFonts w:ascii="Arial" w:eastAsiaTheme="majorEastAsia" w:hAnsi="Arial" w:cstheme="majorBidi"/>
      <w:b/>
      <w:i/>
      <w:iCs/>
      <w:color w:val="192E51" w:themeColor="accent1" w:themeShade="7F"/>
      <w:sz w:val="22"/>
      <w:szCs w:val="24"/>
      <w:lang w:eastAsia="en-US"/>
    </w:rPr>
  </w:style>
  <w:style w:type="character" w:customStyle="1" w:styleId="BoldAllCaps">
    <w:name w:val="Bold All Caps"/>
    <w:basedOn w:val="DefaultParagraphFont"/>
    <w:uiPriority w:val="1"/>
    <w:qFormat/>
    <w:rsid w:val="00A701FA"/>
    <w:rPr>
      <w:b/>
      <w:caps/>
      <w:smallCaps w:val="0"/>
      <w:color w:val="273747" w:themeColor="text2"/>
      <w:bdr w:val="none" w:sz="0" w:space="0" w:color="auto"/>
    </w:rPr>
  </w:style>
  <w:style w:type="paragraph" w:customStyle="1" w:styleId="Intropara0">
    <w:name w:val="Intro para"/>
    <w:basedOn w:val="VisionBox"/>
    <w:rsid w:val="00CE3B04"/>
    <w:pPr>
      <w:pBdr>
        <w:top w:val="none" w:sz="0" w:space="0" w:color="auto"/>
        <w:bottom w:val="none" w:sz="0" w:space="0" w:color="auto"/>
      </w:pBdr>
      <w:spacing w:before="480" w:line="400" w:lineRule="exact"/>
    </w:pPr>
    <w:rPr>
      <w:i/>
      <w:sz w:val="28"/>
    </w:rPr>
  </w:style>
  <w:style w:type="paragraph" w:customStyle="1" w:styleId="Tableheader0">
    <w:name w:val="Table header"/>
    <w:basedOn w:val="Normal"/>
    <w:rsid w:val="00CE3B04"/>
    <w:pPr>
      <w:spacing w:before="80" w:after="80"/>
    </w:pPr>
    <w:rPr>
      <w:b/>
      <w:bCs/>
      <w:color w:val="FFFFFF" w:themeColor="background1"/>
      <w:szCs w:val="20"/>
    </w:rPr>
  </w:style>
  <w:style w:type="paragraph" w:customStyle="1" w:styleId="TableText">
    <w:name w:val="Table Text"/>
    <w:autoRedefine/>
    <w:qFormat/>
    <w:locked/>
    <w:rsid w:val="00CE3B04"/>
    <w:pPr>
      <w:spacing w:before="60" w:after="60" w:line="288" w:lineRule="auto"/>
    </w:pPr>
    <w:rPr>
      <w:rFonts w:ascii="Arial" w:hAnsi="Arial"/>
      <w:color w:val="000000" w:themeColor="text1"/>
      <w:sz w:val="21"/>
      <w:szCs w:val="24"/>
      <w:lang w:eastAsia="en-US"/>
    </w:rPr>
  </w:style>
  <w:style w:type="paragraph" w:customStyle="1" w:styleId="TabletextRight1">
    <w:name w:val="Table text Right"/>
    <w:basedOn w:val="Tabletextleft"/>
    <w:rsid w:val="00CE3B04"/>
    <w:pPr>
      <w:jc w:val="right"/>
    </w:pPr>
  </w:style>
  <w:style w:type="paragraph" w:customStyle="1" w:styleId="Tabletitle0">
    <w:name w:val="Table title"/>
    <w:basedOn w:val="Normal"/>
    <w:rsid w:val="00CE3B04"/>
    <w:rPr>
      <w:b/>
      <w:bCs/>
      <w:szCs w:val="20"/>
    </w:rPr>
  </w:style>
  <w:style w:type="paragraph" w:styleId="TOCHeading">
    <w:name w:val="TOC Heading"/>
    <w:basedOn w:val="Heading1"/>
    <w:next w:val="Normal"/>
    <w:uiPriority w:val="39"/>
    <w:unhideWhenUsed/>
    <w:qFormat/>
    <w:rsid w:val="00A701FA"/>
    <w:pPr>
      <w:keepLines/>
      <w:spacing w:after="0" w:line="259" w:lineRule="auto"/>
      <w:outlineLvl w:val="9"/>
    </w:pPr>
  </w:style>
  <w:style w:type="paragraph" w:styleId="TOC1">
    <w:name w:val="toc 1"/>
    <w:basedOn w:val="Normal"/>
    <w:next w:val="Normal"/>
    <w:autoRedefine/>
    <w:uiPriority w:val="39"/>
    <w:unhideWhenUsed/>
    <w:rsid w:val="00CC3F9D"/>
    <w:pPr>
      <w:spacing w:before="240" w:after="60"/>
    </w:pPr>
    <w:rPr>
      <w:rFonts w:ascii="Corbel" w:hAnsi="Corbel"/>
      <w:b/>
      <w:color w:val="335DA5" w:themeColor="accent1"/>
      <w:sz w:val="30"/>
    </w:rPr>
  </w:style>
  <w:style w:type="paragraph" w:styleId="TOC2">
    <w:name w:val="toc 2"/>
    <w:basedOn w:val="Normal"/>
    <w:next w:val="Normal"/>
    <w:autoRedefine/>
    <w:uiPriority w:val="39"/>
    <w:unhideWhenUsed/>
    <w:rsid w:val="00CC3F9D"/>
    <w:pPr>
      <w:spacing w:before="60" w:after="100"/>
      <w:ind w:left="568" w:hanging="284"/>
    </w:pPr>
    <w:rPr>
      <w:b/>
    </w:rPr>
  </w:style>
  <w:style w:type="paragraph" w:styleId="TOC3">
    <w:name w:val="toc 3"/>
    <w:basedOn w:val="Normal"/>
    <w:next w:val="Normal"/>
    <w:autoRedefine/>
    <w:uiPriority w:val="39"/>
    <w:unhideWhenUsed/>
    <w:rsid w:val="00CC3F9D"/>
    <w:pPr>
      <w:spacing w:before="60" w:after="100"/>
      <w:ind w:left="1134" w:hanging="567"/>
    </w:pPr>
  </w:style>
  <w:style w:type="paragraph" w:styleId="ListNumber">
    <w:name w:val="List Number"/>
    <w:basedOn w:val="Normal"/>
    <w:rsid w:val="001B49DC"/>
    <w:pPr>
      <w:numPr>
        <w:numId w:val="1"/>
      </w:numPr>
      <w:tabs>
        <w:tab w:val="clear" w:pos="360"/>
        <w:tab w:val="left" w:pos="340"/>
        <w:tab w:val="left" w:pos="680"/>
      </w:tabs>
      <w:ind w:left="340" w:hanging="340"/>
      <w:contextualSpacing/>
    </w:pPr>
  </w:style>
  <w:style w:type="character" w:styleId="FootnoteReference">
    <w:name w:val="footnote reference"/>
    <w:basedOn w:val="DefaultParagraphFont"/>
    <w:uiPriority w:val="99"/>
    <w:semiHidden/>
    <w:unhideWhenUsed/>
    <w:rsid w:val="00F772FB"/>
    <w:rPr>
      <w:vertAlign w:val="superscript"/>
    </w:rPr>
  </w:style>
  <w:style w:type="character" w:styleId="FollowedHyperlink">
    <w:name w:val="FollowedHyperlink"/>
    <w:basedOn w:val="DefaultParagraphFont"/>
    <w:semiHidden/>
    <w:unhideWhenUsed/>
    <w:rsid w:val="00F772FB"/>
    <w:rPr>
      <w:color w:val="954F72" w:themeColor="followedHyperlink"/>
      <w:u w:val="single"/>
    </w:rPr>
  </w:style>
  <w:style w:type="character" w:styleId="CommentReference">
    <w:name w:val="annotation reference"/>
    <w:basedOn w:val="DefaultParagraphFont"/>
    <w:uiPriority w:val="99"/>
    <w:semiHidden/>
    <w:unhideWhenUsed/>
    <w:rsid w:val="003707AB"/>
    <w:rPr>
      <w:sz w:val="16"/>
      <w:szCs w:val="16"/>
    </w:rPr>
  </w:style>
  <w:style w:type="paragraph" w:styleId="CommentText">
    <w:name w:val="annotation text"/>
    <w:basedOn w:val="Normal"/>
    <w:link w:val="CommentTextChar"/>
    <w:uiPriority w:val="99"/>
    <w:unhideWhenUsed/>
    <w:rsid w:val="003707AB"/>
    <w:pPr>
      <w:spacing w:line="240" w:lineRule="auto"/>
    </w:pPr>
    <w:rPr>
      <w:sz w:val="20"/>
      <w:szCs w:val="20"/>
    </w:rPr>
  </w:style>
  <w:style w:type="character" w:customStyle="1" w:styleId="CommentTextChar">
    <w:name w:val="Comment Text Char"/>
    <w:basedOn w:val="DefaultParagraphFont"/>
    <w:link w:val="CommentText"/>
    <w:uiPriority w:val="99"/>
    <w:rsid w:val="003707AB"/>
    <w:rPr>
      <w:rFonts w:ascii="Arial" w:hAnsi="Arial"/>
      <w:color w:val="000000" w:themeColor="text1"/>
      <w:lang w:eastAsia="en-US"/>
    </w:rPr>
  </w:style>
  <w:style w:type="character" w:styleId="UnresolvedMention">
    <w:name w:val="Unresolved Mention"/>
    <w:basedOn w:val="DefaultParagraphFont"/>
    <w:uiPriority w:val="99"/>
    <w:semiHidden/>
    <w:unhideWhenUsed/>
    <w:rsid w:val="00D846AF"/>
    <w:rPr>
      <w:color w:val="605E5C"/>
      <w:shd w:val="clear" w:color="auto" w:fill="E1DFDD"/>
    </w:rPr>
  </w:style>
  <w:style w:type="paragraph" w:styleId="CommentSubject">
    <w:name w:val="annotation subject"/>
    <w:basedOn w:val="CommentText"/>
    <w:next w:val="CommentText"/>
    <w:link w:val="CommentSubjectChar"/>
    <w:semiHidden/>
    <w:unhideWhenUsed/>
    <w:rsid w:val="00466FE6"/>
    <w:rPr>
      <w:b/>
      <w:bCs/>
    </w:rPr>
  </w:style>
  <w:style w:type="character" w:customStyle="1" w:styleId="CommentSubjectChar">
    <w:name w:val="Comment Subject Char"/>
    <w:basedOn w:val="CommentTextChar"/>
    <w:link w:val="CommentSubject"/>
    <w:semiHidden/>
    <w:rsid w:val="00466FE6"/>
    <w:rPr>
      <w:rFonts w:ascii="Arial" w:hAnsi="Arial"/>
      <w:b/>
      <w:bCs/>
      <w:color w:val="000000" w:themeColor="text1"/>
      <w:lang w:eastAsia="en-US"/>
    </w:rPr>
  </w:style>
  <w:style w:type="paragraph" w:styleId="Revision">
    <w:name w:val="Revision"/>
    <w:hidden/>
    <w:uiPriority w:val="99"/>
    <w:semiHidden/>
    <w:rsid w:val="00315C31"/>
    <w:rPr>
      <w:rFonts w:ascii="Arial" w:hAnsi="Arial"/>
      <w:color w:val="000000" w:themeColor="text1"/>
      <w:sz w:val="21"/>
      <w:szCs w:val="24"/>
      <w:lang w:eastAsia="en-US"/>
    </w:rPr>
  </w:style>
  <w:style w:type="character" w:customStyle="1" w:styleId="Heading3Char">
    <w:name w:val="Heading 3 Char"/>
    <w:basedOn w:val="DefaultParagraphFont"/>
    <w:link w:val="Heading3"/>
    <w:rsid w:val="00F16B94"/>
    <w:rPr>
      <w:rFonts w:ascii="Corbel" w:hAnsi="Corbel" w:cs="Arial"/>
      <w:bCs/>
      <w:color w:val="335DA5"/>
      <w:sz w:val="30"/>
      <w:szCs w:val="26"/>
      <w:lang w:eastAsia="en-US"/>
    </w:rPr>
  </w:style>
  <w:style w:type="paragraph" w:customStyle="1" w:styleId="subsection">
    <w:name w:val="subsection"/>
    <w:basedOn w:val="Normal"/>
    <w:rsid w:val="000C6D8F"/>
    <w:pPr>
      <w:spacing w:before="100" w:beforeAutospacing="1" w:after="100" w:afterAutospacing="1" w:line="240" w:lineRule="auto"/>
    </w:pPr>
    <w:rPr>
      <w:rFonts w:ascii="Times New Roman" w:hAnsi="Times New Roman"/>
      <w:color w:val="auto"/>
      <w:sz w:val="24"/>
      <w:lang w:eastAsia="en-AU"/>
    </w:rPr>
  </w:style>
  <w:style w:type="paragraph" w:customStyle="1" w:styleId="paragraph">
    <w:name w:val="paragraph"/>
    <w:basedOn w:val="Normal"/>
    <w:rsid w:val="000C6D8F"/>
    <w:pPr>
      <w:spacing w:before="100" w:beforeAutospacing="1" w:after="100" w:afterAutospacing="1" w:line="240" w:lineRule="auto"/>
    </w:pPr>
    <w:rPr>
      <w:rFonts w:ascii="Times New Roman" w:hAnsi="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1146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76661607">
      <w:bodyDiv w:val="1"/>
      <w:marLeft w:val="0"/>
      <w:marRight w:val="0"/>
      <w:marTop w:val="0"/>
      <w:marBottom w:val="0"/>
      <w:divBdr>
        <w:top w:val="none" w:sz="0" w:space="0" w:color="auto"/>
        <w:left w:val="none" w:sz="0" w:space="0" w:color="auto"/>
        <w:bottom w:val="none" w:sz="0" w:space="0" w:color="auto"/>
        <w:right w:val="none" w:sz="0" w:space="0" w:color="auto"/>
      </w:divBdr>
      <w:divsChild>
        <w:div w:id="214658043">
          <w:marLeft w:val="0"/>
          <w:marRight w:val="0"/>
          <w:marTop w:val="0"/>
          <w:marBottom w:val="0"/>
          <w:divBdr>
            <w:top w:val="none" w:sz="0" w:space="0" w:color="auto"/>
            <w:left w:val="none" w:sz="0" w:space="0" w:color="auto"/>
            <w:bottom w:val="none" w:sz="0" w:space="0" w:color="auto"/>
            <w:right w:val="none" w:sz="0" w:space="0" w:color="auto"/>
          </w:divBdr>
          <w:divsChild>
            <w:div w:id="564799061">
              <w:marLeft w:val="0"/>
              <w:marRight w:val="0"/>
              <w:marTop w:val="0"/>
              <w:marBottom w:val="0"/>
              <w:divBdr>
                <w:top w:val="none" w:sz="0" w:space="0" w:color="auto"/>
                <w:left w:val="none" w:sz="0" w:space="0" w:color="auto"/>
                <w:bottom w:val="none" w:sz="0" w:space="0" w:color="auto"/>
                <w:right w:val="none" w:sz="0" w:space="0" w:color="auto"/>
              </w:divBdr>
              <w:divsChild>
                <w:div w:id="6135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68862298">
      <w:bodyDiv w:val="1"/>
      <w:marLeft w:val="0"/>
      <w:marRight w:val="0"/>
      <w:marTop w:val="0"/>
      <w:marBottom w:val="0"/>
      <w:divBdr>
        <w:top w:val="none" w:sz="0" w:space="0" w:color="auto"/>
        <w:left w:val="none" w:sz="0" w:space="0" w:color="auto"/>
        <w:bottom w:val="none" w:sz="0" w:space="0" w:color="auto"/>
        <w:right w:val="none" w:sz="0" w:space="0" w:color="auto"/>
      </w:divBdr>
      <w:divsChild>
        <w:div w:id="1945333648">
          <w:marLeft w:val="0"/>
          <w:marRight w:val="0"/>
          <w:marTop w:val="0"/>
          <w:marBottom w:val="0"/>
          <w:divBdr>
            <w:top w:val="none" w:sz="0" w:space="0" w:color="auto"/>
            <w:left w:val="none" w:sz="0" w:space="0" w:color="auto"/>
            <w:bottom w:val="none" w:sz="0" w:space="0" w:color="auto"/>
            <w:right w:val="none" w:sz="0" w:space="0" w:color="auto"/>
          </w:divBdr>
          <w:divsChild>
            <w:div w:id="627585184">
              <w:marLeft w:val="0"/>
              <w:marRight w:val="0"/>
              <w:marTop w:val="0"/>
              <w:marBottom w:val="0"/>
              <w:divBdr>
                <w:top w:val="none" w:sz="0" w:space="0" w:color="auto"/>
                <w:left w:val="none" w:sz="0" w:space="0" w:color="auto"/>
                <w:bottom w:val="none" w:sz="0" w:space="0" w:color="auto"/>
                <w:right w:val="none" w:sz="0" w:space="0" w:color="auto"/>
              </w:divBdr>
              <w:divsChild>
                <w:div w:id="7226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61484">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54525841">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54937460">
      <w:bodyDiv w:val="1"/>
      <w:marLeft w:val="0"/>
      <w:marRight w:val="0"/>
      <w:marTop w:val="0"/>
      <w:marBottom w:val="0"/>
      <w:divBdr>
        <w:top w:val="none" w:sz="0" w:space="0" w:color="auto"/>
        <w:left w:val="none" w:sz="0" w:space="0" w:color="auto"/>
        <w:bottom w:val="none" w:sz="0" w:space="0" w:color="auto"/>
        <w:right w:val="none" w:sz="0" w:space="0" w:color="auto"/>
      </w:divBdr>
    </w:div>
    <w:div w:id="120016530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8125460">
      <w:bodyDiv w:val="1"/>
      <w:marLeft w:val="0"/>
      <w:marRight w:val="0"/>
      <w:marTop w:val="0"/>
      <w:marBottom w:val="0"/>
      <w:divBdr>
        <w:top w:val="none" w:sz="0" w:space="0" w:color="auto"/>
        <w:left w:val="none" w:sz="0" w:space="0" w:color="auto"/>
        <w:bottom w:val="none" w:sz="0" w:space="0" w:color="auto"/>
        <w:right w:val="none" w:sz="0" w:space="0" w:color="auto"/>
      </w:divBdr>
    </w:div>
    <w:div w:id="1311448554">
      <w:bodyDiv w:val="1"/>
      <w:marLeft w:val="0"/>
      <w:marRight w:val="0"/>
      <w:marTop w:val="0"/>
      <w:marBottom w:val="0"/>
      <w:divBdr>
        <w:top w:val="none" w:sz="0" w:space="0" w:color="auto"/>
        <w:left w:val="none" w:sz="0" w:space="0" w:color="auto"/>
        <w:bottom w:val="none" w:sz="0" w:space="0" w:color="auto"/>
        <w:right w:val="none" w:sz="0" w:space="0" w:color="auto"/>
      </w:divBdr>
      <w:divsChild>
        <w:div w:id="1439329486">
          <w:marLeft w:val="0"/>
          <w:marRight w:val="0"/>
          <w:marTop w:val="0"/>
          <w:marBottom w:val="0"/>
          <w:divBdr>
            <w:top w:val="none" w:sz="0" w:space="0" w:color="auto"/>
            <w:left w:val="none" w:sz="0" w:space="0" w:color="auto"/>
            <w:bottom w:val="none" w:sz="0" w:space="0" w:color="auto"/>
            <w:right w:val="none" w:sz="0" w:space="0" w:color="auto"/>
          </w:divBdr>
          <w:divsChild>
            <w:div w:id="1419716816">
              <w:marLeft w:val="0"/>
              <w:marRight w:val="0"/>
              <w:marTop w:val="0"/>
              <w:marBottom w:val="0"/>
              <w:divBdr>
                <w:top w:val="none" w:sz="0" w:space="0" w:color="auto"/>
                <w:left w:val="none" w:sz="0" w:space="0" w:color="auto"/>
                <w:bottom w:val="none" w:sz="0" w:space="0" w:color="auto"/>
                <w:right w:val="none" w:sz="0" w:space="0" w:color="auto"/>
              </w:divBdr>
              <w:divsChild>
                <w:div w:id="1536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92598">
      <w:bodyDiv w:val="1"/>
      <w:marLeft w:val="0"/>
      <w:marRight w:val="0"/>
      <w:marTop w:val="0"/>
      <w:marBottom w:val="0"/>
      <w:divBdr>
        <w:top w:val="none" w:sz="0" w:space="0" w:color="auto"/>
        <w:left w:val="none" w:sz="0" w:space="0" w:color="auto"/>
        <w:bottom w:val="none" w:sz="0" w:space="0" w:color="auto"/>
        <w:right w:val="none" w:sz="0" w:space="0" w:color="auto"/>
      </w:divBdr>
    </w:div>
    <w:div w:id="1710108783">
      <w:bodyDiv w:val="1"/>
      <w:marLeft w:val="0"/>
      <w:marRight w:val="0"/>
      <w:marTop w:val="0"/>
      <w:marBottom w:val="0"/>
      <w:divBdr>
        <w:top w:val="none" w:sz="0" w:space="0" w:color="auto"/>
        <w:left w:val="none" w:sz="0" w:space="0" w:color="auto"/>
        <w:bottom w:val="none" w:sz="0" w:space="0" w:color="auto"/>
        <w:right w:val="none" w:sz="0" w:space="0" w:color="auto"/>
      </w:divBdr>
    </w:div>
    <w:div w:id="18840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www.art.gov.au/sites/default/files/2024-10/Administrative%20Review%20Tribunal%20%28Guidance%20and%20Appeals%20Panel%29%20Practice%20Direction.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s://www.art.gov.au/about-us/accountability-and-reporting/former-administrative-appeals-tribunal/aat-statistics" TargetMode="External"/><Relationship Id="rId2" Type="http://schemas.openxmlformats.org/officeDocument/2006/relationships/styles" Target="styles.xml"/><Relationship Id="rId16" Type="http://schemas.openxmlformats.org/officeDocument/2006/relationships/hyperlink" Target="https://www.art.gov.au/about-us/accountability-and-reporting/former-administrative-appeals-tribunal/aat-statistics"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www.aph.gov.au/Parliamentary_Business/Committees/Senate/Legal_and_Constitutional_Affairs/ARTBills2447" TargetMode="External"/><Relationship Id="rId2" Type="http://schemas.openxmlformats.org/officeDocument/2006/relationships/hyperlink" Target="https://www.aph.gov.au/Parliamentary_Business/Committees/House/Social_Policy_and_Legal_Affairs/ARTbillsInquiry" TargetMode="External"/><Relationship Id="rId1" Type="http://schemas.openxmlformats.org/officeDocument/2006/relationships/hyperlink" Target="https://www.art.gov.au/sites/default/files/2024-10/Administrative%20Review%20Tribunal%20%28Common%20Procedures%29%20Practice%20Direction.pdf" TargetMode="External"/><Relationship Id="rId4" Type="http://schemas.openxmlformats.org/officeDocument/2006/relationships/hyperlink" Target="https://parlinfo.aph.gov.au/parlInfo/search/display/display.w3p;query=Id%3A%22chamber%2Fhansardr%2F1988-09-29%2F0117%22" TargetMode="External"/></Relationships>
</file>

<file path=word/theme/theme1.xml><?xml version="1.0" encoding="utf-8"?>
<a:theme xmlns:a="http://schemas.openxmlformats.org/drawingml/2006/main" name="Office Theme">
  <a:themeElements>
    <a:clrScheme name="ARC">
      <a:dk1>
        <a:sysClr val="windowText" lastClr="000000"/>
      </a:dk1>
      <a:lt1>
        <a:sysClr val="window" lastClr="FFFFFF"/>
      </a:lt1>
      <a:dk2>
        <a:srgbClr val="273747"/>
      </a:dk2>
      <a:lt2>
        <a:srgbClr val="DCDDD9"/>
      </a:lt2>
      <a:accent1>
        <a:srgbClr val="335DA5"/>
      </a:accent1>
      <a:accent2>
        <a:srgbClr val="EEF1F8"/>
      </a:accent2>
      <a:accent3>
        <a:srgbClr val="273747"/>
      </a:accent3>
      <a:accent4>
        <a:srgbClr val="DCDDD9"/>
      </a:accent4>
      <a:accent5>
        <a:srgbClr val="D4EA9C"/>
      </a:accent5>
      <a:accent6>
        <a:srgbClr val="000000"/>
      </a:accent6>
      <a:hlink>
        <a:srgbClr val="335DA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9543</Words>
  <Characters>52417</Characters>
  <Application>Microsoft Office Word</Application>
  <DocSecurity>0</DocSecurity>
  <Lines>1147</Lines>
  <Paragraphs>489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Review Council: Social security inquiry - Issues Paper</dc:title>
  <dc:subject/>
  <dc:creator/>
  <cp:keywords/>
  <cp:lastModifiedBy/>
  <cp:revision>1</cp:revision>
  <dcterms:created xsi:type="dcterms:W3CDTF">2025-08-14T06:42:00Z</dcterms:created>
  <dcterms:modified xsi:type="dcterms:W3CDTF">2025-08-14T06:42:00Z</dcterms:modified>
</cp:coreProperties>
</file>