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6E809" w14:textId="77777777" w:rsidR="00394664" w:rsidRDefault="00BF004D" w:rsidP="00C279C1">
      <w:pPr>
        <w:ind w:left="-851"/>
        <w:sectPr w:rsidR="00394664" w:rsidSect="00C279C1">
          <w:headerReference w:type="default" r:id="rId8"/>
          <w:footerReference w:type="default" r:id="rId9"/>
          <w:pgSz w:w="12240" w:h="15840"/>
          <w:pgMar w:top="142" w:right="964" w:bottom="964" w:left="964" w:header="142" w:footer="311" w:gutter="0"/>
          <w:cols w:space="708"/>
          <w:docGrid w:linePitch="360"/>
        </w:sectPr>
      </w:pPr>
      <w:r>
        <w:rPr>
          <w:noProof/>
          <w:lang w:eastAsia="en-AU"/>
        </w:rPr>
        <w:drawing>
          <wp:inline distT="0" distB="0" distL="0" distR="0" wp14:anchorId="7226E813" wp14:editId="7226E814">
            <wp:extent cx="7579290" cy="1470660"/>
            <wp:effectExtent l="0" t="0" r="3175" b="0"/>
            <wp:docPr id="5" name="Picture 5"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4909" cy="1473691"/>
                    </a:xfrm>
                    <a:prstGeom prst="rect">
                      <a:avLst/>
                    </a:prstGeom>
                  </pic:spPr>
                </pic:pic>
              </a:graphicData>
            </a:graphic>
          </wp:inline>
        </w:drawing>
      </w:r>
    </w:p>
    <w:p w14:paraId="5B053598" w14:textId="4DC393A4" w:rsidR="00674637" w:rsidRPr="00AF553B" w:rsidRDefault="00A44B04" w:rsidP="00674637">
      <w:pPr>
        <w:spacing w:before="240"/>
        <w:jc w:val="right"/>
      </w:pPr>
      <w:r>
        <w:t xml:space="preserve">September </w:t>
      </w:r>
      <w:r w:rsidR="00D118EE" w:rsidRPr="00AF553B">
        <w:t>202</w:t>
      </w:r>
      <w:r w:rsidR="007F2EE1" w:rsidRPr="00AF553B">
        <w:t>3</w:t>
      </w:r>
    </w:p>
    <w:p w14:paraId="7AFF503F" w14:textId="3AD99FE7" w:rsidR="00870C1C" w:rsidRPr="00870C1C" w:rsidRDefault="001D1726" w:rsidP="00870C1C">
      <w:pPr>
        <w:pStyle w:val="Heading2"/>
        <w:rPr>
          <w:color w:val="404040"/>
          <w:kern w:val="32"/>
          <w:sz w:val="52"/>
          <w:szCs w:val="52"/>
        </w:rPr>
      </w:pPr>
      <w:r>
        <w:rPr>
          <w:color w:val="404040"/>
          <w:kern w:val="32"/>
          <w:sz w:val="52"/>
          <w:szCs w:val="52"/>
        </w:rPr>
        <w:t>Personal insolvency</w:t>
      </w:r>
      <w:r w:rsidR="00822F9C">
        <w:rPr>
          <w:color w:val="404040"/>
          <w:kern w:val="32"/>
          <w:sz w:val="52"/>
          <w:szCs w:val="52"/>
        </w:rPr>
        <w:t xml:space="preserve"> </w:t>
      </w:r>
      <w:r w:rsidR="000F3F2F">
        <w:rPr>
          <w:color w:val="404040"/>
          <w:kern w:val="32"/>
          <w:sz w:val="52"/>
          <w:szCs w:val="52"/>
        </w:rPr>
        <w:t xml:space="preserve">discussion </w:t>
      </w:r>
      <w:r w:rsidR="00003523">
        <w:rPr>
          <w:color w:val="404040"/>
          <w:kern w:val="32"/>
          <w:sz w:val="52"/>
          <w:szCs w:val="52"/>
        </w:rPr>
        <w:t>paper</w:t>
      </w:r>
    </w:p>
    <w:p w14:paraId="7226E80C" w14:textId="39FB0FC3" w:rsidR="00151A0A" w:rsidRDefault="00870C1C" w:rsidP="00EC17A1">
      <w:pPr>
        <w:pStyle w:val="Heading2"/>
      </w:pPr>
      <w:r>
        <w:t>Background</w:t>
      </w:r>
      <w:bookmarkStart w:id="0" w:name="_Hlk134108908"/>
    </w:p>
    <w:bookmarkEnd w:id="0"/>
    <w:p w14:paraId="35D848C0" w14:textId="476EAB4C" w:rsidR="00003523" w:rsidRPr="00AF553B" w:rsidRDefault="00003523" w:rsidP="009E4466">
      <w:pPr>
        <w:rPr>
          <w:rFonts w:asciiTheme="minorHAnsi" w:hAnsiTheme="minorHAnsi"/>
        </w:rPr>
      </w:pPr>
      <w:r w:rsidRPr="00AF553B">
        <w:rPr>
          <w:rFonts w:asciiTheme="minorHAnsi" w:hAnsiTheme="minorHAnsi"/>
        </w:rPr>
        <w:t xml:space="preserve">On 2 March 2023, the Attorney-General, the Hon Mark Dreyfus KC MP, convened a national </w:t>
      </w:r>
      <w:r w:rsidR="004859DD">
        <w:rPr>
          <w:rFonts w:asciiTheme="minorHAnsi" w:hAnsiTheme="minorHAnsi"/>
        </w:rPr>
        <w:t>R</w:t>
      </w:r>
      <w:r w:rsidRPr="00AF553B">
        <w:rPr>
          <w:rFonts w:asciiTheme="minorHAnsi" w:hAnsiTheme="minorHAnsi"/>
        </w:rPr>
        <w:t>oundtable (Roundtable)</w:t>
      </w:r>
      <w:r w:rsidR="00474B9D" w:rsidRPr="00AF553B">
        <w:rPr>
          <w:rStyle w:val="EndnoteReference"/>
          <w:rFonts w:asciiTheme="minorHAnsi" w:hAnsiTheme="minorHAnsi"/>
        </w:rPr>
        <w:endnoteReference w:id="1"/>
      </w:r>
      <w:r w:rsidRPr="00AF553B">
        <w:rPr>
          <w:rFonts w:asciiTheme="minorHAnsi" w:hAnsiTheme="minorHAnsi"/>
          <w:vertAlign w:val="superscript"/>
        </w:rPr>
        <w:t xml:space="preserve"> </w:t>
      </w:r>
      <w:r w:rsidRPr="00AF553B">
        <w:rPr>
          <w:rFonts w:asciiTheme="minorHAnsi" w:hAnsiTheme="minorHAnsi"/>
        </w:rPr>
        <w:t>with key stakeholders across all sectors of the personal insolvency system to better understand the pressure points</w:t>
      </w:r>
      <w:r w:rsidR="00F34D52" w:rsidRPr="00AF553B">
        <w:rPr>
          <w:rFonts w:asciiTheme="minorHAnsi" w:hAnsiTheme="minorHAnsi"/>
        </w:rPr>
        <w:t xml:space="preserve"> and potential key areas for reform</w:t>
      </w:r>
      <w:r w:rsidRPr="00AF553B">
        <w:rPr>
          <w:rFonts w:asciiTheme="minorHAnsi" w:hAnsiTheme="minorHAnsi"/>
        </w:rPr>
        <w:t>.</w:t>
      </w:r>
    </w:p>
    <w:p w14:paraId="456BC32B" w14:textId="1373650D" w:rsidR="00003523" w:rsidRPr="00AF553B" w:rsidRDefault="00003523" w:rsidP="009E4466">
      <w:pPr>
        <w:rPr>
          <w:rFonts w:asciiTheme="minorHAnsi" w:hAnsiTheme="minorHAnsi"/>
        </w:rPr>
      </w:pPr>
      <w:r w:rsidRPr="00AF553B">
        <w:rPr>
          <w:rFonts w:asciiTheme="minorHAnsi" w:hAnsiTheme="minorHAnsi"/>
        </w:rPr>
        <w:t>The Roundtable brought together 2</w:t>
      </w:r>
      <w:r w:rsidR="00DF6CCC">
        <w:rPr>
          <w:rFonts w:asciiTheme="minorHAnsi" w:hAnsiTheme="minorHAnsi"/>
        </w:rPr>
        <w:t>3</w:t>
      </w:r>
      <w:bookmarkStart w:id="1" w:name="_GoBack"/>
      <w:bookmarkEnd w:id="1"/>
      <w:r w:rsidRPr="00AF553B">
        <w:rPr>
          <w:rFonts w:asciiTheme="minorHAnsi" w:hAnsiTheme="minorHAnsi"/>
        </w:rPr>
        <w:t xml:space="preserve"> organisations from a wide range of sectors with an interest in personal insolvency, including credit, finance, accounting, legal sectors and consumer groups. The Roundtable provided an opportunity for practitioners and groups representing both creditor and debtor interests to engage directly with Government to provide an opportunity for dialogue between key stakeholders on personal insolvency priorities and emerging issues, and to increase effective collaboration between Government and key stakeholders in the development of personal insolvency law reform.</w:t>
      </w:r>
    </w:p>
    <w:p w14:paraId="7D02CD89" w14:textId="6770C0E9" w:rsidR="00245F62" w:rsidRPr="00AF553B" w:rsidRDefault="00245F62" w:rsidP="009E4466">
      <w:pPr>
        <w:rPr>
          <w:rFonts w:asciiTheme="minorHAnsi" w:hAnsiTheme="minorHAnsi"/>
        </w:rPr>
      </w:pPr>
      <w:r w:rsidRPr="00AF553B">
        <w:rPr>
          <w:rFonts w:asciiTheme="minorHAnsi" w:hAnsiTheme="minorHAnsi"/>
        </w:rPr>
        <w:t>The following five key issues were discussed at the Roundtable:</w:t>
      </w:r>
    </w:p>
    <w:p w14:paraId="6BA58F45" w14:textId="180F68C1" w:rsidR="008E1966" w:rsidRPr="00332B23" w:rsidRDefault="00581A8F" w:rsidP="009E4466">
      <w:pPr>
        <w:pStyle w:val="ListParagraph"/>
        <w:numPr>
          <w:ilvl w:val="0"/>
          <w:numId w:val="21"/>
        </w:numPr>
        <w:spacing w:line="276" w:lineRule="auto"/>
      </w:pPr>
      <w:r w:rsidRPr="00332B23">
        <w:t>i</w:t>
      </w:r>
      <w:r w:rsidR="00E40550" w:rsidRPr="00332B23">
        <w:t>ncreasing the bankruptcy threshold value from $10,000</w:t>
      </w:r>
      <w:r w:rsidRPr="00332B23">
        <w:t>;</w:t>
      </w:r>
    </w:p>
    <w:p w14:paraId="6F160EFD" w14:textId="5D508818" w:rsidR="0009371F" w:rsidRPr="00332B23" w:rsidRDefault="0009371F" w:rsidP="0009371F">
      <w:pPr>
        <w:pStyle w:val="ListParagraph"/>
        <w:numPr>
          <w:ilvl w:val="0"/>
          <w:numId w:val="21"/>
        </w:numPr>
        <w:spacing w:line="276" w:lineRule="auto"/>
      </w:pPr>
      <w:r w:rsidRPr="00332B23">
        <w:t xml:space="preserve">increasing the period for a debtor to respond to a bankruptcy notice from 21 days; </w:t>
      </w:r>
    </w:p>
    <w:p w14:paraId="6F3F9913" w14:textId="04E4C4B3" w:rsidR="00E40550" w:rsidRPr="00332B23" w:rsidRDefault="00581A8F" w:rsidP="009E4466">
      <w:pPr>
        <w:pStyle w:val="ListParagraph"/>
        <w:numPr>
          <w:ilvl w:val="0"/>
          <w:numId w:val="21"/>
        </w:numPr>
        <w:spacing w:line="276" w:lineRule="auto"/>
      </w:pPr>
      <w:r w:rsidRPr="00332B23">
        <w:t>o</w:t>
      </w:r>
      <w:r w:rsidR="00E40550" w:rsidRPr="00332B23">
        <w:t>ptions for a shorter discharge period from bankruptcy for some bankrupts</w:t>
      </w:r>
      <w:r w:rsidRPr="00332B23">
        <w:t>;</w:t>
      </w:r>
    </w:p>
    <w:p w14:paraId="6950AC99" w14:textId="74604322" w:rsidR="00E40550" w:rsidRPr="00FA3FED" w:rsidRDefault="00581A8F" w:rsidP="009E4466">
      <w:pPr>
        <w:pStyle w:val="ListParagraph"/>
        <w:numPr>
          <w:ilvl w:val="0"/>
          <w:numId w:val="21"/>
        </w:numPr>
        <w:spacing w:line="276" w:lineRule="auto"/>
      </w:pPr>
      <w:r w:rsidRPr="00754157">
        <w:t>o</w:t>
      </w:r>
      <w:r w:rsidR="00E40550" w:rsidRPr="00FA3FED">
        <w:t>ptions for easier annulment for inappropriate bankruptcies</w:t>
      </w:r>
      <w:r w:rsidRPr="00FA3FED">
        <w:t>;</w:t>
      </w:r>
      <w:r w:rsidR="0009371F" w:rsidRPr="00FA3FED">
        <w:t xml:space="preserve"> and</w:t>
      </w:r>
    </w:p>
    <w:p w14:paraId="16580524" w14:textId="0E5E8C24" w:rsidR="00E40550" w:rsidRPr="00A129F5" w:rsidRDefault="00581A8F" w:rsidP="009E4466">
      <w:pPr>
        <w:pStyle w:val="ListParagraph"/>
        <w:numPr>
          <w:ilvl w:val="0"/>
          <w:numId w:val="21"/>
        </w:numPr>
        <w:spacing w:line="276" w:lineRule="auto"/>
      </w:pPr>
      <w:r w:rsidRPr="00A129F5">
        <w:t>o</w:t>
      </w:r>
      <w:r w:rsidR="00E40550" w:rsidRPr="00A129F5">
        <w:t>ptions to identify and scope measures to</w:t>
      </w:r>
      <w:r w:rsidR="0009371F" w:rsidRPr="00A129F5">
        <w:t xml:space="preserve"> mitigate harms caused by unlicensed or untrustworthy advisers.</w:t>
      </w:r>
    </w:p>
    <w:p w14:paraId="65789BB7" w14:textId="0845AB24" w:rsidR="00FC4027" w:rsidRPr="00AF553B" w:rsidRDefault="004859DD" w:rsidP="009E4466">
      <w:pPr>
        <w:rPr>
          <w:rFonts w:asciiTheme="minorHAnsi" w:hAnsiTheme="minorHAnsi"/>
        </w:rPr>
      </w:pPr>
      <w:r w:rsidRPr="004859DD">
        <w:rPr>
          <w:rFonts w:asciiTheme="minorHAnsi" w:hAnsiTheme="minorHAnsi"/>
        </w:rPr>
        <w:t>Of these five key issues, the Attorney-General’s Department (the department) considers that the first two issues listed above to be priority reforms to progress in the short</w:t>
      </w:r>
      <w:r w:rsidR="00B81126">
        <w:rPr>
          <w:rFonts w:asciiTheme="minorHAnsi" w:hAnsiTheme="minorHAnsi"/>
        </w:rPr>
        <w:t>-</w:t>
      </w:r>
      <w:r w:rsidRPr="004859DD">
        <w:rPr>
          <w:rFonts w:asciiTheme="minorHAnsi" w:hAnsiTheme="minorHAnsi"/>
        </w:rPr>
        <w:t>term. This discussion paper seeks views on the proposals relating to these issues, and several other short</w:t>
      </w:r>
      <w:r w:rsidR="00B81126">
        <w:rPr>
          <w:rFonts w:asciiTheme="minorHAnsi" w:hAnsiTheme="minorHAnsi"/>
        </w:rPr>
        <w:t>-</w:t>
      </w:r>
      <w:r w:rsidRPr="004859DD">
        <w:rPr>
          <w:rFonts w:asciiTheme="minorHAnsi" w:hAnsiTheme="minorHAnsi"/>
        </w:rPr>
        <w:t xml:space="preserve">term, critical reforms to the </w:t>
      </w:r>
      <w:r w:rsidRPr="004E18C8">
        <w:rPr>
          <w:rFonts w:asciiTheme="minorHAnsi" w:hAnsiTheme="minorHAnsi"/>
          <w:i/>
        </w:rPr>
        <w:t>Bankruptcy Act 1966</w:t>
      </w:r>
      <w:r w:rsidR="004E18C8">
        <w:rPr>
          <w:rFonts w:asciiTheme="minorHAnsi" w:hAnsiTheme="minorHAnsi"/>
          <w:i/>
        </w:rPr>
        <w:t xml:space="preserve"> </w:t>
      </w:r>
      <w:r w:rsidR="004E18C8" w:rsidRPr="004E18C8">
        <w:rPr>
          <w:rFonts w:asciiTheme="minorHAnsi" w:hAnsiTheme="minorHAnsi"/>
        </w:rPr>
        <w:t>(Bankruptcy Act)</w:t>
      </w:r>
      <w:r w:rsidRPr="004859DD">
        <w:rPr>
          <w:rFonts w:asciiTheme="minorHAnsi" w:hAnsiTheme="minorHAnsi"/>
        </w:rPr>
        <w:t xml:space="preserve">. The remaining issues identified at the Roundtable will require further analysis and do not form part of this discussion paper, but will be considered in consultation with stakeholders at a later stage. </w:t>
      </w:r>
      <w:r w:rsidR="00245F62" w:rsidRPr="00AF553B">
        <w:rPr>
          <w:rFonts w:asciiTheme="minorHAnsi" w:hAnsiTheme="minorHAnsi"/>
        </w:rPr>
        <w:t xml:space="preserve">Of these five key issues, the </w:t>
      </w:r>
      <w:r w:rsidR="00190659">
        <w:rPr>
          <w:rFonts w:asciiTheme="minorHAnsi" w:hAnsiTheme="minorHAnsi"/>
        </w:rPr>
        <w:t>department</w:t>
      </w:r>
      <w:r w:rsidR="0036167C">
        <w:rPr>
          <w:rFonts w:asciiTheme="minorHAnsi" w:hAnsiTheme="minorHAnsi"/>
        </w:rPr>
        <w:t xml:space="preserve"> </w:t>
      </w:r>
      <w:r w:rsidR="00245F62" w:rsidRPr="00AF553B">
        <w:rPr>
          <w:rFonts w:asciiTheme="minorHAnsi" w:hAnsiTheme="minorHAnsi"/>
        </w:rPr>
        <w:t xml:space="preserve">has identified </w:t>
      </w:r>
      <w:r w:rsidR="00FC018A" w:rsidRPr="00AF553B">
        <w:rPr>
          <w:rFonts w:asciiTheme="minorHAnsi" w:hAnsiTheme="minorHAnsi"/>
        </w:rPr>
        <w:t>short-term and long-term reform priorities</w:t>
      </w:r>
      <w:r>
        <w:rPr>
          <w:rFonts w:asciiTheme="minorHAnsi" w:hAnsiTheme="minorHAnsi"/>
        </w:rPr>
        <w:t>.</w:t>
      </w:r>
      <w:r w:rsidR="00D110CD" w:rsidRPr="00AF553B">
        <w:rPr>
          <w:rFonts w:asciiTheme="minorHAnsi" w:hAnsiTheme="minorHAnsi"/>
        </w:rPr>
        <w:t xml:space="preserve"> </w:t>
      </w:r>
    </w:p>
    <w:p w14:paraId="3A865F31" w14:textId="13E218FF" w:rsidR="000B1BB1" w:rsidRDefault="000B1BB1" w:rsidP="009E4466">
      <w:pPr>
        <w:rPr>
          <w:rFonts w:asciiTheme="minorHAnsi" w:hAnsiTheme="minorHAnsi"/>
        </w:rPr>
      </w:pPr>
      <w:r w:rsidRPr="00AF553B">
        <w:rPr>
          <w:rFonts w:asciiTheme="minorHAnsi" w:hAnsiTheme="minorHAnsi"/>
        </w:rPr>
        <w:t xml:space="preserve">In developing this paper, the </w:t>
      </w:r>
      <w:r w:rsidR="00190659">
        <w:rPr>
          <w:rFonts w:asciiTheme="minorHAnsi" w:hAnsiTheme="minorHAnsi"/>
        </w:rPr>
        <w:t>department</w:t>
      </w:r>
      <w:r w:rsidRPr="00AF553B">
        <w:rPr>
          <w:rFonts w:asciiTheme="minorHAnsi" w:hAnsiTheme="minorHAnsi"/>
        </w:rPr>
        <w:t xml:space="preserve"> took into consideration views expressed by stakeholders at the </w:t>
      </w:r>
      <w:r w:rsidR="004859DD">
        <w:rPr>
          <w:rFonts w:asciiTheme="minorHAnsi" w:hAnsiTheme="minorHAnsi"/>
        </w:rPr>
        <w:t>R</w:t>
      </w:r>
      <w:r w:rsidRPr="00AF553B">
        <w:rPr>
          <w:rFonts w:asciiTheme="minorHAnsi" w:hAnsiTheme="minorHAnsi"/>
        </w:rPr>
        <w:t>oundtable, previous submissions made to the department on these issues, and data provided by the Australia</w:t>
      </w:r>
      <w:r w:rsidR="004E18C8">
        <w:rPr>
          <w:rFonts w:asciiTheme="minorHAnsi" w:hAnsiTheme="minorHAnsi"/>
        </w:rPr>
        <w:t>n</w:t>
      </w:r>
      <w:r w:rsidRPr="00AF553B">
        <w:rPr>
          <w:rFonts w:asciiTheme="minorHAnsi" w:hAnsiTheme="minorHAnsi"/>
        </w:rPr>
        <w:t xml:space="preserve"> Financial Security Authority (AFSA).</w:t>
      </w:r>
    </w:p>
    <w:p w14:paraId="3A430FB0" w14:textId="0725EEA6" w:rsidR="004859DD" w:rsidRPr="00AF553B" w:rsidRDefault="004859DD" w:rsidP="009E4466">
      <w:pPr>
        <w:rPr>
          <w:rFonts w:asciiTheme="minorHAnsi" w:hAnsiTheme="minorHAnsi"/>
        </w:rPr>
      </w:pPr>
      <w:r>
        <w:rPr>
          <w:rFonts w:asciiTheme="minorHAnsi" w:hAnsiTheme="minorHAnsi"/>
        </w:rPr>
        <w:t xml:space="preserve">The department also notes the Parliamentary Joint Committee on Corporations and Financial Services Inquiry  into Corporate Insolvency in Australia released its report on 12 July 2023, and that this report contained recommendations relevant to personal insolvency. </w:t>
      </w:r>
      <w:r w:rsidRPr="009F7AB5">
        <w:rPr>
          <w:rFonts w:asciiTheme="minorHAnsi" w:hAnsiTheme="minorHAnsi"/>
        </w:rPr>
        <w:t>The department is considering its response to this report.</w:t>
      </w:r>
    </w:p>
    <w:p w14:paraId="12CBB9D5" w14:textId="057D7205" w:rsidR="000D56B7" w:rsidRDefault="00B81126" w:rsidP="00EC17A1">
      <w:pPr>
        <w:pStyle w:val="Heading2"/>
      </w:pPr>
      <w:bookmarkStart w:id="2" w:name="_Hlk134187752"/>
      <w:r>
        <w:lastRenderedPageBreak/>
        <w:t>Why we are consulting</w:t>
      </w:r>
    </w:p>
    <w:bookmarkEnd w:id="2"/>
    <w:p w14:paraId="4356FB57" w14:textId="5B1C69AB" w:rsidR="009E08C4" w:rsidRDefault="000D56B7" w:rsidP="009E4466">
      <w:pPr>
        <w:spacing w:after="160"/>
        <w:rPr>
          <w:rFonts w:asciiTheme="minorHAnsi" w:hAnsiTheme="minorHAnsi" w:cs="Times New Roman"/>
          <w:w w:val="100"/>
          <w:kern w:val="0"/>
        </w:rPr>
      </w:pPr>
      <w:r w:rsidRPr="00AF553B">
        <w:rPr>
          <w:rFonts w:asciiTheme="minorHAnsi" w:hAnsiTheme="minorHAnsi" w:cs="Times New Roman"/>
          <w:w w:val="100"/>
          <w:kern w:val="0"/>
        </w:rPr>
        <w:t>The Bankruptcy Act</w:t>
      </w:r>
      <w:r w:rsidRPr="00AF553B">
        <w:rPr>
          <w:rFonts w:asciiTheme="minorHAnsi" w:hAnsiTheme="minorHAnsi" w:cs="Times New Roman"/>
          <w:i/>
          <w:w w:val="100"/>
          <w:kern w:val="0"/>
        </w:rPr>
        <w:t xml:space="preserve"> </w:t>
      </w:r>
      <w:r w:rsidRPr="00AF553B">
        <w:rPr>
          <w:rFonts w:asciiTheme="minorHAnsi" w:hAnsiTheme="minorHAnsi" w:cs="Times New Roman"/>
          <w:w w:val="100"/>
          <w:kern w:val="0"/>
        </w:rPr>
        <w:t>regulates Australia's personal insolvency system. It creates a framework to allow people in severe financial stress to discharge unmanageable debts while providing for the realisation of a debtor's available assets for distribution to affected creditors.</w:t>
      </w:r>
      <w:r w:rsidR="00E90EBB" w:rsidRPr="00AF553B">
        <w:rPr>
          <w:rFonts w:asciiTheme="minorHAnsi" w:hAnsiTheme="minorHAnsi" w:cs="Times New Roman"/>
          <w:w w:val="100"/>
          <w:kern w:val="0"/>
        </w:rPr>
        <w:t xml:space="preserve"> </w:t>
      </w:r>
    </w:p>
    <w:p w14:paraId="53D27659" w14:textId="5AF4D01C" w:rsidR="003446CE" w:rsidRPr="002D7F4F" w:rsidRDefault="002D7F4F" w:rsidP="002D7F4F">
      <w:pPr>
        <w:spacing w:after="160"/>
        <w:rPr>
          <w:rFonts w:asciiTheme="minorHAnsi" w:hAnsiTheme="minorHAnsi" w:cs="Times New Roman"/>
          <w:w w:val="100"/>
          <w:kern w:val="0"/>
        </w:rPr>
      </w:pPr>
      <w:r w:rsidRPr="00AF553B">
        <w:rPr>
          <w:rFonts w:asciiTheme="minorHAnsi" w:hAnsiTheme="minorHAnsi"/>
        </w:rPr>
        <w:t xml:space="preserve">The </w:t>
      </w:r>
      <w:r>
        <w:rPr>
          <w:rFonts w:asciiTheme="minorHAnsi" w:hAnsiTheme="minorHAnsi"/>
        </w:rPr>
        <w:t>department</w:t>
      </w:r>
      <w:r w:rsidRPr="00AF553B">
        <w:rPr>
          <w:rFonts w:asciiTheme="minorHAnsi" w:hAnsiTheme="minorHAnsi"/>
        </w:rPr>
        <w:t xml:space="preserve"> is seeking stakeholder submissions on targeted </w:t>
      </w:r>
      <w:r>
        <w:rPr>
          <w:rFonts w:asciiTheme="minorHAnsi" w:hAnsiTheme="minorHAnsi"/>
        </w:rPr>
        <w:t xml:space="preserve">short-term </w:t>
      </w:r>
      <w:r w:rsidRPr="00AF553B">
        <w:rPr>
          <w:rFonts w:asciiTheme="minorHAnsi" w:hAnsiTheme="minorHAnsi"/>
        </w:rPr>
        <w:t xml:space="preserve">reform opportunities to inform </w:t>
      </w:r>
      <w:r>
        <w:rPr>
          <w:rFonts w:asciiTheme="minorHAnsi" w:hAnsiTheme="minorHAnsi"/>
        </w:rPr>
        <w:t>its</w:t>
      </w:r>
      <w:r w:rsidRPr="00AF553B">
        <w:rPr>
          <w:rFonts w:asciiTheme="minorHAnsi" w:hAnsiTheme="minorHAnsi"/>
        </w:rPr>
        <w:t xml:space="preserve"> ongoing </w:t>
      </w:r>
      <w:r>
        <w:rPr>
          <w:rFonts w:asciiTheme="minorHAnsi" w:hAnsiTheme="minorHAnsi"/>
        </w:rPr>
        <w:t>efforts to improve the personal insolvency system</w:t>
      </w:r>
      <w:r w:rsidRPr="00AF553B">
        <w:rPr>
          <w:rFonts w:asciiTheme="minorHAnsi" w:hAnsiTheme="minorHAnsi"/>
        </w:rPr>
        <w:t xml:space="preserve">. </w:t>
      </w:r>
      <w:r>
        <w:rPr>
          <w:rFonts w:asciiTheme="minorHAnsi" w:hAnsiTheme="minorHAnsi"/>
        </w:rPr>
        <w:t xml:space="preserve">These opportunities include issues identified as priorities through the Roundtable, and other proposals the department considers require short-term action. </w:t>
      </w:r>
      <w:r w:rsidRPr="00AF553B">
        <w:rPr>
          <w:rFonts w:asciiTheme="minorHAnsi" w:hAnsiTheme="minorHAnsi" w:cs="Times New Roman"/>
          <w:w w:val="100"/>
          <w:kern w:val="0"/>
        </w:rPr>
        <w:t>These matters are:</w:t>
      </w:r>
    </w:p>
    <w:p w14:paraId="707AEB22" w14:textId="78C17D24" w:rsidR="00870C1C" w:rsidRPr="00332B23" w:rsidRDefault="000D56B7" w:rsidP="00A84A52">
      <w:pPr>
        <w:pStyle w:val="ListParagraph"/>
        <w:numPr>
          <w:ilvl w:val="0"/>
          <w:numId w:val="7"/>
        </w:numPr>
        <w:spacing w:line="276" w:lineRule="auto"/>
      </w:pPr>
      <w:r w:rsidRPr="00332B23">
        <w:t xml:space="preserve">an </w:t>
      </w:r>
      <w:r w:rsidR="00922356" w:rsidRPr="00332B23">
        <w:t xml:space="preserve">increase </w:t>
      </w:r>
      <w:r w:rsidR="002A3EFB" w:rsidRPr="00332B23">
        <w:t xml:space="preserve">to </w:t>
      </w:r>
      <w:r w:rsidR="00922356" w:rsidRPr="00332B23">
        <w:t>the bankruptcy threshold from $10,000</w:t>
      </w:r>
      <w:r w:rsidR="00DE4D14" w:rsidRPr="00332B23">
        <w:t xml:space="preserve"> to $20,000</w:t>
      </w:r>
      <w:r w:rsidR="00581A8F" w:rsidRPr="00332B23">
        <w:t>;</w:t>
      </w:r>
      <w:r w:rsidR="00870C1C" w:rsidRPr="00332B23">
        <w:t xml:space="preserve"> </w:t>
      </w:r>
    </w:p>
    <w:p w14:paraId="054C6AF6" w14:textId="4EA782FF" w:rsidR="00674CE4" w:rsidRPr="00A129F5" w:rsidRDefault="000D56B7" w:rsidP="00E403F4">
      <w:pPr>
        <w:pStyle w:val="ListParagraph"/>
        <w:numPr>
          <w:ilvl w:val="0"/>
          <w:numId w:val="7"/>
        </w:numPr>
        <w:spacing w:line="276" w:lineRule="auto"/>
      </w:pPr>
      <w:r w:rsidRPr="00332B23">
        <w:t xml:space="preserve">an </w:t>
      </w:r>
      <w:r w:rsidR="00DE4D14" w:rsidRPr="00332B23">
        <w:t xml:space="preserve">increase </w:t>
      </w:r>
      <w:r w:rsidR="00672D82" w:rsidRPr="00754157">
        <w:t xml:space="preserve">to </w:t>
      </w:r>
      <w:r w:rsidR="00DE4D14" w:rsidRPr="00FA3FED">
        <w:t xml:space="preserve">the timeframe </w:t>
      </w:r>
      <w:r w:rsidR="00672D82" w:rsidRPr="00FA3FED">
        <w:t xml:space="preserve">a debtor has to respond to a </w:t>
      </w:r>
      <w:r w:rsidR="00DE4D14" w:rsidRPr="00FA3FED">
        <w:t>bankruptcy notice from 21 days to 28 days</w:t>
      </w:r>
      <w:r w:rsidR="00C93FD6" w:rsidRPr="003B7743">
        <w:t>;</w:t>
      </w:r>
    </w:p>
    <w:p w14:paraId="2C0E1717" w14:textId="03D74725" w:rsidR="0009371F" w:rsidRPr="00A129F5" w:rsidRDefault="0009371F" w:rsidP="00E403F4">
      <w:pPr>
        <w:pStyle w:val="ListParagraph"/>
        <w:numPr>
          <w:ilvl w:val="0"/>
          <w:numId w:val="7"/>
        </w:numPr>
        <w:spacing w:line="276" w:lineRule="auto"/>
      </w:pPr>
      <w:r w:rsidRPr="00A129F5">
        <w:t>a reduction in the period of time for which a discharged bankrupt is recorded on the National Personal Insolvency Index (NPII)</w:t>
      </w:r>
      <w:r w:rsidR="008F19AF" w:rsidRPr="00A129F5">
        <w:t>; and</w:t>
      </w:r>
    </w:p>
    <w:p w14:paraId="0AB4B6AD" w14:textId="62C83113" w:rsidR="008F19AF" w:rsidRPr="00332B23" w:rsidRDefault="00906D2D" w:rsidP="00E403F4">
      <w:pPr>
        <w:pStyle w:val="ListParagraph"/>
        <w:numPr>
          <w:ilvl w:val="0"/>
          <w:numId w:val="7"/>
        </w:numPr>
        <w:spacing w:line="276" w:lineRule="auto"/>
      </w:pPr>
      <w:r w:rsidRPr="00A129F5">
        <w:t>amending the Bankruptcy Act so that an ‘act of bankruptcy’ is not taken to have occurred where a debtor submits a debt agreement proposal to the Official Receiver</w:t>
      </w:r>
      <w:r w:rsidR="00A17BF5">
        <w:t>,</w:t>
      </w:r>
      <w:r w:rsidRPr="00A129F5">
        <w:t xml:space="preserve"> or where </w:t>
      </w:r>
      <w:r w:rsidR="00C93FD6" w:rsidRPr="00A129F5">
        <w:t>a debt agreement proposal is accepted by creditors.</w:t>
      </w:r>
      <w:r w:rsidR="00474B9D" w:rsidRPr="00332B23">
        <w:rPr>
          <w:rStyle w:val="EndnoteReference"/>
        </w:rPr>
        <w:endnoteReference w:id="2"/>
      </w:r>
      <w:r w:rsidR="00C93FD6" w:rsidRPr="00332B23">
        <w:t xml:space="preserve"> </w:t>
      </w:r>
    </w:p>
    <w:p w14:paraId="57578355" w14:textId="298E1924" w:rsidR="00C37B78" w:rsidRPr="00C37B78" w:rsidRDefault="00B81126" w:rsidP="00C37B78">
      <w:pPr>
        <w:pStyle w:val="Heading2"/>
      </w:pPr>
      <w:r>
        <w:t>Who we want to hear from</w:t>
      </w:r>
    </w:p>
    <w:p w14:paraId="535649AA" w14:textId="6F8B85ED" w:rsidR="00C37B78" w:rsidRPr="00AF553B" w:rsidRDefault="0036167C" w:rsidP="009E4466">
      <w:pPr>
        <w:rPr>
          <w:rFonts w:asciiTheme="minorHAnsi" w:hAnsiTheme="minorHAnsi"/>
        </w:rPr>
      </w:pPr>
      <w:r>
        <w:rPr>
          <w:rFonts w:asciiTheme="minorHAnsi" w:hAnsiTheme="minorHAnsi"/>
        </w:rPr>
        <w:t xml:space="preserve">The </w:t>
      </w:r>
      <w:r w:rsidR="00190659">
        <w:rPr>
          <w:rFonts w:asciiTheme="minorHAnsi" w:hAnsiTheme="minorHAnsi"/>
        </w:rPr>
        <w:t>department</w:t>
      </w:r>
      <w:r w:rsidR="00672D82" w:rsidRPr="00AF553B">
        <w:rPr>
          <w:rFonts w:asciiTheme="minorHAnsi" w:hAnsiTheme="minorHAnsi"/>
        </w:rPr>
        <w:t xml:space="preserve"> </w:t>
      </w:r>
      <w:r w:rsidR="00C37B78" w:rsidRPr="00AF553B">
        <w:rPr>
          <w:rFonts w:asciiTheme="minorHAnsi" w:hAnsiTheme="minorHAnsi"/>
        </w:rPr>
        <w:t xml:space="preserve">is seeking submissions from stakeholders </w:t>
      </w:r>
      <w:r w:rsidR="00F34D52" w:rsidRPr="00AF553B">
        <w:rPr>
          <w:rFonts w:asciiTheme="minorHAnsi" w:hAnsiTheme="minorHAnsi"/>
        </w:rPr>
        <w:t>on the issues raised in this discussion paper</w:t>
      </w:r>
      <w:r w:rsidR="00C37B78" w:rsidRPr="00AF553B">
        <w:rPr>
          <w:rFonts w:asciiTheme="minorHAnsi" w:hAnsiTheme="minorHAnsi"/>
        </w:rPr>
        <w:t>. The</w:t>
      </w:r>
      <w:r w:rsidR="00BF3D8C" w:rsidRPr="00AF553B">
        <w:rPr>
          <w:rFonts w:asciiTheme="minorHAnsi" w:hAnsiTheme="minorHAnsi"/>
        </w:rPr>
        <w:t xml:space="preserve"> </w:t>
      </w:r>
      <w:r w:rsidR="00C37B78" w:rsidRPr="00AF553B">
        <w:rPr>
          <w:rFonts w:asciiTheme="minorHAnsi" w:hAnsiTheme="minorHAnsi"/>
        </w:rPr>
        <w:t xml:space="preserve">discussion paper includes questions to guide feedback. However, stakeholders are welcome to provide further information and suggestions relevant to </w:t>
      </w:r>
      <w:r w:rsidR="00672D82" w:rsidRPr="00AF553B">
        <w:rPr>
          <w:rFonts w:asciiTheme="minorHAnsi" w:hAnsiTheme="minorHAnsi"/>
        </w:rPr>
        <w:t>each topic presented in this paper</w:t>
      </w:r>
      <w:r w:rsidR="00C37B78" w:rsidRPr="00AF553B">
        <w:rPr>
          <w:rFonts w:asciiTheme="minorHAnsi" w:hAnsiTheme="minorHAnsi"/>
        </w:rPr>
        <w:t xml:space="preserve">. </w:t>
      </w:r>
    </w:p>
    <w:p w14:paraId="451F938F" w14:textId="1F01FBD5" w:rsidR="00C37B78" w:rsidRPr="00AF553B" w:rsidRDefault="00C37B78" w:rsidP="009E4466">
      <w:pPr>
        <w:rPr>
          <w:rFonts w:asciiTheme="minorHAnsi" w:hAnsiTheme="minorHAnsi"/>
        </w:rPr>
      </w:pPr>
      <w:r w:rsidRPr="00AF553B">
        <w:rPr>
          <w:rFonts w:asciiTheme="minorHAnsi" w:hAnsiTheme="minorHAnsi"/>
        </w:rPr>
        <w:t xml:space="preserve">While the consultation is open to all members of the public, </w:t>
      </w:r>
      <w:r w:rsidR="0036167C">
        <w:rPr>
          <w:rFonts w:asciiTheme="minorHAnsi" w:hAnsiTheme="minorHAnsi"/>
        </w:rPr>
        <w:t xml:space="preserve">the </w:t>
      </w:r>
      <w:r w:rsidR="00190659">
        <w:rPr>
          <w:rFonts w:asciiTheme="minorHAnsi" w:hAnsiTheme="minorHAnsi"/>
        </w:rPr>
        <w:t>department</w:t>
      </w:r>
      <w:r w:rsidR="0036167C">
        <w:rPr>
          <w:rFonts w:asciiTheme="minorHAnsi" w:hAnsiTheme="minorHAnsi"/>
        </w:rPr>
        <w:t xml:space="preserve"> </w:t>
      </w:r>
      <w:r w:rsidRPr="00AF553B">
        <w:rPr>
          <w:rFonts w:asciiTheme="minorHAnsi" w:hAnsiTheme="minorHAnsi"/>
        </w:rPr>
        <w:t>would particularly like to hear from small business and consumer advocates, insolvency practitioners and peak industry organisations.</w:t>
      </w:r>
    </w:p>
    <w:p w14:paraId="4359AD25" w14:textId="5303F8D4" w:rsidR="00506517" w:rsidRPr="00263701" w:rsidRDefault="00C37B78" w:rsidP="009E4466">
      <w:pPr>
        <w:rPr>
          <w:rFonts w:asciiTheme="minorHAnsi" w:hAnsiTheme="minorHAnsi"/>
          <w:u w:val="single"/>
        </w:rPr>
      </w:pPr>
      <w:r w:rsidRPr="00822F9C">
        <w:rPr>
          <w:rFonts w:asciiTheme="minorHAnsi" w:hAnsiTheme="minorHAnsi"/>
        </w:rPr>
        <w:t xml:space="preserve">Submissions can be made </w:t>
      </w:r>
      <w:r w:rsidR="005E68F4" w:rsidRPr="00822F9C">
        <w:rPr>
          <w:rFonts w:asciiTheme="minorHAnsi" w:hAnsiTheme="minorHAnsi"/>
        </w:rPr>
        <w:t>through Citizen Space</w:t>
      </w:r>
      <w:r w:rsidR="008978E4" w:rsidRPr="00D42440">
        <w:rPr>
          <w:rFonts w:asciiTheme="minorHAnsi" w:hAnsiTheme="minorHAnsi"/>
        </w:rPr>
        <w:t>.</w:t>
      </w:r>
      <w:r w:rsidR="00263701">
        <w:rPr>
          <w:rFonts w:asciiTheme="minorHAnsi" w:hAnsiTheme="minorHAnsi"/>
          <w:u w:val="single"/>
        </w:rPr>
        <w:t xml:space="preserve"> </w:t>
      </w:r>
      <w:r w:rsidR="00A23DCD" w:rsidRPr="00AF553B">
        <w:rPr>
          <w:rFonts w:asciiTheme="minorHAnsi" w:hAnsiTheme="minorHAnsi"/>
        </w:rPr>
        <w:t xml:space="preserve">Please note that </w:t>
      </w:r>
      <w:r w:rsidR="0036167C">
        <w:rPr>
          <w:rFonts w:asciiTheme="minorHAnsi" w:hAnsiTheme="minorHAnsi"/>
        </w:rPr>
        <w:t xml:space="preserve">the </w:t>
      </w:r>
      <w:r w:rsidR="00190659">
        <w:rPr>
          <w:rFonts w:asciiTheme="minorHAnsi" w:hAnsiTheme="minorHAnsi"/>
        </w:rPr>
        <w:t>department</w:t>
      </w:r>
      <w:r w:rsidR="0036167C">
        <w:rPr>
          <w:rFonts w:asciiTheme="minorHAnsi" w:hAnsiTheme="minorHAnsi"/>
        </w:rPr>
        <w:t xml:space="preserve"> </w:t>
      </w:r>
      <w:r w:rsidR="00506517" w:rsidRPr="00AF553B">
        <w:rPr>
          <w:rFonts w:asciiTheme="minorHAnsi" w:hAnsiTheme="minorHAnsi"/>
        </w:rPr>
        <w:t xml:space="preserve">will not publish your submission if you asked for it to remain confidential, or if </w:t>
      </w:r>
      <w:r w:rsidR="0036167C">
        <w:rPr>
          <w:rFonts w:asciiTheme="minorHAnsi" w:hAnsiTheme="minorHAnsi"/>
        </w:rPr>
        <w:t xml:space="preserve">the </w:t>
      </w:r>
      <w:r w:rsidR="00190659">
        <w:rPr>
          <w:rFonts w:asciiTheme="minorHAnsi" w:hAnsiTheme="minorHAnsi"/>
        </w:rPr>
        <w:t>department</w:t>
      </w:r>
      <w:r w:rsidR="0036167C">
        <w:rPr>
          <w:rFonts w:asciiTheme="minorHAnsi" w:hAnsiTheme="minorHAnsi"/>
        </w:rPr>
        <w:t xml:space="preserve"> </w:t>
      </w:r>
      <w:r w:rsidR="00506517" w:rsidRPr="00AF553B">
        <w:rPr>
          <w:rFonts w:asciiTheme="minorHAnsi" w:hAnsiTheme="minorHAnsi"/>
        </w:rPr>
        <w:t>consider</w:t>
      </w:r>
      <w:r w:rsidR="0036167C">
        <w:rPr>
          <w:rFonts w:asciiTheme="minorHAnsi" w:hAnsiTheme="minorHAnsi"/>
        </w:rPr>
        <w:t>s</w:t>
      </w:r>
      <w:r w:rsidR="00506517" w:rsidRPr="00AF553B">
        <w:rPr>
          <w:rFonts w:asciiTheme="minorHAnsi" w:hAnsiTheme="minorHAnsi"/>
        </w:rPr>
        <w:t xml:space="preserve"> (for any reason) that it should not be made public. </w:t>
      </w:r>
      <w:r w:rsidR="002D7F4F">
        <w:rPr>
          <w:rFonts w:asciiTheme="minorHAnsi" w:hAnsiTheme="minorHAnsi"/>
        </w:rPr>
        <w:t xml:space="preserve">We </w:t>
      </w:r>
      <w:r w:rsidR="00506517" w:rsidRPr="00AF553B">
        <w:rPr>
          <w:rFonts w:asciiTheme="minorHAnsi" w:hAnsiTheme="minorHAnsi"/>
        </w:rPr>
        <w:t xml:space="preserve">may redact parts of published submissions, as appropriate. Read our </w:t>
      </w:r>
      <w:hyperlink r:id="rId11" w:history="1">
        <w:r w:rsidR="00506517" w:rsidRPr="00AF553B">
          <w:rPr>
            <w:rStyle w:val="Hyperlink"/>
            <w:rFonts w:asciiTheme="minorHAnsi" w:hAnsiTheme="minorHAnsi"/>
          </w:rPr>
          <w:t>privacy policy</w:t>
        </w:r>
      </w:hyperlink>
      <w:r w:rsidR="00506517" w:rsidRPr="00AF553B">
        <w:rPr>
          <w:rFonts w:asciiTheme="minorHAnsi" w:hAnsiTheme="minorHAnsi"/>
        </w:rPr>
        <w:t xml:space="preserve"> to find out more. </w:t>
      </w:r>
    </w:p>
    <w:p w14:paraId="600EACCC" w14:textId="26906EBC" w:rsidR="0015529E" w:rsidRPr="005968E1" w:rsidRDefault="00C37B78" w:rsidP="00440A6C">
      <w:pPr>
        <w:rPr>
          <w:rFonts w:eastAsia="SimSun" w:cs="Angsana New"/>
          <w:b/>
          <w:bCs/>
          <w:iCs/>
          <w:color w:val="4D738A"/>
          <w:sz w:val="40"/>
          <w:szCs w:val="48"/>
        </w:rPr>
      </w:pPr>
      <w:r w:rsidRPr="00AF553B">
        <w:rPr>
          <w:rFonts w:asciiTheme="minorHAnsi" w:hAnsiTheme="minorHAnsi"/>
        </w:rPr>
        <w:t xml:space="preserve">If you have any questions about the consultation process, </w:t>
      </w:r>
      <w:r w:rsidR="00252AEF" w:rsidRPr="00AF553B">
        <w:rPr>
          <w:rFonts w:asciiTheme="minorHAnsi" w:hAnsiTheme="minorHAnsi"/>
        </w:rPr>
        <w:t xml:space="preserve">please </w:t>
      </w:r>
      <w:r w:rsidRPr="00AF553B">
        <w:rPr>
          <w:rFonts w:asciiTheme="minorHAnsi" w:hAnsiTheme="minorHAnsi"/>
        </w:rPr>
        <w:t xml:space="preserve">email </w:t>
      </w:r>
      <w:hyperlink r:id="rId12" w:history="1">
        <w:r w:rsidR="006A4389" w:rsidRPr="00AF553B">
          <w:rPr>
            <w:rStyle w:val="Hyperlink"/>
            <w:rFonts w:asciiTheme="minorHAnsi" w:hAnsiTheme="minorHAnsi"/>
          </w:rPr>
          <w:t>bankruptcy@ag.gov.au</w:t>
        </w:r>
      </w:hyperlink>
      <w:r w:rsidR="008978E4" w:rsidRPr="00AF553B">
        <w:rPr>
          <w:rFonts w:asciiTheme="minorHAnsi" w:hAnsiTheme="minorHAnsi"/>
        </w:rPr>
        <w:t>.</w:t>
      </w:r>
      <w:r w:rsidR="006A4389">
        <w:t xml:space="preserve"> </w:t>
      </w:r>
      <w:r w:rsidR="0015529E">
        <w:br w:type="page"/>
      </w:r>
    </w:p>
    <w:p w14:paraId="0AA63770" w14:textId="1B3A30FB" w:rsidR="00872D48" w:rsidRDefault="008E6CBF" w:rsidP="00EC17A1">
      <w:pPr>
        <w:pStyle w:val="Heading1"/>
        <w:jc w:val="left"/>
      </w:pPr>
      <w:r>
        <w:lastRenderedPageBreak/>
        <w:t>Increasing the bankruptcy threshol</w:t>
      </w:r>
      <w:r w:rsidR="00DE4D14">
        <w:t xml:space="preserve">d </w:t>
      </w:r>
      <w:r w:rsidR="003B7D30">
        <w:t>from $10,000 to $20,000</w:t>
      </w:r>
    </w:p>
    <w:p w14:paraId="548C6577" w14:textId="519D7361" w:rsidR="001B11C5" w:rsidRDefault="001B11C5" w:rsidP="00EC17A1">
      <w:pPr>
        <w:pStyle w:val="Heading2"/>
      </w:pPr>
      <w:r>
        <w:t>Discussion questions</w:t>
      </w:r>
    </w:p>
    <w:p w14:paraId="291D74C0" w14:textId="365F9838" w:rsidR="001B11C5" w:rsidRPr="001B11C5" w:rsidRDefault="001B11C5" w:rsidP="009E4466">
      <w:pPr>
        <w:pStyle w:val="ListParagraph"/>
        <w:numPr>
          <w:ilvl w:val="0"/>
          <w:numId w:val="24"/>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b/>
          <w:lang w:eastAsia="en-AU"/>
        </w:rPr>
      </w:pPr>
      <w:r w:rsidRPr="001B11C5">
        <w:rPr>
          <w:rFonts w:eastAsia="Times New Roman" w:cs="Arial"/>
          <w:b/>
          <w:lang w:eastAsia="en-AU"/>
        </w:rPr>
        <w:t xml:space="preserve">Question </w:t>
      </w:r>
      <w:r w:rsidR="006965F1">
        <w:rPr>
          <w:rFonts w:eastAsia="Times New Roman" w:cs="Arial"/>
          <w:b/>
          <w:lang w:eastAsia="en-AU"/>
        </w:rPr>
        <w:t>1</w:t>
      </w:r>
      <w:r w:rsidRPr="001B11C5">
        <w:rPr>
          <w:rFonts w:eastAsia="Times New Roman" w:cs="Arial"/>
          <w:b/>
          <w:lang w:eastAsia="en-AU"/>
        </w:rPr>
        <w:t xml:space="preserve">: </w:t>
      </w:r>
      <w:r w:rsidR="007F1DD6" w:rsidRPr="00822F9C">
        <w:rPr>
          <w:rFonts w:eastAsia="Times New Roman" w:cs="Arial"/>
          <w:lang w:eastAsia="en-AU"/>
        </w:rPr>
        <w:t>Do you believe</w:t>
      </w:r>
      <w:r w:rsidR="007F1DD6">
        <w:rPr>
          <w:rFonts w:eastAsia="Times New Roman" w:cs="Arial"/>
          <w:b/>
          <w:lang w:eastAsia="en-AU"/>
        </w:rPr>
        <w:t xml:space="preserve"> </w:t>
      </w:r>
      <w:r w:rsidR="007F1DD6">
        <w:rPr>
          <w:rFonts w:eastAsia="Times New Roman" w:cs="Arial"/>
          <w:lang w:eastAsia="en-AU"/>
        </w:rPr>
        <w:t>that any of the current economic circumstances ha</w:t>
      </w:r>
      <w:r w:rsidR="00B825C4">
        <w:rPr>
          <w:rFonts w:eastAsia="Times New Roman" w:cs="Arial"/>
          <w:lang w:eastAsia="en-AU"/>
        </w:rPr>
        <w:t>ve</w:t>
      </w:r>
      <w:r w:rsidR="007F1DD6">
        <w:rPr>
          <w:rFonts w:eastAsia="Times New Roman" w:cs="Arial"/>
          <w:lang w:eastAsia="en-AU"/>
        </w:rPr>
        <w:t xml:space="preserve"> the capacity to </w:t>
      </w:r>
      <w:r w:rsidR="00132272">
        <w:rPr>
          <w:rFonts w:eastAsia="Times New Roman" w:cs="Arial"/>
          <w:lang w:eastAsia="en-AU"/>
        </w:rPr>
        <w:t xml:space="preserve">inform the </w:t>
      </w:r>
      <w:r w:rsidRPr="001B11C5">
        <w:rPr>
          <w:rFonts w:eastAsia="Times New Roman" w:cs="Arial"/>
          <w:lang w:eastAsia="en-AU"/>
        </w:rPr>
        <w:t xml:space="preserve">policy setting for </w:t>
      </w:r>
      <w:r w:rsidR="00B825C4">
        <w:rPr>
          <w:rFonts w:eastAsia="Times New Roman" w:cs="Arial"/>
          <w:lang w:eastAsia="en-AU"/>
        </w:rPr>
        <w:t>increasing the</w:t>
      </w:r>
      <w:r w:rsidRPr="001B11C5">
        <w:rPr>
          <w:rFonts w:eastAsia="Times New Roman" w:cs="Arial"/>
          <w:lang w:eastAsia="en-AU"/>
        </w:rPr>
        <w:t xml:space="preserve"> default </w:t>
      </w:r>
      <w:r w:rsidR="00D30F36">
        <w:rPr>
          <w:rFonts w:eastAsia="Times New Roman" w:cs="Arial"/>
          <w:lang w:eastAsia="en-AU"/>
        </w:rPr>
        <w:t xml:space="preserve">bankruptcy </w:t>
      </w:r>
      <w:r w:rsidR="00C94BC8">
        <w:rPr>
          <w:rFonts w:eastAsia="Times New Roman" w:cs="Arial"/>
          <w:lang w:eastAsia="en-AU"/>
        </w:rPr>
        <w:t xml:space="preserve">threshold </w:t>
      </w:r>
      <w:r w:rsidR="00B825C4">
        <w:rPr>
          <w:rFonts w:eastAsia="Times New Roman" w:cs="Arial"/>
          <w:lang w:eastAsia="en-AU"/>
        </w:rPr>
        <w:t xml:space="preserve">to </w:t>
      </w:r>
      <w:r w:rsidR="00C94BC8">
        <w:rPr>
          <w:rFonts w:eastAsia="Times New Roman" w:cs="Arial"/>
          <w:lang w:eastAsia="en-AU"/>
        </w:rPr>
        <w:t>$20,000</w:t>
      </w:r>
      <w:r w:rsidR="007F1DD6">
        <w:rPr>
          <w:rFonts w:eastAsia="Times New Roman" w:cs="Arial"/>
          <w:lang w:eastAsia="en-AU"/>
        </w:rPr>
        <w:t xml:space="preserve">? Please expand on your response. </w:t>
      </w:r>
    </w:p>
    <w:p w14:paraId="79232697" w14:textId="2636E852" w:rsidR="001B11C5" w:rsidRDefault="001B11C5" w:rsidP="009E4466">
      <w:pPr>
        <w:pStyle w:val="ListParagraph"/>
        <w:numPr>
          <w:ilvl w:val="0"/>
          <w:numId w:val="24"/>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sidRPr="001B11C5">
        <w:rPr>
          <w:rFonts w:eastAsia="Times New Roman" w:cs="Arial"/>
          <w:b/>
          <w:lang w:eastAsia="en-AU"/>
        </w:rPr>
        <w:t xml:space="preserve">Question </w:t>
      </w:r>
      <w:r w:rsidR="006965F1">
        <w:rPr>
          <w:rFonts w:eastAsia="Times New Roman" w:cs="Arial"/>
          <w:b/>
          <w:lang w:eastAsia="en-AU"/>
        </w:rPr>
        <w:t>2</w:t>
      </w:r>
      <w:r w:rsidRPr="001B11C5">
        <w:rPr>
          <w:rFonts w:eastAsia="Times New Roman" w:cs="Arial"/>
          <w:b/>
          <w:lang w:eastAsia="en-AU"/>
        </w:rPr>
        <w:t xml:space="preserve">: </w:t>
      </w:r>
      <w:r w:rsidR="009E4CD5" w:rsidRPr="009E4CD5">
        <w:rPr>
          <w:rFonts w:eastAsia="Times New Roman" w:cs="Arial"/>
          <w:lang w:eastAsia="en-AU"/>
        </w:rPr>
        <w:t>If you do believe that any of the current economic circumstances have the capacity to inform the policy setting for increasing the default bankruptcy threshold to $20,000</w:t>
      </w:r>
      <w:r w:rsidR="00C2552E">
        <w:rPr>
          <w:rFonts w:eastAsia="Times New Roman" w:cs="Arial"/>
          <w:lang w:eastAsia="en-AU"/>
        </w:rPr>
        <w:t>, s</w:t>
      </w:r>
      <w:r w:rsidR="009E4CD5" w:rsidRPr="009E4CD5">
        <w:rPr>
          <w:rFonts w:eastAsia="Times New Roman" w:cs="Arial"/>
          <w:lang w:eastAsia="en-AU"/>
        </w:rPr>
        <w:t>hould there be a transition period before any reforms take effect?</w:t>
      </w:r>
    </w:p>
    <w:p w14:paraId="36823C11" w14:textId="1C8BBF37" w:rsidR="00881A02" w:rsidRPr="001B11C5" w:rsidRDefault="00881A02" w:rsidP="009E4466">
      <w:pPr>
        <w:pStyle w:val="ListParagraph"/>
        <w:numPr>
          <w:ilvl w:val="0"/>
          <w:numId w:val="24"/>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lang w:eastAsia="en-AU"/>
        </w:rPr>
        <w:t>Question</w:t>
      </w:r>
      <w:r w:rsidR="0098372A">
        <w:rPr>
          <w:rFonts w:eastAsia="Times New Roman" w:cs="Arial"/>
          <w:b/>
          <w:lang w:eastAsia="en-AU"/>
        </w:rPr>
        <w:t xml:space="preserve"> </w:t>
      </w:r>
      <w:r w:rsidR="006965F1">
        <w:rPr>
          <w:rFonts w:eastAsia="Times New Roman" w:cs="Arial"/>
          <w:b/>
          <w:lang w:eastAsia="en-AU"/>
        </w:rPr>
        <w:t>3</w:t>
      </w:r>
      <w:r w:rsidR="0098372A">
        <w:rPr>
          <w:rFonts w:eastAsia="Times New Roman" w:cs="Arial"/>
          <w:b/>
          <w:lang w:eastAsia="en-AU"/>
        </w:rPr>
        <w:t>:</w:t>
      </w:r>
      <w:r>
        <w:rPr>
          <w:rFonts w:eastAsia="Times New Roman" w:cs="Arial"/>
          <w:lang w:eastAsia="en-AU"/>
        </w:rPr>
        <w:t xml:space="preserve"> </w:t>
      </w:r>
      <w:r w:rsidR="00C2552E" w:rsidRPr="00C2552E">
        <w:rPr>
          <w:rFonts w:eastAsia="Times New Roman" w:cs="Arial"/>
          <w:lang w:eastAsia="en-AU"/>
        </w:rPr>
        <w:t xml:space="preserve">If you </w:t>
      </w:r>
      <w:r w:rsidR="00384BB9">
        <w:rPr>
          <w:rFonts w:eastAsia="Times New Roman" w:cs="Arial"/>
          <w:lang w:eastAsia="en-AU"/>
        </w:rPr>
        <w:t>do not</w:t>
      </w:r>
      <w:r w:rsidR="00C2552E" w:rsidRPr="00C2552E">
        <w:rPr>
          <w:rFonts w:eastAsia="Times New Roman" w:cs="Arial"/>
          <w:lang w:eastAsia="en-AU"/>
        </w:rPr>
        <w:t xml:space="preserve"> believe that any of the current economic circumstances have the capacity to inform the policy setting for increasing the default bankruptcy threshold to $20,000</w:t>
      </w:r>
      <w:r w:rsidR="00C2552E">
        <w:rPr>
          <w:rFonts w:eastAsia="Times New Roman" w:cs="Arial"/>
          <w:lang w:eastAsia="en-AU"/>
        </w:rPr>
        <w:t>, p</w:t>
      </w:r>
      <w:r w:rsidR="00C2552E" w:rsidRPr="00C2552E">
        <w:rPr>
          <w:rFonts w:eastAsia="Times New Roman" w:cs="Arial"/>
          <w:lang w:eastAsia="en-AU"/>
        </w:rPr>
        <w:t>lease explain whether an alternative amount should be considered for the threshold and why.</w:t>
      </w:r>
    </w:p>
    <w:p w14:paraId="2A63E92B" w14:textId="2B09C355" w:rsidR="002A2876" w:rsidRPr="002A2876" w:rsidRDefault="002A2876" w:rsidP="00C2552E">
      <w:pPr>
        <w:spacing w:after="120"/>
        <w:rPr>
          <w:b/>
          <w:i/>
          <w:sz w:val="32"/>
        </w:rPr>
      </w:pPr>
      <w:r w:rsidRPr="002A2876">
        <w:rPr>
          <w:b/>
          <w:i/>
          <w:sz w:val="32"/>
        </w:rPr>
        <w:t>Overview</w:t>
      </w:r>
    </w:p>
    <w:p w14:paraId="1970DF06" w14:textId="1939700E" w:rsidR="0080431F" w:rsidRPr="00AF553B" w:rsidRDefault="009973D9" w:rsidP="00CA2BC1">
      <w:pPr>
        <w:rPr>
          <w:rFonts w:asciiTheme="minorHAnsi" w:hAnsiTheme="minorHAnsi" w:cs="Times New Roman"/>
          <w:w w:val="100"/>
          <w:kern w:val="0"/>
        </w:rPr>
      </w:pPr>
      <w:r w:rsidRPr="00AF553B">
        <w:rPr>
          <w:rFonts w:asciiTheme="minorHAnsi" w:hAnsiTheme="minorHAnsi"/>
        </w:rPr>
        <w:t>During the COVID-19 pandemic</w:t>
      </w:r>
      <w:r w:rsidR="00CA2BC1" w:rsidRPr="00AF553B">
        <w:rPr>
          <w:rFonts w:asciiTheme="minorHAnsi" w:hAnsiTheme="minorHAnsi"/>
        </w:rPr>
        <w:t xml:space="preserve"> significant temporary amendments </w:t>
      </w:r>
      <w:r w:rsidRPr="00AF553B">
        <w:rPr>
          <w:rFonts w:asciiTheme="minorHAnsi" w:hAnsiTheme="minorHAnsi"/>
        </w:rPr>
        <w:t xml:space="preserve">were made </w:t>
      </w:r>
      <w:r w:rsidR="00CA2BC1" w:rsidRPr="00AF553B">
        <w:rPr>
          <w:rFonts w:asciiTheme="minorHAnsi" w:hAnsiTheme="minorHAnsi"/>
        </w:rPr>
        <w:t xml:space="preserve">to the Bankruptcy Act and </w:t>
      </w:r>
      <w:r w:rsidR="00480913" w:rsidRPr="00A72861">
        <w:rPr>
          <w:i/>
        </w:rPr>
        <w:t xml:space="preserve">Bankruptcy Regulations </w:t>
      </w:r>
      <w:r w:rsidR="00480913">
        <w:rPr>
          <w:i/>
        </w:rPr>
        <w:t xml:space="preserve">2021 </w:t>
      </w:r>
      <w:r w:rsidR="00480913" w:rsidRPr="004854F0">
        <w:t>(</w:t>
      </w:r>
      <w:r w:rsidR="00D245D7">
        <w:t xml:space="preserve">Bankruptcy </w:t>
      </w:r>
      <w:r w:rsidR="00480913" w:rsidRPr="004854F0">
        <w:t>Regulations)</w:t>
      </w:r>
      <w:r w:rsidR="00CA2BC1" w:rsidRPr="00AF553B">
        <w:rPr>
          <w:rFonts w:asciiTheme="minorHAnsi" w:hAnsiTheme="minorHAnsi"/>
        </w:rPr>
        <w:t xml:space="preserve"> </w:t>
      </w:r>
      <w:r w:rsidR="0038771C" w:rsidRPr="00AF553B">
        <w:rPr>
          <w:rFonts w:asciiTheme="minorHAnsi" w:hAnsiTheme="minorHAnsi"/>
        </w:rPr>
        <w:t xml:space="preserve">as part of the </w:t>
      </w:r>
      <w:r w:rsidR="0038771C" w:rsidRPr="00AF553B">
        <w:rPr>
          <w:rFonts w:asciiTheme="minorHAnsi" w:hAnsiTheme="minorHAnsi"/>
          <w:i/>
        </w:rPr>
        <w:t xml:space="preserve">Coronavirus Economic Response Package Omnibus Bill 2020 </w:t>
      </w:r>
      <w:r w:rsidRPr="00AF553B">
        <w:rPr>
          <w:rFonts w:asciiTheme="minorHAnsi" w:hAnsiTheme="minorHAnsi"/>
        </w:rPr>
        <w:t xml:space="preserve">including </w:t>
      </w:r>
      <w:r w:rsidR="00CA2BC1" w:rsidRPr="00AF553B">
        <w:rPr>
          <w:rFonts w:asciiTheme="minorHAnsi" w:hAnsiTheme="minorHAnsi"/>
        </w:rPr>
        <w:t>increas</w:t>
      </w:r>
      <w:r w:rsidRPr="00AF553B">
        <w:rPr>
          <w:rFonts w:asciiTheme="minorHAnsi" w:hAnsiTheme="minorHAnsi"/>
        </w:rPr>
        <w:t>ing</w:t>
      </w:r>
      <w:r w:rsidR="00CA2BC1" w:rsidRPr="00AF553B">
        <w:rPr>
          <w:rFonts w:asciiTheme="minorHAnsi" w:hAnsiTheme="minorHAnsi"/>
        </w:rPr>
        <w:t xml:space="preserve"> the</w:t>
      </w:r>
      <w:r w:rsidR="00D0696F" w:rsidRPr="00AF553B">
        <w:rPr>
          <w:rFonts w:asciiTheme="minorHAnsi" w:hAnsiTheme="minorHAnsi"/>
        </w:rPr>
        <w:t xml:space="preserve"> </w:t>
      </w:r>
      <w:r w:rsidR="00CA2BC1" w:rsidRPr="00AF553B">
        <w:rPr>
          <w:rFonts w:asciiTheme="minorHAnsi" w:hAnsiTheme="minorHAnsi"/>
        </w:rPr>
        <w:t>minimum amount of debt that can trigger bankruptcy (‘the bankruptcy threshold’) from $5,000 to $20,000</w:t>
      </w:r>
      <w:r w:rsidR="00D0696F" w:rsidRPr="00AF553B">
        <w:rPr>
          <w:rFonts w:asciiTheme="minorHAnsi" w:hAnsiTheme="minorHAnsi"/>
        </w:rPr>
        <w:t xml:space="preserve">. </w:t>
      </w:r>
      <w:r w:rsidR="00D0696F" w:rsidRPr="00AF553B">
        <w:rPr>
          <w:rFonts w:asciiTheme="minorHAnsi" w:hAnsiTheme="minorHAnsi" w:cs="Times New Roman"/>
          <w:w w:val="100"/>
          <w:kern w:val="0"/>
        </w:rPr>
        <w:t>The temporary measures end</w:t>
      </w:r>
      <w:r w:rsidR="00425207" w:rsidRPr="00AF553B">
        <w:rPr>
          <w:rFonts w:asciiTheme="minorHAnsi" w:hAnsiTheme="minorHAnsi" w:cs="Times New Roman"/>
          <w:w w:val="100"/>
          <w:kern w:val="0"/>
        </w:rPr>
        <w:t xml:space="preserve">ed </w:t>
      </w:r>
      <w:r w:rsidR="00D0696F" w:rsidRPr="00AF553B">
        <w:rPr>
          <w:rFonts w:asciiTheme="minorHAnsi" w:hAnsiTheme="minorHAnsi" w:cs="Times New Roman"/>
          <w:w w:val="100"/>
          <w:kern w:val="0"/>
        </w:rPr>
        <w:t>o</w:t>
      </w:r>
      <w:r w:rsidR="00425207" w:rsidRPr="00AF553B">
        <w:rPr>
          <w:rFonts w:asciiTheme="minorHAnsi" w:hAnsiTheme="minorHAnsi" w:cs="Times New Roman"/>
          <w:w w:val="100"/>
          <w:kern w:val="0"/>
        </w:rPr>
        <w:t>n</w:t>
      </w:r>
      <w:r w:rsidR="00D0696F" w:rsidRPr="00AF553B">
        <w:rPr>
          <w:rFonts w:asciiTheme="minorHAnsi" w:hAnsiTheme="minorHAnsi" w:cs="Times New Roman"/>
          <w:w w:val="100"/>
          <w:kern w:val="0"/>
        </w:rPr>
        <w:t xml:space="preserve"> 31</w:t>
      </w:r>
      <w:r w:rsidR="00356204" w:rsidRPr="00AF553B">
        <w:rPr>
          <w:rFonts w:asciiTheme="minorHAnsi" w:hAnsiTheme="minorHAnsi" w:cs="Times New Roman"/>
          <w:w w:val="100"/>
          <w:kern w:val="0"/>
        </w:rPr>
        <w:t xml:space="preserve"> </w:t>
      </w:r>
      <w:r w:rsidR="00D0696F" w:rsidRPr="00AF553B">
        <w:rPr>
          <w:rFonts w:asciiTheme="minorHAnsi" w:hAnsiTheme="minorHAnsi" w:cs="Times New Roman"/>
          <w:w w:val="100"/>
          <w:kern w:val="0"/>
        </w:rPr>
        <w:t>December</w:t>
      </w:r>
      <w:r w:rsidR="00356204" w:rsidRPr="00AF553B">
        <w:rPr>
          <w:rFonts w:asciiTheme="minorHAnsi" w:hAnsiTheme="minorHAnsi" w:cs="Times New Roman"/>
          <w:w w:val="100"/>
          <w:kern w:val="0"/>
        </w:rPr>
        <w:t xml:space="preserve"> </w:t>
      </w:r>
      <w:r w:rsidR="00D0696F" w:rsidRPr="00AF553B">
        <w:rPr>
          <w:rFonts w:asciiTheme="minorHAnsi" w:hAnsiTheme="minorHAnsi" w:cs="Times New Roman"/>
          <w:w w:val="100"/>
          <w:kern w:val="0"/>
        </w:rPr>
        <w:t>2020.</w:t>
      </w:r>
      <w:r w:rsidR="00292B85" w:rsidRPr="00AF553B">
        <w:rPr>
          <w:rFonts w:asciiTheme="minorHAnsi" w:hAnsiTheme="minorHAnsi" w:cs="Times New Roman"/>
          <w:w w:val="100"/>
          <w:kern w:val="0"/>
        </w:rPr>
        <w:t xml:space="preserve"> </w:t>
      </w:r>
    </w:p>
    <w:p w14:paraId="1A412484" w14:textId="73DDAD42" w:rsidR="00E42FF1" w:rsidRPr="00AF553B" w:rsidRDefault="00D0696F" w:rsidP="00CA2BC1">
      <w:pPr>
        <w:rPr>
          <w:rFonts w:asciiTheme="minorHAnsi" w:hAnsiTheme="minorHAnsi"/>
        </w:rPr>
      </w:pPr>
      <w:r w:rsidRPr="00AF553B">
        <w:rPr>
          <w:rFonts w:asciiTheme="minorHAnsi" w:hAnsiTheme="minorHAnsi"/>
        </w:rPr>
        <w:t>On 1 January 2021, the bankruptcy threshold permanently changed to $10,000.</w:t>
      </w:r>
      <w:r w:rsidR="0080431F" w:rsidRPr="00AF553B">
        <w:rPr>
          <w:rFonts w:asciiTheme="minorHAnsi" w:hAnsiTheme="minorHAnsi"/>
        </w:rPr>
        <w:t xml:space="preserve"> </w:t>
      </w:r>
      <w:r w:rsidR="0098093F" w:rsidRPr="00AF553B">
        <w:rPr>
          <w:rFonts w:asciiTheme="minorHAnsi" w:hAnsiTheme="minorHAnsi"/>
        </w:rPr>
        <w:t>The policy reasons for raising the bankruptcy threshold to $10,000</w:t>
      </w:r>
      <w:r w:rsidR="005B1897" w:rsidRPr="00AF553B">
        <w:rPr>
          <w:rFonts w:asciiTheme="minorHAnsi" w:hAnsiTheme="minorHAnsi"/>
        </w:rPr>
        <w:t xml:space="preserve"> were </w:t>
      </w:r>
      <w:r w:rsidR="0098093F" w:rsidRPr="00AF553B">
        <w:rPr>
          <w:rFonts w:asciiTheme="minorHAnsi" w:hAnsiTheme="minorHAnsi"/>
        </w:rPr>
        <w:t xml:space="preserve">the changing value of money, the increase in levels of personal debt, to discourage bankruptcy action over small debts and to respond to the COVID-19 pandemic. </w:t>
      </w:r>
    </w:p>
    <w:p w14:paraId="2E45FC40" w14:textId="0270E9ED" w:rsidR="0038771C" w:rsidRPr="00AF553B" w:rsidRDefault="0036167C" w:rsidP="00CA2BC1">
      <w:pPr>
        <w:rPr>
          <w:rFonts w:asciiTheme="minorHAnsi" w:hAnsiTheme="minorHAnsi"/>
        </w:rPr>
      </w:pPr>
      <w:r>
        <w:rPr>
          <w:rFonts w:asciiTheme="minorHAnsi" w:hAnsiTheme="minorHAnsi"/>
        </w:rPr>
        <w:t xml:space="preserve">The </w:t>
      </w:r>
      <w:r w:rsidR="00190659">
        <w:rPr>
          <w:rFonts w:asciiTheme="minorHAnsi" w:hAnsiTheme="minorHAnsi"/>
        </w:rPr>
        <w:t>department</w:t>
      </w:r>
      <w:r w:rsidR="00337B1F">
        <w:rPr>
          <w:rFonts w:asciiTheme="minorHAnsi" w:hAnsiTheme="minorHAnsi"/>
        </w:rPr>
        <w:t xml:space="preserve"> </w:t>
      </w:r>
      <w:r w:rsidR="0038771C" w:rsidRPr="00AF553B">
        <w:rPr>
          <w:rFonts w:asciiTheme="minorHAnsi" w:hAnsiTheme="minorHAnsi"/>
        </w:rPr>
        <w:t xml:space="preserve">has considered the same economic factors with respect to raising the bankruptcy threshold to $20,000 as part of </w:t>
      </w:r>
      <w:r>
        <w:rPr>
          <w:rFonts w:asciiTheme="minorHAnsi" w:hAnsiTheme="minorHAnsi"/>
        </w:rPr>
        <w:t xml:space="preserve">the </w:t>
      </w:r>
      <w:r w:rsidR="00190659">
        <w:rPr>
          <w:rFonts w:asciiTheme="minorHAnsi" w:hAnsiTheme="minorHAnsi"/>
        </w:rPr>
        <w:t>department</w:t>
      </w:r>
      <w:r w:rsidR="00022A75" w:rsidRPr="00AF553B">
        <w:rPr>
          <w:rFonts w:asciiTheme="minorHAnsi" w:hAnsiTheme="minorHAnsi"/>
        </w:rPr>
        <w:t>’s proposed</w:t>
      </w:r>
      <w:r w:rsidR="005B1897" w:rsidRPr="00AF553B">
        <w:rPr>
          <w:rFonts w:asciiTheme="minorHAnsi" w:hAnsiTheme="minorHAnsi"/>
        </w:rPr>
        <w:t xml:space="preserve"> reforms</w:t>
      </w:r>
      <w:r w:rsidR="0038771C" w:rsidRPr="00AF553B">
        <w:rPr>
          <w:rFonts w:asciiTheme="minorHAnsi" w:hAnsiTheme="minorHAnsi"/>
        </w:rPr>
        <w:t xml:space="preserve">. </w:t>
      </w:r>
    </w:p>
    <w:p w14:paraId="7DA747BF" w14:textId="45D16997" w:rsidR="00D86234" w:rsidRPr="00AF553B" w:rsidRDefault="00D86234" w:rsidP="00D86234">
      <w:pPr>
        <w:rPr>
          <w:rFonts w:asciiTheme="minorHAnsi" w:hAnsiTheme="minorHAnsi"/>
          <w:i/>
        </w:rPr>
      </w:pPr>
      <w:r w:rsidRPr="00AF553B">
        <w:rPr>
          <w:rFonts w:asciiTheme="minorHAnsi" w:hAnsiTheme="minorHAnsi"/>
        </w:rPr>
        <w:t xml:space="preserve">The increase of the threshold to $20,000 as part of the </w:t>
      </w:r>
      <w:r w:rsidRPr="00AF553B">
        <w:rPr>
          <w:rFonts w:asciiTheme="minorHAnsi" w:hAnsiTheme="minorHAnsi"/>
          <w:i/>
        </w:rPr>
        <w:t xml:space="preserve">Coronavirus Economic Response Package Omnibus Bill 2020 </w:t>
      </w:r>
      <w:r w:rsidRPr="00AF553B">
        <w:rPr>
          <w:rFonts w:asciiTheme="minorHAnsi" w:hAnsiTheme="minorHAnsi"/>
        </w:rPr>
        <w:t xml:space="preserve">considered the economic impacts </w:t>
      </w:r>
      <w:r w:rsidR="0038771C" w:rsidRPr="00AF553B">
        <w:rPr>
          <w:rFonts w:asciiTheme="minorHAnsi" w:hAnsiTheme="minorHAnsi"/>
        </w:rPr>
        <w:t>of COVID-19</w:t>
      </w:r>
      <w:r w:rsidR="00022A75" w:rsidRPr="00AF553B">
        <w:rPr>
          <w:rFonts w:asciiTheme="minorHAnsi" w:hAnsiTheme="minorHAnsi"/>
        </w:rPr>
        <w:t xml:space="preserve">, </w:t>
      </w:r>
      <w:r w:rsidR="00735BF2" w:rsidRPr="00AF553B">
        <w:rPr>
          <w:rFonts w:asciiTheme="minorHAnsi" w:hAnsiTheme="minorHAnsi"/>
        </w:rPr>
        <w:t xml:space="preserve">specifically </w:t>
      </w:r>
      <w:r w:rsidR="005B1897" w:rsidRPr="00AF553B">
        <w:rPr>
          <w:rFonts w:asciiTheme="minorHAnsi" w:hAnsiTheme="minorHAnsi"/>
        </w:rPr>
        <w:t>the</w:t>
      </w:r>
      <w:r w:rsidR="0038771C" w:rsidRPr="00AF553B">
        <w:rPr>
          <w:rFonts w:asciiTheme="minorHAnsi" w:hAnsiTheme="minorHAnsi"/>
        </w:rPr>
        <w:t xml:space="preserve"> </w:t>
      </w:r>
      <w:r w:rsidRPr="00AF553B">
        <w:rPr>
          <w:rFonts w:asciiTheme="minorHAnsi" w:hAnsiTheme="minorHAnsi"/>
        </w:rPr>
        <w:t xml:space="preserve">numerous individuals at risk of bankruptcy and Australian businesses at risk of insolvency. </w:t>
      </w:r>
      <w:r w:rsidR="0038771C" w:rsidRPr="00AF553B">
        <w:rPr>
          <w:rFonts w:asciiTheme="minorHAnsi" w:hAnsiTheme="minorHAnsi"/>
        </w:rPr>
        <w:t xml:space="preserve">The raising of the threshold was enacted as </w:t>
      </w:r>
      <w:r w:rsidR="005B1897" w:rsidRPr="00AF553B">
        <w:rPr>
          <w:rFonts w:asciiTheme="minorHAnsi" w:hAnsiTheme="minorHAnsi"/>
        </w:rPr>
        <w:t xml:space="preserve">a safety net to assist individuals with managing debt and as </w:t>
      </w:r>
      <w:r w:rsidR="0038771C" w:rsidRPr="00AF553B">
        <w:rPr>
          <w:rFonts w:asciiTheme="minorHAnsi" w:hAnsiTheme="minorHAnsi"/>
        </w:rPr>
        <w:t>a means t</w:t>
      </w:r>
      <w:r w:rsidRPr="00AF553B">
        <w:rPr>
          <w:rFonts w:asciiTheme="minorHAnsi" w:hAnsiTheme="minorHAnsi"/>
        </w:rPr>
        <w:t>o avoid unnecessary bankruptcies and insolvencies</w:t>
      </w:r>
      <w:r w:rsidR="005B1897" w:rsidRPr="00AF553B">
        <w:rPr>
          <w:rFonts w:asciiTheme="minorHAnsi" w:hAnsiTheme="minorHAnsi"/>
        </w:rPr>
        <w:t>.</w:t>
      </w:r>
    </w:p>
    <w:p w14:paraId="559D8BA9" w14:textId="4AD0F6DF" w:rsidR="0098093F" w:rsidRPr="00AF553B" w:rsidRDefault="0038771C" w:rsidP="004E51FD">
      <w:pPr>
        <w:rPr>
          <w:rFonts w:asciiTheme="minorHAnsi" w:hAnsiTheme="minorHAnsi"/>
        </w:rPr>
      </w:pPr>
      <w:r w:rsidRPr="00AF553B">
        <w:rPr>
          <w:rFonts w:asciiTheme="minorHAnsi" w:hAnsiTheme="minorHAnsi"/>
        </w:rPr>
        <w:t xml:space="preserve">The department notes that there may be longer term impacts on the Australian economy as it and the global economies recover from the impact of the COVID-19 pandemic. </w:t>
      </w:r>
      <w:r w:rsidR="00133244" w:rsidRPr="00AF553B">
        <w:rPr>
          <w:rFonts w:asciiTheme="minorHAnsi" w:hAnsiTheme="minorHAnsi"/>
        </w:rPr>
        <w:t>T</w:t>
      </w:r>
      <w:r w:rsidR="00B802E6" w:rsidRPr="00AF553B">
        <w:rPr>
          <w:rFonts w:asciiTheme="minorHAnsi" w:hAnsiTheme="minorHAnsi"/>
        </w:rPr>
        <w:t xml:space="preserve">he $20,000 threshold will account for </w:t>
      </w:r>
      <w:r w:rsidR="006E645A" w:rsidRPr="00AF553B">
        <w:rPr>
          <w:rFonts w:asciiTheme="minorHAnsi" w:hAnsiTheme="minorHAnsi"/>
        </w:rPr>
        <w:t>macroeconomic factors such as the cost of living, wage and economic growth</w:t>
      </w:r>
      <w:r w:rsidR="00B23E96" w:rsidRPr="00AF553B">
        <w:rPr>
          <w:rFonts w:asciiTheme="minorHAnsi" w:hAnsiTheme="minorHAnsi"/>
        </w:rPr>
        <w:t xml:space="preserve">, </w:t>
      </w:r>
      <w:r w:rsidR="006E645A" w:rsidRPr="00AF553B">
        <w:rPr>
          <w:rFonts w:asciiTheme="minorHAnsi" w:hAnsiTheme="minorHAnsi"/>
        </w:rPr>
        <w:t>the unemployment rate</w:t>
      </w:r>
      <w:r w:rsidR="00B23E96" w:rsidRPr="00AF553B">
        <w:rPr>
          <w:rFonts w:asciiTheme="minorHAnsi" w:hAnsiTheme="minorHAnsi"/>
        </w:rPr>
        <w:t xml:space="preserve"> and inflation generally. The increase of </w:t>
      </w:r>
      <w:r w:rsidR="00735BF2" w:rsidRPr="00AF553B">
        <w:rPr>
          <w:rFonts w:asciiTheme="minorHAnsi" w:hAnsiTheme="minorHAnsi"/>
        </w:rPr>
        <w:t xml:space="preserve">the </w:t>
      </w:r>
      <w:r w:rsidR="00B23E96" w:rsidRPr="00AF553B">
        <w:rPr>
          <w:rFonts w:asciiTheme="minorHAnsi" w:hAnsiTheme="minorHAnsi"/>
        </w:rPr>
        <w:t>threshold to $20,000 also aims to address concerns about the use of bankruptcy proceedings to pursue small debts</w:t>
      </w:r>
      <w:r w:rsidR="00CF3EDB" w:rsidRPr="00AF553B">
        <w:rPr>
          <w:rFonts w:asciiTheme="minorHAnsi" w:hAnsiTheme="minorHAnsi"/>
        </w:rPr>
        <w:t>,</w:t>
      </w:r>
      <w:r w:rsidR="00B23E96" w:rsidRPr="00AF553B">
        <w:rPr>
          <w:rFonts w:asciiTheme="minorHAnsi" w:hAnsiTheme="minorHAnsi"/>
        </w:rPr>
        <w:t xml:space="preserve"> without reducing the general availability of credit in the economy. </w:t>
      </w:r>
    </w:p>
    <w:p w14:paraId="396EA26D" w14:textId="77777777" w:rsidR="00C2552E" w:rsidRDefault="007A0443" w:rsidP="007A0443">
      <w:pPr>
        <w:rPr>
          <w:b/>
          <w:i/>
          <w:sz w:val="32"/>
        </w:rPr>
      </w:pPr>
      <w:r w:rsidRPr="002A2876">
        <w:rPr>
          <w:b/>
          <w:i/>
          <w:sz w:val="32"/>
        </w:rPr>
        <w:t xml:space="preserve">Stakeholder </w:t>
      </w:r>
      <w:r w:rsidR="00CF113B">
        <w:rPr>
          <w:b/>
          <w:i/>
          <w:sz w:val="32"/>
        </w:rPr>
        <w:t>c</w:t>
      </w:r>
      <w:r w:rsidRPr="002A2876">
        <w:rPr>
          <w:b/>
          <w:i/>
          <w:sz w:val="32"/>
        </w:rPr>
        <w:t xml:space="preserve">onsultation </w:t>
      </w:r>
    </w:p>
    <w:p w14:paraId="070527CF" w14:textId="2DA8A27F" w:rsidR="007A0443" w:rsidRPr="00E144FE" w:rsidRDefault="007A0443" w:rsidP="007A0443">
      <w:pPr>
        <w:rPr>
          <w:rFonts w:asciiTheme="minorHAnsi" w:hAnsiTheme="minorHAnsi" w:cs="Times New Roman"/>
          <w:w w:val="100"/>
          <w:kern w:val="0"/>
        </w:rPr>
      </w:pPr>
      <w:r w:rsidRPr="00AF553B">
        <w:rPr>
          <w:rFonts w:asciiTheme="minorHAnsi" w:hAnsiTheme="minorHAnsi"/>
          <w:szCs w:val="24"/>
        </w:rPr>
        <w:t xml:space="preserve">Participants </w:t>
      </w:r>
      <w:r w:rsidR="00356204" w:rsidRPr="00AF553B">
        <w:rPr>
          <w:rFonts w:asciiTheme="minorHAnsi" w:hAnsiTheme="minorHAnsi"/>
          <w:szCs w:val="24"/>
        </w:rPr>
        <w:t xml:space="preserve">at the </w:t>
      </w:r>
      <w:r w:rsidRPr="00AF553B">
        <w:rPr>
          <w:rFonts w:asciiTheme="minorHAnsi" w:hAnsiTheme="minorHAnsi"/>
          <w:szCs w:val="24"/>
        </w:rPr>
        <w:t xml:space="preserve">Roundtable discussed what an appropriate value for the bankruptcy threshold would be, with a range of views expressed including proposals to increase the threshold </w:t>
      </w:r>
      <w:r w:rsidR="00133244" w:rsidRPr="00AF553B">
        <w:rPr>
          <w:rFonts w:asciiTheme="minorHAnsi" w:hAnsiTheme="minorHAnsi"/>
          <w:szCs w:val="24"/>
        </w:rPr>
        <w:t>from</w:t>
      </w:r>
      <w:r w:rsidRPr="00AF553B">
        <w:rPr>
          <w:rFonts w:asciiTheme="minorHAnsi" w:hAnsiTheme="minorHAnsi"/>
          <w:szCs w:val="24"/>
        </w:rPr>
        <w:t xml:space="preserve"> $20,000</w:t>
      </w:r>
      <w:r w:rsidR="00133244" w:rsidRPr="00AF553B">
        <w:rPr>
          <w:rFonts w:asciiTheme="minorHAnsi" w:hAnsiTheme="minorHAnsi"/>
          <w:szCs w:val="24"/>
        </w:rPr>
        <w:t xml:space="preserve"> to</w:t>
      </w:r>
      <w:r w:rsidRPr="00AF553B">
        <w:rPr>
          <w:rFonts w:asciiTheme="minorHAnsi" w:hAnsiTheme="minorHAnsi"/>
          <w:szCs w:val="24"/>
        </w:rPr>
        <w:t xml:space="preserve"> $50,000 or to </w:t>
      </w:r>
      <w:r w:rsidRPr="00AF553B">
        <w:rPr>
          <w:rFonts w:asciiTheme="minorHAnsi" w:hAnsiTheme="minorHAnsi"/>
          <w:szCs w:val="24"/>
        </w:rPr>
        <w:lastRenderedPageBreak/>
        <w:t xml:space="preserve">annually index the threshold. There was </w:t>
      </w:r>
      <w:r w:rsidR="00735BF2" w:rsidRPr="00AF553B">
        <w:rPr>
          <w:rFonts w:asciiTheme="minorHAnsi" w:hAnsiTheme="minorHAnsi"/>
          <w:szCs w:val="24"/>
        </w:rPr>
        <w:t xml:space="preserve">a </w:t>
      </w:r>
      <w:r w:rsidRPr="00AF553B">
        <w:rPr>
          <w:rFonts w:asciiTheme="minorHAnsi" w:hAnsiTheme="minorHAnsi"/>
          <w:szCs w:val="24"/>
        </w:rPr>
        <w:t xml:space="preserve">general </w:t>
      </w:r>
      <w:r w:rsidR="00A70E2C">
        <w:rPr>
          <w:rFonts w:asciiTheme="minorHAnsi" w:hAnsiTheme="minorHAnsi"/>
          <w:szCs w:val="24"/>
        </w:rPr>
        <w:t>support for the threshold</w:t>
      </w:r>
      <w:r w:rsidRPr="00AF553B">
        <w:rPr>
          <w:rFonts w:asciiTheme="minorHAnsi" w:hAnsiTheme="minorHAnsi"/>
          <w:szCs w:val="24"/>
        </w:rPr>
        <w:t xml:space="preserve"> to be lifted, however there were contested views on what the threshold should be.</w:t>
      </w:r>
      <w:r w:rsidR="00E144FE" w:rsidRPr="00E144FE">
        <w:rPr>
          <w:rFonts w:asciiTheme="minorHAnsi" w:hAnsiTheme="minorHAnsi" w:cs="Times New Roman"/>
          <w:w w:val="100"/>
          <w:kern w:val="0"/>
        </w:rPr>
        <w:t xml:space="preserve"> </w:t>
      </w:r>
    </w:p>
    <w:p w14:paraId="6BD4DCC7" w14:textId="2223A370" w:rsidR="007A0443" w:rsidRPr="00AF553B" w:rsidRDefault="007A0443" w:rsidP="007A0443">
      <w:pPr>
        <w:rPr>
          <w:rFonts w:asciiTheme="minorHAnsi" w:hAnsiTheme="minorHAnsi"/>
          <w:szCs w:val="24"/>
        </w:rPr>
      </w:pPr>
      <w:r w:rsidRPr="00AF553B">
        <w:rPr>
          <w:rFonts w:asciiTheme="minorHAnsi" w:hAnsiTheme="minorHAnsi"/>
          <w:szCs w:val="24"/>
        </w:rPr>
        <w:t>Participants discussed the need for the bankruptcy threshold to balance the competing needs of different system users including consumer debtors with few assets, more sophisticated debtors with more complex asset holdings and creditors (including small business owners and larger financial institutions) and the impact of a higher threshold on lending confidence.</w:t>
      </w:r>
    </w:p>
    <w:p w14:paraId="769A18F4" w14:textId="2E58243E" w:rsidR="00506517" w:rsidRPr="00AF553B" w:rsidRDefault="00506517" w:rsidP="007A0443">
      <w:pPr>
        <w:rPr>
          <w:rFonts w:asciiTheme="minorHAnsi" w:hAnsiTheme="minorHAnsi"/>
          <w:szCs w:val="24"/>
        </w:rPr>
      </w:pPr>
      <w:r w:rsidRPr="00AF553B">
        <w:rPr>
          <w:rFonts w:asciiTheme="minorHAnsi" w:hAnsiTheme="minorHAnsi"/>
          <w:szCs w:val="24"/>
        </w:rPr>
        <w:t>Similarly, during previous consultations</w:t>
      </w:r>
      <w:r w:rsidR="00573E21" w:rsidRPr="00AF553B">
        <w:rPr>
          <w:rFonts w:asciiTheme="minorHAnsi" w:hAnsiTheme="minorHAnsi"/>
          <w:szCs w:val="24"/>
        </w:rPr>
        <w:t>, stakeholders put forward submissions in relation to the bankruptcy threshold</w:t>
      </w:r>
      <w:r w:rsidR="008E7AA7" w:rsidRPr="00AF553B">
        <w:rPr>
          <w:rFonts w:asciiTheme="minorHAnsi" w:hAnsiTheme="minorHAnsi"/>
          <w:szCs w:val="24"/>
        </w:rPr>
        <w:t xml:space="preserve"> with some stakeholders of the view that the </w:t>
      </w:r>
      <w:r w:rsidR="008E7AA7" w:rsidRPr="00AF553B">
        <w:rPr>
          <w:rFonts w:asciiTheme="minorHAnsi" w:hAnsiTheme="minorHAnsi"/>
        </w:rPr>
        <w:t>temporary threshold in response to COVID-19 showed that setting the threshold at $20,000 worked to prevent unscrupulous operators pursuing unnecessary and unfair insolvencies over small debts</w:t>
      </w:r>
      <w:r w:rsidR="00CF3EDB" w:rsidRPr="00AF553B">
        <w:rPr>
          <w:rFonts w:asciiTheme="minorHAnsi" w:hAnsiTheme="minorHAnsi"/>
        </w:rPr>
        <w:t>,</w:t>
      </w:r>
      <w:r w:rsidR="008E7AA7" w:rsidRPr="00AF553B">
        <w:rPr>
          <w:rFonts w:asciiTheme="minorHAnsi" w:hAnsiTheme="minorHAnsi"/>
        </w:rPr>
        <w:t xml:space="preserve"> and others putting forth $50,000 as an appropriate threshold. </w:t>
      </w:r>
    </w:p>
    <w:p w14:paraId="3C02C165" w14:textId="542D4A8C" w:rsidR="002A2876" w:rsidRDefault="00036632" w:rsidP="007A0443">
      <w:pPr>
        <w:rPr>
          <w:b/>
          <w:i/>
          <w:sz w:val="32"/>
          <w:szCs w:val="24"/>
        </w:rPr>
      </w:pPr>
      <w:r>
        <w:rPr>
          <w:b/>
          <w:i/>
          <w:sz w:val="32"/>
          <w:szCs w:val="24"/>
        </w:rPr>
        <w:t>Proposal</w:t>
      </w:r>
    </w:p>
    <w:p w14:paraId="7CBEC3D4" w14:textId="115B5D11" w:rsidR="00356204" w:rsidRPr="00AF553B" w:rsidRDefault="00356204" w:rsidP="009E4466">
      <w:pPr>
        <w:rPr>
          <w:rFonts w:asciiTheme="minorHAnsi" w:hAnsiTheme="minorHAnsi"/>
          <w:szCs w:val="24"/>
        </w:rPr>
      </w:pPr>
      <w:r w:rsidRPr="00AF553B">
        <w:rPr>
          <w:rFonts w:asciiTheme="minorHAnsi" w:hAnsiTheme="minorHAnsi"/>
          <w:szCs w:val="24"/>
        </w:rPr>
        <w:t>The department considers that an appropriate bankruptcy threshold value should ensure bankruptcy remains an option of last resort, while minimising the opportunities for debtors to</w:t>
      </w:r>
      <w:r w:rsidR="001C0989" w:rsidRPr="00AF553B">
        <w:rPr>
          <w:rFonts w:asciiTheme="minorHAnsi" w:hAnsiTheme="minorHAnsi"/>
          <w:szCs w:val="24"/>
        </w:rPr>
        <w:t xml:space="preserve"> continue to</w:t>
      </w:r>
      <w:r w:rsidRPr="00AF553B">
        <w:rPr>
          <w:rFonts w:asciiTheme="minorHAnsi" w:hAnsiTheme="minorHAnsi"/>
          <w:szCs w:val="24"/>
        </w:rPr>
        <w:t xml:space="preserve"> incur additional</w:t>
      </w:r>
      <w:r w:rsidR="001C0989" w:rsidRPr="00AF553B">
        <w:rPr>
          <w:rFonts w:asciiTheme="minorHAnsi" w:hAnsiTheme="minorHAnsi"/>
          <w:szCs w:val="24"/>
        </w:rPr>
        <w:t xml:space="preserve"> unmanageable</w:t>
      </w:r>
      <w:r w:rsidRPr="00AF553B">
        <w:rPr>
          <w:rFonts w:asciiTheme="minorHAnsi" w:hAnsiTheme="minorHAnsi"/>
          <w:szCs w:val="24"/>
        </w:rPr>
        <w:t xml:space="preserve"> debt. </w:t>
      </w:r>
    </w:p>
    <w:p w14:paraId="152F0AD8" w14:textId="54691174" w:rsidR="00356204" w:rsidRPr="00AF553B" w:rsidRDefault="00356204" w:rsidP="009E4466">
      <w:pPr>
        <w:rPr>
          <w:rFonts w:asciiTheme="minorHAnsi" w:hAnsiTheme="minorHAnsi"/>
          <w:szCs w:val="24"/>
        </w:rPr>
      </w:pPr>
      <w:r w:rsidRPr="00AF553B">
        <w:rPr>
          <w:rFonts w:asciiTheme="minorHAnsi" w:hAnsiTheme="minorHAnsi"/>
          <w:szCs w:val="24"/>
        </w:rPr>
        <w:t>In considering an appropriate threshold, the department has reviewed data from AFSA as to the average level of bankruptcies and notes the following:</w:t>
      </w:r>
      <w:r w:rsidR="00332B23">
        <w:rPr>
          <w:rStyle w:val="EndnoteReference"/>
          <w:rFonts w:asciiTheme="minorHAnsi" w:hAnsiTheme="minorHAnsi"/>
          <w:szCs w:val="24"/>
        </w:rPr>
        <w:endnoteReference w:id="3"/>
      </w:r>
    </w:p>
    <w:p w14:paraId="5FD5F442" w14:textId="621C7F15" w:rsidR="0039343C" w:rsidRPr="00332B23" w:rsidRDefault="0039343C" w:rsidP="009E4466">
      <w:pPr>
        <w:pStyle w:val="ListParagraph"/>
        <w:numPr>
          <w:ilvl w:val="0"/>
          <w:numId w:val="7"/>
        </w:numPr>
        <w:spacing w:line="276" w:lineRule="auto"/>
        <w:rPr>
          <w:szCs w:val="24"/>
        </w:rPr>
      </w:pPr>
      <w:r w:rsidRPr="00332B23">
        <w:rPr>
          <w:szCs w:val="24"/>
        </w:rPr>
        <w:t>New bankruptcies increased to 579 in March 2023 from 511 in February 2023 and these volumes are higher than the same period in 2022.</w:t>
      </w:r>
    </w:p>
    <w:p w14:paraId="0D93CACA" w14:textId="40CACCEA" w:rsidR="00C97CE3" w:rsidRPr="00332B23" w:rsidRDefault="0039343C" w:rsidP="009E4466">
      <w:pPr>
        <w:pStyle w:val="ListParagraph"/>
        <w:numPr>
          <w:ilvl w:val="0"/>
          <w:numId w:val="7"/>
        </w:numPr>
        <w:spacing w:line="276" w:lineRule="auto"/>
        <w:rPr>
          <w:szCs w:val="24"/>
        </w:rPr>
      </w:pPr>
      <w:r w:rsidRPr="00332B23">
        <w:rPr>
          <w:szCs w:val="24"/>
        </w:rPr>
        <w:t xml:space="preserve">New bankruptcies </w:t>
      </w:r>
      <w:r w:rsidR="000668CC">
        <w:rPr>
          <w:szCs w:val="24"/>
        </w:rPr>
        <w:t>which related to</w:t>
      </w:r>
      <w:r w:rsidRPr="00332B23">
        <w:rPr>
          <w:szCs w:val="24"/>
        </w:rPr>
        <w:t xml:space="preserve"> a business represented 33% of all new bankruptcies. This proportion is consistent with the 2022 average.</w:t>
      </w:r>
      <w:r w:rsidR="00C44198" w:rsidRPr="00332B23">
        <w:rPr>
          <w:szCs w:val="24"/>
        </w:rPr>
        <w:t xml:space="preserve"> </w:t>
      </w:r>
    </w:p>
    <w:p w14:paraId="2A17ADBB" w14:textId="107B0D11" w:rsidR="00157731" w:rsidRPr="00FA3FED" w:rsidRDefault="00157731" w:rsidP="009E4466">
      <w:pPr>
        <w:pStyle w:val="ListParagraph"/>
        <w:numPr>
          <w:ilvl w:val="0"/>
          <w:numId w:val="7"/>
        </w:numPr>
        <w:spacing w:line="276" w:lineRule="auto"/>
        <w:rPr>
          <w:szCs w:val="24"/>
        </w:rPr>
      </w:pPr>
      <w:r w:rsidRPr="00332B23">
        <w:t>M</w:t>
      </w:r>
      <w:r w:rsidR="0074262A" w:rsidRPr="00332B23">
        <w:t xml:space="preserve">ost people (52.7%) had less than $50,000 in liabilities, </w:t>
      </w:r>
      <w:r w:rsidR="005458D9" w:rsidRPr="00754157">
        <w:t>4</w:t>
      </w:r>
      <w:r w:rsidR="00337B1F">
        <w:t>3.1</w:t>
      </w:r>
      <w:r w:rsidR="005458D9" w:rsidRPr="00754157">
        <w:t xml:space="preserve">% of debtors in bankruptcy had debt greater than $50,000. </w:t>
      </w:r>
    </w:p>
    <w:p w14:paraId="6CBDE25D" w14:textId="2F39393D" w:rsidR="00133244" w:rsidRDefault="0084686C" w:rsidP="000920DA">
      <w:pPr>
        <w:rPr>
          <w:szCs w:val="24"/>
        </w:rPr>
      </w:pPr>
      <w:r>
        <w:rPr>
          <w:noProof/>
        </w:rPr>
        <w:drawing>
          <wp:anchor distT="0" distB="0" distL="114300" distR="114300" simplePos="0" relativeHeight="251659264" behindDoc="1" locked="0" layoutInCell="1" allowOverlap="1" wp14:anchorId="7061890E" wp14:editId="3996CCE7">
            <wp:simplePos x="0" y="0"/>
            <wp:positionH relativeFrom="column">
              <wp:posOffset>453390</wp:posOffset>
            </wp:positionH>
            <wp:positionV relativeFrom="paragraph">
              <wp:posOffset>137795</wp:posOffset>
            </wp:positionV>
            <wp:extent cx="5804535" cy="2832735"/>
            <wp:effectExtent l="19050" t="19050" r="24765" b="24765"/>
            <wp:wrapTight wrapText="bothSides">
              <wp:wrapPolygon edited="0">
                <wp:start x="-71" y="-145"/>
                <wp:lineTo x="-71" y="21644"/>
                <wp:lineTo x="21621" y="21644"/>
                <wp:lineTo x="21621" y="-145"/>
                <wp:lineTo x="-71" y="-14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5671" r="-333"/>
                    <a:stretch/>
                  </pic:blipFill>
                  <pic:spPr bwMode="auto">
                    <a:xfrm>
                      <a:off x="0" y="0"/>
                      <a:ext cx="5804535" cy="2832735"/>
                    </a:xfrm>
                    <a:prstGeom prst="rect">
                      <a:avLst/>
                    </a:prstGeom>
                    <a:ln w="3175">
                      <a:solidFill>
                        <a:schemeClr val="bg1">
                          <a:lumMod val="8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032AEA" w14:textId="185535FC" w:rsidR="006B22D5" w:rsidRDefault="006B22D5" w:rsidP="000920DA">
      <w:pPr>
        <w:rPr>
          <w:szCs w:val="24"/>
        </w:rPr>
      </w:pPr>
    </w:p>
    <w:p w14:paraId="00E14298" w14:textId="0956815F" w:rsidR="006B22D5" w:rsidRDefault="006B22D5" w:rsidP="000920DA">
      <w:pPr>
        <w:rPr>
          <w:szCs w:val="24"/>
        </w:rPr>
      </w:pPr>
    </w:p>
    <w:p w14:paraId="56ADCB57" w14:textId="15FFF222" w:rsidR="005D2B8C" w:rsidRDefault="005D2B8C" w:rsidP="000920DA">
      <w:pPr>
        <w:rPr>
          <w:szCs w:val="24"/>
        </w:rPr>
      </w:pPr>
    </w:p>
    <w:p w14:paraId="16F8C74A" w14:textId="6102198E" w:rsidR="005D2B8C" w:rsidRDefault="005D2B8C" w:rsidP="000920DA">
      <w:pPr>
        <w:rPr>
          <w:szCs w:val="24"/>
        </w:rPr>
      </w:pPr>
    </w:p>
    <w:p w14:paraId="289B34DA" w14:textId="654767FC" w:rsidR="005D2B8C" w:rsidRDefault="005D2B8C" w:rsidP="000920DA">
      <w:pPr>
        <w:rPr>
          <w:szCs w:val="24"/>
        </w:rPr>
      </w:pPr>
    </w:p>
    <w:p w14:paraId="7F6D11C0" w14:textId="164EDF79" w:rsidR="005D2B8C" w:rsidRDefault="005D2B8C" w:rsidP="000920DA">
      <w:pPr>
        <w:rPr>
          <w:szCs w:val="24"/>
        </w:rPr>
      </w:pPr>
    </w:p>
    <w:p w14:paraId="6ADFEE03" w14:textId="2BBAC6C0" w:rsidR="005D2B8C" w:rsidRDefault="005D2B8C" w:rsidP="000920DA">
      <w:pPr>
        <w:rPr>
          <w:szCs w:val="24"/>
        </w:rPr>
      </w:pPr>
    </w:p>
    <w:p w14:paraId="37678FB0" w14:textId="77777777" w:rsidR="005D2B8C" w:rsidRPr="00EC548E" w:rsidRDefault="005D2B8C" w:rsidP="000920DA">
      <w:pPr>
        <w:rPr>
          <w:szCs w:val="24"/>
        </w:rPr>
      </w:pPr>
    </w:p>
    <w:p w14:paraId="45CE1320" w14:textId="62EF63F5" w:rsidR="001606D2" w:rsidRDefault="00332B23" w:rsidP="00AF553B">
      <w:pPr>
        <w:jc w:val="center"/>
        <w:rPr>
          <w:szCs w:val="24"/>
        </w:rPr>
      </w:pPr>
      <w:r w:rsidRPr="00C541A7">
        <w:rPr>
          <w:b/>
          <w:szCs w:val="24"/>
        </w:rPr>
        <w:t>Figure 1: Debt concentration by liabilities in 2021-22</w:t>
      </w:r>
      <w:r w:rsidR="00FA3FED">
        <w:rPr>
          <w:b/>
          <w:szCs w:val="24"/>
        </w:rPr>
        <w:t>.</w:t>
      </w:r>
      <w:r w:rsidRPr="00AF553B">
        <w:rPr>
          <w:rStyle w:val="EndnoteReference"/>
          <w:szCs w:val="24"/>
        </w:rPr>
        <w:endnoteReference w:id="4"/>
      </w:r>
      <w:bookmarkStart w:id="3" w:name="_Hlk138750024"/>
    </w:p>
    <w:p w14:paraId="1FFA466E" w14:textId="5E79B39D" w:rsidR="00C2552E" w:rsidRDefault="009203A8" w:rsidP="001606D2">
      <w:pPr>
        <w:rPr>
          <w:szCs w:val="24"/>
        </w:rPr>
      </w:pPr>
      <w:bookmarkStart w:id="4" w:name="_Hlk138940785"/>
      <w:r>
        <w:rPr>
          <w:szCs w:val="24"/>
        </w:rPr>
        <w:lastRenderedPageBreak/>
        <w:t xml:space="preserve">Noting that most bankruptcies had less than $50,000 in liabilities, AFSA data </w:t>
      </w:r>
      <w:r w:rsidR="002D7F4F">
        <w:rPr>
          <w:szCs w:val="24"/>
        </w:rPr>
        <w:t xml:space="preserve">was used </w:t>
      </w:r>
      <w:r>
        <w:rPr>
          <w:szCs w:val="24"/>
        </w:rPr>
        <w:t xml:space="preserve">to gain a more granular understanding </w:t>
      </w:r>
      <w:r w:rsidR="001D53D0">
        <w:rPr>
          <w:szCs w:val="24"/>
        </w:rPr>
        <w:t>of bankruptcies falling within this category – to understand the potential impacts on both debtors and creditors should the threshold be raised to an interval between $10,000 and $50,000</w:t>
      </w:r>
      <w:r w:rsidR="002D7F4F">
        <w:rPr>
          <w:szCs w:val="24"/>
        </w:rPr>
        <w:t xml:space="preserve">. This was done </w:t>
      </w:r>
      <w:r w:rsidR="001D53D0">
        <w:rPr>
          <w:szCs w:val="24"/>
        </w:rPr>
        <w:t xml:space="preserve">by reviewing the </w:t>
      </w:r>
      <w:r w:rsidR="001606D2" w:rsidRPr="001606D2">
        <w:rPr>
          <w:szCs w:val="24"/>
        </w:rPr>
        <w:t xml:space="preserve">data from AFSA showing the numbers </w:t>
      </w:r>
      <w:r>
        <w:rPr>
          <w:szCs w:val="24"/>
        </w:rPr>
        <w:t>of</w:t>
      </w:r>
      <w:r w:rsidRPr="001606D2">
        <w:rPr>
          <w:szCs w:val="24"/>
        </w:rPr>
        <w:t xml:space="preserve"> </w:t>
      </w:r>
      <w:r w:rsidR="001606D2" w:rsidRPr="001606D2">
        <w:rPr>
          <w:szCs w:val="24"/>
        </w:rPr>
        <w:t xml:space="preserve">new bankruptcies between the $0-$50,000 thresholds in $10,000 brackets over the past </w:t>
      </w:r>
      <w:r w:rsidR="000B6EC0">
        <w:rPr>
          <w:szCs w:val="24"/>
        </w:rPr>
        <w:t>five</w:t>
      </w:r>
      <w:r w:rsidR="001606D2" w:rsidRPr="001606D2">
        <w:rPr>
          <w:szCs w:val="24"/>
        </w:rPr>
        <w:t xml:space="preserve"> financial years (noting the influence the temporary COVID-19 measures would have had on the data for the past </w:t>
      </w:r>
      <w:r w:rsidR="000B6EC0">
        <w:rPr>
          <w:szCs w:val="24"/>
        </w:rPr>
        <w:t xml:space="preserve">two to three </w:t>
      </w:r>
      <w:r w:rsidR="001606D2" w:rsidRPr="001606D2">
        <w:rPr>
          <w:szCs w:val="24"/>
        </w:rPr>
        <w:t>years).</w:t>
      </w:r>
    </w:p>
    <w:p w14:paraId="0E3FF416" w14:textId="6546B443" w:rsidR="00DA5E76" w:rsidRPr="00AF553B" w:rsidRDefault="00DA5E76" w:rsidP="001606D2">
      <w:pPr>
        <w:rPr>
          <w:rFonts w:asciiTheme="minorHAnsi" w:hAnsiTheme="minorHAnsi"/>
        </w:rPr>
      </w:pPr>
      <w:r>
        <w:rPr>
          <w:noProof/>
        </w:rPr>
        <w:drawing>
          <wp:anchor distT="0" distB="0" distL="114300" distR="114300" simplePos="0" relativeHeight="251660288" behindDoc="1" locked="0" layoutInCell="1" allowOverlap="1" wp14:anchorId="1486EEB9" wp14:editId="6F534A11">
            <wp:simplePos x="0" y="0"/>
            <wp:positionH relativeFrom="margin">
              <wp:align>center</wp:align>
            </wp:positionH>
            <wp:positionV relativeFrom="paragraph">
              <wp:posOffset>608965</wp:posOffset>
            </wp:positionV>
            <wp:extent cx="6000751" cy="3895725"/>
            <wp:effectExtent l="0" t="0" r="0" b="9525"/>
            <wp:wrapTight wrapText="bothSides">
              <wp:wrapPolygon edited="0">
                <wp:start x="0" y="0"/>
                <wp:lineTo x="0" y="21547"/>
                <wp:lineTo x="21531" y="21547"/>
                <wp:lineTo x="21531" y="0"/>
                <wp:lineTo x="0" y="0"/>
              </wp:wrapPolygon>
            </wp:wrapTight>
            <wp:docPr id="15" name="Chart 15">
              <a:extLst xmlns:a="http://schemas.openxmlformats.org/drawingml/2006/main">
                <a:ext uri="{FF2B5EF4-FFF2-40B4-BE49-F238E27FC236}">
                  <a16:creationId xmlns:a16="http://schemas.microsoft.com/office/drawing/2014/main" id="{4A622252-D5F3-40E7-AEBF-B42489A3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1606D2" w:rsidRPr="001606D2">
        <w:t xml:space="preserve">The </w:t>
      </w:r>
      <w:r w:rsidR="001606D2" w:rsidRPr="00AF553B">
        <w:rPr>
          <w:rFonts w:asciiTheme="minorHAnsi" w:hAnsiTheme="minorHAnsi"/>
        </w:rPr>
        <w:t>data showed that</w:t>
      </w:r>
      <w:r w:rsidR="00A930FF">
        <w:rPr>
          <w:rFonts w:asciiTheme="minorHAnsi" w:hAnsiTheme="minorHAnsi"/>
        </w:rPr>
        <w:t>,</w:t>
      </w:r>
      <w:r w:rsidR="001606D2" w:rsidRPr="00AF553B">
        <w:rPr>
          <w:rFonts w:asciiTheme="minorHAnsi" w:hAnsiTheme="minorHAnsi"/>
        </w:rPr>
        <w:t xml:space="preserve"> of the total dollar amount of bankruptcies over the past 5 years, </w:t>
      </w:r>
      <w:bookmarkStart w:id="5" w:name="_Hlk144120642"/>
      <w:r w:rsidR="001606D2" w:rsidRPr="00AF553B">
        <w:rPr>
          <w:rFonts w:asciiTheme="minorHAnsi" w:hAnsiTheme="minorHAnsi"/>
        </w:rPr>
        <w:t xml:space="preserve">the median debt ranged between </w:t>
      </w:r>
      <w:r w:rsidR="002835C9" w:rsidRPr="002835C9">
        <w:rPr>
          <w:rFonts w:asciiTheme="minorHAnsi" w:hAnsiTheme="minorHAnsi"/>
        </w:rPr>
        <w:t>$41,397 to $56,361</w:t>
      </w:r>
      <w:r w:rsidR="001606D2" w:rsidRPr="00AF553B">
        <w:rPr>
          <w:rFonts w:asciiTheme="minorHAnsi" w:hAnsiTheme="minorHAnsi"/>
        </w:rPr>
        <w:t xml:space="preserve">. Over the past </w:t>
      </w:r>
      <w:r w:rsidR="000B6EC0">
        <w:rPr>
          <w:rFonts w:asciiTheme="minorHAnsi" w:hAnsiTheme="minorHAnsi"/>
        </w:rPr>
        <w:t>five</w:t>
      </w:r>
      <w:r w:rsidR="001606D2" w:rsidRPr="00AF553B">
        <w:rPr>
          <w:rFonts w:asciiTheme="minorHAnsi" w:hAnsiTheme="minorHAnsi"/>
        </w:rPr>
        <w:t xml:space="preserve"> years, the </w:t>
      </w:r>
      <w:r w:rsidR="003A7F6A">
        <w:rPr>
          <w:rFonts w:asciiTheme="minorHAnsi" w:hAnsiTheme="minorHAnsi"/>
        </w:rPr>
        <w:t>mean</w:t>
      </w:r>
      <w:r w:rsidR="003A7F6A" w:rsidRPr="00AF553B">
        <w:rPr>
          <w:rFonts w:asciiTheme="minorHAnsi" w:hAnsiTheme="minorHAnsi"/>
        </w:rPr>
        <w:t xml:space="preserve"> </w:t>
      </w:r>
      <w:r w:rsidR="001606D2" w:rsidRPr="00AF553B">
        <w:rPr>
          <w:rFonts w:asciiTheme="minorHAnsi" w:hAnsiTheme="minorHAnsi"/>
        </w:rPr>
        <w:t>debt of those entering bankruptcy increased from $289,084 in the 2017</w:t>
      </w:r>
      <w:r w:rsidR="0023271B" w:rsidRPr="00AF553B">
        <w:rPr>
          <w:rFonts w:asciiTheme="minorHAnsi" w:hAnsiTheme="minorHAnsi"/>
        </w:rPr>
        <w:t>-</w:t>
      </w:r>
      <w:r w:rsidR="001606D2" w:rsidRPr="00AF553B">
        <w:rPr>
          <w:rFonts w:asciiTheme="minorHAnsi" w:hAnsiTheme="minorHAnsi"/>
        </w:rPr>
        <w:t>18 to $521,071 in 2021</w:t>
      </w:r>
      <w:r w:rsidR="0023271B" w:rsidRPr="00AF553B">
        <w:rPr>
          <w:rFonts w:asciiTheme="minorHAnsi" w:hAnsiTheme="minorHAnsi"/>
        </w:rPr>
        <w:t>-</w:t>
      </w:r>
      <w:r w:rsidR="001606D2" w:rsidRPr="00AF553B">
        <w:rPr>
          <w:rFonts w:asciiTheme="minorHAnsi" w:hAnsiTheme="minorHAnsi"/>
        </w:rPr>
        <w:t xml:space="preserve">22. </w:t>
      </w:r>
      <w:bookmarkEnd w:id="5"/>
    </w:p>
    <w:p w14:paraId="6D450FED" w14:textId="19363D5D" w:rsidR="00DA5E76" w:rsidRPr="00AF553B" w:rsidRDefault="00DA5E76" w:rsidP="00AF553B">
      <w:pPr>
        <w:jc w:val="center"/>
        <w:rPr>
          <w:rFonts w:asciiTheme="minorHAnsi" w:hAnsiTheme="minorHAnsi"/>
          <w:b/>
        </w:rPr>
      </w:pPr>
      <w:r w:rsidRPr="00AF553B">
        <w:rPr>
          <w:rFonts w:asciiTheme="minorHAnsi" w:hAnsiTheme="minorHAnsi"/>
          <w:b/>
        </w:rPr>
        <w:t>Figure 2: Total number of bankruptcies in the most recent reporting periods.</w:t>
      </w:r>
      <w:r w:rsidR="00332B23" w:rsidRPr="00AF553B">
        <w:rPr>
          <w:rStyle w:val="EndnoteReference"/>
          <w:rFonts w:asciiTheme="minorHAnsi" w:hAnsiTheme="minorHAnsi"/>
        </w:rPr>
        <w:endnoteReference w:id="5"/>
      </w:r>
    </w:p>
    <w:p w14:paraId="60231BBF" w14:textId="7E03A258" w:rsidR="001606D2" w:rsidRPr="00AF553B" w:rsidRDefault="001606D2" w:rsidP="001606D2">
      <w:pPr>
        <w:rPr>
          <w:rFonts w:asciiTheme="minorHAnsi" w:hAnsiTheme="minorHAnsi"/>
          <w:color w:val="000000" w:themeColor="text1"/>
        </w:rPr>
      </w:pPr>
      <w:r w:rsidRPr="00AF553B">
        <w:rPr>
          <w:rFonts w:asciiTheme="minorHAnsi" w:hAnsiTheme="minorHAnsi"/>
        </w:rPr>
        <w:t xml:space="preserve">Of the 5,995 bankruptcies in the financial year ending 30 June 2022, 706 debtors </w:t>
      </w:r>
      <w:r w:rsidR="009203A8">
        <w:rPr>
          <w:rFonts w:asciiTheme="minorHAnsi" w:hAnsiTheme="minorHAnsi"/>
        </w:rPr>
        <w:t>(</w:t>
      </w:r>
      <w:r w:rsidRPr="00AF553B">
        <w:rPr>
          <w:rFonts w:asciiTheme="minorHAnsi" w:hAnsiTheme="minorHAnsi"/>
        </w:rPr>
        <w:t>representing 11.</w:t>
      </w:r>
      <w:r w:rsidR="002835C9">
        <w:rPr>
          <w:rFonts w:asciiTheme="minorHAnsi" w:hAnsiTheme="minorHAnsi"/>
        </w:rPr>
        <w:t>8</w:t>
      </w:r>
      <w:r w:rsidRPr="00AF553B">
        <w:rPr>
          <w:rFonts w:asciiTheme="minorHAnsi" w:hAnsiTheme="minorHAnsi"/>
        </w:rPr>
        <w:t>% of the total bankrupt population</w:t>
      </w:r>
      <w:r w:rsidR="009203A8">
        <w:rPr>
          <w:rFonts w:asciiTheme="minorHAnsi" w:hAnsiTheme="minorHAnsi"/>
        </w:rPr>
        <w:t>)</w:t>
      </w:r>
      <w:r w:rsidRPr="00AF553B">
        <w:rPr>
          <w:rFonts w:asciiTheme="minorHAnsi" w:hAnsiTheme="minorHAnsi"/>
        </w:rPr>
        <w:t xml:space="preserve"> had debts greater than $10,000 but less than $20,000</w:t>
      </w:r>
      <w:r w:rsidR="002835C9">
        <w:rPr>
          <w:rFonts w:asciiTheme="minorHAnsi" w:hAnsiTheme="minorHAnsi"/>
        </w:rPr>
        <w:t xml:space="preserve">, </w:t>
      </w:r>
      <w:r w:rsidR="002835C9">
        <w:t>18.1% of bankruptcies in this period had a debt less than $20,000</w:t>
      </w:r>
      <w:r w:rsidRPr="00AF553B">
        <w:rPr>
          <w:rFonts w:asciiTheme="minorHAnsi" w:hAnsiTheme="minorHAnsi"/>
        </w:rPr>
        <w:t xml:space="preserve">. Based on this </w:t>
      </w:r>
      <w:r w:rsidR="009203A8">
        <w:rPr>
          <w:rFonts w:asciiTheme="minorHAnsi" w:hAnsiTheme="minorHAnsi"/>
        </w:rPr>
        <w:t>data, should the bankruptcy threshold be increased to $20,000</w:t>
      </w:r>
      <w:r w:rsidRPr="00AF553B">
        <w:rPr>
          <w:rFonts w:asciiTheme="minorHAnsi" w:hAnsiTheme="minorHAnsi"/>
        </w:rPr>
        <w:t>, 8</w:t>
      </w:r>
      <w:r w:rsidR="002835C9">
        <w:rPr>
          <w:rFonts w:asciiTheme="minorHAnsi" w:hAnsiTheme="minorHAnsi"/>
        </w:rPr>
        <w:t>1</w:t>
      </w:r>
      <w:r w:rsidRPr="00AF553B">
        <w:rPr>
          <w:rFonts w:asciiTheme="minorHAnsi" w:hAnsiTheme="minorHAnsi"/>
        </w:rPr>
        <w:t>.</w:t>
      </w:r>
      <w:r w:rsidR="002835C9">
        <w:rPr>
          <w:rFonts w:asciiTheme="minorHAnsi" w:hAnsiTheme="minorHAnsi"/>
        </w:rPr>
        <w:t>9</w:t>
      </w:r>
      <w:r w:rsidRPr="00AF553B">
        <w:rPr>
          <w:rFonts w:asciiTheme="minorHAnsi" w:hAnsiTheme="minorHAnsi"/>
        </w:rPr>
        <w:t xml:space="preserve">% of new bankruptcies would </w:t>
      </w:r>
      <w:r w:rsidR="001D53D0">
        <w:rPr>
          <w:rFonts w:asciiTheme="minorHAnsi" w:hAnsiTheme="minorHAnsi"/>
        </w:rPr>
        <w:t xml:space="preserve">still </w:t>
      </w:r>
      <w:r w:rsidRPr="00AF553B">
        <w:rPr>
          <w:rFonts w:asciiTheme="minorHAnsi" w:hAnsiTheme="minorHAnsi"/>
          <w:color w:val="000000" w:themeColor="text1"/>
        </w:rPr>
        <w:t xml:space="preserve">meet </w:t>
      </w:r>
      <w:r w:rsidR="009203A8">
        <w:rPr>
          <w:rFonts w:asciiTheme="minorHAnsi" w:hAnsiTheme="minorHAnsi"/>
          <w:color w:val="000000" w:themeColor="text1"/>
        </w:rPr>
        <w:t>the new threshold</w:t>
      </w:r>
      <w:r w:rsidRPr="00AF553B">
        <w:rPr>
          <w:rFonts w:asciiTheme="minorHAnsi" w:hAnsiTheme="minorHAnsi"/>
          <w:color w:val="000000" w:themeColor="text1"/>
        </w:rPr>
        <w:t>.</w:t>
      </w:r>
      <w:r w:rsidR="009203A8">
        <w:rPr>
          <w:rFonts w:asciiTheme="minorHAnsi" w:hAnsiTheme="minorHAnsi"/>
          <w:color w:val="000000" w:themeColor="text1"/>
        </w:rPr>
        <w:t xml:space="preserve"> </w:t>
      </w:r>
    </w:p>
    <w:p w14:paraId="377BA542" w14:textId="2C9EF3F0" w:rsidR="0023271B" w:rsidRPr="00AF553B" w:rsidRDefault="00DA5E76" w:rsidP="001606D2">
      <w:r>
        <w:rPr>
          <w:noProof/>
        </w:rPr>
        <w:lastRenderedPageBreak/>
        <w:drawing>
          <wp:inline distT="0" distB="0" distL="0" distR="0" wp14:anchorId="78DA0151" wp14:editId="51E228AC">
            <wp:extent cx="6444133" cy="3357245"/>
            <wp:effectExtent l="0" t="0" r="13970" b="14605"/>
            <wp:docPr id="13" name="Chart 13">
              <a:extLst xmlns:a="http://schemas.openxmlformats.org/drawingml/2006/main">
                <a:ext uri="{FF2B5EF4-FFF2-40B4-BE49-F238E27FC236}">
                  <a16:creationId xmlns:a16="http://schemas.microsoft.com/office/drawing/2014/main" id="{B052B325-A944-42C7-B04B-F4AB24DE86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A1EDC6" w14:textId="694D5487" w:rsidR="0023271B" w:rsidRPr="00AF553B" w:rsidRDefault="0023271B" w:rsidP="00AF553B">
      <w:pPr>
        <w:jc w:val="center"/>
        <w:rPr>
          <w:b/>
        </w:rPr>
      </w:pPr>
      <w:r w:rsidRPr="00AF553B">
        <w:rPr>
          <w:b/>
        </w:rPr>
        <w:t xml:space="preserve">Figure 3: </w:t>
      </w:r>
      <w:r w:rsidR="00DA5E76" w:rsidRPr="00AF553B">
        <w:rPr>
          <w:b/>
        </w:rPr>
        <w:t>Total number of bankruptcies over the past 5 reporting periods.</w:t>
      </w:r>
      <w:r w:rsidR="003B7743" w:rsidRPr="003B7743">
        <w:rPr>
          <w:rStyle w:val="EndnoteReference"/>
        </w:rPr>
        <w:endnoteReference w:id="6"/>
      </w:r>
    </w:p>
    <w:p w14:paraId="748385BE" w14:textId="647E5763" w:rsidR="001606D2" w:rsidRPr="00AF553B" w:rsidRDefault="001D53D0" w:rsidP="001606D2">
      <w:r>
        <w:t>Finally, to understand the potential impact of raising the threshold on debtors and creditors</w:t>
      </w:r>
      <w:r w:rsidR="000B6EC0">
        <w:t>,</w:t>
      </w:r>
      <w:r>
        <w:t xml:space="preserve"> </w:t>
      </w:r>
      <w:r w:rsidR="0036167C">
        <w:t xml:space="preserve">the </w:t>
      </w:r>
      <w:r w:rsidR="00190659">
        <w:t>department</w:t>
      </w:r>
      <w:r>
        <w:t xml:space="preserve"> analysed AFSA data to understand how bankruptcies are being initiated. </w:t>
      </w:r>
      <w:r w:rsidR="001606D2" w:rsidRPr="001606D2">
        <w:t>In 2021</w:t>
      </w:r>
      <w:r>
        <w:noBreakHyphen/>
      </w:r>
      <w:r w:rsidR="001606D2" w:rsidRPr="001606D2">
        <w:t>22, 91% of new bankruptcies were initiated by debtors’ petition (voluntary bankruptcies). This proportion decreased from 95% in the 2020</w:t>
      </w:r>
      <w:r w:rsidR="0023271B">
        <w:t>-</w:t>
      </w:r>
      <w:r w:rsidR="001606D2" w:rsidRPr="001606D2">
        <w:t>21 financial year</w:t>
      </w:r>
      <w:r w:rsidR="00E144FE">
        <w:t xml:space="preserve">. In </w:t>
      </w:r>
      <w:r w:rsidR="00E144FE" w:rsidRPr="001606D2">
        <w:t>2021</w:t>
      </w:r>
      <w:r w:rsidR="00E144FE">
        <w:t>-</w:t>
      </w:r>
      <w:r w:rsidR="00E144FE" w:rsidRPr="001606D2">
        <w:t>22</w:t>
      </w:r>
      <w:r w:rsidR="00E144FE">
        <w:t>,</w:t>
      </w:r>
      <w:r w:rsidR="00E144FE" w:rsidRPr="001606D2">
        <w:t xml:space="preserve"> </w:t>
      </w:r>
      <w:r w:rsidR="001606D2" w:rsidRPr="001606D2">
        <w:t>9% of new bankruptcies were initiated by creditors petition, and 5% in 2020</w:t>
      </w:r>
      <w:r w:rsidR="0023271B">
        <w:t>-</w:t>
      </w:r>
      <w:r w:rsidR="001606D2" w:rsidRPr="001606D2">
        <w:t>21.</w:t>
      </w:r>
      <w:r w:rsidR="00A95F6C">
        <w:rPr>
          <w:rStyle w:val="EndnoteReference"/>
        </w:rPr>
        <w:endnoteReference w:id="7"/>
      </w:r>
      <w:r w:rsidR="001606D2" w:rsidRPr="001606D2">
        <w:t xml:space="preserve"> </w:t>
      </w:r>
    </w:p>
    <w:p w14:paraId="7190B93B" w14:textId="014958BF" w:rsidR="001606D2" w:rsidRPr="004D61DB" w:rsidRDefault="001D53D0" w:rsidP="001606D2">
      <w:pPr>
        <w:rPr>
          <w:color w:val="000000" w:themeColor="text1"/>
        </w:rPr>
      </w:pPr>
      <w:r>
        <w:t>Based on the above, public submissions previously made to</w:t>
      </w:r>
      <w:r w:rsidR="0036167C">
        <w:t xml:space="preserve"> the </w:t>
      </w:r>
      <w:r w:rsidR="00190659">
        <w:t>department</w:t>
      </w:r>
      <w:r w:rsidR="001606D2" w:rsidRPr="001606D2">
        <w:t xml:space="preserve">, </w:t>
      </w:r>
      <w:r w:rsidR="00F42B66">
        <w:t xml:space="preserve">and </w:t>
      </w:r>
      <w:r w:rsidR="001606D2" w:rsidRPr="001606D2">
        <w:t xml:space="preserve">the current economic circumstances, the </w:t>
      </w:r>
      <w:r w:rsidR="00190659">
        <w:t>department</w:t>
      </w:r>
      <w:r w:rsidR="001606D2" w:rsidRPr="001606D2">
        <w:t xml:space="preserve"> proposes to raise the bankruptcy threshold to $20,000</w:t>
      </w:r>
      <w:r w:rsidR="001606D2" w:rsidRPr="001606D2">
        <w:rPr>
          <w:color w:val="000000" w:themeColor="text1"/>
        </w:rPr>
        <w:t>. In making this proposal</w:t>
      </w:r>
      <w:r w:rsidR="001606D2" w:rsidRPr="004D61DB">
        <w:rPr>
          <w:color w:val="000000" w:themeColor="text1"/>
        </w:rPr>
        <w:t xml:space="preserve">, the </w:t>
      </w:r>
      <w:r w:rsidR="00190659">
        <w:rPr>
          <w:color w:val="000000" w:themeColor="text1"/>
        </w:rPr>
        <w:t>department</w:t>
      </w:r>
      <w:r w:rsidR="001606D2" w:rsidRPr="004D61DB">
        <w:rPr>
          <w:color w:val="000000" w:themeColor="text1"/>
        </w:rPr>
        <w:t xml:space="preserve"> seeks to appropriately and responsibly:</w:t>
      </w:r>
    </w:p>
    <w:p w14:paraId="581EF6C1" w14:textId="5EC8A80D" w:rsidR="001606D2" w:rsidRPr="003B7743" w:rsidRDefault="001606D2" w:rsidP="003B7743">
      <w:pPr>
        <w:pStyle w:val="ListParagraph"/>
        <w:numPr>
          <w:ilvl w:val="0"/>
          <w:numId w:val="7"/>
        </w:numPr>
        <w:spacing w:line="276" w:lineRule="auto"/>
      </w:pPr>
      <w:r w:rsidRPr="004D61DB">
        <w:rPr>
          <w:rFonts w:eastAsia="Times New Roman"/>
          <w:color w:val="000000" w:themeColor="text1"/>
        </w:rPr>
        <w:t xml:space="preserve">ensure bankruptcy remains an option for higher value debts, while balancing the interests of debtors, creditors, and Small </w:t>
      </w:r>
      <w:r w:rsidRPr="001606D2">
        <w:rPr>
          <w:rFonts w:eastAsia="Times New Roman"/>
          <w:color w:val="000000" w:themeColor="text1"/>
        </w:rPr>
        <w:t xml:space="preserve">to Medium Enterprises, particularly noting that debts between $10,000 and $20,000 make a </w:t>
      </w:r>
      <w:r w:rsidR="001D53D0">
        <w:rPr>
          <w:rFonts w:eastAsia="Times New Roman"/>
          <w:color w:val="000000" w:themeColor="text1"/>
        </w:rPr>
        <w:t xml:space="preserve">relatively </w:t>
      </w:r>
      <w:r w:rsidRPr="001606D2">
        <w:rPr>
          <w:rFonts w:eastAsia="Times New Roman"/>
          <w:color w:val="000000" w:themeColor="text1"/>
        </w:rPr>
        <w:t>small proportion of recent bankruptcies</w:t>
      </w:r>
      <w:r w:rsidR="0023271B">
        <w:rPr>
          <w:rFonts w:eastAsia="Times New Roman"/>
          <w:color w:val="000000" w:themeColor="text1"/>
        </w:rPr>
        <w:t>;</w:t>
      </w:r>
      <w:r w:rsidRPr="001606D2">
        <w:rPr>
          <w:rFonts w:eastAsia="Times New Roman"/>
          <w:color w:val="000000" w:themeColor="text1"/>
        </w:rPr>
        <w:t xml:space="preserve"> and </w:t>
      </w:r>
    </w:p>
    <w:p w14:paraId="7DA6E752" w14:textId="2263E2AF" w:rsidR="007A0443" w:rsidRPr="003B7743" w:rsidRDefault="001606D2" w:rsidP="003B7743">
      <w:pPr>
        <w:pStyle w:val="ListParagraph"/>
        <w:numPr>
          <w:ilvl w:val="0"/>
          <w:numId w:val="7"/>
        </w:numPr>
        <w:spacing w:line="276" w:lineRule="auto"/>
      </w:pPr>
      <w:r w:rsidRPr="001606D2">
        <w:rPr>
          <w:rFonts w:eastAsia="Times New Roman"/>
          <w:color w:val="000000" w:themeColor="text1"/>
        </w:rPr>
        <w:t>encourage the use of alternative personal insolvency options for lower value debts</w:t>
      </w:r>
      <w:r w:rsidR="001D53D0">
        <w:rPr>
          <w:rFonts w:eastAsia="Times New Roman"/>
          <w:color w:val="000000" w:themeColor="text1"/>
        </w:rPr>
        <w:t>,</w:t>
      </w:r>
      <w:r w:rsidRPr="001606D2">
        <w:rPr>
          <w:rFonts w:eastAsia="Times New Roman"/>
          <w:color w:val="000000" w:themeColor="text1"/>
        </w:rPr>
        <w:t xml:space="preserve"> noting the significant and potentially lifelong impacts of bankruptcy and the relatively small amount returned to creditors through bankruptcy processes</w:t>
      </w:r>
      <w:r w:rsidR="00B151F5">
        <w:rPr>
          <w:rFonts w:eastAsia="Times New Roman"/>
          <w:color w:val="000000" w:themeColor="text1"/>
        </w:rPr>
        <w:t>.</w:t>
      </w:r>
      <w:r w:rsidR="00AF553B">
        <w:rPr>
          <w:rFonts w:eastAsia="Times New Roman"/>
          <w:color w:val="000000" w:themeColor="text1"/>
        </w:rPr>
        <w:t xml:space="preserve"> In 2021-22</w:t>
      </w:r>
      <w:r w:rsidR="001D53D0">
        <w:rPr>
          <w:rFonts w:eastAsia="Times New Roman"/>
          <w:color w:val="000000" w:themeColor="text1"/>
        </w:rPr>
        <w:t>, u</w:t>
      </w:r>
      <w:r w:rsidR="00B151F5" w:rsidRPr="00B151F5">
        <w:rPr>
          <w:rFonts w:eastAsia="Times New Roman"/>
          <w:color w:val="000000" w:themeColor="text1"/>
        </w:rPr>
        <w:t>nsecured creditors received an average of 2.23 cents for every dollar they were owed</w:t>
      </w:r>
      <w:r w:rsidR="00B151F5">
        <w:rPr>
          <w:rFonts w:eastAsia="Times New Roman"/>
          <w:color w:val="000000" w:themeColor="text1"/>
        </w:rPr>
        <w:t>.</w:t>
      </w:r>
      <w:r w:rsidRPr="001606D2">
        <w:rPr>
          <w:rFonts w:eastAsia="Times New Roman"/>
          <w:color w:val="000000" w:themeColor="text1"/>
        </w:rPr>
        <w:t xml:space="preserve"> </w:t>
      </w:r>
    </w:p>
    <w:bookmarkEnd w:id="3"/>
    <w:bookmarkEnd w:id="4"/>
    <w:p w14:paraId="0E3E2C4B" w14:textId="759EBD39" w:rsidR="005D2B8C" w:rsidRDefault="005D2B8C" w:rsidP="00EC17A1">
      <w:pPr>
        <w:pStyle w:val="Heading1"/>
        <w:jc w:val="left"/>
      </w:pPr>
      <w:r>
        <w:br w:type="page"/>
      </w:r>
    </w:p>
    <w:p w14:paraId="006D0BD8" w14:textId="342BC555" w:rsidR="008E6CBF" w:rsidRDefault="003B7D30" w:rsidP="00EC17A1">
      <w:pPr>
        <w:pStyle w:val="Heading1"/>
        <w:jc w:val="left"/>
      </w:pPr>
      <w:r w:rsidRPr="003B7D30">
        <w:lastRenderedPageBreak/>
        <w:t>Increasing the period for a debtor to respond to a bankruptcy notice from 21</w:t>
      </w:r>
      <w:r>
        <w:t xml:space="preserve"> to 28 days</w:t>
      </w:r>
    </w:p>
    <w:p w14:paraId="0C552797" w14:textId="77777777" w:rsidR="00B1167C" w:rsidRDefault="00B1167C" w:rsidP="00B1167C">
      <w:pPr>
        <w:pStyle w:val="Heading2"/>
      </w:pPr>
      <w:r>
        <w:t>Discussion questions</w:t>
      </w:r>
    </w:p>
    <w:p w14:paraId="2DCA68DB" w14:textId="20D6FC08" w:rsidR="003B7D30" w:rsidRDefault="00B1167C" w:rsidP="009E4466">
      <w:pPr>
        <w:pStyle w:val="ListParagraph"/>
        <w:numPr>
          <w:ilvl w:val="0"/>
          <w:numId w:val="24"/>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b/>
          <w:lang w:eastAsia="en-AU"/>
        </w:rPr>
      </w:pPr>
      <w:r w:rsidRPr="001B11C5">
        <w:rPr>
          <w:rFonts w:eastAsia="Times New Roman" w:cs="Arial"/>
          <w:b/>
          <w:lang w:eastAsia="en-AU"/>
        </w:rPr>
        <w:t xml:space="preserve">Question </w:t>
      </w:r>
      <w:r w:rsidR="006965F1">
        <w:rPr>
          <w:rFonts w:eastAsia="Times New Roman" w:cs="Arial"/>
          <w:b/>
          <w:lang w:eastAsia="en-AU"/>
        </w:rPr>
        <w:t>4</w:t>
      </w:r>
      <w:r w:rsidRPr="001B11C5">
        <w:rPr>
          <w:rFonts w:eastAsia="Times New Roman" w:cs="Arial"/>
          <w:b/>
          <w:lang w:eastAsia="en-AU"/>
        </w:rPr>
        <w:t>:</w:t>
      </w:r>
      <w:r w:rsidR="002D4EC9" w:rsidRPr="002D4EC9">
        <w:t xml:space="preserve"> </w:t>
      </w:r>
      <w:bookmarkStart w:id="6" w:name="_Hlk141876553"/>
      <w:r w:rsidR="00B825C4">
        <w:t xml:space="preserve">Do you believe that the period for a debtor to respond to a bankruptcy notice should be increased from 21 days to 28 days? </w:t>
      </w:r>
      <w:r w:rsidR="00B825C4" w:rsidRPr="00B825C4">
        <w:rPr>
          <w:rFonts w:eastAsia="Times New Roman" w:cs="Arial"/>
          <w:lang w:eastAsia="en-AU"/>
        </w:rPr>
        <w:t>Please expand</w:t>
      </w:r>
      <w:r w:rsidR="00B825C4">
        <w:rPr>
          <w:rFonts w:eastAsia="Times New Roman" w:cs="Arial"/>
          <w:lang w:eastAsia="en-AU"/>
        </w:rPr>
        <w:t xml:space="preserve"> on your answer</w:t>
      </w:r>
      <w:r w:rsidR="00717AA6">
        <w:rPr>
          <w:rFonts w:eastAsia="Times New Roman" w:cs="Arial"/>
          <w:lang w:eastAsia="en-AU"/>
        </w:rPr>
        <w:t xml:space="preserve"> and </w:t>
      </w:r>
      <w:r w:rsidR="00345E79">
        <w:rPr>
          <w:rFonts w:eastAsia="Times New Roman" w:cs="Arial"/>
          <w:lang w:eastAsia="en-AU"/>
        </w:rPr>
        <w:t>consider</w:t>
      </w:r>
      <w:r w:rsidR="00717AA6">
        <w:rPr>
          <w:rFonts w:eastAsia="Times New Roman" w:cs="Arial"/>
          <w:lang w:eastAsia="en-AU"/>
        </w:rPr>
        <w:t xml:space="preserve"> </w:t>
      </w:r>
      <w:r w:rsidR="00345E79">
        <w:rPr>
          <w:rFonts w:eastAsia="Times New Roman" w:cs="Arial"/>
          <w:lang w:eastAsia="en-AU"/>
        </w:rPr>
        <w:t>any potential impact</w:t>
      </w:r>
      <w:r w:rsidR="00717AA6">
        <w:rPr>
          <w:rFonts w:eastAsia="Times New Roman" w:cs="Arial"/>
          <w:lang w:eastAsia="en-AU"/>
        </w:rPr>
        <w:t>s</w:t>
      </w:r>
      <w:r w:rsidR="00B825C4">
        <w:rPr>
          <w:rFonts w:eastAsia="Times New Roman" w:cs="Arial"/>
          <w:lang w:eastAsia="en-AU"/>
        </w:rPr>
        <w:t xml:space="preserve">. </w:t>
      </w:r>
      <w:bookmarkEnd w:id="6"/>
    </w:p>
    <w:p w14:paraId="683B9F30" w14:textId="6B0B0889" w:rsidR="0074707D" w:rsidRPr="001B11C5" w:rsidRDefault="0074707D" w:rsidP="009E4466">
      <w:pPr>
        <w:pStyle w:val="ListParagraph"/>
        <w:numPr>
          <w:ilvl w:val="0"/>
          <w:numId w:val="24"/>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b/>
          <w:lang w:eastAsia="en-AU"/>
        </w:rPr>
      </w:pPr>
      <w:r>
        <w:rPr>
          <w:rFonts w:eastAsia="Times New Roman" w:cs="Arial"/>
          <w:b/>
          <w:lang w:eastAsia="en-AU"/>
        </w:rPr>
        <w:t xml:space="preserve">Question </w:t>
      </w:r>
      <w:r w:rsidR="006965F1">
        <w:rPr>
          <w:rFonts w:eastAsia="Times New Roman" w:cs="Arial"/>
          <w:b/>
          <w:lang w:eastAsia="en-AU"/>
        </w:rPr>
        <w:t>5</w:t>
      </w:r>
      <w:r>
        <w:rPr>
          <w:rFonts w:eastAsia="Times New Roman" w:cs="Arial"/>
          <w:b/>
          <w:lang w:eastAsia="en-AU"/>
        </w:rPr>
        <w:t>:</w:t>
      </w:r>
      <w:r w:rsidRPr="0074707D">
        <w:rPr>
          <w:rFonts w:eastAsia="Times New Roman" w:cs="Arial"/>
          <w:b/>
          <w:lang w:eastAsia="en-AU"/>
        </w:rPr>
        <w:t xml:space="preserve"> </w:t>
      </w:r>
      <w:r w:rsidR="00C2552E" w:rsidRPr="00C2552E">
        <w:rPr>
          <w:rFonts w:eastAsia="Times New Roman" w:cs="Arial"/>
          <w:lang w:eastAsia="en-AU"/>
        </w:rPr>
        <w:t>If you do believe that the period for a debtor to respond to a bankruptcy notice should be increased from 21 days to 28 days</w:t>
      </w:r>
      <w:r w:rsidR="00C2552E">
        <w:rPr>
          <w:rFonts w:eastAsia="Times New Roman" w:cs="Arial"/>
          <w:lang w:eastAsia="en-AU"/>
        </w:rPr>
        <w:t>, s</w:t>
      </w:r>
      <w:r w:rsidR="00C2552E" w:rsidRPr="00C2552E">
        <w:rPr>
          <w:rFonts w:eastAsia="Times New Roman" w:cs="Arial"/>
          <w:lang w:eastAsia="en-AU"/>
        </w:rPr>
        <w:t>hould there be a transition period before any reform takes effect? Please expand on your answer.</w:t>
      </w:r>
    </w:p>
    <w:p w14:paraId="07A2D1BE" w14:textId="1E875BDC" w:rsidR="00B1167C" w:rsidRPr="0074707D" w:rsidRDefault="00B1167C" w:rsidP="009E4466">
      <w:pPr>
        <w:pStyle w:val="ListParagraph"/>
        <w:numPr>
          <w:ilvl w:val="0"/>
          <w:numId w:val="24"/>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sidRPr="001B11C5">
        <w:rPr>
          <w:rFonts w:eastAsia="Times New Roman" w:cs="Arial"/>
          <w:b/>
          <w:lang w:eastAsia="en-AU"/>
        </w:rPr>
        <w:t xml:space="preserve">Question </w:t>
      </w:r>
      <w:r w:rsidR="006965F1">
        <w:rPr>
          <w:rFonts w:eastAsia="Times New Roman" w:cs="Arial"/>
          <w:b/>
          <w:lang w:eastAsia="en-AU"/>
        </w:rPr>
        <w:t>6</w:t>
      </w:r>
      <w:r w:rsidRPr="001B11C5">
        <w:rPr>
          <w:rFonts w:eastAsia="Times New Roman" w:cs="Arial"/>
          <w:b/>
          <w:lang w:eastAsia="en-AU"/>
        </w:rPr>
        <w:t xml:space="preserve">: </w:t>
      </w:r>
      <w:r w:rsidR="00C2552E" w:rsidRPr="00C2552E">
        <w:rPr>
          <w:rFonts w:eastAsia="Times New Roman" w:cs="Arial"/>
          <w:lang w:eastAsia="en-AU"/>
        </w:rPr>
        <w:t xml:space="preserve">If you </w:t>
      </w:r>
      <w:r w:rsidR="00384BB9">
        <w:rPr>
          <w:rFonts w:eastAsia="Times New Roman" w:cs="Arial"/>
          <w:lang w:eastAsia="en-AU"/>
        </w:rPr>
        <w:t>do not</w:t>
      </w:r>
      <w:r w:rsidR="00C2552E" w:rsidRPr="00C2552E">
        <w:rPr>
          <w:rFonts w:eastAsia="Times New Roman" w:cs="Arial"/>
          <w:lang w:eastAsia="en-AU"/>
        </w:rPr>
        <w:t xml:space="preserve"> believe that the period for a debtor to respond to a bankruptcy notice should be increased from 21 days to 28 days</w:t>
      </w:r>
      <w:r w:rsidR="00C2552E">
        <w:rPr>
          <w:rFonts w:eastAsia="Times New Roman" w:cs="Arial"/>
          <w:lang w:eastAsia="en-AU"/>
        </w:rPr>
        <w:t>, p</w:t>
      </w:r>
      <w:r w:rsidR="00C2552E" w:rsidRPr="00C2552E">
        <w:rPr>
          <w:rFonts w:eastAsia="Times New Roman" w:cs="Arial"/>
          <w:lang w:eastAsia="en-AU"/>
        </w:rPr>
        <w:t xml:space="preserve">lease explain whether an alternative </w:t>
      </w:r>
      <w:r w:rsidR="00C2552E">
        <w:rPr>
          <w:rFonts w:eastAsia="Times New Roman" w:cs="Arial"/>
          <w:lang w:eastAsia="en-AU"/>
        </w:rPr>
        <w:t xml:space="preserve">duration </w:t>
      </w:r>
      <w:r w:rsidR="00C2552E" w:rsidRPr="00C2552E">
        <w:rPr>
          <w:rFonts w:eastAsia="Times New Roman" w:cs="Arial"/>
          <w:lang w:eastAsia="en-AU"/>
        </w:rPr>
        <w:t>should be considered and why</w:t>
      </w:r>
      <w:r w:rsidR="00C2552E">
        <w:rPr>
          <w:rFonts w:eastAsia="Times New Roman" w:cs="Arial"/>
          <w:lang w:eastAsia="en-AU"/>
        </w:rPr>
        <w:t>.</w:t>
      </w:r>
    </w:p>
    <w:p w14:paraId="68A51765" w14:textId="7BB2F4F7" w:rsidR="0074707D" w:rsidRPr="00CA5A22" w:rsidRDefault="0074707D" w:rsidP="008E6CBF">
      <w:pPr>
        <w:rPr>
          <w:b/>
          <w:i/>
          <w:sz w:val="32"/>
        </w:rPr>
      </w:pPr>
      <w:r w:rsidRPr="00CA5A22">
        <w:rPr>
          <w:b/>
          <w:i/>
          <w:sz w:val="32"/>
        </w:rPr>
        <w:t>Overview</w:t>
      </w:r>
    </w:p>
    <w:p w14:paraId="4723D3BA" w14:textId="4AD8D704" w:rsidR="003E4225" w:rsidRPr="00CA5A22" w:rsidRDefault="008048CF" w:rsidP="009E4466">
      <w:pPr>
        <w:spacing w:after="160"/>
      </w:pPr>
      <w:r w:rsidRPr="00CA5A22">
        <w:t xml:space="preserve">A bankruptcy notice is a formal document issued by the Official Receiver requiring a debtor to pay a debt. The Official Receiver may issue a bankruptcy notice on the application of a creditor if the creditor has obtained a final judgment or order against the debtor for at least $10,000 </w:t>
      </w:r>
      <w:r w:rsidR="00FA3DDD">
        <w:t xml:space="preserve">(being the current bankruptcy threshold) </w:t>
      </w:r>
      <w:r w:rsidRPr="00CA5A22">
        <w:t>that has not been stayed and is no more than six years old.</w:t>
      </w:r>
    </w:p>
    <w:p w14:paraId="431D9EAA" w14:textId="035D7161" w:rsidR="003E4225" w:rsidRPr="00CA5A22" w:rsidRDefault="008048CF" w:rsidP="009E4466">
      <w:pPr>
        <w:spacing w:after="160"/>
      </w:pPr>
      <w:r w:rsidRPr="00CA5A22">
        <w:t xml:space="preserve">A bankruptcy notice is given effect by serving the document on the debtor. A creditor must serve the bankruptcy notice within </w:t>
      </w:r>
      <w:r w:rsidR="00FA3DDD">
        <w:t>six</w:t>
      </w:r>
      <w:r w:rsidRPr="00CA5A22">
        <w:t xml:space="preserve"> months of the date it was issued</w:t>
      </w:r>
      <w:r w:rsidR="00AB3CB9">
        <w:t>,</w:t>
      </w:r>
      <w:r w:rsidRPr="00CA5A22">
        <w:t xml:space="preserve"> unless AFSA has extended the life of the notice.</w:t>
      </w:r>
    </w:p>
    <w:p w14:paraId="7600CE23" w14:textId="59830C11" w:rsidR="008048CF" w:rsidRPr="00CA5A22" w:rsidRDefault="008048CF" w:rsidP="009E4466">
      <w:pPr>
        <w:spacing w:after="160"/>
      </w:pPr>
      <w:r w:rsidRPr="00CA5A22">
        <w:t>Once served, the terms of a bankruptcy notice require the debtor to comply with the notice within 21 days. Relevantly, the debtor may:</w:t>
      </w:r>
    </w:p>
    <w:p w14:paraId="6E2F3A3B" w14:textId="3E8E9E76" w:rsidR="003E4225" w:rsidRPr="00CA5A22" w:rsidRDefault="008048CF" w:rsidP="009E4466">
      <w:pPr>
        <w:pStyle w:val="ListParagraph"/>
        <w:numPr>
          <w:ilvl w:val="0"/>
          <w:numId w:val="7"/>
        </w:numPr>
        <w:spacing w:line="276" w:lineRule="auto"/>
      </w:pPr>
      <w:r w:rsidRPr="00CA5A22">
        <w:t>pay the creditor the amount of the debt claimed</w:t>
      </w:r>
      <w:r w:rsidR="00C83459">
        <w:t>;</w:t>
      </w:r>
    </w:p>
    <w:p w14:paraId="6C35A1CA" w14:textId="0061FC7F" w:rsidR="003E4225" w:rsidRPr="00CA5A22" w:rsidRDefault="008048CF" w:rsidP="009E4466">
      <w:pPr>
        <w:pStyle w:val="ListParagraph"/>
        <w:numPr>
          <w:ilvl w:val="0"/>
          <w:numId w:val="7"/>
        </w:numPr>
        <w:spacing w:line="276" w:lineRule="auto"/>
      </w:pPr>
      <w:proofErr w:type="gramStart"/>
      <w:r w:rsidRPr="00CA5A22">
        <w:t>make arrangements</w:t>
      </w:r>
      <w:proofErr w:type="gramEnd"/>
      <w:r w:rsidRPr="00CA5A22">
        <w:t xml:space="preserve"> to the creditor’s satisfaction for settlement of the debt</w:t>
      </w:r>
      <w:r w:rsidR="00C83459">
        <w:t>;</w:t>
      </w:r>
      <w:r w:rsidRPr="00CA5A22">
        <w:t xml:space="preserve"> or </w:t>
      </w:r>
    </w:p>
    <w:p w14:paraId="3359EA42" w14:textId="1D0C7E29" w:rsidR="008048CF" w:rsidRPr="00CA5A22" w:rsidRDefault="008048CF" w:rsidP="009E4466">
      <w:pPr>
        <w:pStyle w:val="ListParagraph"/>
        <w:numPr>
          <w:ilvl w:val="0"/>
          <w:numId w:val="7"/>
        </w:numPr>
        <w:spacing w:line="276" w:lineRule="auto"/>
      </w:pPr>
      <w:r w:rsidRPr="00CA5A22">
        <w:t>apply to the Court to set aside the bankruptcy notice and/or extend time for compliance with the notice</w:t>
      </w:r>
      <w:r w:rsidR="00300DF5" w:rsidRPr="00CA5A22">
        <w:t xml:space="preserve">. </w:t>
      </w:r>
    </w:p>
    <w:p w14:paraId="7108DAE1" w14:textId="6F0BC3EE" w:rsidR="008048CF" w:rsidRPr="00FA3DDD" w:rsidRDefault="008048CF" w:rsidP="009E4466">
      <w:pPr>
        <w:spacing w:after="160"/>
      </w:pPr>
      <w:r w:rsidRPr="00FA3DDD">
        <w:t>If the debtor does not comply within 21 days of service of a bankruptcy notice, the debtor will commit an act of bankruptcy</w:t>
      </w:r>
      <w:r w:rsidR="00133244">
        <w:t xml:space="preserve"> </w:t>
      </w:r>
      <w:r w:rsidR="00D605FC">
        <w:t>(</w:t>
      </w:r>
      <w:r w:rsidR="0087205A">
        <w:t xml:space="preserve">paragraph </w:t>
      </w:r>
      <w:r w:rsidRPr="00FA3DDD">
        <w:t>40(1)(g) of the Bankruptcy Act</w:t>
      </w:r>
      <w:r w:rsidR="00D605FC">
        <w:t>)</w:t>
      </w:r>
      <w:r w:rsidRPr="00FA3DDD">
        <w:t>. The creditor who served the notice may then present a creditor’s petition based on the act of bankruptcy seeking an order that the debtor be made a bankrupt.</w:t>
      </w:r>
    </w:p>
    <w:p w14:paraId="1D3FA652" w14:textId="34F86CB3" w:rsidR="003E4225" w:rsidRPr="00FA3DDD" w:rsidRDefault="00E9014D" w:rsidP="009E4466">
      <w:pPr>
        <w:rPr>
          <w:rFonts w:cs="Times New Roman"/>
          <w:w w:val="100"/>
          <w:kern w:val="0"/>
        </w:rPr>
      </w:pPr>
      <w:r>
        <w:t xml:space="preserve">As discussed above, </w:t>
      </w:r>
      <w:r w:rsidR="00F24B1E">
        <w:t xml:space="preserve">significant temporary amendments were made to the Bankruptcy Act and </w:t>
      </w:r>
      <w:r w:rsidR="00D245D7">
        <w:t xml:space="preserve">Bankruptcy </w:t>
      </w:r>
      <w:r w:rsidR="00F24B1E">
        <w:t xml:space="preserve">Regulations </w:t>
      </w:r>
      <w:r>
        <w:t xml:space="preserve">during the COVID-19 pandemic </w:t>
      </w:r>
      <w:r w:rsidR="00F24B1E">
        <w:t xml:space="preserve">including </w:t>
      </w:r>
      <w:r w:rsidR="008048CF" w:rsidRPr="00FA3DDD">
        <w:t>increas</w:t>
      </w:r>
      <w:r w:rsidR="003E4225" w:rsidRPr="00FA3DDD">
        <w:t>ing</w:t>
      </w:r>
      <w:r w:rsidR="008048CF" w:rsidRPr="00FA3DDD">
        <w:t xml:space="preserve"> the amount of time to respond to a </w:t>
      </w:r>
      <w:r w:rsidR="003E4225" w:rsidRPr="00FA3DDD">
        <w:t xml:space="preserve">bankruptcy notice </w:t>
      </w:r>
      <w:r w:rsidR="008048CF" w:rsidRPr="00FA3DDD">
        <w:t xml:space="preserve">from 21 days to six months. </w:t>
      </w:r>
    </w:p>
    <w:p w14:paraId="2671D24C" w14:textId="3E3A1028" w:rsidR="003E4225" w:rsidRPr="00FA3DDD" w:rsidRDefault="003E4225" w:rsidP="009E4466">
      <w:r w:rsidRPr="00FA3DDD">
        <w:t>There have</w:t>
      </w:r>
      <w:r w:rsidR="0087205A">
        <w:t xml:space="preserve"> since</w:t>
      </w:r>
      <w:r w:rsidRPr="00FA3DDD">
        <w:t xml:space="preserve"> been calls from stakeholders to </w:t>
      </w:r>
      <w:r w:rsidR="00133244">
        <w:t xml:space="preserve">permanently </w:t>
      </w:r>
      <w:r w:rsidRPr="00FA3DDD">
        <w:t xml:space="preserve">increase the period to respond to a bankruptcy notice. </w:t>
      </w:r>
    </w:p>
    <w:p w14:paraId="47F43ABC" w14:textId="4AE94EFF" w:rsidR="008048CF" w:rsidRPr="00FA3DDD" w:rsidRDefault="00FA3DDD" w:rsidP="00FB7658">
      <w:pPr>
        <w:keepNext/>
        <w:rPr>
          <w:b/>
          <w:i/>
          <w:sz w:val="32"/>
        </w:rPr>
      </w:pPr>
      <w:r w:rsidRPr="00FA3DDD">
        <w:rPr>
          <w:b/>
          <w:i/>
          <w:sz w:val="32"/>
        </w:rPr>
        <w:lastRenderedPageBreak/>
        <w:t>S</w:t>
      </w:r>
      <w:r w:rsidR="008048CF" w:rsidRPr="00FA3DDD">
        <w:rPr>
          <w:b/>
          <w:i/>
          <w:sz w:val="32"/>
        </w:rPr>
        <w:t>takeholder consultation</w:t>
      </w:r>
    </w:p>
    <w:p w14:paraId="10273DFE" w14:textId="2D958735" w:rsidR="0074707D" w:rsidRPr="00FA3DDD" w:rsidRDefault="0074707D" w:rsidP="009E4466">
      <w:pPr>
        <w:rPr>
          <w:szCs w:val="24"/>
        </w:rPr>
      </w:pPr>
      <w:r w:rsidRPr="00FA3DDD">
        <w:rPr>
          <w:szCs w:val="24"/>
        </w:rPr>
        <w:t>Participants</w:t>
      </w:r>
      <w:r w:rsidR="00E1624F" w:rsidRPr="00FA3DDD">
        <w:rPr>
          <w:szCs w:val="24"/>
        </w:rPr>
        <w:t xml:space="preserve"> at the Roundtable</w:t>
      </w:r>
      <w:r w:rsidRPr="00FA3DDD">
        <w:rPr>
          <w:szCs w:val="24"/>
        </w:rPr>
        <w:t xml:space="preserve"> canvassed a range of options, including that the notice period be increased to 60 days. Some participants noted it can be difficult for debtors to obtain appropriate and timely advice about bankruptcy and a debtor’s options in response to the bankruptcy notice under the current 21</w:t>
      </w:r>
      <w:r w:rsidR="00FB1D03">
        <w:rPr>
          <w:szCs w:val="24"/>
        </w:rPr>
        <w:t>-</w:t>
      </w:r>
      <w:r w:rsidRPr="00FA3DDD">
        <w:rPr>
          <w:szCs w:val="24"/>
        </w:rPr>
        <w:t>day period.</w:t>
      </w:r>
    </w:p>
    <w:p w14:paraId="4C81F0A5" w14:textId="77777777" w:rsidR="0074707D" w:rsidRPr="00FA3DDD" w:rsidRDefault="0074707D" w:rsidP="009E4466">
      <w:pPr>
        <w:rPr>
          <w:szCs w:val="24"/>
        </w:rPr>
      </w:pPr>
      <w:r w:rsidRPr="00FA3DDD">
        <w:rPr>
          <w:szCs w:val="24"/>
        </w:rPr>
        <w:t xml:space="preserve">Other participants noted that a bankruptcy notice is often the final step in the process and usually follows a court judgement and demands for payment. In this regard, they noted a debtor ought to have been on notice of the issue for longer than the 21 days from the service of the bankruptcy notice. </w:t>
      </w:r>
    </w:p>
    <w:p w14:paraId="2FF9CCB3" w14:textId="368C176F" w:rsidR="0074707D" w:rsidRPr="00FA3DDD" w:rsidRDefault="0074707D" w:rsidP="009E4466">
      <w:pPr>
        <w:rPr>
          <w:szCs w:val="24"/>
        </w:rPr>
      </w:pPr>
      <w:r w:rsidRPr="00FA3DDD">
        <w:rPr>
          <w:szCs w:val="24"/>
        </w:rPr>
        <w:t>An alternative option of an extension to the 21</w:t>
      </w:r>
      <w:r w:rsidR="00FB1D03">
        <w:rPr>
          <w:szCs w:val="24"/>
        </w:rPr>
        <w:t>-</w:t>
      </w:r>
      <w:r w:rsidRPr="00FA3DDD">
        <w:rPr>
          <w:szCs w:val="24"/>
        </w:rPr>
        <w:t>day period was also canvassed where a debtor is able to produce evidence of financial or legal advice obtained which necessitates a further period for consideration.</w:t>
      </w:r>
    </w:p>
    <w:p w14:paraId="43D6F997" w14:textId="37FDD058" w:rsidR="00A65F87" w:rsidRPr="00FA3DDD" w:rsidRDefault="0074707D" w:rsidP="009E4466">
      <w:pPr>
        <w:rPr>
          <w:szCs w:val="24"/>
        </w:rPr>
      </w:pPr>
      <w:r w:rsidRPr="00FA3DDD">
        <w:rPr>
          <w:szCs w:val="24"/>
        </w:rPr>
        <w:t>Alternative suggestions to varying the notice period discussed by participants included increasing funding for financial counselling and legal assistance services and better information be</w:t>
      </w:r>
      <w:r w:rsidR="00956E54">
        <w:rPr>
          <w:szCs w:val="24"/>
        </w:rPr>
        <w:t>ing</w:t>
      </w:r>
      <w:r w:rsidRPr="00FA3DDD">
        <w:rPr>
          <w:szCs w:val="24"/>
        </w:rPr>
        <w:t xml:space="preserve"> included with the bankruptcy notice provided to debtors. </w:t>
      </w:r>
    </w:p>
    <w:p w14:paraId="454F69B6" w14:textId="6C7805E6" w:rsidR="001E0264" w:rsidRPr="00FA3DDD" w:rsidRDefault="00036632" w:rsidP="0088278A">
      <w:pPr>
        <w:rPr>
          <w:b/>
          <w:i/>
          <w:sz w:val="32"/>
        </w:rPr>
      </w:pPr>
      <w:r>
        <w:rPr>
          <w:b/>
          <w:i/>
          <w:sz w:val="32"/>
        </w:rPr>
        <w:t>Proposal</w:t>
      </w:r>
    </w:p>
    <w:p w14:paraId="00699A98" w14:textId="589BF8C9" w:rsidR="00466AE8" w:rsidRDefault="00165C99" w:rsidP="009E4466">
      <w:r>
        <w:t>C</w:t>
      </w:r>
      <w:r w:rsidR="0087205A" w:rsidRPr="00B27215">
        <w:t xml:space="preserve">onsidering </w:t>
      </w:r>
      <w:r w:rsidR="00762105">
        <w:t>other</w:t>
      </w:r>
      <w:r w:rsidR="002338FC">
        <w:t xml:space="preserve"> </w:t>
      </w:r>
      <w:r w:rsidR="0087205A" w:rsidRPr="00B27215">
        <w:t>timeframes in the Bankruptcy Act</w:t>
      </w:r>
      <w:r w:rsidR="00671FA0" w:rsidRPr="00B27215">
        <w:t xml:space="preserve"> and </w:t>
      </w:r>
      <w:r w:rsidR="00D245D7">
        <w:t xml:space="preserve">Bankruptcy </w:t>
      </w:r>
      <w:r w:rsidR="00671FA0" w:rsidRPr="00B27215">
        <w:t>Regulations</w:t>
      </w:r>
      <w:r w:rsidR="0087205A" w:rsidRPr="00B27215">
        <w:t xml:space="preserve">, the </w:t>
      </w:r>
      <w:r w:rsidR="00190659">
        <w:t>department</w:t>
      </w:r>
      <w:r w:rsidR="0087205A" w:rsidRPr="00B27215">
        <w:t xml:space="preserve"> is proposing to amend the timeframe for response from 21 days to 28 days</w:t>
      </w:r>
      <w:r w:rsidR="00C83459">
        <w:t>. This is consistent with a range of other provisions in the Bankruptcy Act</w:t>
      </w:r>
      <w:r w:rsidR="00723D7B">
        <w:t xml:space="preserve"> which allow </w:t>
      </w:r>
      <w:r w:rsidR="00CF6D67">
        <w:t xml:space="preserve">for </w:t>
      </w:r>
      <w:r w:rsidR="00723D7B">
        <w:t xml:space="preserve">28 </w:t>
      </w:r>
      <w:r w:rsidR="006E0D07">
        <w:t>days’ notice</w:t>
      </w:r>
      <w:r w:rsidR="00C83459">
        <w:t>, including</w:t>
      </w:r>
      <w:r w:rsidR="00241DAB">
        <w:t>:</w:t>
      </w:r>
    </w:p>
    <w:p w14:paraId="17673956" w14:textId="2DE3752D" w:rsidR="00090F14" w:rsidRDefault="00090F14" w:rsidP="009E4466">
      <w:pPr>
        <w:pStyle w:val="ListParagraph"/>
        <w:numPr>
          <w:ilvl w:val="0"/>
          <w:numId w:val="7"/>
        </w:numPr>
        <w:spacing w:line="276" w:lineRule="auto"/>
      </w:pPr>
      <w:r>
        <w:t>section 60 relat</w:t>
      </w:r>
      <w:r w:rsidR="00723D7B">
        <w:t>ing</w:t>
      </w:r>
      <w:r>
        <w:t xml:space="preserve"> to </w:t>
      </w:r>
      <w:r w:rsidR="00CF6D67">
        <w:t xml:space="preserve">the </w:t>
      </w:r>
      <w:r>
        <w:t>stay of legal proceedings</w:t>
      </w:r>
      <w:r w:rsidR="00D326E7">
        <w:t xml:space="preserve">; </w:t>
      </w:r>
    </w:p>
    <w:p w14:paraId="128D7C63" w14:textId="07110A09" w:rsidR="00723D7B" w:rsidRDefault="00D326E7" w:rsidP="009E4466">
      <w:pPr>
        <w:pStyle w:val="ListParagraph"/>
        <w:numPr>
          <w:ilvl w:val="0"/>
          <w:numId w:val="7"/>
        </w:numPr>
        <w:spacing w:line="276" w:lineRule="auto"/>
      </w:pPr>
      <w:r>
        <w:t>s</w:t>
      </w:r>
      <w:r w:rsidR="00723D7B">
        <w:t>ubs</w:t>
      </w:r>
      <w:r w:rsidR="00090F14">
        <w:t>ection 82</w:t>
      </w:r>
      <w:r w:rsidR="00723D7B">
        <w:t>(5)</w:t>
      </w:r>
      <w:r w:rsidR="00090F14">
        <w:t xml:space="preserve"> relat</w:t>
      </w:r>
      <w:r w:rsidR="00723D7B">
        <w:t>ing</w:t>
      </w:r>
      <w:r w:rsidR="00090F14">
        <w:t xml:space="preserve"> to </w:t>
      </w:r>
      <w:r w:rsidR="00723D7B">
        <w:t>debts provable in bankruptcy</w:t>
      </w:r>
      <w:r>
        <w:t>;</w:t>
      </w:r>
      <w:r w:rsidR="00723D7B">
        <w:t xml:space="preserve"> </w:t>
      </w:r>
    </w:p>
    <w:p w14:paraId="7FCEE699" w14:textId="43D53B6A" w:rsidR="00723D7B" w:rsidRDefault="00D326E7" w:rsidP="009E4466">
      <w:pPr>
        <w:pStyle w:val="ListParagraph"/>
        <w:numPr>
          <w:ilvl w:val="0"/>
          <w:numId w:val="7"/>
        </w:numPr>
        <w:spacing w:line="276" w:lineRule="auto"/>
      </w:pPr>
      <w:r>
        <w:t>s</w:t>
      </w:r>
      <w:r w:rsidR="00723D7B">
        <w:t>ubsection 109(8) relating to priority payments</w:t>
      </w:r>
      <w:r>
        <w:t>;</w:t>
      </w:r>
    </w:p>
    <w:p w14:paraId="38AC8922" w14:textId="6BD74DBA" w:rsidR="00E1624F" w:rsidRDefault="00D326E7" w:rsidP="009E4466">
      <w:pPr>
        <w:pStyle w:val="ListParagraph"/>
        <w:numPr>
          <w:ilvl w:val="0"/>
          <w:numId w:val="7"/>
        </w:numPr>
        <w:spacing w:line="276" w:lineRule="auto"/>
      </w:pPr>
      <w:r>
        <w:t>p</w:t>
      </w:r>
      <w:r w:rsidR="00723D7B">
        <w:t xml:space="preserve">aragraphs 133(4)(a), 133(4)(b) and 133(6)(b) relating to </w:t>
      </w:r>
      <w:r w:rsidR="00CF6D67">
        <w:t xml:space="preserve">a </w:t>
      </w:r>
      <w:r w:rsidR="00723D7B">
        <w:t>disclaimer of onerous property</w:t>
      </w:r>
      <w:r>
        <w:t>;</w:t>
      </w:r>
      <w:r w:rsidR="00723D7B">
        <w:t xml:space="preserve"> </w:t>
      </w:r>
    </w:p>
    <w:p w14:paraId="7AC747EA" w14:textId="0744A20B" w:rsidR="00723D7B" w:rsidRDefault="00D326E7" w:rsidP="009E4466">
      <w:pPr>
        <w:pStyle w:val="ListParagraph"/>
        <w:numPr>
          <w:ilvl w:val="0"/>
          <w:numId w:val="7"/>
        </w:numPr>
        <w:spacing w:line="276" w:lineRule="auto"/>
      </w:pPr>
      <w:r>
        <w:t>s</w:t>
      </w:r>
      <w:r w:rsidR="00723D7B">
        <w:t xml:space="preserve">ubsection 185ZA(1) relating to the notification of </w:t>
      </w:r>
      <w:r w:rsidR="00CF6D67">
        <w:t xml:space="preserve">the </w:t>
      </w:r>
      <w:r w:rsidR="00723D7B">
        <w:t xml:space="preserve">death of </w:t>
      </w:r>
      <w:r w:rsidR="00CF6D67">
        <w:t xml:space="preserve">an </w:t>
      </w:r>
      <w:r w:rsidR="00723D7B">
        <w:t>administrator</w:t>
      </w:r>
      <w:r>
        <w:t>;</w:t>
      </w:r>
    </w:p>
    <w:p w14:paraId="60BF2444" w14:textId="51AEDC1B" w:rsidR="00723D7B" w:rsidRDefault="00D326E7" w:rsidP="009E4466">
      <w:pPr>
        <w:pStyle w:val="ListParagraph"/>
        <w:numPr>
          <w:ilvl w:val="0"/>
          <w:numId w:val="7"/>
        </w:numPr>
        <w:spacing w:line="276" w:lineRule="auto"/>
      </w:pPr>
      <w:r>
        <w:t>s</w:t>
      </w:r>
      <w:r w:rsidR="00564D37">
        <w:t>ubsection 186K(4)(a) relating to the cancellation of an individual’s registration as a debt agreement administrator</w:t>
      </w:r>
      <w:r>
        <w:t>;</w:t>
      </w:r>
      <w:r w:rsidR="00564D37">
        <w:t xml:space="preserve"> </w:t>
      </w:r>
    </w:p>
    <w:p w14:paraId="199EDF8F" w14:textId="0B853EAB" w:rsidR="00564D37" w:rsidRDefault="00D326E7" w:rsidP="009E4466">
      <w:pPr>
        <w:pStyle w:val="ListParagraph"/>
        <w:numPr>
          <w:ilvl w:val="0"/>
          <w:numId w:val="7"/>
        </w:numPr>
        <w:spacing w:line="276" w:lineRule="auto"/>
      </w:pPr>
      <w:r>
        <w:t>s</w:t>
      </w:r>
      <w:r w:rsidR="00564D37">
        <w:t xml:space="preserve">ubsection 186L(a) relating to the cancellation of a company’s registration as </w:t>
      </w:r>
      <w:r w:rsidR="00B6430E">
        <w:t xml:space="preserve">a </w:t>
      </w:r>
      <w:r w:rsidR="00564D37">
        <w:t>debt agreement administrator</w:t>
      </w:r>
      <w:r>
        <w:t>; and</w:t>
      </w:r>
    </w:p>
    <w:p w14:paraId="38240E93" w14:textId="0A130C4D" w:rsidR="00564D37" w:rsidRPr="00B27215" w:rsidRDefault="00D326E7" w:rsidP="009E4466">
      <w:pPr>
        <w:pStyle w:val="ListParagraph"/>
        <w:numPr>
          <w:ilvl w:val="0"/>
          <w:numId w:val="7"/>
        </w:numPr>
        <w:spacing w:line="276" w:lineRule="auto"/>
      </w:pPr>
      <w:r>
        <w:t>s</w:t>
      </w:r>
      <w:r w:rsidR="00564D37">
        <w:t xml:space="preserve">ubsection 246(1) relating to </w:t>
      </w:r>
      <w:r w:rsidR="00B6430E">
        <w:t xml:space="preserve">a </w:t>
      </w:r>
      <w:r w:rsidR="00564D37">
        <w:t xml:space="preserve">statement of </w:t>
      </w:r>
      <w:r w:rsidR="00B6430E">
        <w:t xml:space="preserve">a </w:t>
      </w:r>
      <w:r w:rsidR="00564D37">
        <w:t xml:space="preserve">deceased debtor’s affairs by </w:t>
      </w:r>
      <w:r w:rsidR="00B6430E">
        <w:t xml:space="preserve">a </w:t>
      </w:r>
      <w:r w:rsidR="00564D37">
        <w:t>legal personal representative</w:t>
      </w:r>
      <w:r>
        <w:t>.</w:t>
      </w:r>
      <w:r w:rsidR="00564D37">
        <w:t xml:space="preserve"> </w:t>
      </w:r>
    </w:p>
    <w:p w14:paraId="4214E667" w14:textId="3A9FEF9C" w:rsidR="00B6430E" w:rsidRDefault="00671FA0" w:rsidP="009E4466">
      <w:r w:rsidRPr="00B27215">
        <w:t xml:space="preserve">The </w:t>
      </w:r>
      <w:r w:rsidR="00190659">
        <w:t>department</w:t>
      </w:r>
      <w:r w:rsidR="00451C05">
        <w:t xml:space="preserve"> </w:t>
      </w:r>
      <w:r w:rsidRPr="00B27215">
        <w:t xml:space="preserve">notes </w:t>
      </w:r>
      <w:r w:rsidR="00B27215" w:rsidRPr="00B27215">
        <w:t>stakeholders’</w:t>
      </w:r>
      <w:r w:rsidRPr="00B27215">
        <w:t xml:space="preserve"> </w:t>
      </w:r>
      <w:r w:rsidR="00451C05">
        <w:t>views previously put forth in relation to</w:t>
      </w:r>
      <w:r w:rsidRPr="00B27215">
        <w:t xml:space="preserve"> debt agreements</w:t>
      </w:r>
      <w:r w:rsidR="00451C05">
        <w:t>,</w:t>
      </w:r>
      <w:r w:rsidRPr="00B27215">
        <w:t xml:space="preserve"> which considered a </w:t>
      </w:r>
      <w:r w:rsidR="004C0EBC">
        <w:t>five</w:t>
      </w:r>
      <w:r w:rsidR="00B27215" w:rsidRPr="00B27215">
        <w:t>-week</w:t>
      </w:r>
      <w:r w:rsidRPr="00B27215">
        <w:t xml:space="preserve"> response period for creditors to be too long in that context</w:t>
      </w:r>
      <w:r w:rsidR="00B6430E">
        <w:t xml:space="preserve"> and</w:t>
      </w:r>
      <w:r w:rsidRPr="00B27215">
        <w:t xml:space="preserve"> where business liability is in the balance. The </w:t>
      </w:r>
      <w:r w:rsidR="00190659">
        <w:t>department</w:t>
      </w:r>
      <w:r w:rsidR="00451C05" w:rsidRPr="00B27215">
        <w:t xml:space="preserve"> </w:t>
      </w:r>
      <w:r w:rsidRPr="00B27215">
        <w:t xml:space="preserve">considers that </w:t>
      </w:r>
      <w:r w:rsidR="00451C05">
        <w:t>the same issues</w:t>
      </w:r>
      <w:r w:rsidRPr="00B27215">
        <w:t xml:space="preserve"> may be applicable in these circumstances and in considering the appropriate balance of creditors and </w:t>
      </w:r>
      <w:r w:rsidR="00B27215" w:rsidRPr="00B27215">
        <w:t>debtors’</w:t>
      </w:r>
      <w:r w:rsidRPr="00B27215">
        <w:t xml:space="preserve"> interests, proposes 28 days as </w:t>
      </w:r>
      <w:r w:rsidR="00762105">
        <w:t xml:space="preserve">a reasonable compromise. </w:t>
      </w:r>
    </w:p>
    <w:p w14:paraId="5384B540" w14:textId="238C5585" w:rsidR="00D326E7" w:rsidRDefault="00CA185C" w:rsidP="009E4466">
      <w:r>
        <w:t>T</w:t>
      </w:r>
      <w:r w:rsidR="00466AE8">
        <w:t xml:space="preserve">he </w:t>
      </w:r>
      <w:r w:rsidR="00190659">
        <w:t>department</w:t>
      </w:r>
      <w:r>
        <w:t xml:space="preserve"> </w:t>
      </w:r>
      <w:r w:rsidR="00241DAB">
        <w:t xml:space="preserve">notes </w:t>
      </w:r>
      <w:r w:rsidR="00466AE8">
        <w:t xml:space="preserve">that the </w:t>
      </w:r>
      <w:r w:rsidR="00241DAB">
        <w:t>six-month</w:t>
      </w:r>
      <w:r w:rsidR="00466AE8">
        <w:t xml:space="preserve"> period in force during the temporary COVID-19 measures may not effectively balance the interests of creditors and </w:t>
      </w:r>
      <w:r w:rsidR="00241DAB">
        <w:t xml:space="preserve">debtors </w:t>
      </w:r>
      <w:r w:rsidR="00D326E7">
        <w:t xml:space="preserve">as it </w:t>
      </w:r>
      <w:r w:rsidR="00241DAB">
        <w:t xml:space="preserve">may extend the administration of a bankruptcy </w:t>
      </w:r>
      <w:r w:rsidR="00D326E7">
        <w:t xml:space="preserve">for </w:t>
      </w:r>
      <w:r w:rsidR="00241DAB">
        <w:t xml:space="preserve">longer than is necessary for all parties involved. </w:t>
      </w:r>
      <w:r w:rsidR="00D326E7">
        <w:t xml:space="preserve">The </w:t>
      </w:r>
      <w:r w:rsidR="00190659">
        <w:t>department</w:t>
      </w:r>
      <w:r>
        <w:t xml:space="preserve"> </w:t>
      </w:r>
      <w:r w:rsidR="00D326E7">
        <w:t xml:space="preserve">also notes that </w:t>
      </w:r>
      <w:r w:rsidR="00222A58">
        <w:t xml:space="preserve">representations were made at the </w:t>
      </w:r>
      <w:r w:rsidR="00D326E7">
        <w:t>Roundtable</w:t>
      </w:r>
      <w:r w:rsidR="00222A58">
        <w:t xml:space="preserve"> by some</w:t>
      </w:r>
      <w:r w:rsidR="00D326E7">
        <w:t xml:space="preserve"> participants that did not support an increase to the timeframe for response</w:t>
      </w:r>
      <w:r w:rsidR="00DB3280">
        <w:t xml:space="preserve"> as providing extra time does not necessarily correlate to timely action</w:t>
      </w:r>
      <w:r w:rsidR="009E4BB9">
        <w:t xml:space="preserve"> by the bankruptcy notice recipient</w:t>
      </w:r>
      <w:r w:rsidR="00DB3280">
        <w:t xml:space="preserve">. </w:t>
      </w:r>
    </w:p>
    <w:p w14:paraId="7E84E40F" w14:textId="0ABAF37C" w:rsidR="00BE5CB6" w:rsidRPr="00B27215" w:rsidRDefault="00B6430E" w:rsidP="009E4466">
      <w:r>
        <w:t xml:space="preserve">The </w:t>
      </w:r>
      <w:r w:rsidR="00190659">
        <w:t>department</w:t>
      </w:r>
      <w:r>
        <w:t xml:space="preserve"> notes the general consensus amongst stakeholder</w:t>
      </w:r>
      <w:r w:rsidR="00D326E7">
        <w:t>s</w:t>
      </w:r>
      <w:r>
        <w:t xml:space="preserve"> for improved efficiency in the personal insolvency system and considers that a 28-day notice period is appropriate for all parties involved.</w:t>
      </w:r>
      <w:r w:rsidR="003B7743">
        <w:t xml:space="preserve"> </w:t>
      </w:r>
      <w:r w:rsidR="00BE5CB6" w:rsidRPr="00DB3280">
        <w:lastRenderedPageBreak/>
        <w:t xml:space="preserve">Additionally, the </w:t>
      </w:r>
      <w:r w:rsidR="00190659">
        <w:t>department</w:t>
      </w:r>
      <w:r w:rsidR="00CA185C">
        <w:t xml:space="preserve"> </w:t>
      </w:r>
      <w:r w:rsidR="00BE5CB6" w:rsidRPr="00DB3280">
        <w:t>has</w:t>
      </w:r>
      <w:r w:rsidR="00D50B8C" w:rsidRPr="00DB3280">
        <w:t xml:space="preserve"> </w:t>
      </w:r>
      <w:r w:rsidR="00BE5CB6" w:rsidRPr="00DB3280">
        <w:t xml:space="preserve">also taken into consideration AFSA’s </w:t>
      </w:r>
      <w:r w:rsidR="00D50B8C" w:rsidRPr="00DB3280">
        <w:t xml:space="preserve">intention to update the </w:t>
      </w:r>
      <w:r w:rsidR="00BE5CB6" w:rsidRPr="00DB3280">
        <w:t>information sheet which attaches to a bankruptcy notice</w:t>
      </w:r>
      <w:r w:rsidR="003212A4" w:rsidRPr="00DB3280">
        <w:t xml:space="preserve">. </w:t>
      </w:r>
      <w:r w:rsidR="002463A5" w:rsidRPr="00CC79E9">
        <w:t xml:space="preserve">This </w:t>
      </w:r>
      <w:r w:rsidR="00DB3280" w:rsidRPr="00CC79E9">
        <w:t>updated</w:t>
      </w:r>
      <w:r w:rsidR="002463A5" w:rsidRPr="00CC79E9">
        <w:t xml:space="preserve"> information </w:t>
      </w:r>
      <w:r w:rsidR="00DB3280" w:rsidRPr="00CC79E9">
        <w:t xml:space="preserve">sheet </w:t>
      </w:r>
      <w:r w:rsidR="00DB3280" w:rsidRPr="00DB3280">
        <w:t>intends</w:t>
      </w:r>
      <w:r w:rsidR="003212A4" w:rsidRPr="00DB3280">
        <w:t xml:space="preserve"> to remove any unnecessary </w:t>
      </w:r>
      <w:r w:rsidR="00CC79E9" w:rsidRPr="00DB3280">
        <w:t>complexities and</w:t>
      </w:r>
      <w:r w:rsidR="00DB3011" w:rsidRPr="00DB3280">
        <w:t xml:space="preserve"> </w:t>
      </w:r>
      <w:r w:rsidR="003212A4" w:rsidRPr="00DB3280">
        <w:t xml:space="preserve">simplify the information presented to make it easier for debtors to understand </w:t>
      </w:r>
      <w:r w:rsidR="00D50B8C" w:rsidRPr="00DB3280">
        <w:t xml:space="preserve">what a </w:t>
      </w:r>
      <w:r w:rsidR="003212A4" w:rsidRPr="00DB3280">
        <w:t>bankruptcy notice</w:t>
      </w:r>
      <w:r w:rsidR="00D50B8C" w:rsidRPr="00DB3280">
        <w:t xml:space="preserve"> is</w:t>
      </w:r>
      <w:r w:rsidR="003212A4" w:rsidRPr="00DB3280">
        <w:t>.</w:t>
      </w:r>
    </w:p>
    <w:p w14:paraId="7CF54B95" w14:textId="6CB408E7" w:rsidR="00BE5CB6" w:rsidRDefault="00564D37" w:rsidP="00A84A52">
      <w:pPr>
        <w:rPr>
          <w:vertAlign w:val="superscript"/>
        </w:rPr>
      </w:pPr>
      <w:r>
        <w:t xml:space="preserve">The </w:t>
      </w:r>
      <w:r w:rsidR="00190659">
        <w:t>department</w:t>
      </w:r>
      <w:r w:rsidR="00CA185C">
        <w:t xml:space="preserve">’s proposal </w:t>
      </w:r>
      <w:r>
        <w:t>is further informed by the civil procedure rules in</w:t>
      </w:r>
      <w:r w:rsidR="00C44198">
        <w:t xml:space="preserve"> F</w:t>
      </w:r>
      <w:r w:rsidR="00D12883">
        <w:t xml:space="preserve">ederal and </w:t>
      </w:r>
      <w:r w:rsidR="00C44198">
        <w:t>S</w:t>
      </w:r>
      <w:r w:rsidR="00D12883">
        <w:t xml:space="preserve">tate legislation </w:t>
      </w:r>
      <w:r>
        <w:t xml:space="preserve">which </w:t>
      </w:r>
      <w:r w:rsidR="00CC4E22">
        <w:t xml:space="preserve">usually </w:t>
      </w:r>
      <w:r>
        <w:t>allow</w:t>
      </w:r>
      <w:r w:rsidR="00CC4E22">
        <w:t>s</w:t>
      </w:r>
      <w:r>
        <w:t xml:space="preserve"> for </w:t>
      </w:r>
      <w:r w:rsidR="00B6430E">
        <w:t>28 days in which to respond to a statement of claim</w:t>
      </w:r>
      <w:r w:rsidR="00D12883">
        <w:t>.</w:t>
      </w:r>
      <w:r w:rsidR="00003BC9">
        <w:rPr>
          <w:rStyle w:val="EndnoteReference"/>
        </w:rPr>
        <w:endnoteReference w:id="8"/>
      </w:r>
      <w:r w:rsidR="007D7E39">
        <w:rPr>
          <w:vertAlign w:val="superscript"/>
        </w:rPr>
        <w:t xml:space="preserve"> </w:t>
      </w:r>
      <w:r w:rsidR="0036167C">
        <w:t xml:space="preserve">The </w:t>
      </w:r>
      <w:r w:rsidR="00190659">
        <w:t>department</w:t>
      </w:r>
      <w:r w:rsidR="007D7E39">
        <w:t xml:space="preserve"> note</w:t>
      </w:r>
      <w:r w:rsidR="00F42B66">
        <w:t>s</w:t>
      </w:r>
      <w:r w:rsidR="007D7E39">
        <w:t xml:space="preserve"> that some jurisdictions</w:t>
      </w:r>
      <w:r w:rsidR="009B35B5">
        <w:t>,</w:t>
      </w:r>
      <w:r w:rsidR="007D7E39">
        <w:t xml:space="preserve"> namely Victoria</w:t>
      </w:r>
      <w:r w:rsidR="009B35B5">
        <w:t>,</w:t>
      </w:r>
      <w:r w:rsidR="007D7E39">
        <w:t xml:space="preserve"> allow</w:t>
      </w:r>
      <w:r w:rsidR="00D326E7">
        <w:t xml:space="preserve"> for</w:t>
      </w:r>
      <w:r w:rsidR="007D7E39">
        <w:t xml:space="preserve"> 30 days.</w:t>
      </w:r>
      <w:r w:rsidR="00003BC9">
        <w:rPr>
          <w:rStyle w:val="EndnoteReference"/>
        </w:rPr>
        <w:endnoteReference w:id="9"/>
      </w:r>
      <w:r w:rsidR="00FB1D03">
        <w:rPr>
          <w:vertAlign w:val="superscript"/>
        </w:rPr>
        <w:t xml:space="preserve"> </w:t>
      </w:r>
    </w:p>
    <w:p w14:paraId="64D8C4DF" w14:textId="45D4126C" w:rsidR="00C44198" w:rsidRDefault="00C44198" w:rsidP="00A84A52">
      <w:r>
        <w:br w:type="page"/>
      </w:r>
    </w:p>
    <w:p w14:paraId="660C5DA2" w14:textId="5CF06164" w:rsidR="00D93838" w:rsidRDefault="00D93838" w:rsidP="00D93838">
      <w:pPr>
        <w:pStyle w:val="Heading1"/>
        <w:jc w:val="left"/>
      </w:pPr>
      <w:r>
        <w:lastRenderedPageBreak/>
        <w:t xml:space="preserve">Reducing the </w:t>
      </w:r>
      <w:r w:rsidR="003C4BEA">
        <w:t>permanent</w:t>
      </w:r>
      <w:r w:rsidR="00B14F7C">
        <w:t xml:space="preserve"> </w:t>
      </w:r>
      <w:r>
        <w:t>record on the National Personal Insolvency Index to seven years</w:t>
      </w:r>
    </w:p>
    <w:p w14:paraId="037102B8" w14:textId="77777777" w:rsidR="00D93838" w:rsidRPr="00157544" w:rsidRDefault="00D93838" w:rsidP="00D93838">
      <w:pPr>
        <w:pStyle w:val="Heading2"/>
      </w:pPr>
      <w:r>
        <w:t>Discussion questions</w:t>
      </w:r>
    </w:p>
    <w:p w14:paraId="218211C8" w14:textId="63711794" w:rsidR="00D93838" w:rsidRPr="00157544" w:rsidRDefault="00D93838" w:rsidP="00D93838">
      <w:pPr>
        <w:pStyle w:val="ListParagraph"/>
        <w:numPr>
          <w:ilvl w:val="0"/>
          <w:numId w:val="24"/>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b/>
          <w:lang w:eastAsia="en-AU"/>
        </w:rPr>
      </w:pPr>
      <w:r w:rsidRPr="001B11C5">
        <w:rPr>
          <w:rFonts w:eastAsia="Times New Roman" w:cs="Arial"/>
          <w:b/>
          <w:lang w:eastAsia="en-AU"/>
        </w:rPr>
        <w:t xml:space="preserve">Question </w:t>
      </w:r>
      <w:r w:rsidR="006965F1">
        <w:rPr>
          <w:rFonts w:eastAsia="Times New Roman" w:cs="Arial"/>
          <w:b/>
          <w:lang w:eastAsia="en-AU"/>
        </w:rPr>
        <w:t>7</w:t>
      </w:r>
      <w:r w:rsidRPr="001B11C5">
        <w:rPr>
          <w:rFonts w:eastAsia="Times New Roman" w:cs="Arial"/>
          <w:b/>
          <w:lang w:eastAsia="en-AU"/>
        </w:rPr>
        <w:t>:</w:t>
      </w:r>
      <w:r w:rsidRPr="00822F9C">
        <w:rPr>
          <w:rFonts w:eastAsia="Times New Roman" w:cs="Arial"/>
          <w:lang w:eastAsia="en-AU"/>
        </w:rPr>
        <w:t xml:space="preserve"> </w:t>
      </w:r>
      <w:r w:rsidR="00345E79" w:rsidRPr="00822F9C">
        <w:rPr>
          <w:rFonts w:eastAsia="Times New Roman" w:cs="Arial"/>
          <w:lang w:eastAsia="en-AU"/>
        </w:rPr>
        <w:t xml:space="preserve">Do you believe that any of the current economic circumstances have the capacity </w:t>
      </w:r>
      <w:r w:rsidR="00345E79">
        <w:rPr>
          <w:rFonts w:eastAsia="Times New Roman" w:cs="Arial"/>
          <w:lang w:eastAsia="en-AU"/>
        </w:rPr>
        <w:t xml:space="preserve">to inform </w:t>
      </w:r>
      <w:r w:rsidRPr="001B11C5">
        <w:rPr>
          <w:rFonts w:eastAsia="Times New Roman" w:cs="Arial"/>
          <w:lang w:eastAsia="en-AU"/>
        </w:rPr>
        <w:t xml:space="preserve">the policy setting for a </w:t>
      </w:r>
      <w:r w:rsidR="008F065C">
        <w:rPr>
          <w:rFonts w:eastAsia="Times New Roman" w:cs="Arial"/>
          <w:lang w:eastAsia="en-AU"/>
        </w:rPr>
        <w:t xml:space="preserve">reduced </w:t>
      </w:r>
      <w:r>
        <w:rPr>
          <w:rFonts w:eastAsia="Times New Roman" w:cs="Arial"/>
          <w:lang w:eastAsia="en-AU"/>
        </w:rPr>
        <w:t xml:space="preserve">record </w:t>
      </w:r>
      <w:r w:rsidRPr="001B11C5">
        <w:rPr>
          <w:rFonts w:eastAsia="Times New Roman" w:cs="Arial"/>
          <w:lang w:eastAsia="en-AU"/>
        </w:rPr>
        <w:t>period</w:t>
      </w:r>
      <w:r>
        <w:rPr>
          <w:rFonts w:eastAsia="Times New Roman" w:cs="Arial"/>
          <w:lang w:eastAsia="en-AU"/>
        </w:rPr>
        <w:t xml:space="preserve"> of seven years on the NPII</w:t>
      </w:r>
      <w:r w:rsidR="00DB70DD">
        <w:rPr>
          <w:rFonts w:eastAsia="Times New Roman" w:cs="Arial"/>
          <w:lang w:eastAsia="en-AU"/>
        </w:rPr>
        <w:t xml:space="preserve"> for bankruptcies</w:t>
      </w:r>
      <w:r w:rsidRPr="001B11C5">
        <w:rPr>
          <w:rFonts w:eastAsia="Times New Roman" w:cs="Arial"/>
          <w:lang w:eastAsia="en-AU"/>
        </w:rPr>
        <w:t>?</w:t>
      </w:r>
      <w:r w:rsidR="00345E79">
        <w:rPr>
          <w:rFonts w:eastAsia="Times New Roman" w:cs="Arial"/>
          <w:lang w:eastAsia="en-AU"/>
        </w:rPr>
        <w:t xml:space="preserve"> </w:t>
      </w:r>
      <w:r w:rsidR="00345E79" w:rsidRPr="00345E79">
        <w:rPr>
          <w:rFonts w:eastAsia="Times New Roman" w:cs="Arial"/>
          <w:lang w:eastAsia="en-AU"/>
        </w:rPr>
        <w:t>Please expand on your response.</w:t>
      </w:r>
    </w:p>
    <w:p w14:paraId="15F0DD55" w14:textId="66AA6F16" w:rsidR="00D93838" w:rsidRPr="00A72861" w:rsidRDefault="00D93838" w:rsidP="00D93838">
      <w:pPr>
        <w:pStyle w:val="ListParagraph"/>
        <w:numPr>
          <w:ilvl w:val="0"/>
          <w:numId w:val="24"/>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b/>
          <w:lang w:eastAsia="en-AU"/>
        </w:rPr>
      </w:pPr>
      <w:r w:rsidRPr="001B11C5">
        <w:rPr>
          <w:rFonts w:eastAsia="Times New Roman" w:cs="Arial"/>
          <w:b/>
          <w:bCs/>
          <w:iCs/>
          <w:lang w:eastAsia="en-AU"/>
        </w:rPr>
        <w:t xml:space="preserve">Question </w:t>
      </w:r>
      <w:r w:rsidR="006965F1">
        <w:rPr>
          <w:rFonts w:eastAsia="Times New Roman" w:cs="Arial"/>
          <w:b/>
          <w:bCs/>
          <w:iCs/>
          <w:lang w:eastAsia="en-AU"/>
        </w:rPr>
        <w:t>8</w:t>
      </w:r>
      <w:r w:rsidRPr="001B11C5">
        <w:rPr>
          <w:rFonts w:eastAsia="Times New Roman" w:cs="Arial"/>
          <w:b/>
          <w:bCs/>
          <w:iCs/>
          <w:lang w:eastAsia="en-AU"/>
        </w:rPr>
        <w:t>:</w:t>
      </w:r>
      <w:r w:rsidRPr="001B11C5">
        <w:rPr>
          <w:rFonts w:eastAsia="Times New Roman" w:cs="Arial"/>
          <w:bCs/>
          <w:iCs/>
          <w:lang w:eastAsia="en-AU"/>
        </w:rPr>
        <w:t xml:space="preserve"> </w:t>
      </w:r>
      <w:r w:rsidR="00345E79">
        <w:rPr>
          <w:rFonts w:eastAsia="Times New Roman" w:cs="Arial"/>
          <w:bCs/>
          <w:iCs/>
          <w:lang w:eastAsia="en-AU"/>
        </w:rPr>
        <w:t xml:space="preserve">Would </w:t>
      </w:r>
      <w:r>
        <w:rPr>
          <w:rFonts w:eastAsia="Times New Roman" w:cs="Arial"/>
          <w:bCs/>
          <w:iCs/>
          <w:lang w:eastAsia="en-AU"/>
        </w:rPr>
        <w:t>a reduced record period of seven years on the NPII</w:t>
      </w:r>
      <w:r w:rsidR="00DB70DD">
        <w:rPr>
          <w:rFonts w:eastAsia="Times New Roman" w:cs="Arial"/>
          <w:bCs/>
          <w:iCs/>
          <w:lang w:eastAsia="en-AU"/>
        </w:rPr>
        <w:t xml:space="preserve"> for bankruptcies benefit debtors</w:t>
      </w:r>
      <w:r w:rsidRPr="001B11C5">
        <w:rPr>
          <w:rFonts w:eastAsia="Times New Roman" w:cs="Arial"/>
          <w:bCs/>
          <w:iCs/>
          <w:lang w:eastAsia="en-AU"/>
        </w:rPr>
        <w:t>?</w:t>
      </w:r>
      <w:r w:rsidR="00345E79">
        <w:rPr>
          <w:rFonts w:eastAsia="Times New Roman" w:cs="Arial"/>
          <w:bCs/>
          <w:iCs/>
          <w:lang w:eastAsia="en-AU"/>
        </w:rPr>
        <w:t xml:space="preserve"> Please expand on your response. </w:t>
      </w:r>
    </w:p>
    <w:p w14:paraId="5467B7C8" w14:textId="61003EDD" w:rsidR="00D93838" w:rsidRPr="00A72861" w:rsidRDefault="00D93838" w:rsidP="00D93838">
      <w:pPr>
        <w:pStyle w:val="ListParagraph"/>
        <w:numPr>
          <w:ilvl w:val="0"/>
          <w:numId w:val="24"/>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bCs/>
          <w:iCs/>
          <w:lang w:eastAsia="en-AU"/>
        </w:rPr>
        <w:t xml:space="preserve">Question </w:t>
      </w:r>
      <w:r w:rsidR="006965F1">
        <w:rPr>
          <w:rFonts w:eastAsia="Times New Roman" w:cs="Arial"/>
          <w:b/>
          <w:bCs/>
          <w:iCs/>
          <w:lang w:eastAsia="en-AU"/>
        </w:rPr>
        <w:t>9</w:t>
      </w:r>
      <w:r>
        <w:rPr>
          <w:rFonts w:eastAsia="Times New Roman" w:cs="Arial"/>
          <w:b/>
          <w:bCs/>
          <w:iCs/>
          <w:lang w:eastAsia="en-AU"/>
        </w:rPr>
        <w:t xml:space="preserve">: </w:t>
      </w:r>
      <w:r w:rsidR="00345E79">
        <w:rPr>
          <w:rFonts w:eastAsia="Times New Roman" w:cs="Arial"/>
          <w:bCs/>
          <w:iCs/>
          <w:lang w:eastAsia="en-AU"/>
        </w:rPr>
        <w:t xml:space="preserve">Do you believe that there may be any adverse impacts from </w:t>
      </w:r>
      <w:r w:rsidRPr="00A72861">
        <w:rPr>
          <w:rFonts w:eastAsia="Times New Roman" w:cs="Arial"/>
          <w:bCs/>
          <w:iCs/>
          <w:lang w:eastAsia="en-AU"/>
        </w:rPr>
        <w:t xml:space="preserve">reducing the </w:t>
      </w:r>
      <w:r w:rsidR="003C4BEA">
        <w:rPr>
          <w:rFonts w:eastAsia="Times New Roman" w:cs="Arial"/>
          <w:bCs/>
          <w:iCs/>
          <w:lang w:eastAsia="en-AU"/>
        </w:rPr>
        <w:t>permanent</w:t>
      </w:r>
      <w:r w:rsidR="000D3759">
        <w:rPr>
          <w:rFonts w:eastAsia="Times New Roman" w:cs="Arial"/>
          <w:bCs/>
          <w:iCs/>
          <w:lang w:eastAsia="en-AU"/>
        </w:rPr>
        <w:t xml:space="preserve"> </w:t>
      </w:r>
      <w:r w:rsidRPr="00A72861">
        <w:rPr>
          <w:rFonts w:eastAsia="Times New Roman" w:cs="Arial"/>
          <w:bCs/>
          <w:iCs/>
          <w:lang w:eastAsia="en-AU"/>
        </w:rPr>
        <w:t>record period on the NPII to seven years</w:t>
      </w:r>
      <w:r w:rsidR="00DB70DD">
        <w:rPr>
          <w:rFonts w:eastAsia="Times New Roman" w:cs="Arial"/>
          <w:bCs/>
          <w:iCs/>
          <w:lang w:eastAsia="en-AU"/>
        </w:rPr>
        <w:t xml:space="preserve"> for bankruptcies</w:t>
      </w:r>
      <w:r w:rsidR="00345E79">
        <w:rPr>
          <w:rFonts w:eastAsia="Times New Roman" w:cs="Arial"/>
          <w:bCs/>
          <w:iCs/>
          <w:lang w:eastAsia="en-AU"/>
        </w:rPr>
        <w:t xml:space="preserve">? Please expand on your response </w:t>
      </w:r>
      <w:r w:rsidRPr="00A72861">
        <w:rPr>
          <w:rFonts w:eastAsia="Times New Roman" w:cs="Arial"/>
          <w:bCs/>
          <w:iCs/>
          <w:lang w:eastAsia="en-AU"/>
        </w:rPr>
        <w:t xml:space="preserve">and </w:t>
      </w:r>
      <w:r w:rsidR="00345E79">
        <w:rPr>
          <w:rFonts w:eastAsia="Times New Roman" w:cs="Arial"/>
          <w:bCs/>
          <w:iCs/>
          <w:lang w:eastAsia="en-AU"/>
        </w:rPr>
        <w:t>consider any mitigating factors</w:t>
      </w:r>
      <w:r w:rsidR="00DB70DD">
        <w:rPr>
          <w:rFonts w:eastAsia="Times New Roman" w:cs="Arial"/>
          <w:bCs/>
          <w:iCs/>
          <w:lang w:eastAsia="en-AU"/>
        </w:rPr>
        <w:t xml:space="preserve">. </w:t>
      </w:r>
    </w:p>
    <w:p w14:paraId="2A024C73" w14:textId="0E96BD95" w:rsidR="00D93838" w:rsidRDefault="00D93838" w:rsidP="00D93838">
      <w:pPr>
        <w:pStyle w:val="ListParagraph"/>
        <w:numPr>
          <w:ilvl w:val="0"/>
          <w:numId w:val="24"/>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sidRPr="001B11C5">
        <w:rPr>
          <w:rFonts w:eastAsia="Times New Roman" w:cs="Arial"/>
          <w:b/>
          <w:lang w:eastAsia="en-AU"/>
        </w:rPr>
        <w:t xml:space="preserve">Question </w:t>
      </w:r>
      <w:r w:rsidR="006965F1">
        <w:rPr>
          <w:rFonts w:eastAsia="Times New Roman" w:cs="Arial"/>
          <w:b/>
          <w:lang w:eastAsia="en-AU"/>
        </w:rPr>
        <w:t>10</w:t>
      </w:r>
      <w:r w:rsidRPr="001B11C5">
        <w:rPr>
          <w:rFonts w:eastAsia="Times New Roman" w:cs="Arial"/>
          <w:b/>
          <w:lang w:eastAsia="en-AU"/>
        </w:rPr>
        <w:t>:</w:t>
      </w:r>
      <w:r>
        <w:rPr>
          <w:rFonts w:eastAsia="Times New Roman" w:cs="Arial"/>
          <w:lang w:eastAsia="en-AU"/>
        </w:rPr>
        <w:t xml:space="preserve"> </w:t>
      </w:r>
      <w:r w:rsidR="00345E79">
        <w:rPr>
          <w:rFonts w:eastAsia="Times New Roman" w:cs="Arial"/>
          <w:lang w:eastAsia="en-AU"/>
        </w:rPr>
        <w:t xml:space="preserve">Do you believe that </w:t>
      </w:r>
      <w:r>
        <w:rPr>
          <w:rFonts w:eastAsia="Times New Roman" w:cs="Arial"/>
          <w:lang w:eastAsia="en-AU"/>
        </w:rPr>
        <w:t xml:space="preserve">any </w:t>
      </w:r>
      <w:r w:rsidR="00BD2CCE">
        <w:rPr>
          <w:rFonts w:eastAsia="Times New Roman" w:cs="Arial"/>
          <w:lang w:eastAsia="en-AU"/>
        </w:rPr>
        <w:t xml:space="preserve">circumstances </w:t>
      </w:r>
      <w:r w:rsidR="00345E79">
        <w:rPr>
          <w:rFonts w:eastAsia="Times New Roman" w:cs="Arial"/>
          <w:lang w:eastAsia="en-AU"/>
        </w:rPr>
        <w:t xml:space="preserve">should </w:t>
      </w:r>
      <w:r>
        <w:rPr>
          <w:rFonts w:eastAsia="Times New Roman" w:cs="Arial"/>
          <w:lang w:eastAsia="en-AU"/>
        </w:rPr>
        <w:t xml:space="preserve">be exempt from </w:t>
      </w:r>
      <w:r w:rsidR="00DB70DD">
        <w:rPr>
          <w:rFonts w:eastAsia="Times New Roman" w:cs="Arial"/>
          <w:lang w:eastAsia="en-AU"/>
        </w:rPr>
        <w:t xml:space="preserve">a </w:t>
      </w:r>
      <w:r>
        <w:rPr>
          <w:rFonts w:eastAsia="Times New Roman" w:cs="Arial"/>
          <w:lang w:eastAsia="en-AU"/>
        </w:rPr>
        <w:t>reduced record period on the NPII</w:t>
      </w:r>
      <w:r w:rsidR="00DB70DD">
        <w:rPr>
          <w:rFonts w:eastAsia="Times New Roman" w:cs="Arial"/>
          <w:lang w:eastAsia="en-AU"/>
        </w:rPr>
        <w:t xml:space="preserve"> for bankruptcies</w:t>
      </w:r>
      <w:r w:rsidRPr="001B11C5">
        <w:rPr>
          <w:rFonts w:eastAsia="Times New Roman" w:cs="Arial"/>
          <w:lang w:eastAsia="en-AU"/>
        </w:rPr>
        <w:t>?</w:t>
      </w:r>
      <w:r w:rsidR="00FE6DEE" w:rsidRPr="00FE6DEE">
        <w:rPr>
          <w:rFonts w:eastAsia="Times New Roman" w:cs="Arial"/>
          <w:lang w:eastAsia="en-AU"/>
        </w:rPr>
        <w:t xml:space="preserve"> Please expand on your response</w:t>
      </w:r>
      <w:r w:rsidR="00826BF3">
        <w:rPr>
          <w:rFonts w:eastAsia="Times New Roman" w:cs="Arial"/>
          <w:lang w:eastAsia="en-AU"/>
        </w:rPr>
        <w:t>.</w:t>
      </w:r>
    </w:p>
    <w:p w14:paraId="353B949F" w14:textId="7C6A355E" w:rsidR="00D93838" w:rsidRDefault="00D93838" w:rsidP="00D93838">
      <w:pPr>
        <w:pStyle w:val="ListParagraph"/>
        <w:numPr>
          <w:ilvl w:val="0"/>
          <w:numId w:val="24"/>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lang w:eastAsia="en-AU"/>
        </w:rPr>
        <w:t>Question</w:t>
      </w:r>
      <w:r w:rsidR="006965F1">
        <w:rPr>
          <w:rFonts w:eastAsia="Times New Roman" w:cs="Arial"/>
          <w:b/>
          <w:lang w:eastAsia="en-AU"/>
        </w:rPr>
        <w:t xml:space="preserve"> 11</w:t>
      </w:r>
      <w:r>
        <w:rPr>
          <w:rFonts w:eastAsia="Times New Roman" w:cs="Arial"/>
          <w:b/>
          <w:lang w:eastAsia="en-AU"/>
        </w:rPr>
        <w:t>:</w:t>
      </w:r>
      <w:r w:rsidR="00DC0292">
        <w:rPr>
          <w:rFonts w:eastAsia="Times New Roman" w:cs="Arial"/>
          <w:lang w:eastAsia="en-AU"/>
        </w:rPr>
        <w:t xml:space="preserve"> </w:t>
      </w:r>
      <w:r>
        <w:rPr>
          <w:rFonts w:eastAsia="Times New Roman" w:cs="Arial"/>
          <w:lang w:eastAsia="en-AU"/>
        </w:rPr>
        <w:t xml:space="preserve">If you support </w:t>
      </w:r>
      <w:r w:rsidR="00DC0292">
        <w:rPr>
          <w:rFonts w:eastAsia="Times New Roman" w:cs="Arial"/>
          <w:lang w:eastAsia="en-AU"/>
        </w:rPr>
        <w:t xml:space="preserve">the proposed </w:t>
      </w:r>
      <w:r>
        <w:rPr>
          <w:rFonts w:eastAsia="Times New Roman" w:cs="Arial"/>
          <w:lang w:eastAsia="en-AU"/>
        </w:rPr>
        <w:t xml:space="preserve">reform to reduce the NPII </w:t>
      </w:r>
      <w:r w:rsidR="003C4BEA">
        <w:rPr>
          <w:rFonts w:eastAsia="Times New Roman" w:cs="Arial"/>
          <w:lang w:eastAsia="en-AU"/>
        </w:rPr>
        <w:t xml:space="preserve">permanent </w:t>
      </w:r>
      <w:r>
        <w:rPr>
          <w:rFonts w:eastAsia="Times New Roman" w:cs="Arial"/>
          <w:lang w:eastAsia="en-AU"/>
        </w:rPr>
        <w:t>record to seven years</w:t>
      </w:r>
      <w:r w:rsidR="00DB70DD">
        <w:rPr>
          <w:rFonts w:eastAsia="Times New Roman" w:cs="Arial"/>
          <w:lang w:eastAsia="en-AU"/>
        </w:rPr>
        <w:t xml:space="preserve"> for bankruptcies</w:t>
      </w:r>
      <w:r w:rsidR="00DC0292">
        <w:rPr>
          <w:rFonts w:eastAsia="Times New Roman" w:cs="Arial"/>
          <w:lang w:eastAsia="en-AU"/>
        </w:rPr>
        <w:t xml:space="preserve">, </w:t>
      </w:r>
      <w:r>
        <w:rPr>
          <w:rFonts w:eastAsia="Times New Roman" w:cs="Arial"/>
          <w:lang w:eastAsia="en-AU"/>
        </w:rPr>
        <w:t>should there be a transition period before any reforms take effect?</w:t>
      </w:r>
    </w:p>
    <w:p w14:paraId="73BEC2EF" w14:textId="307BDC80" w:rsidR="000925C6" w:rsidRPr="001B11C5" w:rsidRDefault="004F299E" w:rsidP="00D93838">
      <w:pPr>
        <w:pStyle w:val="ListParagraph"/>
        <w:numPr>
          <w:ilvl w:val="0"/>
          <w:numId w:val="24"/>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sidRPr="004F299E">
        <w:rPr>
          <w:rFonts w:eastAsia="Times New Roman" w:cs="Arial"/>
          <w:b/>
          <w:lang w:eastAsia="en-AU"/>
        </w:rPr>
        <w:t>Question 12:</w:t>
      </w:r>
      <w:r w:rsidR="00345E79">
        <w:rPr>
          <w:rFonts w:eastAsia="Times New Roman" w:cs="Arial"/>
          <w:lang w:eastAsia="en-AU"/>
        </w:rPr>
        <w:t xml:space="preserve"> </w:t>
      </w:r>
      <w:r w:rsidR="000925C6" w:rsidRPr="0074707D">
        <w:rPr>
          <w:rFonts w:eastAsia="Times New Roman" w:cs="Arial"/>
          <w:lang w:eastAsia="en-AU"/>
        </w:rPr>
        <w:t>If you do</w:t>
      </w:r>
      <w:r w:rsidR="002A5C65">
        <w:rPr>
          <w:rFonts w:eastAsia="Times New Roman" w:cs="Arial"/>
          <w:lang w:eastAsia="en-AU"/>
        </w:rPr>
        <w:t xml:space="preserve"> not </w:t>
      </w:r>
      <w:r w:rsidR="000925C6">
        <w:rPr>
          <w:rFonts w:eastAsia="Times New Roman" w:cs="Arial"/>
          <w:lang w:eastAsia="en-AU"/>
        </w:rPr>
        <w:t>support</w:t>
      </w:r>
      <w:r>
        <w:rPr>
          <w:rFonts w:eastAsia="Times New Roman" w:cs="Arial"/>
          <w:lang w:eastAsia="en-AU"/>
        </w:rPr>
        <w:t xml:space="preserve"> reducing the permanent record on the NPII to seven years</w:t>
      </w:r>
      <w:r w:rsidR="00DB70DD">
        <w:rPr>
          <w:rFonts w:eastAsia="Times New Roman" w:cs="Arial"/>
          <w:lang w:eastAsia="en-AU"/>
        </w:rPr>
        <w:t xml:space="preserve"> for bankruptcies</w:t>
      </w:r>
      <w:r w:rsidR="000925C6" w:rsidRPr="0074707D">
        <w:rPr>
          <w:rFonts w:eastAsia="Times New Roman" w:cs="Arial"/>
          <w:lang w:eastAsia="en-AU"/>
        </w:rPr>
        <w:t>, please explain wh</w:t>
      </w:r>
      <w:r w:rsidR="00345E79">
        <w:rPr>
          <w:rFonts w:eastAsia="Times New Roman" w:cs="Arial"/>
          <w:lang w:eastAsia="en-AU"/>
        </w:rPr>
        <w:t>y.</w:t>
      </w:r>
    </w:p>
    <w:p w14:paraId="49C15E1E" w14:textId="77777777" w:rsidR="00D93838" w:rsidRPr="00110363" w:rsidRDefault="00D93838" w:rsidP="00D93838">
      <w:pPr>
        <w:rPr>
          <w:b/>
          <w:sz w:val="32"/>
        </w:rPr>
      </w:pPr>
      <w:r w:rsidRPr="00110363">
        <w:rPr>
          <w:b/>
          <w:i/>
          <w:sz w:val="32"/>
        </w:rPr>
        <w:t>Overview</w:t>
      </w:r>
    </w:p>
    <w:p w14:paraId="1A44943F" w14:textId="6306C94A" w:rsidR="00D93838" w:rsidRDefault="00D93838" w:rsidP="00D93838">
      <w:r>
        <w:t xml:space="preserve">The NPII is a publicly available electronic record of </w:t>
      </w:r>
      <w:r w:rsidR="00762105">
        <w:t>most</w:t>
      </w:r>
      <w:r w:rsidR="002338FC">
        <w:t xml:space="preserve"> </w:t>
      </w:r>
      <w:r>
        <w:t>personal insolvency proceedings in Australia. Its creation and maintenance are provided for in Part XIII of the</w:t>
      </w:r>
      <w:r w:rsidR="00480913">
        <w:rPr>
          <w:i/>
        </w:rPr>
        <w:t xml:space="preserve"> </w:t>
      </w:r>
      <w:r w:rsidR="00D245D7" w:rsidRPr="00D245D7">
        <w:t xml:space="preserve">Bankruptcy </w:t>
      </w:r>
      <w:r w:rsidR="00480913">
        <w:t>Regulations</w:t>
      </w:r>
      <w:r>
        <w:t>.</w:t>
      </w:r>
    </w:p>
    <w:p w14:paraId="53F7E537" w14:textId="77777777" w:rsidR="00D93838" w:rsidRDefault="00D93838" w:rsidP="00D93838">
      <w:r>
        <w:t xml:space="preserve">The NPII provides the following information about individuals who have been subject to proceedings under the </w:t>
      </w:r>
      <w:r w:rsidRPr="004854F0">
        <w:t>Bankruptcy Act</w:t>
      </w:r>
      <w:r>
        <w:t xml:space="preserve"> from August 1928: </w:t>
      </w:r>
    </w:p>
    <w:p w14:paraId="68214EE3" w14:textId="77777777" w:rsidR="00D93838" w:rsidRDefault="00D93838" w:rsidP="00D93838">
      <w:pPr>
        <w:pStyle w:val="ListParagraph"/>
        <w:numPr>
          <w:ilvl w:val="0"/>
          <w:numId w:val="7"/>
        </w:numPr>
        <w:spacing w:line="276" w:lineRule="auto"/>
      </w:pPr>
      <w:r>
        <w:t xml:space="preserve">personal information including a person’s:  </w:t>
      </w:r>
    </w:p>
    <w:p w14:paraId="60DC477C" w14:textId="77777777" w:rsidR="00D93838" w:rsidRDefault="00D93838" w:rsidP="00D93838">
      <w:pPr>
        <w:pStyle w:val="ListParagraph"/>
        <w:numPr>
          <w:ilvl w:val="1"/>
          <w:numId w:val="7"/>
        </w:numPr>
        <w:spacing w:line="276" w:lineRule="auto"/>
        <w:ind w:left="993" w:hanging="284"/>
      </w:pPr>
      <w:r>
        <w:t>name (family and given names);</w:t>
      </w:r>
    </w:p>
    <w:p w14:paraId="7DAF44E6" w14:textId="77777777" w:rsidR="00D93838" w:rsidRDefault="00D93838" w:rsidP="00D93838">
      <w:pPr>
        <w:pStyle w:val="ListParagraph"/>
        <w:numPr>
          <w:ilvl w:val="1"/>
          <w:numId w:val="7"/>
        </w:numPr>
        <w:spacing w:line="276" w:lineRule="auto"/>
        <w:ind w:left="993" w:hanging="284"/>
      </w:pPr>
      <w:r>
        <w:t>date of birth (if known);</w:t>
      </w:r>
    </w:p>
    <w:p w14:paraId="47F31820" w14:textId="77777777" w:rsidR="00D93838" w:rsidRDefault="00D93838" w:rsidP="00D93838">
      <w:pPr>
        <w:pStyle w:val="ListParagraph"/>
        <w:numPr>
          <w:ilvl w:val="1"/>
          <w:numId w:val="7"/>
        </w:numPr>
        <w:spacing w:line="276" w:lineRule="auto"/>
        <w:ind w:left="993" w:hanging="284"/>
      </w:pPr>
      <w:r>
        <w:t>aliases (if known);</w:t>
      </w:r>
    </w:p>
    <w:p w14:paraId="53F1651B" w14:textId="77777777" w:rsidR="00D93838" w:rsidRDefault="00D93838" w:rsidP="00D93838">
      <w:pPr>
        <w:pStyle w:val="ListParagraph"/>
        <w:numPr>
          <w:ilvl w:val="1"/>
          <w:numId w:val="7"/>
        </w:numPr>
        <w:spacing w:line="276" w:lineRule="auto"/>
        <w:ind w:left="993" w:hanging="284"/>
      </w:pPr>
      <w:r>
        <w:t>residential address at the date of lodgement (if known); and/or</w:t>
      </w:r>
    </w:p>
    <w:p w14:paraId="6EC0A2B5" w14:textId="77777777" w:rsidR="00D93838" w:rsidRDefault="00D93838" w:rsidP="00D93838">
      <w:pPr>
        <w:pStyle w:val="ListParagraph"/>
        <w:numPr>
          <w:ilvl w:val="1"/>
          <w:numId w:val="7"/>
        </w:numPr>
        <w:spacing w:line="276" w:lineRule="auto"/>
        <w:ind w:left="993" w:hanging="284"/>
      </w:pPr>
      <w:r>
        <w:t>occupation (if known);</w:t>
      </w:r>
    </w:p>
    <w:p w14:paraId="6F2EFB27" w14:textId="77777777" w:rsidR="00D93838" w:rsidRDefault="00D93838" w:rsidP="00D93838">
      <w:pPr>
        <w:pStyle w:val="ListParagraph"/>
        <w:numPr>
          <w:ilvl w:val="0"/>
          <w:numId w:val="7"/>
        </w:numPr>
        <w:spacing w:line="276" w:lineRule="auto"/>
      </w:pPr>
      <w:r>
        <w:t>the type of administration or proceeding;</w:t>
      </w:r>
    </w:p>
    <w:p w14:paraId="7865FBAE" w14:textId="77777777" w:rsidR="00D93838" w:rsidRDefault="00D93838" w:rsidP="00D93838">
      <w:pPr>
        <w:pStyle w:val="ListParagraph"/>
        <w:numPr>
          <w:ilvl w:val="0"/>
          <w:numId w:val="7"/>
        </w:numPr>
        <w:spacing w:line="276" w:lineRule="auto"/>
      </w:pPr>
      <w:r>
        <w:t>the trustee, administrator or controlling trustee of the administration or proceeding;</w:t>
      </w:r>
    </w:p>
    <w:p w14:paraId="7B752D6E" w14:textId="77777777" w:rsidR="00D93838" w:rsidRDefault="00D93838" w:rsidP="00D93838">
      <w:pPr>
        <w:pStyle w:val="ListParagraph"/>
        <w:numPr>
          <w:ilvl w:val="0"/>
          <w:numId w:val="7"/>
        </w:numPr>
        <w:spacing w:line="276" w:lineRule="auto"/>
      </w:pPr>
      <w:r>
        <w:t>the petitioning creditor and/or petitioning creditor’s solicitor (where a creditor’s petition is registered);</w:t>
      </w:r>
    </w:p>
    <w:p w14:paraId="595CD277" w14:textId="77777777" w:rsidR="00D93838" w:rsidRDefault="00D93838" w:rsidP="00D93838">
      <w:pPr>
        <w:pStyle w:val="ListParagraph"/>
        <w:numPr>
          <w:ilvl w:val="0"/>
          <w:numId w:val="7"/>
        </w:numPr>
        <w:spacing w:line="276" w:lineRule="auto"/>
      </w:pPr>
      <w:r>
        <w:t xml:space="preserve">the date an administration or proceeding started; and </w:t>
      </w:r>
    </w:p>
    <w:p w14:paraId="590302A9" w14:textId="77777777" w:rsidR="00D93838" w:rsidRDefault="00D93838" w:rsidP="00D93838">
      <w:pPr>
        <w:pStyle w:val="ListParagraph"/>
        <w:numPr>
          <w:ilvl w:val="0"/>
          <w:numId w:val="7"/>
        </w:numPr>
        <w:spacing w:line="276" w:lineRule="auto"/>
      </w:pPr>
      <w:r>
        <w:t>the current status of the administration or proceeding, for example whether a person has been discharged from a bankruptcy.</w:t>
      </w:r>
    </w:p>
    <w:p w14:paraId="6389E8A8" w14:textId="6ECA820A" w:rsidR="00D93838" w:rsidRDefault="00D93838" w:rsidP="00D93838">
      <w:r w:rsidRPr="00C11B32">
        <w:t xml:space="preserve">The </w:t>
      </w:r>
      <w:r w:rsidR="00D245D7">
        <w:t xml:space="preserve">Bankruptcy </w:t>
      </w:r>
      <w:r w:rsidR="00FB7658">
        <w:t>Regulations currently</w:t>
      </w:r>
      <w:r w:rsidRPr="00C11B32">
        <w:t xml:space="preserve"> provide that a person’s name will be listed permanently on the </w:t>
      </w:r>
      <w:r w:rsidR="00762105">
        <w:t>NPII</w:t>
      </w:r>
      <w:r>
        <w:t xml:space="preserve"> and can only be removed in the following circumstances: </w:t>
      </w:r>
    </w:p>
    <w:p w14:paraId="3CAF5803" w14:textId="77777777" w:rsidR="00D93838" w:rsidRDefault="00D93838" w:rsidP="00D93838">
      <w:pPr>
        <w:pStyle w:val="ListParagraph"/>
        <w:numPr>
          <w:ilvl w:val="0"/>
          <w:numId w:val="7"/>
        </w:numPr>
        <w:spacing w:line="276" w:lineRule="auto"/>
      </w:pPr>
      <w:r>
        <w:lastRenderedPageBreak/>
        <w:t>where a bankruptcy is set aside by the Court;</w:t>
      </w:r>
    </w:p>
    <w:p w14:paraId="2DD042E8" w14:textId="3E2F008E" w:rsidR="00D93838" w:rsidRDefault="00D93838" w:rsidP="00D93838">
      <w:pPr>
        <w:pStyle w:val="ListParagraph"/>
        <w:numPr>
          <w:ilvl w:val="0"/>
          <w:numId w:val="7"/>
        </w:numPr>
        <w:spacing w:line="276" w:lineRule="auto"/>
      </w:pPr>
      <w:r>
        <w:t xml:space="preserve">information regarding debt agreements and debt agreement proposals under Part IX of the Bankruptcy Act are removed from the NPII after the prescribed lengths of time, pursuant to sections 82 and 83 of the </w:t>
      </w:r>
      <w:r w:rsidR="00D245D7">
        <w:t xml:space="preserve">Bankruptcy </w:t>
      </w:r>
      <w:r w:rsidRPr="0052160C">
        <w:t>Regulation</w:t>
      </w:r>
      <w:r>
        <w:t>s;</w:t>
      </w:r>
    </w:p>
    <w:p w14:paraId="29A393A0" w14:textId="77777777" w:rsidR="00D93838" w:rsidRDefault="00D93838" w:rsidP="00D93838">
      <w:pPr>
        <w:pStyle w:val="ListParagraph"/>
        <w:numPr>
          <w:ilvl w:val="0"/>
          <w:numId w:val="7"/>
        </w:numPr>
        <w:spacing w:line="276" w:lineRule="auto"/>
      </w:pPr>
      <w:r>
        <w:t>where the Official Receiver is satisfied that the entry resulted from fraudulent conduct, for example where the bankruptcy form was falsely lodged by a person claiming to be the debtor;</w:t>
      </w:r>
    </w:p>
    <w:p w14:paraId="036336B2" w14:textId="77777777" w:rsidR="00D93838" w:rsidRDefault="00D93838" w:rsidP="00D93838">
      <w:pPr>
        <w:pStyle w:val="ListParagraph"/>
        <w:numPr>
          <w:ilvl w:val="0"/>
          <w:numId w:val="7"/>
        </w:numPr>
        <w:spacing w:line="276" w:lineRule="auto"/>
      </w:pPr>
      <w:r>
        <w:t xml:space="preserve">where an administrative oversight has occurred when processing a document (for example, where a duplicate record has been created); and  </w:t>
      </w:r>
    </w:p>
    <w:p w14:paraId="10360EC7" w14:textId="77777777" w:rsidR="00D93838" w:rsidRDefault="00D93838" w:rsidP="00D93838">
      <w:pPr>
        <w:pStyle w:val="ListParagraph"/>
        <w:numPr>
          <w:ilvl w:val="0"/>
          <w:numId w:val="7"/>
        </w:numPr>
        <w:spacing w:line="276" w:lineRule="auto"/>
      </w:pPr>
      <w:r>
        <w:t xml:space="preserve">the Court directs removal of a particular entry from the NPII. </w:t>
      </w:r>
    </w:p>
    <w:p w14:paraId="04E1A00B" w14:textId="152470AC" w:rsidR="00D93838" w:rsidRDefault="00D93838" w:rsidP="00D93838">
      <w:r w:rsidRPr="0044236E">
        <w:t xml:space="preserve">If a debtor or bankrupt believes that publishing their address and/or occupation on the NPII may put their safety at risk, they may apply to have the address and/or occupation suppressed </w:t>
      </w:r>
      <w:r>
        <w:t xml:space="preserve">pursuant to </w:t>
      </w:r>
      <w:r w:rsidRPr="0044236E">
        <w:t xml:space="preserve">section 80 of the </w:t>
      </w:r>
      <w:r w:rsidR="00D245D7">
        <w:t xml:space="preserve">Bankruptcy </w:t>
      </w:r>
      <w:r w:rsidRPr="002B5870">
        <w:t>Regulations</w:t>
      </w:r>
      <w:r w:rsidRPr="0044236E">
        <w:t>. An application to have information suppressed must be made in writing to the Inspector</w:t>
      </w:r>
      <w:r w:rsidR="000C1E9E">
        <w:noBreakHyphen/>
      </w:r>
      <w:r w:rsidRPr="0044236E">
        <w:t>General</w:t>
      </w:r>
      <w:r>
        <w:t xml:space="preserve"> in Bankruptcy</w:t>
      </w:r>
      <w:r w:rsidRPr="0044236E">
        <w:t>.</w:t>
      </w:r>
    </w:p>
    <w:p w14:paraId="5EC57EDD" w14:textId="77777777" w:rsidR="00D93838" w:rsidRPr="002319AD" w:rsidRDefault="00D93838" w:rsidP="00D93838">
      <w:pPr>
        <w:rPr>
          <w:b/>
          <w:i/>
          <w:sz w:val="44"/>
        </w:rPr>
      </w:pPr>
      <w:r w:rsidRPr="002319AD">
        <w:rPr>
          <w:b/>
          <w:i/>
          <w:sz w:val="32"/>
        </w:rPr>
        <w:t>Stakeholder consultation</w:t>
      </w:r>
    </w:p>
    <w:p w14:paraId="59A0DF51" w14:textId="2D29A906" w:rsidR="00D93838" w:rsidRDefault="00CA185C" w:rsidP="00D93838">
      <w:r>
        <w:t>Some stakeholders</w:t>
      </w:r>
      <w:r w:rsidR="00D93838">
        <w:t xml:space="preserve"> consider that a </w:t>
      </w:r>
      <w:r w:rsidR="003C4BEA">
        <w:t>permanent</w:t>
      </w:r>
      <w:r w:rsidR="00B14F7C">
        <w:t xml:space="preserve"> </w:t>
      </w:r>
      <w:r w:rsidR="00D93838">
        <w:t xml:space="preserve">record on the NPII </w:t>
      </w:r>
      <w:r w:rsidR="00D93838" w:rsidRPr="00C11B32">
        <w:t xml:space="preserve">stigmatises a bankrupt </w:t>
      </w:r>
      <w:r>
        <w:t xml:space="preserve">person </w:t>
      </w:r>
      <w:r w:rsidR="00D93838" w:rsidRPr="00C11B32">
        <w:t>even after they have been discharged from the bankruptcy</w:t>
      </w:r>
      <w:r w:rsidR="000C1E9E">
        <w:t>,</w:t>
      </w:r>
      <w:r w:rsidR="00D93838">
        <w:t xml:space="preserve"> with many stakeholders viewing a </w:t>
      </w:r>
      <w:r w:rsidR="00B14F7C">
        <w:t>permanent</w:t>
      </w:r>
      <w:r w:rsidR="00D93838">
        <w:t xml:space="preserve"> record as punitive and raising privacy concerns with specific reference to issues of safety. Having considered </w:t>
      </w:r>
      <w:r>
        <w:t>these</w:t>
      </w:r>
      <w:r w:rsidR="00D93838">
        <w:t xml:space="preserve"> </w:t>
      </w:r>
      <w:r w:rsidR="000C1E9E">
        <w:t>representations</w:t>
      </w:r>
      <w:r w:rsidR="00D93838">
        <w:t xml:space="preserve">, the </w:t>
      </w:r>
      <w:r w:rsidR="00190659">
        <w:t>department</w:t>
      </w:r>
      <w:r>
        <w:t xml:space="preserve"> </w:t>
      </w:r>
      <w:r w:rsidR="00D93838">
        <w:t xml:space="preserve">notes that </w:t>
      </w:r>
      <w:r>
        <w:t xml:space="preserve">most </w:t>
      </w:r>
      <w:r w:rsidR="00D93838">
        <w:t xml:space="preserve">stakeholders appear to </w:t>
      </w:r>
      <w:r>
        <w:t xml:space="preserve">support the position </w:t>
      </w:r>
      <w:r w:rsidR="00D93838">
        <w:t>that a</w:t>
      </w:r>
      <w:r w:rsidR="00D93838" w:rsidRPr="00C11B32">
        <w:t xml:space="preserve"> name should not appear on the register any longer than is necessary</w:t>
      </w:r>
      <w:r w:rsidR="00D93838">
        <w:t xml:space="preserve">. </w:t>
      </w:r>
      <w:r w:rsidR="006E32EA">
        <w:t xml:space="preserve">Further, </w:t>
      </w:r>
      <w:r w:rsidR="00D9716F">
        <w:t xml:space="preserve">the </w:t>
      </w:r>
      <w:r w:rsidR="00190659">
        <w:t>department</w:t>
      </w:r>
      <w:r w:rsidR="00D9716F">
        <w:t xml:space="preserve"> has also considered the policy intent of the Bankruptcy Act </w:t>
      </w:r>
      <w:r>
        <w:t>to provide an</w:t>
      </w:r>
      <w:r w:rsidR="00D9716F">
        <w:t xml:space="preserve"> effective bankruptcy system that is fit for purpose</w:t>
      </w:r>
      <w:r>
        <w:t xml:space="preserve"> and </w:t>
      </w:r>
      <w:r w:rsidR="00D9716F">
        <w:t>offers debtors the opportunity for a fresh start</w:t>
      </w:r>
      <w:r>
        <w:t>,</w:t>
      </w:r>
      <w:r w:rsidR="00D9716F">
        <w:t xml:space="preserve"> while protecting the rights of creditors. </w:t>
      </w:r>
    </w:p>
    <w:p w14:paraId="0BA40A02" w14:textId="77777777" w:rsidR="00D93838" w:rsidRDefault="00D93838" w:rsidP="00D93838">
      <w:r>
        <w:t>Stakeholders have put forward various suggestions for possible reform including</w:t>
      </w:r>
      <w:r w:rsidRPr="002319AD">
        <w:t xml:space="preserve"> </w:t>
      </w:r>
      <w:r>
        <w:t xml:space="preserve">reducing the time a person remains on the NPII: </w:t>
      </w:r>
    </w:p>
    <w:p w14:paraId="2F20B190" w14:textId="77777777" w:rsidR="00D93838" w:rsidRDefault="00D93838" w:rsidP="00D93838">
      <w:pPr>
        <w:pStyle w:val="ListParagraph"/>
        <w:numPr>
          <w:ilvl w:val="0"/>
          <w:numId w:val="7"/>
        </w:numPr>
        <w:spacing w:line="276" w:lineRule="auto"/>
      </w:pPr>
      <w:r>
        <w:t>to correlate with the status of the bankruptcy so that the record is extinguished when a bankrupt is discharged;</w:t>
      </w:r>
    </w:p>
    <w:p w14:paraId="1448BC0E" w14:textId="77777777" w:rsidR="00D93838" w:rsidRDefault="00D93838" w:rsidP="00D93838">
      <w:pPr>
        <w:pStyle w:val="ListParagraph"/>
        <w:numPr>
          <w:ilvl w:val="0"/>
          <w:numId w:val="7"/>
        </w:numPr>
        <w:spacing w:line="276" w:lineRule="auto"/>
      </w:pPr>
      <w:r>
        <w:t xml:space="preserve">to coincide with the removal of records in accordance with credit reporting standards; or </w:t>
      </w:r>
    </w:p>
    <w:p w14:paraId="4563174A" w14:textId="77777777" w:rsidR="00D93838" w:rsidRDefault="00D93838" w:rsidP="00D93838">
      <w:pPr>
        <w:pStyle w:val="ListParagraph"/>
        <w:numPr>
          <w:ilvl w:val="0"/>
          <w:numId w:val="7"/>
        </w:numPr>
        <w:spacing w:line="276" w:lineRule="auto"/>
      </w:pPr>
      <w:r>
        <w:t xml:space="preserve">by any number of years that appropriately balances the interests of debtors and creditors. </w:t>
      </w:r>
    </w:p>
    <w:p w14:paraId="05814030" w14:textId="65B38353" w:rsidR="00D93838" w:rsidRPr="004B3B59" w:rsidRDefault="00036632" w:rsidP="00D93838">
      <w:pPr>
        <w:rPr>
          <w:b/>
          <w:i/>
          <w:sz w:val="32"/>
        </w:rPr>
      </w:pPr>
      <w:r>
        <w:rPr>
          <w:b/>
          <w:i/>
          <w:sz w:val="32"/>
        </w:rPr>
        <w:t>Proposal</w:t>
      </w:r>
    </w:p>
    <w:p w14:paraId="4A881DCB" w14:textId="7A213D39" w:rsidR="00D93838" w:rsidRDefault="00D93838" w:rsidP="00D93838">
      <w:r>
        <w:t xml:space="preserve">The </w:t>
      </w:r>
      <w:r w:rsidR="00190659">
        <w:t>department</w:t>
      </w:r>
      <w:r w:rsidR="00CA185C">
        <w:t xml:space="preserve"> </w:t>
      </w:r>
      <w:r>
        <w:t xml:space="preserve">has considered </w:t>
      </w:r>
      <w:r w:rsidR="00CA185C">
        <w:t>the above issues</w:t>
      </w:r>
      <w:r>
        <w:t xml:space="preserve"> and</w:t>
      </w:r>
      <w:r w:rsidR="000C1E9E">
        <w:t>,</w:t>
      </w:r>
      <w:r>
        <w:t xml:space="preserve"> with consideration given to maintaining the balance between debtor and creditor interests, </w:t>
      </w:r>
      <w:r w:rsidR="00CA185C">
        <w:t xml:space="preserve">proposes </w:t>
      </w:r>
      <w:r w:rsidRPr="00C11B32">
        <w:t xml:space="preserve">removing </w:t>
      </w:r>
      <w:r>
        <w:t>the</w:t>
      </w:r>
      <w:r w:rsidRPr="00C11B32">
        <w:t xml:space="preserve"> NPII record</w:t>
      </w:r>
      <w:r>
        <w:t xml:space="preserve"> </w:t>
      </w:r>
      <w:r w:rsidRPr="00304903">
        <w:rPr>
          <w:b/>
        </w:rPr>
        <w:t>seven years</w:t>
      </w:r>
      <w:r w:rsidRPr="00C11B32">
        <w:t xml:space="preserve"> after a person has been </w:t>
      </w:r>
      <w:r w:rsidRPr="00304903">
        <w:rPr>
          <w:b/>
        </w:rPr>
        <w:t>discharged from their bankruptcy</w:t>
      </w:r>
      <w:r>
        <w:rPr>
          <w:b/>
        </w:rPr>
        <w:t xml:space="preserve"> </w:t>
      </w:r>
      <w:r>
        <w:t>so that it is no longer appears publicly</w:t>
      </w:r>
      <w:r w:rsidR="00762105">
        <w:t xml:space="preserve"> (noting that the period </w:t>
      </w:r>
      <w:r w:rsidR="00E07743">
        <w:t xml:space="preserve">for </w:t>
      </w:r>
      <w:r w:rsidR="00762105">
        <w:t>bankruptcy is currently three years, this</w:t>
      </w:r>
      <w:r w:rsidR="005F05E3">
        <w:t xml:space="preserve"> reform</w:t>
      </w:r>
      <w:r w:rsidR="00762105">
        <w:t xml:space="preserve"> would mean a</w:t>
      </w:r>
      <w:r w:rsidR="005F05E3">
        <w:t xml:space="preserve"> </w:t>
      </w:r>
      <w:r w:rsidR="00E07743">
        <w:t xml:space="preserve">public </w:t>
      </w:r>
      <w:r w:rsidR="005F05E3">
        <w:t xml:space="preserve">record period totalling </w:t>
      </w:r>
      <w:r w:rsidR="00FA39AD">
        <w:t>10</w:t>
      </w:r>
      <w:r w:rsidR="005F05E3">
        <w:t xml:space="preserve"> years</w:t>
      </w:r>
      <w:r w:rsidR="00E15585">
        <w:t>, unless the bankruptcy was extended</w:t>
      </w:r>
      <w:r w:rsidR="005F05E3">
        <w:t>)</w:t>
      </w:r>
      <w:r w:rsidRPr="00C11B32">
        <w:t xml:space="preserve">. </w:t>
      </w:r>
      <w:r>
        <w:t xml:space="preserve">For clarity, the record will not be extinguished from the NPII after the seven-year period. The </w:t>
      </w:r>
      <w:r w:rsidR="00CA185C">
        <w:t xml:space="preserve">proposed </w:t>
      </w:r>
      <w:r>
        <w:t xml:space="preserve">reform would ensure that the records remain available by certain Commonwealth agencies with information gathering powers for administrative purposes. </w:t>
      </w:r>
      <w:r w:rsidR="00E9087E">
        <w:t xml:space="preserve">The </w:t>
      </w:r>
      <w:r w:rsidR="00190659">
        <w:t>department</w:t>
      </w:r>
      <w:r w:rsidR="00E9087E">
        <w:t xml:space="preserve"> recognises that </w:t>
      </w:r>
      <w:r w:rsidR="00E9087E" w:rsidRPr="00E9087E">
        <w:t xml:space="preserve">AFSA holds agreements with a number of </w:t>
      </w:r>
      <w:r w:rsidR="00393B77">
        <w:t>G</w:t>
      </w:r>
      <w:r w:rsidR="00E9087E" w:rsidRPr="00E9087E">
        <w:t>overnment agencies who access NPII records for a number of different reasons</w:t>
      </w:r>
      <w:r w:rsidR="00E9087E">
        <w:t xml:space="preserve"> including to </w:t>
      </w:r>
      <w:r w:rsidR="00514E5C">
        <w:t xml:space="preserve">investigate </w:t>
      </w:r>
      <w:r w:rsidR="00896FC5">
        <w:t xml:space="preserve">allegations </w:t>
      </w:r>
      <w:r w:rsidR="00514E5C">
        <w:t xml:space="preserve">of </w:t>
      </w:r>
      <w:r w:rsidR="00896FC5">
        <w:t>criminal activity. Additionally,</w:t>
      </w:r>
      <w:r w:rsidR="005A6751">
        <w:t xml:space="preserve"> the </w:t>
      </w:r>
      <w:r w:rsidR="00190659">
        <w:t>department</w:t>
      </w:r>
      <w:r w:rsidR="005A6751">
        <w:t xml:space="preserve"> considers that</w:t>
      </w:r>
      <w:r w:rsidR="00896FC5">
        <w:t xml:space="preserve"> </w:t>
      </w:r>
      <w:r w:rsidR="00514E5C">
        <w:t>this access may</w:t>
      </w:r>
      <w:r w:rsidR="00896FC5">
        <w:t xml:space="preserve"> aid trustees in </w:t>
      </w:r>
      <w:r w:rsidR="005A6751">
        <w:t xml:space="preserve">identifying </w:t>
      </w:r>
      <w:r w:rsidR="00514E5C">
        <w:t xml:space="preserve">serial bankrupts or </w:t>
      </w:r>
      <w:r w:rsidR="00896FC5">
        <w:t>patterns of behaviour and</w:t>
      </w:r>
      <w:r w:rsidR="00514E5C">
        <w:t xml:space="preserve"> may</w:t>
      </w:r>
      <w:r w:rsidR="00896FC5">
        <w:t xml:space="preserve"> assist in linking criminal behaviour (for example in fraud cases </w:t>
      </w:r>
      <w:r w:rsidR="00514E5C">
        <w:t xml:space="preserve">involving the </w:t>
      </w:r>
      <w:r w:rsidR="00896FC5">
        <w:t xml:space="preserve">transfer of assets). </w:t>
      </w:r>
    </w:p>
    <w:p w14:paraId="62EBE2F7" w14:textId="37328311" w:rsidR="00D93838" w:rsidRDefault="00D93838" w:rsidP="00FB7658">
      <w:pPr>
        <w:keepNext/>
      </w:pPr>
      <w:r>
        <w:lastRenderedPageBreak/>
        <w:t xml:space="preserve">In </w:t>
      </w:r>
      <w:r w:rsidR="00CA185C">
        <w:t>reaching this proposal</w:t>
      </w:r>
      <w:r>
        <w:t xml:space="preserve">, the </w:t>
      </w:r>
      <w:r w:rsidR="00190659">
        <w:t>department</w:t>
      </w:r>
      <w:r>
        <w:t xml:space="preserve"> has considered timeframes stipulated in the Bankruptcy Act and</w:t>
      </w:r>
      <w:r w:rsidR="00D245D7">
        <w:t xml:space="preserve"> Bankruptcy</w:t>
      </w:r>
      <w:r>
        <w:t xml:space="preserve"> Regulations, specifically: </w:t>
      </w:r>
    </w:p>
    <w:p w14:paraId="0E6EFEFE" w14:textId="77777777" w:rsidR="00D93838" w:rsidRDefault="00D93838" w:rsidP="00D93838">
      <w:pPr>
        <w:pStyle w:val="ListParagraph"/>
        <w:numPr>
          <w:ilvl w:val="0"/>
          <w:numId w:val="7"/>
        </w:numPr>
        <w:spacing w:line="276" w:lineRule="auto"/>
      </w:pPr>
      <w:r w:rsidRPr="00440A6C">
        <w:rPr>
          <w:b/>
        </w:rPr>
        <w:t>Section 184</w:t>
      </w:r>
      <w:r>
        <w:t xml:space="preserve"> of the Bankruptcy Act which relates to the release of a registered trustee of a bankrupt estate. A trustee who has not been released by operation of section 183 of the Bankruptcy Act is taken to be released by operation of law at the end of </w:t>
      </w:r>
      <w:r w:rsidRPr="00440A6C">
        <w:rPr>
          <w:b/>
        </w:rPr>
        <w:t>seven years</w:t>
      </w:r>
      <w:r>
        <w:t xml:space="preserve"> from the date on which the Official Receiver entered in the NPII that the administration of the estate was finalised. </w:t>
      </w:r>
    </w:p>
    <w:p w14:paraId="533900E8" w14:textId="77777777" w:rsidR="00D93838" w:rsidRDefault="00D93838" w:rsidP="00D93838">
      <w:pPr>
        <w:pStyle w:val="ListParagraph"/>
        <w:numPr>
          <w:ilvl w:val="0"/>
          <w:numId w:val="7"/>
        </w:numPr>
        <w:spacing w:line="276" w:lineRule="auto"/>
      </w:pPr>
      <w:r>
        <w:rPr>
          <w:b/>
        </w:rPr>
        <w:t>Subs</w:t>
      </w:r>
      <w:r w:rsidRPr="00440A6C">
        <w:rPr>
          <w:b/>
        </w:rPr>
        <w:t>ection 184A</w:t>
      </w:r>
      <w:r>
        <w:rPr>
          <w:b/>
        </w:rPr>
        <w:t>(2)</w:t>
      </w:r>
      <w:r>
        <w:t xml:space="preserve"> of the Bankruptcy Act which states that where the Official Trustee becomes trustee of a bankrupt estate upon the release of a registered trustee under section 183 or 184, the Official Trustee is released from being trustee at the end of </w:t>
      </w:r>
      <w:r w:rsidRPr="00440A6C">
        <w:rPr>
          <w:b/>
        </w:rPr>
        <w:t>seven years</w:t>
      </w:r>
      <w:r>
        <w:t xml:space="preserve"> from the date on which the Official Receiver entered in the NPII that the administration of the estate was finalised. </w:t>
      </w:r>
    </w:p>
    <w:p w14:paraId="4CE4ABAF" w14:textId="1EB223E9" w:rsidR="00D93838" w:rsidRDefault="00D93838" w:rsidP="00D93838">
      <w:pPr>
        <w:pStyle w:val="ListParagraph"/>
        <w:numPr>
          <w:ilvl w:val="0"/>
          <w:numId w:val="7"/>
        </w:numPr>
        <w:spacing w:line="276" w:lineRule="auto"/>
      </w:pPr>
      <w:r w:rsidRPr="00440A6C">
        <w:rPr>
          <w:b/>
        </w:rPr>
        <w:t>Section 70-35</w:t>
      </w:r>
      <w:r>
        <w:t xml:space="preserve"> of the Bankruptcy Act which states that the last trustee to administer a regulated debtor’s estate must retain all books that relate to the administration and are in the last trustees</w:t>
      </w:r>
      <w:r w:rsidR="00820092">
        <w:t>’</w:t>
      </w:r>
      <w:r>
        <w:t xml:space="preserve"> possession or control at the end of the administration for a period of </w:t>
      </w:r>
      <w:r w:rsidRPr="00440A6C">
        <w:rPr>
          <w:b/>
        </w:rPr>
        <w:t>seven years</w:t>
      </w:r>
      <w:r>
        <w:t xml:space="preserve"> from the end of the administration.</w:t>
      </w:r>
      <w:r w:rsidR="00AE63C8">
        <w:rPr>
          <w:rStyle w:val="EndnoteReference"/>
        </w:rPr>
        <w:endnoteReference w:id="10"/>
      </w:r>
    </w:p>
    <w:p w14:paraId="7B9B2586" w14:textId="49216571" w:rsidR="00D93838" w:rsidRDefault="00D93838" w:rsidP="00D93838">
      <w:r>
        <w:t xml:space="preserve">The </w:t>
      </w:r>
      <w:r w:rsidR="00190659">
        <w:t>department</w:t>
      </w:r>
      <w:r w:rsidR="00CA185C">
        <w:t xml:space="preserve"> </w:t>
      </w:r>
      <w:r>
        <w:t xml:space="preserve">also considered an analogous five-year period with reference to: </w:t>
      </w:r>
    </w:p>
    <w:p w14:paraId="09FB746D" w14:textId="2B328FF6" w:rsidR="00D93838" w:rsidRDefault="00D93838" w:rsidP="00D93838">
      <w:pPr>
        <w:pStyle w:val="ListParagraph"/>
        <w:numPr>
          <w:ilvl w:val="0"/>
          <w:numId w:val="7"/>
        </w:numPr>
        <w:spacing w:line="276" w:lineRule="auto"/>
      </w:pPr>
      <w:r w:rsidRPr="00440A6C">
        <w:rPr>
          <w:b/>
        </w:rPr>
        <w:t>Sections 82-83</w:t>
      </w:r>
      <w:r>
        <w:t xml:space="preserve"> of the </w:t>
      </w:r>
      <w:r w:rsidR="00D245D7">
        <w:t xml:space="preserve">Bankruptcy </w:t>
      </w:r>
      <w:r>
        <w:t xml:space="preserve">Regulations which states that if a debt agreement ends or is terminated the Official Receiver must remove all information relating to the debt agreement from the NPII within </w:t>
      </w:r>
      <w:r w:rsidR="00FA39AD">
        <w:t>one</w:t>
      </w:r>
      <w:r>
        <w:t xml:space="preserve"> month after the later of: (i) </w:t>
      </w:r>
      <w:r w:rsidRPr="00440A6C">
        <w:rPr>
          <w:b/>
        </w:rPr>
        <w:t>five years</w:t>
      </w:r>
      <w:r>
        <w:t xml:space="preserve"> after the day on which the debt agreement was made; or (ii) the day on which the debt agreement ends. </w:t>
      </w:r>
    </w:p>
    <w:p w14:paraId="0EAE3F0F" w14:textId="77777777" w:rsidR="00D93838" w:rsidRDefault="00D93838" w:rsidP="00D93838">
      <w:pPr>
        <w:pStyle w:val="ListParagraph"/>
        <w:numPr>
          <w:ilvl w:val="0"/>
          <w:numId w:val="7"/>
        </w:numPr>
        <w:spacing w:line="276" w:lineRule="auto"/>
      </w:pPr>
      <w:r w:rsidRPr="00440A6C">
        <w:rPr>
          <w:b/>
        </w:rPr>
        <w:t>Section 270</w:t>
      </w:r>
      <w:r>
        <w:t xml:space="preserve"> of the Bankruptcy Act which creates an offence for any person who has become a bankrupt and has not kept such books, accounts and records as are usual and proper in any business carried on by him or her and as sufficiently disclose his or her business transactions and financial position during any period while the business was being carried on within the period of </w:t>
      </w:r>
      <w:r w:rsidRPr="00440A6C">
        <w:rPr>
          <w:b/>
        </w:rPr>
        <w:t xml:space="preserve">five years </w:t>
      </w:r>
      <w:r>
        <w:t xml:space="preserve">immediately preceding the date on which he or she became a bankrupt. </w:t>
      </w:r>
    </w:p>
    <w:p w14:paraId="4DB5E489" w14:textId="77777777" w:rsidR="00D93838" w:rsidRDefault="00D93838" w:rsidP="00D93838">
      <w:pPr>
        <w:pStyle w:val="ListParagraph"/>
        <w:numPr>
          <w:ilvl w:val="0"/>
          <w:numId w:val="7"/>
        </w:numPr>
        <w:spacing w:line="276" w:lineRule="auto"/>
      </w:pPr>
      <w:r w:rsidRPr="00440A6C" w:rsidDel="00CB6593">
        <w:rPr>
          <w:b/>
        </w:rPr>
        <w:t>Section 262A</w:t>
      </w:r>
      <w:r w:rsidDel="00CB6593">
        <w:t xml:space="preserve"> of the </w:t>
      </w:r>
      <w:r w:rsidRPr="0015690B" w:rsidDel="00CB6593">
        <w:rPr>
          <w:i/>
        </w:rPr>
        <w:t>Income Assessment Act 1936</w:t>
      </w:r>
      <w:r w:rsidDel="00CB6593">
        <w:t xml:space="preserve"> </w:t>
      </w:r>
      <w:r>
        <w:t xml:space="preserve">which </w:t>
      </w:r>
      <w:r w:rsidDel="00CB6593">
        <w:t xml:space="preserve">requires any person carrying on a business </w:t>
      </w:r>
      <w:r>
        <w:t xml:space="preserve">to </w:t>
      </w:r>
      <w:r w:rsidDel="00CB6593">
        <w:t>keep records that record and explain all transactions and other acts engaged in by the person that are relevant to a company’s income an</w:t>
      </w:r>
      <w:r>
        <w:t>d</w:t>
      </w:r>
      <w:r w:rsidDel="00CB6593">
        <w:t xml:space="preserve"> expenditure for at least </w:t>
      </w:r>
      <w:r w:rsidRPr="00440A6C" w:rsidDel="00CB6593">
        <w:rPr>
          <w:b/>
        </w:rPr>
        <w:t>five years</w:t>
      </w:r>
      <w:r w:rsidDel="00CB6593">
        <w:t xml:space="preserve">. </w:t>
      </w:r>
    </w:p>
    <w:p w14:paraId="560D3D8D" w14:textId="3EDE5D75" w:rsidR="00D93838" w:rsidDel="00CB6593" w:rsidRDefault="00D93838" w:rsidP="00D93838">
      <w:pPr>
        <w:pStyle w:val="ListParagraph"/>
        <w:numPr>
          <w:ilvl w:val="0"/>
          <w:numId w:val="7"/>
        </w:numPr>
        <w:spacing w:line="276" w:lineRule="auto"/>
      </w:pPr>
      <w:bookmarkStart w:id="7" w:name="_Hlk141441330"/>
      <w:r w:rsidRPr="00F30C9F">
        <w:rPr>
          <w:b/>
        </w:rPr>
        <w:t>Section 20X</w:t>
      </w:r>
      <w:r>
        <w:t xml:space="preserve"> of the </w:t>
      </w:r>
      <w:r w:rsidRPr="00F30C9F">
        <w:rPr>
          <w:i/>
        </w:rPr>
        <w:t>Privacy Act 1988</w:t>
      </w:r>
      <w:r>
        <w:t xml:space="preserve"> which relates to the retention period of credit information, specifically personal insolvency information, requires the retention of information for a period ranging from two to </w:t>
      </w:r>
      <w:r w:rsidRPr="00F30C9F">
        <w:rPr>
          <w:b/>
        </w:rPr>
        <w:t>five</w:t>
      </w:r>
      <w:r>
        <w:t xml:space="preserve"> </w:t>
      </w:r>
      <w:r w:rsidRPr="00F30C9F">
        <w:rPr>
          <w:b/>
        </w:rPr>
        <w:t>years</w:t>
      </w:r>
      <w:r>
        <w:t>.</w:t>
      </w:r>
      <w:r w:rsidR="0063733D">
        <w:rPr>
          <w:rStyle w:val="EndnoteReference"/>
        </w:rPr>
        <w:endnoteReference w:id="11"/>
      </w:r>
      <w:r>
        <w:t xml:space="preserve">  </w:t>
      </w:r>
    </w:p>
    <w:bookmarkEnd w:id="7"/>
    <w:p w14:paraId="42D23A26" w14:textId="77777777" w:rsidR="004A57CC" w:rsidRDefault="00D93838" w:rsidP="00D93838">
      <w:r>
        <w:t xml:space="preserve">In comparison with debt agreements, declaring bankruptcy is the most serious of all the insolvency measures in the personal insolvency system. A seven-year period is appropriate and commensurate with the gravity of entering into bankruptcy while also balancing the interests of a discharged bankrupt. </w:t>
      </w:r>
    </w:p>
    <w:p w14:paraId="54FF25A2" w14:textId="38762DA9" w:rsidR="00D93838" w:rsidRDefault="00D93838" w:rsidP="00D93838">
      <w:r>
        <w:t xml:space="preserve">In forming this view, the </w:t>
      </w:r>
      <w:r w:rsidR="00190659">
        <w:t>department</w:t>
      </w:r>
      <w:r w:rsidR="00CA185C">
        <w:t xml:space="preserve"> </w:t>
      </w:r>
      <w:r>
        <w:t xml:space="preserve">has also had regard </w:t>
      </w:r>
      <w:r w:rsidR="000B6EC0">
        <w:t xml:space="preserve">to </w:t>
      </w:r>
      <w:r>
        <w:t xml:space="preserve">other regimes. </w:t>
      </w:r>
      <w:r w:rsidRPr="00C11B32">
        <w:t>Th</w:t>
      </w:r>
      <w:r>
        <w:t>e</w:t>
      </w:r>
      <w:r w:rsidRPr="00C11B32">
        <w:t xml:space="preserve"> </w:t>
      </w:r>
      <w:r w:rsidR="00190659">
        <w:t>department</w:t>
      </w:r>
      <w:r w:rsidR="00CA185C">
        <w:t xml:space="preserve"> </w:t>
      </w:r>
      <w:r>
        <w:t>notes</w:t>
      </w:r>
      <w:r w:rsidRPr="00C11B32">
        <w:t xml:space="preserve"> </w:t>
      </w:r>
      <w:r>
        <w:t>the following p</w:t>
      </w:r>
      <w:r w:rsidR="00557D89">
        <w:t>rovisions</w:t>
      </w:r>
      <w:r>
        <w:t xml:space="preserve"> in other legislation: </w:t>
      </w:r>
    </w:p>
    <w:p w14:paraId="5B53A8C4" w14:textId="6F5AA582" w:rsidR="00D93838" w:rsidRDefault="00D93838" w:rsidP="00D93838">
      <w:pPr>
        <w:pStyle w:val="ListParagraph"/>
        <w:numPr>
          <w:ilvl w:val="0"/>
          <w:numId w:val="7"/>
        </w:numPr>
        <w:spacing w:line="276" w:lineRule="auto"/>
      </w:pPr>
      <w:bookmarkStart w:id="8" w:name="_Hlk141441342"/>
      <w:r w:rsidRPr="009602A5">
        <w:rPr>
          <w:b/>
        </w:rPr>
        <w:t>Section 20W</w:t>
      </w:r>
      <w:r>
        <w:t xml:space="preserve"> of the </w:t>
      </w:r>
      <w:r w:rsidRPr="00B00FEB">
        <w:rPr>
          <w:i/>
        </w:rPr>
        <w:t>Privacy Act 1988</w:t>
      </w:r>
      <w:r>
        <w:t xml:space="preserve"> which relates to credit information, requires retention of records for a period ranging from </w:t>
      </w:r>
      <w:r w:rsidR="00FA39AD">
        <w:t xml:space="preserve">two to seven </w:t>
      </w:r>
      <w:r>
        <w:t xml:space="preserve">years. The department notes item 9 of section 20W which requires information, where </w:t>
      </w:r>
      <w:r w:rsidRPr="008E1E07">
        <w:t xml:space="preserve">the individual has committed a serious credit infringement in relation to consumer credit provided by </w:t>
      </w:r>
      <w:r>
        <w:t>a credit provider</w:t>
      </w:r>
      <w:r w:rsidRPr="008E1E07">
        <w:t xml:space="preserve"> to </w:t>
      </w:r>
      <w:r>
        <w:t xml:space="preserve">an </w:t>
      </w:r>
      <w:r w:rsidRPr="008E1E07">
        <w:t>individual</w:t>
      </w:r>
      <w:r>
        <w:t xml:space="preserve">, to be retained for a period of </w:t>
      </w:r>
      <w:r>
        <w:rPr>
          <w:b/>
        </w:rPr>
        <w:t xml:space="preserve">seven </w:t>
      </w:r>
      <w:r w:rsidRPr="00440A6C">
        <w:rPr>
          <w:b/>
        </w:rPr>
        <w:t xml:space="preserve">years </w:t>
      </w:r>
      <w:r>
        <w:t>starting on the day on which the credit reporting body collects the information.</w:t>
      </w:r>
      <w:r w:rsidR="003136D1">
        <w:rPr>
          <w:rStyle w:val="EndnoteReference"/>
        </w:rPr>
        <w:endnoteReference w:id="12"/>
      </w:r>
      <w:r>
        <w:t xml:space="preserve"> </w:t>
      </w:r>
    </w:p>
    <w:bookmarkEnd w:id="8"/>
    <w:p w14:paraId="337E5D24" w14:textId="141DE1F4" w:rsidR="00D93838" w:rsidRDefault="00D93838" w:rsidP="00D93838">
      <w:pPr>
        <w:pStyle w:val="ListParagraph"/>
        <w:numPr>
          <w:ilvl w:val="0"/>
          <w:numId w:val="7"/>
        </w:numPr>
        <w:spacing w:line="276" w:lineRule="auto"/>
      </w:pPr>
      <w:r w:rsidRPr="009602A5">
        <w:rPr>
          <w:b/>
        </w:rPr>
        <w:t>Section 286(2)</w:t>
      </w:r>
      <w:r w:rsidR="00820092" w:rsidRPr="00820092">
        <w:t xml:space="preserve"> </w:t>
      </w:r>
      <w:r w:rsidRPr="00DC4521">
        <w:t xml:space="preserve">of the </w:t>
      </w:r>
      <w:r w:rsidRPr="00DE2EBA">
        <w:rPr>
          <w:i/>
        </w:rPr>
        <w:t>Corporations Act 2001</w:t>
      </w:r>
      <w:r>
        <w:t xml:space="preserve"> </w:t>
      </w:r>
      <w:r w:rsidRPr="00DC4521">
        <w:t xml:space="preserve">requires financial records to be kept for at least </w:t>
      </w:r>
      <w:r w:rsidRPr="00440A6C">
        <w:rPr>
          <w:b/>
        </w:rPr>
        <w:t xml:space="preserve">seven years </w:t>
      </w:r>
      <w:r w:rsidRPr="00DC4521">
        <w:t>after the transactions covered by the records are complete</w:t>
      </w:r>
      <w:r>
        <w:t xml:space="preserve">d that correctly record and explain the </w:t>
      </w:r>
      <w:r>
        <w:lastRenderedPageBreak/>
        <w:t>company’s financial position and performance, and its transactions; and would enable true and fair financial statements to be prepared and audited.</w:t>
      </w:r>
    </w:p>
    <w:p w14:paraId="11C8042D" w14:textId="77777777" w:rsidR="00D93838" w:rsidRPr="00465153" w:rsidRDefault="00D93838" w:rsidP="00D93838">
      <w:pPr>
        <w:pStyle w:val="ListParagraph"/>
        <w:numPr>
          <w:ilvl w:val="0"/>
          <w:numId w:val="7"/>
        </w:numPr>
        <w:spacing w:line="276" w:lineRule="auto"/>
      </w:pPr>
      <w:r w:rsidRPr="009602A5">
        <w:rPr>
          <w:b/>
        </w:rPr>
        <w:t>Section 535(1)</w:t>
      </w:r>
      <w:r>
        <w:t xml:space="preserve"> of the </w:t>
      </w:r>
      <w:r w:rsidRPr="00280189">
        <w:rPr>
          <w:i/>
        </w:rPr>
        <w:t>Fair Work Act 2009</w:t>
      </w:r>
      <w:r>
        <w:t xml:space="preserve"> requires that </w:t>
      </w:r>
      <w:r>
        <w:rPr>
          <w:color w:val="000000"/>
          <w:shd w:val="clear" w:color="auto" w:fill="FFFFFF"/>
        </w:rPr>
        <w:t xml:space="preserve">an employer must make, and keep for </w:t>
      </w:r>
      <w:r w:rsidRPr="00440A6C">
        <w:rPr>
          <w:b/>
          <w:color w:val="000000"/>
          <w:shd w:val="clear" w:color="auto" w:fill="FFFFFF"/>
        </w:rPr>
        <w:t>seven years</w:t>
      </w:r>
      <w:r>
        <w:rPr>
          <w:color w:val="000000"/>
          <w:shd w:val="clear" w:color="auto" w:fill="FFFFFF"/>
        </w:rPr>
        <w:t>, employee records of the kind prescribed by the regulations in relation to each of its employees.</w:t>
      </w:r>
    </w:p>
    <w:p w14:paraId="1070C7D1" w14:textId="301F17AE" w:rsidR="00C73355" w:rsidRDefault="00D93838" w:rsidP="00F673ED">
      <w:pPr>
        <w:pStyle w:val="ListParagraph"/>
        <w:numPr>
          <w:ilvl w:val="0"/>
          <w:numId w:val="7"/>
        </w:numPr>
        <w:spacing w:line="276" w:lineRule="auto"/>
        <w:rPr>
          <w:rFonts w:ascii="Arial" w:hAnsi="Arial" w:cs="Arial"/>
          <w:color w:val="333333"/>
        </w:rPr>
      </w:pPr>
      <w:r w:rsidRPr="0074262A">
        <w:rPr>
          <w:rFonts w:cstheme="minorHAnsi"/>
        </w:rPr>
        <w:t xml:space="preserve">The Australian Financial Security Authority’s Practice Direction 5 explains </w:t>
      </w:r>
      <w:r>
        <w:rPr>
          <w:rFonts w:cstheme="minorHAnsi"/>
        </w:rPr>
        <w:t>t</w:t>
      </w:r>
      <w:r w:rsidRPr="0074262A">
        <w:rPr>
          <w:rFonts w:cstheme="minorHAnsi"/>
        </w:rPr>
        <w:t xml:space="preserve">rustee’s guidelines relating to handling funds and keeping records. This practice direction provides guidance to registered trustees and recommends that the last trustee to administer a regulated debtor’s estate must, unless they have a reasonable excuse, retain all books for a period of </w:t>
      </w:r>
      <w:r w:rsidRPr="00440A6C">
        <w:rPr>
          <w:rFonts w:cstheme="minorHAnsi"/>
          <w:b/>
        </w:rPr>
        <w:t>seven years</w:t>
      </w:r>
      <w:r w:rsidRPr="0074262A">
        <w:rPr>
          <w:rFonts w:cstheme="minorHAnsi"/>
        </w:rPr>
        <w:t xml:space="preserve"> from the end of the administration that relate to the estate which they possess or control</w:t>
      </w:r>
      <w:r w:rsidRPr="0074262A">
        <w:rPr>
          <w:rFonts w:ascii="Arial" w:hAnsi="Arial" w:cs="Arial"/>
          <w:color w:val="333333"/>
        </w:rPr>
        <w:t>.</w:t>
      </w:r>
      <w:r>
        <w:rPr>
          <w:rFonts w:ascii="Arial" w:hAnsi="Arial" w:cs="Arial"/>
          <w:color w:val="333333"/>
        </w:rPr>
        <w:t xml:space="preserve"> </w:t>
      </w:r>
    </w:p>
    <w:p w14:paraId="33DC329F" w14:textId="77777777" w:rsidR="00C73355" w:rsidRDefault="00C73355">
      <w:pPr>
        <w:spacing w:after="0" w:line="240" w:lineRule="auto"/>
        <w:rPr>
          <w:rFonts w:ascii="Arial" w:eastAsiaTheme="minorHAnsi" w:hAnsi="Arial" w:cs="Arial"/>
          <w:color w:val="333333"/>
          <w:w w:val="100"/>
          <w:kern w:val="0"/>
        </w:rPr>
      </w:pPr>
      <w:r>
        <w:rPr>
          <w:rFonts w:ascii="Arial" w:hAnsi="Arial" w:cs="Arial"/>
          <w:color w:val="333333"/>
        </w:rPr>
        <w:br w:type="page"/>
      </w:r>
    </w:p>
    <w:p w14:paraId="6FB30F1A" w14:textId="77C3510C" w:rsidR="008A570D" w:rsidRDefault="000C72EB" w:rsidP="006B7EEA">
      <w:pPr>
        <w:pStyle w:val="Heading1"/>
        <w:jc w:val="left"/>
      </w:pPr>
      <w:r>
        <w:lastRenderedPageBreak/>
        <w:t xml:space="preserve">Circumstances </w:t>
      </w:r>
      <w:r w:rsidR="00923C12">
        <w:t xml:space="preserve">involving </w:t>
      </w:r>
      <w:r>
        <w:t xml:space="preserve">debt agreements which serve as an </w:t>
      </w:r>
      <w:r w:rsidR="00F97D16">
        <w:t>‘act of bankruptcy’</w:t>
      </w:r>
      <w:r w:rsidR="00494844">
        <w:t xml:space="preserve"> </w:t>
      </w:r>
    </w:p>
    <w:p w14:paraId="51ABB22C" w14:textId="01C5F7FC" w:rsidR="008A570D" w:rsidRPr="00157544" w:rsidRDefault="008A570D" w:rsidP="008A570D">
      <w:pPr>
        <w:pStyle w:val="Heading2"/>
      </w:pPr>
      <w:r>
        <w:t>Discussion questions</w:t>
      </w:r>
    </w:p>
    <w:p w14:paraId="77F5E506" w14:textId="27132116" w:rsidR="00494844" w:rsidRPr="00157544" w:rsidRDefault="00494844" w:rsidP="00494844">
      <w:pPr>
        <w:pStyle w:val="ListParagraph"/>
        <w:numPr>
          <w:ilvl w:val="0"/>
          <w:numId w:val="24"/>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b/>
          <w:lang w:eastAsia="en-AU"/>
        </w:rPr>
      </w:pPr>
      <w:r w:rsidRPr="001B11C5">
        <w:rPr>
          <w:rFonts w:eastAsia="Times New Roman" w:cs="Arial"/>
          <w:b/>
          <w:lang w:eastAsia="en-AU"/>
        </w:rPr>
        <w:t xml:space="preserve">Question </w:t>
      </w:r>
      <w:r>
        <w:rPr>
          <w:rFonts w:eastAsia="Times New Roman" w:cs="Arial"/>
          <w:b/>
          <w:lang w:eastAsia="en-AU"/>
        </w:rPr>
        <w:t>1</w:t>
      </w:r>
      <w:r w:rsidR="00690EA0">
        <w:rPr>
          <w:rFonts w:eastAsia="Times New Roman" w:cs="Arial"/>
          <w:b/>
          <w:lang w:eastAsia="en-AU"/>
        </w:rPr>
        <w:t>3</w:t>
      </w:r>
      <w:r w:rsidRPr="001B11C5">
        <w:rPr>
          <w:rFonts w:eastAsia="Times New Roman" w:cs="Arial"/>
          <w:b/>
          <w:lang w:eastAsia="en-AU"/>
        </w:rPr>
        <w:t xml:space="preserve">: </w:t>
      </w:r>
      <w:r w:rsidR="00345E79" w:rsidRPr="00822F9C">
        <w:rPr>
          <w:rFonts w:eastAsia="Times New Roman" w:cs="Arial"/>
          <w:lang w:eastAsia="en-AU"/>
        </w:rPr>
        <w:t xml:space="preserve">Do you believe that any </w:t>
      </w:r>
      <w:r w:rsidRPr="003C3789">
        <w:rPr>
          <w:rFonts w:eastAsia="Times New Roman" w:cs="Arial"/>
          <w:lang w:eastAsia="en-AU"/>
        </w:rPr>
        <w:t>current</w:t>
      </w:r>
      <w:r w:rsidRPr="001B11C5">
        <w:rPr>
          <w:rFonts w:eastAsia="Times New Roman" w:cs="Arial"/>
          <w:lang w:eastAsia="en-AU"/>
        </w:rPr>
        <w:t xml:space="preserve"> economic circumstances</w:t>
      </w:r>
      <w:r w:rsidR="00345E79">
        <w:rPr>
          <w:rFonts w:eastAsia="Times New Roman" w:cs="Arial"/>
          <w:lang w:eastAsia="en-AU"/>
        </w:rPr>
        <w:t xml:space="preserve"> may</w:t>
      </w:r>
      <w:r w:rsidR="003C3789">
        <w:rPr>
          <w:rFonts w:eastAsia="Times New Roman" w:cs="Arial"/>
          <w:lang w:eastAsia="en-AU"/>
        </w:rPr>
        <w:t xml:space="preserve"> have the capacity to inform</w:t>
      </w:r>
      <w:r w:rsidRPr="001B11C5">
        <w:rPr>
          <w:rFonts w:eastAsia="Times New Roman" w:cs="Arial"/>
          <w:lang w:eastAsia="en-AU"/>
        </w:rPr>
        <w:t xml:space="preserve"> the policy setting </w:t>
      </w:r>
      <w:r>
        <w:rPr>
          <w:rFonts w:eastAsia="Times New Roman" w:cs="Arial"/>
          <w:lang w:eastAsia="en-AU"/>
        </w:rPr>
        <w:t>for repealing paragraphs 40(1)(ha) and 40(1)(hb) of the Bankruptcy Act?</w:t>
      </w:r>
      <w:r w:rsidR="003C3789">
        <w:rPr>
          <w:rFonts w:eastAsia="Times New Roman" w:cs="Arial"/>
          <w:lang w:eastAsia="en-AU"/>
        </w:rPr>
        <w:t xml:space="preserve"> Please expand on your response.</w:t>
      </w:r>
    </w:p>
    <w:p w14:paraId="1484DB51" w14:textId="5F5CB21B" w:rsidR="00494844" w:rsidRPr="00A72861" w:rsidRDefault="00494844" w:rsidP="00494844">
      <w:pPr>
        <w:pStyle w:val="ListParagraph"/>
        <w:numPr>
          <w:ilvl w:val="0"/>
          <w:numId w:val="24"/>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bCs/>
          <w:iCs/>
          <w:lang w:eastAsia="en-AU"/>
        </w:rPr>
        <w:t>Question 1</w:t>
      </w:r>
      <w:r w:rsidR="00690EA0">
        <w:rPr>
          <w:rFonts w:eastAsia="Times New Roman" w:cs="Arial"/>
          <w:b/>
          <w:bCs/>
          <w:iCs/>
          <w:lang w:eastAsia="en-AU"/>
        </w:rPr>
        <w:t>4</w:t>
      </w:r>
      <w:r>
        <w:rPr>
          <w:rFonts w:eastAsia="Times New Roman" w:cs="Arial"/>
          <w:b/>
          <w:bCs/>
          <w:iCs/>
          <w:lang w:eastAsia="en-AU"/>
        </w:rPr>
        <w:t xml:space="preserve">: </w:t>
      </w:r>
      <w:r w:rsidR="003C3789" w:rsidRPr="00822F9C">
        <w:rPr>
          <w:rFonts w:eastAsia="Times New Roman" w:cs="Arial"/>
          <w:bCs/>
          <w:iCs/>
          <w:lang w:eastAsia="en-AU"/>
        </w:rPr>
        <w:t xml:space="preserve">Do you believe that there may be any adverse impacts from </w:t>
      </w:r>
      <w:r w:rsidRPr="003C3789">
        <w:rPr>
          <w:rFonts w:eastAsia="Times New Roman" w:cs="Arial"/>
          <w:bCs/>
          <w:iCs/>
          <w:lang w:eastAsia="en-AU"/>
        </w:rPr>
        <w:t>repealing</w:t>
      </w:r>
      <w:r>
        <w:rPr>
          <w:rFonts w:eastAsia="Times New Roman" w:cs="Arial"/>
          <w:bCs/>
          <w:iCs/>
          <w:lang w:eastAsia="en-AU"/>
        </w:rPr>
        <w:t xml:space="preserve"> paragraphs 40(1)(ha) and 40(1)(hb) of the Bankruptcy Act</w:t>
      </w:r>
      <w:r w:rsidR="003C3789">
        <w:rPr>
          <w:rFonts w:eastAsia="Times New Roman" w:cs="Arial"/>
          <w:bCs/>
          <w:iCs/>
          <w:lang w:eastAsia="en-AU"/>
        </w:rPr>
        <w:t>? Please expand on your response and consider any mitigating factors</w:t>
      </w:r>
      <w:r w:rsidR="00EC2FE2">
        <w:rPr>
          <w:rFonts w:eastAsia="Times New Roman" w:cs="Arial"/>
          <w:bCs/>
          <w:iCs/>
          <w:lang w:eastAsia="en-AU"/>
        </w:rPr>
        <w:t xml:space="preserve">. </w:t>
      </w:r>
    </w:p>
    <w:p w14:paraId="47DE71D1" w14:textId="4ED54106" w:rsidR="00494844" w:rsidRPr="00C2552E" w:rsidRDefault="00494844" w:rsidP="00C2552E">
      <w:pPr>
        <w:pStyle w:val="ListParagraph"/>
        <w:numPr>
          <w:ilvl w:val="0"/>
          <w:numId w:val="24"/>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sidRPr="001B11C5">
        <w:rPr>
          <w:rFonts w:eastAsia="Times New Roman" w:cs="Arial"/>
          <w:b/>
          <w:lang w:eastAsia="en-AU"/>
        </w:rPr>
        <w:t xml:space="preserve">Question </w:t>
      </w:r>
      <w:r>
        <w:rPr>
          <w:rFonts w:eastAsia="Times New Roman" w:cs="Arial"/>
          <w:b/>
          <w:lang w:eastAsia="en-AU"/>
        </w:rPr>
        <w:t>1</w:t>
      </w:r>
      <w:r w:rsidR="00690EA0">
        <w:rPr>
          <w:rFonts w:eastAsia="Times New Roman" w:cs="Arial"/>
          <w:b/>
          <w:lang w:eastAsia="en-AU"/>
        </w:rPr>
        <w:t>5</w:t>
      </w:r>
      <w:r w:rsidRPr="001B11C5">
        <w:rPr>
          <w:rFonts w:eastAsia="Times New Roman" w:cs="Arial"/>
          <w:b/>
          <w:lang w:eastAsia="en-AU"/>
        </w:rPr>
        <w:t>:</w:t>
      </w:r>
      <w:r>
        <w:rPr>
          <w:rFonts w:eastAsia="Times New Roman" w:cs="Arial"/>
          <w:lang w:eastAsia="en-AU"/>
        </w:rPr>
        <w:t xml:space="preserve"> </w:t>
      </w:r>
      <w:r w:rsidR="003C3789">
        <w:rPr>
          <w:rFonts w:eastAsia="Times New Roman" w:cs="Arial"/>
          <w:lang w:eastAsia="en-AU"/>
        </w:rPr>
        <w:t xml:space="preserve">Do you believe that </w:t>
      </w:r>
      <w:r>
        <w:rPr>
          <w:rFonts w:eastAsia="Times New Roman" w:cs="Arial"/>
          <w:lang w:eastAsia="en-AU"/>
        </w:rPr>
        <w:t xml:space="preserve">any </w:t>
      </w:r>
      <w:r w:rsidR="00E0753C">
        <w:rPr>
          <w:rFonts w:eastAsia="Times New Roman" w:cs="Arial"/>
          <w:lang w:eastAsia="en-AU"/>
        </w:rPr>
        <w:t xml:space="preserve">circumstances should </w:t>
      </w:r>
      <w:r>
        <w:rPr>
          <w:rFonts w:eastAsia="Times New Roman" w:cs="Arial"/>
          <w:lang w:eastAsia="en-AU"/>
        </w:rPr>
        <w:t>be exempt from</w:t>
      </w:r>
      <w:r w:rsidR="003C3789">
        <w:rPr>
          <w:rFonts w:eastAsia="Times New Roman" w:cs="Arial"/>
          <w:lang w:eastAsia="en-AU"/>
        </w:rPr>
        <w:t xml:space="preserve"> repealing the acts of bankruptcy provided for under paragraphs 40(1)(ha) and 40(1)(hb) of the Bankruptcy Act</w:t>
      </w:r>
      <w:r w:rsidRPr="001B11C5">
        <w:rPr>
          <w:rFonts w:eastAsia="Times New Roman" w:cs="Arial"/>
          <w:lang w:eastAsia="en-AU"/>
        </w:rPr>
        <w:t>?</w:t>
      </w:r>
      <w:r w:rsidR="003C3789">
        <w:rPr>
          <w:rFonts w:eastAsia="Times New Roman" w:cs="Arial"/>
          <w:lang w:eastAsia="en-AU"/>
        </w:rPr>
        <w:t xml:space="preserve"> Please expand on your response</w:t>
      </w:r>
      <w:r w:rsidR="00C2552E">
        <w:rPr>
          <w:rFonts w:eastAsia="Times New Roman" w:cs="Arial"/>
          <w:lang w:eastAsia="en-AU"/>
        </w:rPr>
        <w:t xml:space="preserve"> </w:t>
      </w:r>
      <w:r w:rsidR="00072BD1">
        <w:rPr>
          <w:rFonts w:eastAsia="Times New Roman" w:cs="Arial"/>
          <w:lang w:eastAsia="en-AU"/>
        </w:rPr>
        <w:t xml:space="preserve">and </w:t>
      </w:r>
      <w:r w:rsidR="00C2552E">
        <w:rPr>
          <w:rFonts w:eastAsia="Times New Roman" w:cs="Arial"/>
          <w:lang w:eastAsia="en-AU"/>
        </w:rPr>
        <w:t>identify the circumstances you consider should be exempt and explain why.</w:t>
      </w:r>
    </w:p>
    <w:p w14:paraId="3BC12C07" w14:textId="5DF28C62" w:rsidR="00494844" w:rsidRDefault="00494844" w:rsidP="00494844">
      <w:pPr>
        <w:pStyle w:val="ListParagraph"/>
        <w:numPr>
          <w:ilvl w:val="0"/>
          <w:numId w:val="24"/>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lang w:eastAsia="en-AU"/>
        </w:rPr>
        <w:t>Question 1</w:t>
      </w:r>
      <w:r w:rsidR="00072BD1">
        <w:rPr>
          <w:rFonts w:eastAsia="Times New Roman" w:cs="Arial"/>
          <w:b/>
          <w:lang w:eastAsia="en-AU"/>
        </w:rPr>
        <w:t>6</w:t>
      </w:r>
      <w:r>
        <w:rPr>
          <w:rFonts w:eastAsia="Times New Roman" w:cs="Arial"/>
          <w:b/>
          <w:lang w:eastAsia="en-AU"/>
        </w:rPr>
        <w:t>:</w:t>
      </w:r>
      <w:r>
        <w:rPr>
          <w:rFonts w:eastAsia="Times New Roman" w:cs="Arial"/>
          <w:lang w:eastAsia="en-AU"/>
        </w:rPr>
        <w:t xml:space="preserve"> </w:t>
      </w:r>
      <w:r w:rsidR="003C3789">
        <w:rPr>
          <w:rFonts w:eastAsia="Times New Roman" w:cs="Arial"/>
          <w:lang w:eastAsia="en-AU"/>
        </w:rPr>
        <w:t>If you</w:t>
      </w:r>
      <w:r w:rsidR="002A5C65">
        <w:rPr>
          <w:rFonts w:eastAsia="Times New Roman" w:cs="Arial"/>
          <w:lang w:eastAsia="en-AU"/>
        </w:rPr>
        <w:t xml:space="preserve"> support a reform to repeal paragraphs 40(1)(ha) and 40(1)(hb) of the Bankruptcy Act</w:t>
      </w:r>
      <w:r>
        <w:rPr>
          <w:rFonts w:eastAsia="Times New Roman" w:cs="Arial"/>
          <w:lang w:eastAsia="en-AU"/>
        </w:rPr>
        <w:t>, should there be a transition period before any reforms take effect?</w:t>
      </w:r>
      <w:r w:rsidR="00826BF3" w:rsidRPr="00826BF3">
        <w:t xml:space="preserve"> </w:t>
      </w:r>
      <w:r w:rsidR="00826BF3" w:rsidRPr="00826BF3">
        <w:rPr>
          <w:rFonts w:eastAsia="Times New Roman" w:cs="Arial"/>
          <w:lang w:eastAsia="en-AU"/>
        </w:rPr>
        <w:t>Please expand on your response</w:t>
      </w:r>
      <w:r w:rsidR="00826BF3">
        <w:rPr>
          <w:rFonts w:eastAsia="Times New Roman" w:cs="Arial"/>
          <w:lang w:eastAsia="en-AU"/>
        </w:rPr>
        <w:t>.</w:t>
      </w:r>
    </w:p>
    <w:p w14:paraId="4E4D4AE3" w14:textId="20085FB0" w:rsidR="000925C6" w:rsidRPr="001B11C5" w:rsidRDefault="00690EA0" w:rsidP="000925C6">
      <w:pPr>
        <w:pStyle w:val="ListParagraph"/>
        <w:numPr>
          <w:ilvl w:val="0"/>
          <w:numId w:val="24"/>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sidRPr="00690EA0">
        <w:rPr>
          <w:rFonts w:eastAsia="Times New Roman" w:cs="Arial"/>
          <w:b/>
          <w:lang w:eastAsia="en-AU"/>
        </w:rPr>
        <w:t>Question 1</w:t>
      </w:r>
      <w:r w:rsidR="00072BD1">
        <w:rPr>
          <w:rFonts w:eastAsia="Times New Roman" w:cs="Arial"/>
          <w:b/>
          <w:lang w:eastAsia="en-AU"/>
        </w:rPr>
        <w:t>7</w:t>
      </w:r>
      <w:r w:rsidRPr="00690EA0">
        <w:rPr>
          <w:rFonts w:eastAsia="Times New Roman" w:cs="Arial"/>
          <w:b/>
          <w:lang w:eastAsia="en-AU"/>
        </w:rPr>
        <w:t>:</w:t>
      </w:r>
      <w:r w:rsidR="003C3789">
        <w:rPr>
          <w:rFonts w:eastAsia="Times New Roman" w:cs="Arial"/>
          <w:lang w:eastAsia="en-AU"/>
        </w:rPr>
        <w:t xml:space="preserve"> </w:t>
      </w:r>
      <w:r w:rsidR="008A076D">
        <w:rPr>
          <w:rFonts w:eastAsia="Times New Roman" w:cs="Arial"/>
          <w:lang w:eastAsia="en-AU"/>
        </w:rPr>
        <w:t xml:space="preserve">If </w:t>
      </w:r>
      <w:r w:rsidR="002A5C65">
        <w:rPr>
          <w:rFonts w:eastAsia="Times New Roman" w:cs="Arial"/>
          <w:lang w:eastAsia="en-AU"/>
        </w:rPr>
        <w:t>you do not support a reform to repeal paragraphs 40(1)(ha) and 40(1)(hb) of the Bankruptcy Act</w:t>
      </w:r>
      <w:r w:rsidR="000925C6" w:rsidRPr="0074707D">
        <w:rPr>
          <w:rFonts w:eastAsia="Times New Roman" w:cs="Arial"/>
          <w:lang w:eastAsia="en-AU"/>
        </w:rPr>
        <w:t>, please</w:t>
      </w:r>
      <w:r w:rsidR="005061B8">
        <w:rPr>
          <w:rFonts w:eastAsia="Times New Roman" w:cs="Arial"/>
          <w:lang w:eastAsia="en-AU"/>
        </w:rPr>
        <w:t xml:space="preserve"> expand on your response. </w:t>
      </w:r>
    </w:p>
    <w:p w14:paraId="580759C6" w14:textId="2EEC9FF1" w:rsidR="00F97D16" w:rsidRPr="00494844" w:rsidRDefault="00F97D16" w:rsidP="00F97D16">
      <w:pPr>
        <w:rPr>
          <w:b/>
          <w:sz w:val="32"/>
          <w:szCs w:val="32"/>
        </w:rPr>
      </w:pPr>
      <w:r w:rsidRPr="00494844">
        <w:rPr>
          <w:b/>
          <w:sz w:val="32"/>
          <w:szCs w:val="32"/>
        </w:rPr>
        <w:t>Overview</w:t>
      </w:r>
    </w:p>
    <w:p w14:paraId="6BCC9259" w14:textId="4D5B19AD" w:rsidR="00EA4E62" w:rsidRDefault="00EA4E62" w:rsidP="00EA4E62">
      <w:pPr>
        <w:rPr>
          <w:rFonts w:asciiTheme="minorHAnsi" w:eastAsiaTheme="minorHAnsi" w:hAnsiTheme="minorHAnsi" w:cstheme="minorBidi"/>
          <w:w w:val="100"/>
          <w:kern w:val="0"/>
        </w:rPr>
      </w:pPr>
      <w:r w:rsidRPr="00342B54">
        <w:rPr>
          <w:rFonts w:asciiTheme="minorHAnsi" w:eastAsiaTheme="minorHAnsi" w:hAnsiTheme="minorHAnsi" w:cstheme="minorBidi"/>
          <w:w w:val="100"/>
          <w:kern w:val="0"/>
        </w:rPr>
        <w:t>Debt agreements are a voluntary</w:t>
      </w:r>
      <w:r w:rsidR="00AE19B6">
        <w:rPr>
          <w:rFonts w:asciiTheme="minorHAnsi" w:eastAsiaTheme="minorHAnsi" w:hAnsiTheme="minorHAnsi" w:cstheme="minorBidi"/>
          <w:w w:val="100"/>
          <w:kern w:val="0"/>
        </w:rPr>
        <w:t xml:space="preserve"> and legally binding</w:t>
      </w:r>
      <w:r w:rsidRPr="00342B54">
        <w:rPr>
          <w:rFonts w:asciiTheme="minorHAnsi" w:eastAsiaTheme="minorHAnsi" w:hAnsiTheme="minorHAnsi" w:cstheme="minorBidi"/>
          <w:w w:val="100"/>
          <w:kern w:val="0"/>
        </w:rPr>
        <w:t xml:space="preserve"> arrangement between a debtor and their creditors, provided for in Part IX of the B</w:t>
      </w:r>
      <w:r w:rsidR="00653443">
        <w:rPr>
          <w:rFonts w:asciiTheme="minorHAnsi" w:eastAsiaTheme="minorHAnsi" w:hAnsiTheme="minorHAnsi" w:cstheme="minorBidi"/>
          <w:w w:val="100"/>
          <w:kern w:val="0"/>
        </w:rPr>
        <w:t>ankruptcy Act</w:t>
      </w:r>
      <w:r w:rsidRPr="00342B54">
        <w:rPr>
          <w:rFonts w:asciiTheme="minorHAnsi" w:eastAsiaTheme="minorHAnsi" w:hAnsiTheme="minorHAnsi" w:cstheme="minorBidi"/>
          <w:w w:val="100"/>
          <w:kern w:val="0"/>
        </w:rPr>
        <w:t xml:space="preserve">. Debt agreements were introduced in 1996 as a statutory alternative to bankruptcy for debtors with relatively low levels of debt, assets and income. A debtor with debts, assets and income level below the prescribed amounts in the Bankruptcy Act can make a debt agreement proposal to their creditors using a registered debt agreement administrator. </w:t>
      </w:r>
    </w:p>
    <w:p w14:paraId="2D73C92D" w14:textId="1A515524" w:rsidR="00936219" w:rsidRDefault="00AE19B6" w:rsidP="00936219">
      <w:pPr>
        <w:rPr>
          <w:rFonts w:asciiTheme="minorHAnsi" w:eastAsiaTheme="minorHAnsi" w:hAnsiTheme="minorHAnsi" w:cstheme="minorBidi"/>
          <w:w w:val="100"/>
          <w:kern w:val="0"/>
        </w:rPr>
      </w:pPr>
      <w:r>
        <w:rPr>
          <w:rFonts w:asciiTheme="minorHAnsi" w:eastAsiaTheme="minorHAnsi" w:hAnsiTheme="minorHAnsi" w:cstheme="minorBidi"/>
          <w:w w:val="100"/>
          <w:kern w:val="0"/>
        </w:rPr>
        <w:t xml:space="preserve">The debt agreement regime </w:t>
      </w:r>
      <w:r w:rsidR="003950BB">
        <w:rPr>
          <w:rFonts w:asciiTheme="minorHAnsi" w:eastAsiaTheme="minorHAnsi" w:hAnsiTheme="minorHAnsi" w:cstheme="minorBidi"/>
          <w:w w:val="100"/>
          <w:kern w:val="0"/>
        </w:rPr>
        <w:t>was introduced to the Bankruptcy Ac</w:t>
      </w:r>
      <w:r>
        <w:rPr>
          <w:rFonts w:asciiTheme="minorHAnsi" w:eastAsiaTheme="minorHAnsi" w:hAnsiTheme="minorHAnsi" w:cstheme="minorBidi"/>
          <w:w w:val="100"/>
          <w:kern w:val="0"/>
        </w:rPr>
        <w:t>t to</w:t>
      </w:r>
      <w:r w:rsidR="003950BB">
        <w:rPr>
          <w:rFonts w:asciiTheme="minorHAnsi" w:eastAsiaTheme="minorHAnsi" w:hAnsiTheme="minorHAnsi" w:cstheme="minorBidi"/>
          <w:w w:val="100"/>
          <w:kern w:val="0"/>
        </w:rPr>
        <w:t xml:space="preserve"> allow debtors to avoid bankruptcy by settling debts in an alternative and more flexible way to bankruptcy</w:t>
      </w:r>
      <w:r>
        <w:rPr>
          <w:rFonts w:asciiTheme="minorHAnsi" w:eastAsiaTheme="minorHAnsi" w:hAnsiTheme="minorHAnsi" w:cstheme="minorBidi"/>
          <w:w w:val="100"/>
          <w:kern w:val="0"/>
        </w:rPr>
        <w:t>. A debtor with a debt under $10,000 can develop a debt agreement proposal in consultation with a registered debt agreement administrator and/or financial counsellor to pay a percentage of their combined provable debts,</w:t>
      </w:r>
      <w:r>
        <w:rPr>
          <w:rStyle w:val="EndnoteReference"/>
          <w:rFonts w:asciiTheme="minorHAnsi" w:eastAsiaTheme="minorHAnsi" w:hAnsiTheme="minorHAnsi" w:cstheme="minorBidi"/>
          <w:w w:val="100"/>
          <w:kern w:val="0"/>
        </w:rPr>
        <w:endnoteReference w:id="13"/>
      </w:r>
      <w:r>
        <w:rPr>
          <w:rFonts w:asciiTheme="minorHAnsi" w:eastAsiaTheme="minorHAnsi" w:hAnsiTheme="minorHAnsi" w:cstheme="minorBidi"/>
          <w:w w:val="100"/>
          <w:kern w:val="0"/>
        </w:rPr>
        <w:t xml:space="preserve"> which they can afford, to each creditor owed a debt over a specified period of time (up to </w:t>
      </w:r>
      <w:r w:rsidR="000B6EC0">
        <w:rPr>
          <w:rFonts w:asciiTheme="minorHAnsi" w:eastAsiaTheme="minorHAnsi" w:hAnsiTheme="minorHAnsi" w:cstheme="minorBidi"/>
          <w:w w:val="100"/>
          <w:kern w:val="0"/>
        </w:rPr>
        <w:t>five</w:t>
      </w:r>
      <w:r>
        <w:rPr>
          <w:rFonts w:asciiTheme="minorHAnsi" w:eastAsiaTheme="minorHAnsi" w:hAnsiTheme="minorHAnsi" w:cstheme="minorBidi"/>
          <w:w w:val="100"/>
          <w:kern w:val="0"/>
        </w:rPr>
        <w:t xml:space="preserve"> years). By having carriage over the</w:t>
      </w:r>
      <w:r w:rsidR="00936219">
        <w:rPr>
          <w:rFonts w:asciiTheme="minorHAnsi" w:eastAsiaTheme="minorHAnsi" w:hAnsiTheme="minorHAnsi" w:cstheme="minorBidi"/>
          <w:w w:val="100"/>
          <w:kern w:val="0"/>
        </w:rPr>
        <w:t xml:space="preserve"> terms of the</w:t>
      </w:r>
      <w:r>
        <w:rPr>
          <w:rFonts w:asciiTheme="minorHAnsi" w:eastAsiaTheme="minorHAnsi" w:hAnsiTheme="minorHAnsi" w:cstheme="minorBidi"/>
          <w:w w:val="100"/>
          <w:kern w:val="0"/>
        </w:rPr>
        <w:t xml:space="preserve"> proposal, the regime creates an opportunity for </w:t>
      </w:r>
      <w:r w:rsidR="00936219">
        <w:rPr>
          <w:rFonts w:asciiTheme="minorHAnsi" w:eastAsiaTheme="minorHAnsi" w:hAnsiTheme="minorHAnsi" w:cstheme="minorBidi"/>
          <w:w w:val="100"/>
          <w:kern w:val="0"/>
        </w:rPr>
        <w:t xml:space="preserve">debtors </w:t>
      </w:r>
      <w:r>
        <w:rPr>
          <w:rFonts w:asciiTheme="minorHAnsi" w:eastAsiaTheme="minorHAnsi" w:hAnsiTheme="minorHAnsi" w:cstheme="minorBidi"/>
          <w:w w:val="100"/>
          <w:kern w:val="0"/>
        </w:rPr>
        <w:t>to maintain control over their financial affairs, realise the value in any assets they might own to help repay their debt</w:t>
      </w:r>
      <w:r w:rsidR="00936219">
        <w:rPr>
          <w:rFonts w:asciiTheme="minorHAnsi" w:eastAsiaTheme="minorHAnsi" w:hAnsiTheme="minorHAnsi" w:cstheme="minorBidi"/>
          <w:w w:val="100"/>
          <w:kern w:val="0"/>
        </w:rPr>
        <w:t>s</w:t>
      </w:r>
      <w:r>
        <w:rPr>
          <w:rFonts w:asciiTheme="minorHAnsi" w:eastAsiaTheme="minorHAnsi" w:hAnsiTheme="minorHAnsi" w:cstheme="minorBidi"/>
          <w:w w:val="100"/>
          <w:kern w:val="0"/>
        </w:rPr>
        <w:t xml:space="preserve"> and/or retain some of their assets in the process.</w:t>
      </w:r>
      <w:r w:rsidR="00936219" w:rsidRPr="00936219">
        <w:rPr>
          <w:rFonts w:asciiTheme="minorHAnsi" w:eastAsiaTheme="minorHAnsi" w:hAnsiTheme="minorHAnsi" w:cstheme="minorBidi"/>
          <w:w w:val="100"/>
          <w:kern w:val="0"/>
        </w:rPr>
        <w:t xml:space="preserve"> </w:t>
      </w:r>
    </w:p>
    <w:p w14:paraId="5756643C" w14:textId="22D3D38A" w:rsidR="00546E48" w:rsidRDefault="00036632" w:rsidP="00332B23">
      <w:pPr>
        <w:rPr>
          <w:rFonts w:asciiTheme="minorHAnsi" w:eastAsiaTheme="minorHAnsi" w:hAnsiTheme="minorHAnsi" w:cstheme="minorBidi"/>
          <w:w w:val="100"/>
          <w:kern w:val="0"/>
        </w:rPr>
      </w:pPr>
      <w:r>
        <w:rPr>
          <w:rFonts w:asciiTheme="minorHAnsi" w:eastAsiaTheme="minorHAnsi" w:hAnsiTheme="minorHAnsi" w:cstheme="minorHAnsi"/>
          <w:w w:val="100"/>
          <w:kern w:val="0"/>
        </w:rPr>
        <w:t xml:space="preserve">Paragraphs </w:t>
      </w:r>
      <w:r w:rsidR="008225FE" w:rsidRPr="00650120">
        <w:rPr>
          <w:rFonts w:asciiTheme="minorHAnsi" w:eastAsiaTheme="minorHAnsi" w:hAnsiTheme="minorHAnsi" w:cstheme="minorHAnsi"/>
          <w:w w:val="100"/>
          <w:kern w:val="0"/>
        </w:rPr>
        <w:t>40(1)(ha)-(hc) of the Bankruptcy Act</w:t>
      </w:r>
      <w:r w:rsidR="00DF42CD">
        <w:rPr>
          <w:rFonts w:asciiTheme="minorHAnsi" w:eastAsiaTheme="minorHAnsi" w:hAnsiTheme="minorHAnsi" w:cstheme="minorHAnsi"/>
          <w:w w:val="100"/>
          <w:kern w:val="0"/>
        </w:rPr>
        <w:t xml:space="preserve"> </w:t>
      </w:r>
      <w:r w:rsidR="009A6FAC">
        <w:rPr>
          <w:rFonts w:asciiTheme="minorHAnsi" w:hAnsiTheme="minorHAnsi" w:cstheme="minorHAnsi"/>
        </w:rPr>
        <w:t xml:space="preserve">provide that </w:t>
      </w:r>
      <w:r w:rsidR="00546E48" w:rsidRPr="00E5224D">
        <w:rPr>
          <w:rFonts w:asciiTheme="minorHAnsi" w:hAnsiTheme="minorHAnsi" w:cstheme="minorHAnsi"/>
        </w:rPr>
        <w:t>entering into a debt agreement, having an agreement accepted by a creditor or defaulting on a debt agreement is considered to be an ‘act of bankruptcy’.</w:t>
      </w:r>
      <w:r w:rsidR="00CC3187">
        <w:rPr>
          <w:rFonts w:asciiTheme="minorHAnsi" w:hAnsiTheme="minorHAnsi" w:cstheme="minorHAnsi"/>
        </w:rPr>
        <w:t xml:space="preserve"> </w:t>
      </w:r>
      <w:r w:rsidR="008B6A28">
        <w:rPr>
          <w:rFonts w:asciiTheme="minorHAnsi" w:hAnsiTheme="minorHAnsi" w:cstheme="minorHAnsi"/>
        </w:rPr>
        <w:t xml:space="preserve">The occurrence of an </w:t>
      </w:r>
      <w:r w:rsidR="00546E48" w:rsidRPr="00E5224D">
        <w:rPr>
          <w:rFonts w:asciiTheme="minorHAnsi" w:hAnsiTheme="minorHAnsi" w:cstheme="minorHAnsi"/>
        </w:rPr>
        <w:t xml:space="preserve">‘act of bankruptcy’ allows a creditor to present a petition against a debtor </w:t>
      </w:r>
      <w:r w:rsidR="00546E48" w:rsidRPr="00E5224D">
        <w:rPr>
          <w:rFonts w:asciiTheme="minorHAnsi" w:hAnsiTheme="minorHAnsi" w:cstheme="minorHAnsi"/>
          <w:color w:val="000000"/>
          <w:shd w:val="clear" w:color="auto" w:fill="FFFFFF"/>
        </w:rPr>
        <w:t xml:space="preserve">within </w:t>
      </w:r>
      <w:r w:rsidR="00E522EE">
        <w:rPr>
          <w:rFonts w:asciiTheme="minorHAnsi" w:hAnsiTheme="minorHAnsi" w:cstheme="minorHAnsi"/>
          <w:color w:val="000000"/>
          <w:shd w:val="clear" w:color="auto" w:fill="FFFFFF"/>
        </w:rPr>
        <w:t>six</w:t>
      </w:r>
      <w:r w:rsidR="00546E48" w:rsidRPr="00E5224D">
        <w:rPr>
          <w:rFonts w:asciiTheme="minorHAnsi" w:hAnsiTheme="minorHAnsi" w:cstheme="minorHAnsi"/>
          <w:color w:val="000000"/>
          <w:shd w:val="clear" w:color="auto" w:fill="FFFFFF"/>
        </w:rPr>
        <w:t xml:space="preserve"> months of that ‘act of bankruptcy’ occurring</w:t>
      </w:r>
      <w:r w:rsidR="00546E48" w:rsidRPr="00E5224D">
        <w:rPr>
          <w:rFonts w:asciiTheme="minorHAnsi" w:hAnsiTheme="minorHAnsi" w:cstheme="minorHAnsi"/>
        </w:rPr>
        <w:t>.</w:t>
      </w:r>
      <w:r w:rsidR="00546E48">
        <w:rPr>
          <w:rStyle w:val="EndnoteReference"/>
          <w:rFonts w:asciiTheme="minorHAnsi" w:hAnsiTheme="minorHAnsi" w:cstheme="minorHAnsi"/>
        </w:rPr>
        <w:endnoteReference w:id="14"/>
      </w:r>
      <w:r w:rsidR="00DF42CD" w:rsidRPr="00DF42CD">
        <w:rPr>
          <w:rFonts w:asciiTheme="minorHAnsi" w:eastAsiaTheme="minorHAnsi" w:hAnsiTheme="minorHAnsi" w:cstheme="minorBidi"/>
          <w:w w:val="100"/>
          <w:kern w:val="0"/>
        </w:rPr>
        <w:t xml:space="preserve"> </w:t>
      </w:r>
    </w:p>
    <w:p w14:paraId="210ECB8A" w14:textId="3E07DF83" w:rsidR="00A65AC8" w:rsidRPr="00FC5F9B" w:rsidRDefault="00A65AC8" w:rsidP="00332B23">
      <w:pPr>
        <w:rPr>
          <w:rFonts w:asciiTheme="minorHAnsi" w:hAnsiTheme="minorHAnsi" w:cstheme="minorHAnsi"/>
        </w:rPr>
      </w:pPr>
      <w:r w:rsidRPr="00FC5F9B">
        <w:rPr>
          <w:rFonts w:asciiTheme="minorHAnsi" w:hAnsiTheme="minorHAnsi" w:cstheme="minorHAnsi"/>
        </w:rPr>
        <w:t xml:space="preserve">Noting that the debt agreement regime was introduced to the Bankruptcy Act as an alternative measure to bankruptcy, the </w:t>
      </w:r>
      <w:r w:rsidR="00190659">
        <w:rPr>
          <w:rFonts w:asciiTheme="minorHAnsi" w:hAnsiTheme="minorHAnsi" w:cstheme="minorHAnsi"/>
        </w:rPr>
        <w:t>department</w:t>
      </w:r>
      <w:r w:rsidRPr="00FC5F9B">
        <w:rPr>
          <w:rFonts w:asciiTheme="minorHAnsi" w:hAnsiTheme="minorHAnsi" w:cstheme="minorHAnsi"/>
        </w:rPr>
        <w:t>’s proposal to amend the Bankruptcy Act aims to encourage the uptake of debt agreements with the entering into</w:t>
      </w:r>
      <w:r w:rsidR="00936219">
        <w:rPr>
          <w:rFonts w:asciiTheme="minorHAnsi" w:hAnsiTheme="minorHAnsi" w:cstheme="minorHAnsi"/>
        </w:rPr>
        <w:t xml:space="preserve"> of a</w:t>
      </w:r>
      <w:r w:rsidRPr="00FC5F9B">
        <w:rPr>
          <w:rFonts w:asciiTheme="minorHAnsi" w:hAnsiTheme="minorHAnsi" w:cstheme="minorHAnsi"/>
        </w:rPr>
        <w:t xml:space="preserve"> debt agreement within the personal insolvency system</w:t>
      </w:r>
      <w:r w:rsidR="00936219">
        <w:rPr>
          <w:rFonts w:asciiTheme="minorHAnsi" w:hAnsiTheme="minorHAnsi" w:cstheme="minorHAnsi"/>
        </w:rPr>
        <w:t xml:space="preserve"> by:</w:t>
      </w:r>
    </w:p>
    <w:p w14:paraId="00DB2EF8" w14:textId="7F01CEFD" w:rsidR="00A65AC8" w:rsidRPr="00FC5F9B" w:rsidRDefault="00A65AC8">
      <w:pPr>
        <w:pStyle w:val="ListParagraph"/>
        <w:numPr>
          <w:ilvl w:val="0"/>
          <w:numId w:val="7"/>
        </w:numPr>
        <w:spacing w:line="276" w:lineRule="auto"/>
        <w:rPr>
          <w:rFonts w:cstheme="minorHAnsi"/>
          <w:color w:val="333333"/>
        </w:rPr>
      </w:pPr>
      <w:r w:rsidRPr="00A65AC8">
        <w:rPr>
          <w:rFonts w:cstheme="minorHAnsi"/>
          <w:color w:val="333333"/>
        </w:rPr>
        <w:t>improving access to debt agreements</w:t>
      </w:r>
      <w:r w:rsidR="00936219">
        <w:rPr>
          <w:rFonts w:cstheme="minorHAnsi"/>
          <w:color w:val="333333"/>
        </w:rPr>
        <w:t xml:space="preserve"> and </w:t>
      </w:r>
      <w:r w:rsidRPr="00FC5F9B">
        <w:rPr>
          <w:rFonts w:cstheme="minorHAnsi"/>
          <w:color w:val="333333"/>
        </w:rPr>
        <w:t xml:space="preserve">minimising the consequences </w:t>
      </w:r>
      <w:r w:rsidR="00936219" w:rsidRPr="00FC5F9B">
        <w:rPr>
          <w:rFonts w:cstheme="minorHAnsi"/>
          <w:color w:val="333333"/>
        </w:rPr>
        <w:t>under subsection 40(1) of the Bankruptcy Act</w:t>
      </w:r>
      <w:r w:rsidRPr="00FC5F9B">
        <w:rPr>
          <w:rFonts w:cstheme="minorHAnsi"/>
          <w:color w:val="333333"/>
        </w:rPr>
        <w:t xml:space="preserve">; and </w:t>
      </w:r>
    </w:p>
    <w:p w14:paraId="7108912D" w14:textId="4F167669" w:rsidR="00E6157A" w:rsidRPr="00A65AC8" w:rsidRDefault="00A65AC8" w:rsidP="00A65AC8">
      <w:pPr>
        <w:pStyle w:val="ListParagraph"/>
        <w:numPr>
          <w:ilvl w:val="0"/>
          <w:numId w:val="7"/>
        </w:numPr>
        <w:spacing w:line="276" w:lineRule="auto"/>
        <w:rPr>
          <w:rFonts w:cstheme="minorHAnsi"/>
          <w:color w:val="333333"/>
        </w:rPr>
      </w:pPr>
      <w:r w:rsidRPr="00A65AC8">
        <w:rPr>
          <w:rFonts w:cstheme="minorHAnsi"/>
          <w:color w:val="333333"/>
        </w:rPr>
        <w:lastRenderedPageBreak/>
        <w:t xml:space="preserve">maintaining the debt agreement regime as additional safeguard mechanism for vulnerable debtors in the prevention and/or avoidance of bankruptcy. </w:t>
      </w:r>
    </w:p>
    <w:p w14:paraId="3A66642A" w14:textId="69E80AD7" w:rsidR="00494844" w:rsidRDefault="00494844" w:rsidP="00494844">
      <w:pPr>
        <w:rPr>
          <w:b/>
          <w:i/>
          <w:sz w:val="32"/>
          <w:szCs w:val="32"/>
        </w:rPr>
      </w:pPr>
      <w:r w:rsidRPr="00FE54FA">
        <w:rPr>
          <w:b/>
          <w:i/>
          <w:sz w:val="32"/>
          <w:szCs w:val="32"/>
        </w:rPr>
        <w:t xml:space="preserve">Stakeholder </w:t>
      </w:r>
      <w:r w:rsidR="00E522EE">
        <w:rPr>
          <w:b/>
          <w:i/>
          <w:sz w:val="32"/>
          <w:szCs w:val="32"/>
        </w:rPr>
        <w:t>c</w:t>
      </w:r>
      <w:r w:rsidRPr="00FE54FA">
        <w:rPr>
          <w:b/>
          <w:i/>
          <w:sz w:val="32"/>
          <w:szCs w:val="32"/>
        </w:rPr>
        <w:t>onsultation</w:t>
      </w:r>
    </w:p>
    <w:p w14:paraId="308002BE" w14:textId="5192E5C9" w:rsidR="001816C0" w:rsidRDefault="00646A0C" w:rsidP="00494844">
      <w:pPr>
        <w:rPr>
          <w:rFonts w:asciiTheme="minorHAnsi" w:hAnsiTheme="minorHAnsi" w:cstheme="minorHAnsi"/>
        </w:rPr>
      </w:pPr>
      <w:r>
        <w:rPr>
          <w:rFonts w:asciiTheme="minorHAnsi" w:hAnsiTheme="minorHAnsi" w:cstheme="minorHAnsi"/>
        </w:rPr>
        <w:t>Many stakeholders support the position</w:t>
      </w:r>
      <w:r w:rsidR="001816C0">
        <w:rPr>
          <w:rFonts w:asciiTheme="minorHAnsi" w:hAnsiTheme="minorHAnsi" w:cstheme="minorHAnsi"/>
        </w:rPr>
        <w:t xml:space="preserve"> </w:t>
      </w:r>
      <w:r w:rsidR="007930BB">
        <w:rPr>
          <w:rFonts w:asciiTheme="minorHAnsi" w:hAnsiTheme="minorHAnsi" w:cstheme="minorHAnsi"/>
        </w:rPr>
        <w:t xml:space="preserve">that </w:t>
      </w:r>
      <w:r w:rsidR="007930BB" w:rsidRPr="007930BB">
        <w:rPr>
          <w:rFonts w:asciiTheme="minorHAnsi" w:hAnsiTheme="minorHAnsi" w:cstheme="minorHAnsi"/>
        </w:rPr>
        <w:t>entering into a debt agreement or having that debt agreement accepted by creditors should no longer be considered an ‘act of bankruptcy’ under paragraphs 40(1)(ha) and 40(1)(hb)</w:t>
      </w:r>
      <w:r w:rsidR="005A0E32">
        <w:rPr>
          <w:rFonts w:asciiTheme="minorHAnsi" w:hAnsiTheme="minorHAnsi" w:cstheme="minorHAnsi"/>
        </w:rPr>
        <w:t xml:space="preserve"> of the Bankruptcy Act</w:t>
      </w:r>
      <w:r w:rsidR="007930BB" w:rsidRPr="007930BB">
        <w:rPr>
          <w:rFonts w:asciiTheme="minorHAnsi" w:hAnsiTheme="minorHAnsi" w:cstheme="minorHAnsi"/>
        </w:rPr>
        <w:t>.</w:t>
      </w:r>
    </w:p>
    <w:p w14:paraId="54A55DAA" w14:textId="1F0157B3" w:rsidR="007930BB" w:rsidRDefault="00646A0C" w:rsidP="00494844">
      <w:pPr>
        <w:rPr>
          <w:rFonts w:asciiTheme="minorHAnsi" w:hAnsiTheme="minorHAnsi" w:cstheme="minorHAnsi"/>
        </w:rPr>
      </w:pPr>
      <w:r>
        <w:rPr>
          <w:rFonts w:asciiTheme="minorHAnsi" w:hAnsiTheme="minorHAnsi" w:cstheme="minorHAnsi"/>
        </w:rPr>
        <w:t>In support of this position, s</w:t>
      </w:r>
      <w:r w:rsidR="007930BB">
        <w:rPr>
          <w:rFonts w:asciiTheme="minorHAnsi" w:hAnsiTheme="minorHAnsi" w:cstheme="minorHAnsi"/>
        </w:rPr>
        <w:t xml:space="preserve">takeholders </w:t>
      </w:r>
      <w:r>
        <w:rPr>
          <w:rFonts w:asciiTheme="minorHAnsi" w:hAnsiTheme="minorHAnsi" w:cstheme="minorHAnsi"/>
        </w:rPr>
        <w:t xml:space="preserve">have </w:t>
      </w:r>
      <w:r w:rsidR="005A0E32">
        <w:rPr>
          <w:rFonts w:asciiTheme="minorHAnsi" w:hAnsiTheme="minorHAnsi" w:cstheme="minorHAnsi"/>
        </w:rPr>
        <w:t>raised that debtors may:</w:t>
      </w:r>
      <w:r w:rsidR="0036002D" w:rsidRPr="0036002D">
        <w:rPr>
          <w:rFonts w:asciiTheme="minorHAnsi" w:hAnsiTheme="minorHAnsi" w:cstheme="minorHAnsi"/>
        </w:rPr>
        <w:t xml:space="preserve"> </w:t>
      </w:r>
    </w:p>
    <w:p w14:paraId="2019D4CC" w14:textId="71076DB4" w:rsidR="007930BB" w:rsidRPr="007C00BA" w:rsidRDefault="007930BB" w:rsidP="00AF553B">
      <w:pPr>
        <w:pStyle w:val="ListParagraph"/>
        <w:numPr>
          <w:ilvl w:val="0"/>
          <w:numId w:val="7"/>
        </w:numPr>
        <w:spacing w:line="276" w:lineRule="auto"/>
      </w:pPr>
      <w:r>
        <w:rPr>
          <w:rFonts w:cstheme="minorHAnsi"/>
        </w:rPr>
        <w:t xml:space="preserve">be hesitant </w:t>
      </w:r>
      <w:r w:rsidRPr="007930BB">
        <w:rPr>
          <w:rFonts w:cstheme="minorHAnsi"/>
        </w:rPr>
        <w:t>to enter in debt agreements because they may not be accepted by creditors</w:t>
      </w:r>
      <w:r>
        <w:rPr>
          <w:rFonts w:cstheme="minorHAnsi"/>
        </w:rPr>
        <w:t xml:space="preserve">; </w:t>
      </w:r>
    </w:p>
    <w:p w14:paraId="242943CF" w14:textId="3204BE26" w:rsidR="007930BB" w:rsidRPr="007C00BA" w:rsidRDefault="007930BB" w:rsidP="00AF553B">
      <w:pPr>
        <w:pStyle w:val="ListParagraph"/>
        <w:numPr>
          <w:ilvl w:val="0"/>
          <w:numId w:val="7"/>
        </w:numPr>
        <w:spacing w:line="276" w:lineRule="auto"/>
      </w:pPr>
      <w:r>
        <w:rPr>
          <w:rFonts w:cstheme="minorHAnsi"/>
        </w:rPr>
        <w:t>instead</w:t>
      </w:r>
      <w:r w:rsidR="00686D4C">
        <w:rPr>
          <w:rFonts w:cstheme="minorHAnsi"/>
        </w:rPr>
        <w:t xml:space="preserve"> of entering into a debt agreement</w:t>
      </w:r>
      <w:r>
        <w:rPr>
          <w:rFonts w:cstheme="minorHAnsi"/>
        </w:rPr>
        <w:t xml:space="preserve">, opt to enter into more informal agreements with creditors; and/or </w:t>
      </w:r>
    </w:p>
    <w:p w14:paraId="6EF35E6C" w14:textId="2BC98179" w:rsidR="007930BB" w:rsidRPr="007C00BA" w:rsidRDefault="007930BB" w:rsidP="00AF553B">
      <w:pPr>
        <w:pStyle w:val="ListParagraph"/>
        <w:numPr>
          <w:ilvl w:val="0"/>
          <w:numId w:val="7"/>
        </w:numPr>
        <w:spacing w:line="276" w:lineRule="auto"/>
      </w:pPr>
      <w:r>
        <w:rPr>
          <w:rFonts w:cstheme="minorHAnsi"/>
        </w:rPr>
        <w:t>not apply for a debt agreement because they can be made involuntar</w:t>
      </w:r>
      <w:r w:rsidR="00820092">
        <w:rPr>
          <w:rFonts w:cstheme="minorHAnsi"/>
        </w:rPr>
        <w:t>il</w:t>
      </w:r>
      <w:r>
        <w:rPr>
          <w:rFonts w:cstheme="minorHAnsi"/>
        </w:rPr>
        <w:t xml:space="preserve">y bankrupt if creditors reject the application. </w:t>
      </w:r>
      <w:r>
        <w:rPr>
          <w:rStyle w:val="EndnoteReference"/>
          <w:rFonts w:cstheme="minorHAnsi"/>
        </w:rPr>
        <w:endnoteReference w:id="15"/>
      </w:r>
    </w:p>
    <w:p w14:paraId="4CFD63A9" w14:textId="70281E0D" w:rsidR="00EA4DD3" w:rsidRDefault="00646A0C" w:rsidP="00494844">
      <w:pPr>
        <w:rPr>
          <w:rFonts w:asciiTheme="minorHAnsi" w:hAnsiTheme="minorHAnsi" w:cstheme="minorHAnsi"/>
        </w:rPr>
      </w:pPr>
      <w:r>
        <w:rPr>
          <w:rFonts w:asciiTheme="minorHAnsi" w:hAnsiTheme="minorHAnsi" w:cstheme="minorHAnsi"/>
        </w:rPr>
        <w:t xml:space="preserve">The </w:t>
      </w:r>
      <w:r w:rsidR="00190659">
        <w:rPr>
          <w:rFonts w:asciiTheme="minorHAnsi" w:hAnsiTheme="minorHAnsi" w:cstheme="minorHAnsi"/>
        </w:rPr>
        <w:t>department</w:t>
      </w:r>
      <w:r>
        <w:rPr>
          <w:rFonts w:asciiTheme="minorHAnsi" w:hAnsiTheme="minorHAnsi" w:cstheme="minorHAnsi"/>
        </w:rPr>
        <w:t xml:space="preserve"> agrees that reform of </w:t>
      </w:r>
      <w:r w:rsidR="00AC4954" w:rsidRPr="00C73355">
        <w:rPr>
          <w:rFonts w:asciiTheme="minorHAnsi" w:hAnsiTheme="minorHAnsi" w:cstheme="minorHAnsi"/>
        </w:rPr>
        <w:t>subsection 40(1) of the B</w:t>
      </w:r>
      <w:r w:rsidR="00650120">
        <w:rPr>
          <w:rFonts w:asciiTheme="minorHAnsi" w:hAnsiTheme="minorHAnsi" w:cstheme="minorHAnsi"/>
        </w:rPr>
        <w:t xml:space="preserve">ankruptcy Act </w:t>
      </w:r>
      <w:r>
        <w:rPr>
          <w:rFonts w:asciiTheme="minorHAnsi" w:hAnsiTheme="minorHAnsi" w:cstheme="minorHAnsi"/>
        </w:rPr>
        <w:t xml:space="preserve">as it relates to debt agreements would better align this provision with the intended purpose of debt agreements, encourage the use of debt agreements as an alternative to bankruptcy in appropriate circumstances </w:t>
      </w:r>
      <w:r w:rsidR="0036002D" w:rsidRPr="0036002D">
        <w:rPr>
          <w:rFonts w:asciiTheme="minorHAnsi" w:hAnsiTheme="minorHAnsi" w:cstheme="minorHAnsi"/>
        </w:rPr>
        <w:t>and ensure that the debt agreement system is accessible and equitable.</w:t>
      </w:r>
    </w:p>
    <w:p w14:paraId="53316F62" w14:textId="2C0D80BE" w:rsidR="004532B6" w:rsidRPr="00D641D9" w:rsidRDefault="00650120" w:rsidP="00494844">
      <w:pPr>
        <w:rPr>
          <w:rFonts w:asciiTheme="minorHAnsi" w:hAnsiTheme="minorHAnsi" w:cstheme="minorHAnsi"/>
        </w:rPr>
      </w:pPr>
      <w:r>
        <w:rPr>
          <w:rFonts w:asciiTheme="minorHAnsi" w:hAnsiTheme="minorHAnsi" w:cstheme="minorHAnsi"/>
        </w:rPr>
        <w:t xml:space="preserve">The matter was also raised by stakeholders during the Roundtable, where it was noted that amending subsection 40(1) of the Bankruptcy Act in so far as it relates to debt agreements may assist in removing any stigma associated with entering into a debt </w:t>
      </w:r>
      <w:r w:rsidRPr="00923C12">
        <w:rPr>
          <w:rFonts w:asciiTheme="minorHAnsi" w:hAnsiTheme="minorHAnsi" w:cstheme="minorHAnsi"/>
        </w:rPr>
        <w:t>agreement</w:t>
      </w:r>
      <w:r w:rsidR="00DF42CD" w:rsidRPr="00923C12">
        <w:rPr>
          <w:rFonts w:asciiTheme="minorHAnsi" w:hAnsiTheme="minorHAnsi" w:cstheme="minorHAnsi"/>
        </w:rPr>
        <w:t xml:space="preserve"> and ensure that the measures available for the prevention of bankruptcy under the Bankruptcy Act, namely debt agreements, </w:t>
      </w:r>
      <w:r w:rsidR="00923C12" w:rsidRPr="00923C12">
        <w:rPr>
          <w:rFonts w:asciiTheme="minorHAnsi" w:hAnsiTheme="minorHAnsi" w:cstheme="minorHAnsi"/>
        </w:rPr>
        <w:t xml:space="preserve">remain accessible </w:t>
      </w:r>
      <w:r w:rsidR="00923C12">
        <w:rPr>
          <w:rFonts w:asciiTheme="minorHAnsi" w:hAnsiTheme="minorHAnsi" w:cstheme="minorHAnsi"/>
        </w:rPr>
        <w:t xml:space="preserve">to vulnerable users as </w:t>
      </w:r>
      <w:r w:rsidR="00DF42CD" w:rsidRPr="00923C12">
        <w:rPr>
          <w:rFonts w:asciiTheme="minorHAnsi" w:hAnsiTheme="minorHAnsi" w:cstheme="minorHAnsi"/>
        </w:rPr>
        <w:t>an alternative to bankruptcy.</w:t>
      </w:r>
      <w:bookmarkStart w:id="9" w:name="_Hlk138930279"/>
      <w:r w:rsidR="002E4C66">
        <w:rPr>
          <w:rFonts w:asciiTheme="minorHAnsi" w:hAnsiTheme="minorHAnsi" w:cstheme="minorHAnsi"/>
        </w:rPr>
        <w:t xml:space="preserve"> </w:t>
      </w:r>
    </w:p>
    <w:bookmarkEnd w:id="9"/>
    <w:p w14:paraId="5C67CE83" w14:textId="2CFE9154" w:rsidR="00494844" w:rsidRPr="00FE54FA" w:rsidRDefault="00C528D9" w:rsidP="00494844">
      <w:pPr>
        <w:rPr>
          <w:b/>
          <w:i/>
          <w:sz w:val="32"/>
          <w:szCs w:val="32"/>
        </w:rPr>
      </w:pPr>
      <w:r>
        <w:rPr>
          <w:b/>
          <w:i/>
          <w:sz w:val="32"/>
          <w:szCs w:val="32"/>
        </w:rPr>
        <w:t>Proposal</w:t>
      </w:r>
    </w:p>
    <w:p w14:paraId="2D5B9A6A" w14:textId="4F4DCD4D" w:rsidR="007C00BA" w:rsidRDefault="007C00BA">
      <w:pPr>
        <w:rPr>
          <w:rFonts w:asciiTheme="minorHAnsi" w:eastAsiaTheme="minorHAnsi" w:hAnsiTheme="minorHAnsi" w:cstheme="minorBidi"/>
          <w:w w:val="100"/>
          <w:kern w:val="0"/>
        </w:rPr>
      </w:pPr>
      <w:r w:rsidRPr="00AF553B">
        <w:rPr>
          <w:rFonts w:asciiTheme="minorHAnsi" w:hAnsiTheme="minorHAnsi"/>
        </w:rPr>
        <w:t xml:space="preserve">The </w:t>
      </w:r>
      <w:r w:rsidR="00190659">
        <w:rPr>
          <w:rFonts w:asciiTheme="minorHAnsi" w:hAnsiTheme="minorHAnsi"/>
        </w:rPr>
        <w:t>department</w:t>
      </w:r>
      <w:r w:rsidR="00C528D9" w:rsidRPr="00AF553B">
        <w:rPr>
          <w:rFonts w:asciiTheme="minorHAnsi" w:hAnsiTheme="minorHAnsi"/>
        </w:rPr>
        <w:t xml:space="preserve"> </w:t>
      </w:r>
      <w:r w:rsidRPr="00AF553B">
        <w:rPr>
          <w:rFonts w:asciiTheme="minorHAnsi" w:hAnsiTheme="minorHAnsi"/>
        </w:rPr>
        <w:t xml:space="preserve">has </w:t>
      </w:r>
      <w:r w:rsidR="00820092">
        <w:rPr>
          <w:rFonts w:asciiTheme="minorHAnsi" w:hAnsiTheme="minorHAnsi"/>
        </w:rPr>
        <w:t xml:space="preserve">reviewed </w:t>
      </w:r>
      <w:r w:rsidR="00C528D9">
        <w:rPr>
          <w:rFonts w:asciiTheme="minorHAnsi" w:hAnsiTheme="minorHAnsi"/>
        </w:rPr>
        <w:t>the above</w:t>
      </w:r>
      <w:r w:rsidRPr="00AF553B">
        <w:rPr>
          <w:rFonts w:asciiTheme="minorHAnsi" w:hAnsiTheme="minorHAnsi"/>
        </w:rPr>
        <w:t xml:space="preserve"> and, with consideration given to </w:t>
      </w:r>
      <w:r w:rsidR="00C528D9">
        <w:rPr>
          <w:rFonts w:asciiTheme="minorHAnsi" w:hAnsiTheme="minorHAnsi"/>
        </w:rPr>
        <w:t xml:space="preserve">ensuring the </w:t>
      </w:r>
      <w:r w:rsidR="00E522EE">
        <w:rPr>
          <w:rFonts w:asciiTheme="minorHAnsi" w:hAnsiTheme="minorHAnsi"/>
        </w:rPr>
        <w:t xml:space="preserve">Bankruptcy </w:t>
      </w:r>
      <w:r w:rsidR="00C528D9">
        <w:rPr>
          <w:rFonts w:asciiTheme="minorHAnsi" w:hAnsiTheme="minorHAnsi"/>
        </w:rPr>
        <w:t xml:space="preserve">Act supports the intent of the debt agreement system, encourage the use of debt agreements in appropriate circumstances and </w:t>
      </w:r>
      <w:r w:rsidRPr="00332B23">
        <w:rPr>
          <w:rFonts w:asciiTheme="minorHAnsi" w:eastAsiaTheme="minorHAnsi" w:hAnsiTheme="minorHAnsi" w:cstheme="minorBidi"/>
          <w:w w:val="100"/>
          <w:kern w:val="0"/>
        </w:rPr>
        <w:t>removing</w:t>
      </w:r>
      <w:r>
        <w:rPr>
          <w:rFonts w:asciiTheme="minorHAnsi" w:eastAsiaTheme="minorHAnsi" w:hAnsiTheme="minorHAnsi" w:cstheme="minorBidi"/>
          <w:w w:val="100"/>
          <w:kern w:val="0"/>
        </w:rPr>
        <w:t xml:space="preserve"> any stigma associated with entering into debt agreements, t</w:t>
      </w:r>
      <w:r w:rsidR="007930BB">
        <w:rPr>
          <w:rFonts w:asciiTheme="minorHAnsi" w:eastAsiaTheme="minorHAnsi" w:hAnsiTheme="minorHAnsi" w:cstheme="minorBidi"/>
          <w:w w:val="100"/>
          <w:kern w:val="0"/>
        </w:rPr>
        <w:t xml:space="preserve">he </w:t>
      </w:r>
      <w:r w:rsidR="00190659">
        <w:rPr>
          <w:rFonts w:asciiTheme="minorHAnsi" w:eastAsiaTheme="minorHAnsi" w:hAnsiTheme="minorHAnsi" w:cstheme="minorBidi"/>
          <w:w w:val="100"/>
          <w:kern w:val="0"/>
        </w:rPr>
        <w:t>department</w:t>
      </w:r>
      <w:r w:rsidR="007930BB">
        <w:rPr>
          <w:rFonts w:asciiTheme="minorHAnsi" w:eastAsiaTheme="minorHAnsi" w:hAnsiTheme="minorHAnsi" w:cstheme="minorBidi"/>
          <w:w w:val="100"/>
          <w:kern w:val="0"/>
        </w:rPr>
        <w:t xml:space="preserve"> </w:t>
      </w:r>
      <w:r w:rsidR="00391046">
        <w:rPr>
          <w:rFonts w:asciiTheme="minorHAnsi" w:eastAsiaTheme="minorHAnsi" w:hAnsiTheme="minorHAnsi" w:cstheme="minorBidi"/>
          <w:w w:val="100"/>
          <w:kern w:val="0"/>
        </w:rPr>
        <w:t>proposes</w:t>
      </w:r>
      <w:r w:rsidR="007930BB">
        <w:rPr>
          <w:rFonts w:asciiTheme="minorHAnsi" w:eastAsiaTheme="minorHAnsi" w:hAnsiTheme="minorHAnsi" w:cstheme="minorBidi"/>
          <w:w w:val="100"/>
          <w:kern w:val="0"/>
        </w:rPr>
        <w:t xml:space="preserve"> to repeal paragraphs 40(1)(ha) and 40(1)(hb) of the Bankruptcy Ac</w:t>
      </w:r>
      <w:r>
        <w:rPr>
          <w:rFonts w:asciiTheme="minorHAnsi" w:eastAsiaTheme="minorHAnsi" w:hAnsiTheme="minorHAnsi" w:cstheme="minorBidi"/>
          <w:w w:val="100"/>
          <w:kern w:val="0"/>
        </w:rPr>
        <w:t>t</w:t>
      </w:r>
      <w:r w:rsidR="00D2404A">
        <w:rPr>
          <w:rFonts w:asciiTheme="minorHAnsi" w:eastAsiaTheme="minorHAnsi" w:hAnsiTheme="minorHAnsi" w:cstheme="minorBidi"/>
          <w:w w:val="100"/>
          <w:kern w:val="0"/>
        </w:rPr>
        <w:t xml:space="preserve"> so that entering into a debt agreement or having that debt agreement accepted by creditors is no longer considered an ‘act of bankruptcy’</w:t>
      </w:r>
      <w:r>
        <w:rPr>
          <w:rFonts w:asciiTheme="minorHAnsi" w:eastAsiaTheme="minorHAnsi" w:hAnsiTheme="minorHAnsi" w:cstheme="minorBidi"/>
          <w:w w:val="100"/>
          <w:kern w:val="0"/>
        </w:rPr>
        <w:t xml:space="preserve">. </w:t>
      </w:r>
    </w:p>
    <w:p w14:paraId="207650F3" w14:textId="65EF0474" w:rsidR="007C0F8D" w:rsidRDefault="007C00BA" w:rsidP="00D2404A">
      <w:pPr>
        <w:rPr>
          <w:rFonts w:asciiTheme="minorHAnsi" w:eastAsiaTheme="minorHAnsi" w:hAnsiTheme="minorHAnsi" w:cstheme="minorBidi"/>
          <w:w w:val="100"/>
          <w:kern w:val="0"/>
        </w:rPr>
      </w:pPr>
      <w:r>
        <w:rPr>
          <w:rFonts w:asciiTheme="minorHAnsi" w:eastAsiaTheme="minorHAnsi" w:hAnsiTheme="minorHAnsi" w:cstheme="minorBidi"/>
          <w:w w:val="100"/>
          <w:kern w:val="0"/>
        </w:rPr>
        <w:t xml:space="preserve">The </w:t>
      </w:r>
      <w:r w:rsidR="00190659">
        <w:rPr>
          <w:rFonts w:asciiTheme="minorHAnsi" w:eastAsiaTheme="minorHAnsi" w:hAnsiTheme="minorHAnsi" w:cstheme="minorBidi"/>
          <w:w w:val="100"/>
          <w:kern w:val="0"/>
        </w:rPr>
        <w:t>department</w:t>
      </w:r>
      <w:r w:rsidR="00C528D9">
        <w:rPr>
          <w:rFonts w:asciiTheme="minorHAnsi" w:eastAsiaTheme="minorHAnsi" w:hAnsiTheme="minorHAnsi" w:cstheme="minorBidi"/>
          <w:w w:val="100"/>
          <w:kern w:val="0"/>
        </w:rPr>
        <w:t xml:space="preserve"> </w:t>
      </w:r>
      <w:r>
        <w:rPr>
          <w:rFonts w:asciiTheme="minorHAnsi" w:eastAsiaTheme="minorHAnsi" w:hAnsiTheme="minorHAnsi" w:cstheme="minorBidi"/>
          <w:w w:val="100"/>
          <w:kern w:val="0"/>
        </w:rPr>
        <w:t xml:space="preserve">considers </w:t>
      </w:r>
      <w:r w:rsidR="00C602D9">
        <w:rPr>
          <w:rFonts w:asciiTheme="minorHAnsi" w:eastAsiaTheme="minorHAnsi" w:hAnsiTheme="minorHAnsi" w:cstheme="minorBidi"/>
          <w:w w:val="100"/>
          <w:kern w:val="0"/>
        </w:rPr>
        <w:t>the proposed</w:t>
      </w:r>
      <w:r>
        <w:rPr>
          <w:rFonts w:asciiTheme="minorHAnsi" w:eastAsiaTheme="minorHAnsi" w:hAnsiTheme="minorHAnsi" w:cstheme="minorBidi"/>
          <w:w w:val="100"/>
          <w:kern w:val="0"/>
        </w:rPr>
        <w:t xml:space="preserve"> reform </w:t>
      </w:r>
      <w:r w:rsidR="007930BB" w:rsidRPr="007930BB">
        <w:rPr>
          <w:rFonts w:asciiTheme="minorHAnsi" w:eastAsiaTheme="minorHAnsi" w:hAnsiTheme="minorHAnsi" w:cstheme="minorBidi"/>
          <w:w w:val="100"/>
          <w:kern w:val="0"/>
        </w:rPr>
        <w:t>will</w:t>
      </w:r>
      <w:r>
        <w:rPr>
          <w:rFonts w:asciiTheme="minorHAnsi" w:eastAsiaTheme="minorHAnsi" w:hAnsiTheme="minorHAnsi" w:cstheme="minorBidi"/>
          <w:w w:val="100"/>
          <w:kern w:val="0"/>
        </w:rPr>
        <w:t xml:space="preserve"> </w:t>
      </w:r>
      <w:r w:rsidR="007930BB" w:rsidRPr="007930BB">
        <w:rPr>
          <w:rFonts w:asciiTheme="minorHAnsi" w:eastAsiaTheme="minorHAnsi" w:hAnsiTheme="minorHAnsi" w:cstheme="minorBidi"/>
          <w:w w:val="100"/>
          <w:kern w:val="0"/>
        </w:rPr>
        <w:t xml:space="preserve">mitigate </w:t>
      </w:r>
      <w:r w:rsidR="00C528D9">
        <w:rPr>
          <w:rFonts w:asciiTheme="minorHAnsi" w:eastAsiaTheme="minorHAnsi" w:hAnsiTheme="minorHAnsi" w:cstheme="minorBidi"/>
          <w:w w:val="100"/>
          <w:kern w:val="0"/>
        </w:rPr>
        <w:t xml:space="preserve">reluctance </w:t>
      </w:r>
      <w:r w:rsidR="008157F9">
        <w:rPr>
          <w:rFonts w:asciiTheme="minorHAnsi" w:eastAsiaTheme="minorHAnsi" w:hAnsiTheme="minorHAnsi" w:cstheme="minorBidi"/>
          <w:w w:val="100"/>
          <w:kern w:val="0"/>
        </w:rPr>
        <w:t>felt</w:t>
      </w:r>
      <w:r w:rsidR="007930BB" w:rsidRPr="007930BB">
        <w:rPr>
          <w:rFonts w:asciiTheme="minorHAnsi" w:eastAsiaTheme="minorHAnsi" w:hAnsiTheme="minorHAnsi" w:cstheme="minorBidi"/>
          <w:w w:val="100"/>
          <w:kern w:val="0"/>
        </w:rPr>
        <w:t xml:space="preserve"> by debtors who may </w:t>
      </w:r>
      <w:r w:rsidR="00C602D9">
        <w:rPr>
          <w:rFonts w:asciiTheme="minorHAnsi" w:eastAsiaTheme="minorHAnsi" w:hAnsiTheme="minorHAnsi" w:cstheme="minorBidi"/>
          <w:w w:val="100"/>
          <w:kern w:val="0"/>
        </w:rPr>
        <w:t>not enter into</w:t>
      </w:r>
      <w:r w:rsidR="007930BB" w:rsidRPr="007930BB">
        <w:rPr>
          <w:rFonts w:asciiTheme="minorHAnsi" w:eastAsiaTheme="minorHAnsi" w:hAnsiTheme="minorHAnsi" w:cstheme="minorBidi"/>
          <w:w w:val="100"/>
          <w:kern w:val="0"/>
        </w:rPr>
        <w:t xml:space="preserve"> a debt agreement because</w:t>
      </w:r>
      <w:r w:rsidR="00C602D9">
        <w:rPr>
          <w:rFonts w:asciiTheme="minorHAnsi" w:eastAsiaTheme="minorHAnsi" w:hAnsiTheme="minorHAnsi" w:cstheme="minorBidi"/>
          <w:w w:val="100"/>
          <w:kern w:val="0"/>
        </w:rPr>
        <w:t xml:space="preserve"> </w:t>
      </w:r>
      <w:r w:rsidR="007930BB" w:rsidRPr="007930BB">
        <w:rPr>
          <w:rFonts w:asciiTheme="minorHAnsi" w:eastAsiaTheme="minorHAnsi" w:hAnsiTheme="minorHAnsi" w:cstheme="minorBidi"/>
          <w:w w:val="100"/>
          <w:kern w:val="0"/>
        </w:rPr>
        <w:t xml:space="preserve">submitting a proposal </w:t>
      </w:r>
      <w:r w:rsidR="00C602D9">
        <w:rPr>
          <w:rFonts w:asciiTheme="minorHAnsi" w:eastAsiaTheme="minorHAnsi" w:hAnsiTheme="minorHAnsi" w:cstheme="minorBidi"/>
          <w:w w:val="100"/>
          <w:kern w:val="0"/>
        </w:rPr>
        <w:t>is considered an act of bankruptcy</w:t>
      </w:r>
      <w:r w:rsidR="007930BB" w:rsidRPr="007930BB">
        <w:rPr>
          <w:rFonts w:asciiTheme="minorHAnsi" w:eastAsiaTheme="minorHAnsi" w:hAnsiTheme="minorHAnsi" w:cstheme="minorBidi"/>
          <w:w w:val="100"/>
          <w:kern w:val="0"/>
        </w:rPr>
        <w:t xml:space="preserve">. </w:t>
      </w:r>
      <w:bookmarkStart w:id="10" w:name="_Hlk139019544"/>
    </w:p>
    <w:bookmarkEnd w:id="10"/>
    <w:p w14:paraId="6455D410" w14:textId="01DAB6E7" w:rsidR="00D93838" w:rsidRPr="00557D89" w:rsidRDefault="007C0F8D" w:rsidP="00AF553B">
      <w:pPr>
        <w:rPr>
          <w:rFonts w:ascii="Arial" w:hAnsi="Arial" w:cs="Arial"/>
          <w:color w:val="333333"/>
        </w:rPr>
      </w:pPr>
      <w:r>
        <w:rPr>
          <w:rFonts w:asciiTheme="minorHAnsi" w:hAnsiTheme="minorHAnsi" w:cstheme="minorHAnsi"/>
        </w:rPr>
        <w:t xml:space="preserve">The </w:t>
      </w:r>
      <w:r w:rsidR="007B0F81">
        <w:rPr>
          <w:rFonts w:asciiTheme="minorHAnsi" w:hAnsiTheme="minorHAnsi" w:cstheme="minorHAnsi"/>
        </w:rPr>
        <w:t xml:space="preserve">proposal </w:t>
      </w:r>
      <w:r>
        <w:rPr>
          <w:rFonts w:asciiTheme="minorHAnsi" w:hAnsiTheme="minorHAnsi" w:cstheme="minorHAnsi"/>
        </w:rPr>
        <w:t>to re</w:t>
      </w:r>
      <w:r w:rsidR="00721466">
        <w:rPr>
          <w:rFonts w:asciiTheme="minorHAnsi" w:hAnsiTheme="minorHAnsi" w:cstheme="minorHAnsi"/>
        </w:rPr>
        <w:t xml:space="preserve">peal </w:t>
      </w:r>
      <w:r>
        <w:rPr>
          <w:rFonts w:asciiTheme="minorHAnsi" w:hAnsiTheme="minorHAnsi" w:cstheme="minorHAnsi"/>
        </w:rPr>
        <w:t>paragraphs 40(1)(ha) and 40(1)(hb)</w:t>
      </w:r>
      <w:r w:rsidR="00721466">
        <w:rPr>
          <w:rFonts w:asciiTheme="minorHAnsi" w:eastAsiaTheme="minorHAnsi" w:hAnsiTheme="minorHAnsi" w:cstheme="minorBidi"/>
          <w:w w:val="100"/>
          <w:kern w:val="0"/>
        </w:rPr>
        <w:t xml:space="preserve"> recognises t</w:t>
      </w:r>
      <w:r w:rsidR="007930BB" w:rsidRPr="00E0367A">
        <w:rPr>
          <w:rFonts w:asciiTheme="minorHAnsi" w:eastAsiaTheme="minorHAnsi" w:hAnsiTheme="minorHAnsi" w:cstheme="minorBidi"/>
          <w:w w:val="100"/>
          <w:kern w:val="0"/>
        </w:rPr>
        <w:t xml:space="preserve">he debt agreement system </w:t>
      </w:r>
      <w:r w:rsidR="00721466">
        <w:rPr>
          <w:rFonts w:asciiTheme="minorHAnsi" w:eastAsiaTheme="minorHAnsi" w:hAnsiTheme="minorHAnsi" w:cstheme="minorBidi"/>
          <w:w w:val="100"/>
          <w:kern w:val="0"/>
        </w:rPr>
        <w:t xml:space="preserve">as </w:t>
      </w:r>
      <w:r w:rsidR="007930BB" w:rsidRPr="00E0367A">
        <w:rPr>
          <w:rFonts w:asciiTheme="minorHAnsi" w:eastAsiaTheme="minorHAnsi" w:hAnsiTheme="minorHAnsi" w:cstheme="minorBidi"/>
          <w:w w:val="100"/>
          <w:kern w:val="0"/>
        </w:rPr>
        <w:t>a vital part of Australia’s consumer finance framework. For many debtors, a debt agreement is the final option to avoid bankruptcy and a viable solution for managing personal debt. The debt agreement system is intended to give those in financial difficulty an opportunity to protect their family home and take control of their financial affairs</w:t>
      </w:r>
      <w:r w:rsidR="00721466">
        <w:rPr>
          <w:rFonts w:asciiTheme="minorHAnsi" w:eastAsiaTheme="minorHAnsi" w:hAnsiTheme="minorHAnsi" w:cstheme="minorBidi"/>
          <w:w w:val="100"/>
          <w:kern w:val="0"/>
        </w:rPr>
        <w:t xml:space="preserve"> and the proposed reform intends to reflect this</w:t>
      </w:r>
      <w:r w:rsidR="007930BB" w:rsidRPr="00E0367A">
        <w:rPr>
          <w:rFonts w:asciiTheme="minorHAnsi" w:eastAsiaTheme="minorHAnsi" w:hAnsiTheme="minorHAnsi" w:cstheme="minorBidi"/>
          <w:w w:val="100"/>
          <w:kern w:val="0"/>
        </w:rPr>
        <w:t>.</w:t>
      </w:r>
      <w:r w:rsidR="00721466" w:rsidRPr="00721466">
        <w:rPr>
          <w:rFonts w:asciiTheme="minorHAnsi" w:eastAsiaTheme="minorHAnsi" w:hAnsiTheme="minorHAnsi" w:cstheme="minorBidi"/>
          <w:w w:val="100"/>
          <w:kern w:val="0"/>
        </w:rPr>
        <w:t xml:space="preserve"> </w:t>
      </w:r>
      <w:r w:rsidR="00D93838" w:rsidRPr="00557D89">
        <w:rPr>
          <w:rFonts w:ascii="Arial" w:hAnsi="Arial" w:cs="Arial"/>
          <w:color w:val="333333"/>
        </w:rPr>
        <w:br w:type="page"/>
      </w:r>
    </w:p>
    <w:p w14:paraId="56BD05FD" w14:textId="1B606026" w:rsidR="00D52915" w:rsidRDefault="00D52915" w:rsidP="00AF553B">
      <w:pPr>
        <w:pStyle w:val="Heading2"/>
      </w:pPr>
      <w:r>
        <w:lastRenderedPageBreak/>
        <w:t xml:space="preserve">Endnotes </w:t>
      </w:r>
    </w:p>
    <w:sectPr w:rsidR="00D52915" w:rsidSect="00C2552E">
      <w:footerReference w:type="default" r:id="rId16"/>
      <w:endnotePr>
        <w:numFmt w:val="decimal"/>
      </w:endnotePr>
      <w:type w:val="continuous"/>
      <w:pgSz w:w="12240" w:h="15840"/>
      <w:pgMar w:top="426" w:right="964" w:bottom="1134" w:left="964" w:header="142"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10386" w14:textId="77777777" w:rsidR="0095276F" w:rsidRDefault="0095276F" w:rsidP="006150CB">
      <w:r>
        <w:separator/>
      </w:r>
    </w:p>
  </w:endnote>
  <w:endnote w:type="continuationSeparator" w:id="0">
    <w:p w14:paraId="732F31A2" w14:textId="77777777" w:rsidR="0095276F" w:rsidRDefault="0095276F" w:rsidP="006150CB">
      <w:r>
        <w:continuationSeparator/>
      </w:r>
    </w:p>
  </w:endnote>
  <w:endnote w:id="1">
    <w:p w14:paraId="34054230" w14:textId="421E5A70" w:rsidR="008A6F25" w:rsidRPr="00B421E6" w:rsidRDefault="008A6F25">
      <w:pPr>
        <w:pStyle w:val="EndnoteText"/>
        <w:rPr>
          <w:rFonts w:asciiTheme="minorHAnsi" w:hAnsiTheme="minorHAnsi" w:cstheme="minorHAnsi"/>
          <w:sz w:val="22"/>
          <w:szCs w:val="22"/>
        </w:rPr>
      </w:pPr>
      <w:r w:rsidRPr="00B421E6">
        <w:rPr>
          <w:rStyle w:val="EndnoteReference"/>
          <w:rFonts w:asciiTheme="minorHAnsi" w:hAnsiTheme="minorHAnsi" w:cstheme="minorHAnsi"/>
          <w:sz w:val="22"/>
          <w:szCs w:val="22"/>
        </w:rPr>
        <w:endnoteRef/>
      </w:r>
      <w:r w:rsidRPr="00B421E6">
        <w:rPr>
          <w:rFonts w:asciiTheme="minorHAnsi" w:hAnsiTheme="minorHAnsi" w:cstheme="minorHAnsi"/>
          <w:sz w:val="22"/>
          <w:szCs w:val="22"/>
        </w:rPr>
        <w:t xml:space="preserve"> </w:t>
      </w:r>
      <w:hyperlink r:id="rId1" w:history="1">
        <w:r w:rsidR="002B324C" w:rsidRPr="002B324C">
          <w:rPr>
            <w:rStyle w:val="Hyperlink"/>
            <w:rFonts w:asciiTheme="minorHAnsi" w:hAnsiTheme="minorHAnsi" w:cstheme="minorHAnsi"/>
            <w:sz w:val="22"/>
            <w:szCs w:val="22"/>
          </w:rPr>
          <w:t>Ministerial Roundtable on Personal Insolvency: summary</w:t>
        </w:r>
      </w:hyperlink>
    </w:p>
  </w:endnote>
  <w:endnote w:id="2">
    <w:p w14:paraId="6153B59C" w14:textId="0138635B" w:rsidR="008A6F25" w:rsidRPr="00B421E6" w:rsidRDefault="008A6F25">
      <w:pPr>
        <w:pStyle w:val="EndnoteText"/>
        <w:rPr>
          <w:rFonts w:asciiTheme="minorHAnsi" w:hAnsiTheme="minorHAnsi" w:cstheme="minorHAnsi"/>
          <w:sz w:val="22"/>
          <w:szCs w:val="22"/>
        </w:rPr>
      </w:pPr>
      <w:r w:rsidRPr="00B421E6">
        <w:rPr>
          <w:rStyle w:val="EndnoteReference"/>
          <w:rFonts w:asciiTheme="minorHAnsi" w:hAnsiTheme="minorHAnsi" w:cstheme="minorHAnsi"/>
          <w:sz w:val="22"/>
          <w:szCs w:val="22"/>
        </w:rPr>
        <w:endnoteRef/>
      </w:r>
      <w:r w:rsidRPr="00B421E6">
        <w:rPr>
          <w:rFonts w:asciiTheme="minorHAnsi" w:hAnsiTheme="minorHAnsi" w:cstheme="minorHAnsi"/>
          <w:sz w:val="22"/>
          <w:szCs w:val="22"/>
        </w:rPr>
        <w:t xml:space="preserve"> Paragraphs 40(1)(ha) and 40(1)(hb) of the </w:t>
      </w:r>
      <w:r w:rsidRPr="00B421E6">
        <w:rPr>
          <w:rFonts w:asciiTheme="minorHAnsi" w:hAnsiTheme="minorHAnsi" w:cstheme="minorHAnsi"/>
          <w:i/>
          <w:sz w:val="22"/>
          <w:szCs w:val="22"/>
        </w:rPr>
        <w:t>Bankruptcy Act 1966</w:t>
      </w:r>
      <w:r w:rsidRPr="00B421E6">
        <w:rPr>
          <w:rFonts w:asciiTheme="minorHAnsi" w:hAnsiTheme="minorHAnsi" w:cstheme="minorHAnsi"/>
          <w:sz w:val="22"/>
          <w:szCs w:val="22"/>
        </w:rPr>
        <w:t xml:space="preserve"> (Cth). </w:t>
      </w:r>
    </w:p>
  </w:endnote>
  <w:endnote w:id="3">
    <w:p w14:paraId="1B3C7F71" w14:textId="06358639" w:rsidR="00332B23" w:rsidRPr="00B421E6" w:rsidRDefault="00332B23">
      <w:pPr>
        <w:pStyle w:val="EndnoteText"/>
        <w:rPr>
          <w:rFonts w:asciiTheme="minorHAnsi" w:hAnsiTheme="minorHAnsi"/>
          <w:sz w:val="22"/>
          <w:szCs w:val="22"/>
        </w:rPr>
      </w:pPr>
      <w:r w:rsidRPr="00B421E6">
        <w:rPr>
          <w:rStyle w:val="EndnoteReference"/>
          <w:rFonts w:asciiTheme="minorHAnsi" w:hAnsiTheme="minorHAnsi"/>
          <w:sz w:val="22"/>
          <w:szCs w:val="22"/>
        </w:rPr>
        <w:endnoteRef/>
      </w:r>
      <w:r w:rsidRPr="00B421E6">
        <w:rPr>
          <w:rFonts w:asciiTheme="minorHAnsi" w:hAnsiTheme="minorHAnsi"/>
          <w:sz w:val="22"/>
          <w:szCs w:val="22"/>
        </w:rPr>
        <w:t xml:space="preserve"> </w:t>
      </w:r>
      <w:r w:rsidR="00071448" w:rsidRPr="00B421E6">
        <w:rPr>
          <w:rFonts w:asciiTheme="minorHAnsi" w:hAnsiTheme="minorHAnsi"/>
          <w:sz w:val="22"/>
          <w:szCs w:val="22"/>
        </w:rPr>
        <w:t>AFSA monthly Statistics Highlights, March 2023; AFSA state of the Personal Insolvency System Report, January 2023.</w:t>
      </w:r>
    </w:p>
  </w:endnote>
  <w:endnote w:id="4">
    <w:p w14:paraId="124C8513" w14:textId="42D5943F" w:rsidR="00332B23" w:rsidRPr="00B421E6" w:rsidRDefault="00332B23">
      <w:pPr>
        <w:pStyle w:val="EndnoteText"/>
        <w:rPr>
          <w:rFonts w:asciiTheme="minorHAnsi" w:hAnsiTheme="minorHAnsi"/>
          <w:sz w:val="22"/>
          <w:szCs w:val="22"/>
        </w:rPr>
      </w:pPr>
      <w:r w:rsidRPr="00B421E6">
        <w:rPr>
          <w:rStyle w:val="EndnoteReference"/>
          <w:rFonts w:asciiTheme="minorHAnsi" w:hAnsiTheme="minorHAnsi"/>
          <w:sz w:val="22"/>
          <w:szCs w:val="22"/>
        </w:rPr>
        <w:endnoteRef/>
      </w:r>
      <w:r w:rsidRPr="00B421E6">
        <w:rPr>
          <w:rFonts w:asciiTheme="minorHAnsi" w:hAnsiTheme="minorHAnsi"/>
          <w:sz w:val="22"/>
          <w:szCs w:val="22"/>
        </w:rPr>
        <w:t xml:space="preserve"> </w:t>
      </w:r>
      <w:r w:rsidR="00071448" w:rsidRPr="00B421E6">
        <w:rPr>
          <w:rFonts w:asciiTheme="minorHAnsi" w:hAnsiTheme="minorHAnsi" w:cstheme="minorHAnsi"/>
          <w:sz w:val="22"/>
          <w:szCs w:val="22"/>
        </w:rPr>
        <w:t xml:space="preserve">AFSA Summary Statistics on Liability of Debtors, May 2023 as requested by the Attorney-General’s </w:t>
      </w:r>
      <w:r w:rsidR="00190659">
        <w:rPr>
          <w:rFonts w:asciiTheme="minorHAnsi" w:hAnsiTheme="minorHAnsi" w:cstheme="minorHAnsi"/>
          <w:sz w:val="22"/>
          <w:szCs w:val="22"/>
        </w:rPr>
        <w:t>department</w:t>
      </w:r>
      <w:r w:rsidR="00071448" w:rsidRPr="00B421E6">
        <w:rPr>
          <w:rFonts w:asciiTheme="minorHAnsi" w:hAnsiTheme="minorHAnsi" w:cstheme="minorHAnsi"/>
          <w:sz w:val="22"/>
          <w:szCs w:val="22"/>
        </w:rPr>
        <w:t>.</w:t>
      </w:r>
    </w:p>
  </w:endnote>
  <w:endnote w:id="5">
    <w:p w14:paraId="50DCD015" w14:textId="16A5054A" w:rsidR="00332B23" w:rsidRPr="00B421E6" w:rsidRDefault="00332B23">
      <w:pPr>
        <w:pStyle w:val="EndnoteText"/>
        <w:rPr>
          <w:rFonts w:asciiTheme="minorHAnsi" w:hAnsiTheme="minorHAnsi"/>
          <w:sz w:val="22"/>
          <w:szCs w:val="22"/>
        </w:rPr>
      </w:pPr>
      <w:r w:rsidRPr="00B421E6">
        <w:rPr>
          <w:rStyle w:val="EndnoteReference"/>
          <w:rFonts w:asciiTheme="minorHAnsi" w:hAnsiTheme="minorHAnsi"/>
          <w:sz w:val="22"/>
          <w:szCs w:val="22"/>
        </w:rPr>
        <w:endnoteRef/>
      </w:r>
      <w:r w:rsidRPr="00B421E6">
        <w:rPr>
          <w:rFonts w:asciiTheme="minorHAnsi" w:hAnsiTheme="minorHAnsi"/>
          <w:sz w:val="22"/>
          <w:szCs w:val="22"/>
        </w:rPr>
        <w:t xml:space="preserve"> </w:t>
      </w:r>
      <w:r w:rsidR="00071448" w:rsidRPr="00B421E6">
        <w:rPr>
          <w:rFonts w:asciiTheme="minorHAnsi" w:hAnsiTheme="minorHAnsi" w:cstheme="minorHAnsi"/>
          <w:sz w:val="22"/>
          <w:szCs w:val="22"/>
        </w:rPr>
        <w:t xml:space="preserve">AFSA Summary Statistics on Liability of Debtors, May 2023 as requested by the Attorney-General’s </w:t>
      </w:r>
      <w:r w:rsidR="00190659">
        <w:rPr>
          <w:rFonts w:asciiTheme="minorHAnsi" w:hAnsiTheme="minorHAnsi" w:cstheme="minorHAnsi"/>
          <w:sz w:val="22"/>
          <w:szCs w:val="22"/>
        </w:rPr>
        <w:t>department</w:t>
      </w:r>
      <w:r w:rsidR="00071448" w:rsidRPr="00B421E6">
        <w:rPr>
          <w:rFonts w:asciiTheme="minorHAnsi" w:hAnsiTheme="minorHAnsi" w:cstheme="minorHAnsi"/>
          <w:sz w:val="22"/>
          <w:szCs w:val="22"/>
        </w:rPr>
        <w:t>.</w:t>
      </w:r>
    </w:p>
  </w:endnote>
  <w:endnote w:id="6">
    <w:p w14:paraId="56B09DAD" w14:textId="53C89789" w:rsidR="003B7743" w:rsidRPr="00B421E6" w:rsidRDefault="003B7743">
      <w:pPr>
        <w:pStyle w:val="EndnoteText"/>
        <w:rPr>
          <w:rFonts w:asciiTheme="minorHAnsi" w:hAnsiTheme="minorHAnsi"/>
          <w:sz w:val="22"/>
          <w:szCs w:val="22"/>
        </w:rPr>
      </w:pPr>
      <w:r w:rsidRPr="00B421E6">
        <w:rPr>
          <w:rStyle w:val="EndnoteReference"/>
          <w:rFonts w:asciiTheme="minorHAnsi" w:hAnsiTheme="minorHAnsi"/>
          <w:sz w:val="22"/>
          <w:szCs w:val="22"/>
        </w:rPr>
        <w:endnoteRef/>
      </w:r>
      <w:r w:rsidRPr="00B421E6">
        <w:rPr>
          <w:rFonts w:asciiTheme="minorHAnsi" w:hAnsiTheme="minorHAnsi"/>
          <w:sz w:val="22"/>
          <w:szCs w:val="22"/>
        </w:rPr>
        <w:t xml:space="preserve"> </w:t>
      </w:r>
      <w:r w:rsidR="00071448" w:rsidRPr="00B421E6">
        <w:rPr>
          <w:rFonts w:asciiTheme="minorHAnsi" w:hAnsiTheme="minorHAnsi" w:cstheme="minorHAnsi"/>
          <w:sz w:val="22"/>
          <w:szCs w:val="22"/>
        </w:rPr>
        <w:t xml:space="preserve">AFSA Summary Statistics on Liability of Debtors, May 2023 as requested by the Attorney-General’s </w:t>
      </w:r>
      <w:r w:rsidR="00190659">
        <w:rPr>
          <w:rFonts w:asciiTheme="minorHAnsi" w:hAnsiTheme="minorHAnsi" w:cstheme="minorHAnsi"/>
          <w:sz w:val="22"/>
          <w:szCs w:val="22"/>
        </w:rPr>
        <w:t>department</w:t>
      </w:r>
      <w:r w:rsidR="00071448" w:rsidRPr="00B421E6">
        <w:rPr>
          <w:rFonts w:asciiTheme="minorHAnsi" w:hAnsiTheme="minorHAnsi" w:cstheme="minorHAnsi"/>
          <w:sz w:val="22"/>
          <w:szCs w:val="22"/>
        </w:rPr>
        <w:t>.</w:t>
      </w:r>
    </w:p>
  </w:endnote>
  <w:endnote w:id="7">
    <w:p w14:paraId="760E8D4D" w14:textId="6454B0B5" w:rsidR="008A6F25" w:rsidRPr="00B421E6" w:rsidRDefault="008A6F25">
      <w:pPr>
        <w:pStyle w:val="EndnoteText"/>
        <w:rPr>
          <w:rFonts w:asciiTheme="minorHAnsi" w:hAnsiTheme="minorHAnsi"/>
          <w:sz w:val="22"/>
          <w:szCs w:val="22"/>
        </w:rPr>
      </w:pPr>
      <w:r w:rsidRPr="00B421E6">
        <w:rPr>
          <w:rStyle w:val="EndnoteReference"/>
          <w:rFonts w:asciiTheme="minorHAnsi" w:hAnsiTheme="minorHAnsi"/>
          <w:sz w:val="22"/>
          <w:szCs w:val="22"/>
        </w:rPr>
        <w:endnoteRef/>
      </w:r>
      <w:r w:rsidRPr="00B421E6">
        <w:rPr>
          <w:rFonts w:asciiTheme="minorHAnsi" w:hAnsiTheme="minorHAnsi"/>
          <w:sz w:val="22"/>
          <w:szCs w:val="22"/>
        </w:rPr>
        <w:t xml:space="preserve"> </w:t>
      </w:r>
      <w:hyperlink r:id="rId2" w:history="1">
        <w:r w:rsidRPr="00B421E6">
          <w:rPr>
            <w:rStyle w:val="Hyperlink"/>
            <w:rFonts w:asciiTheme="minorHAnsi" w:hAnsiTheme="minorHAnsi"/>
            <w:sz w:val="22"/>
            <w:szCs w:val="22"/>
          </w:rPr>
          <w:t>Bankruptcies and temporary debt protections | Australian Financial Security Authority (afsa.gov.au)</w:t>
        </w:r>
      </w:hyperlink>
      <w:r w:rsidR="00553EA5">
        <w:rPr>
          <w:rStyle w:val="Hyperlink"/>
          <w:rFonts w:asciiTheme="minorHAnsi" w:hAnsiTheme="minorHAnsi"/>
          <w:sz w:val="22"/>
          <w:szCs w:val="22"/>
        </w:rPr>
        <w:t>.</w:t>
      </w:r>
    </w:p>
  </w:endnote>
  <w:endnote w:id="8">
    <w:p w14:paraId="6005E00D" w14:textId="21733BFF" w:rsidR="008A6F25" w:rsidRPr="00B421E6" w:rsidRDefault="008A6F25">
      <w:pPr>
        <w:pStyle w:val="EndnoteText"/>
        <w:rPr>
          <w:rFonts w:asciiTheme="minorHAnsi" w:hAnsiTheme="minorHAnsi" w:cstheme="minorHAnsi"/>
          <w:sz w:val="22"/>
          <w:szCs w:val="22"/>
        </w:rPr>
      </w:pPr>
      <w:r w:rsidRPr="00B421E6">
        <w:rPr>
          <w:rStyle w:val="EndnoteReference"/>
          <w:rFonts w:asciiTheme="minorHAnsi" w:hAnsiTheme="minorHAnsi" w:cstheme="minorHAnsi"/>
          <w:sz w:val="22"/>
          <w:szCs w:val="22"/>
        </w:rPr>
        <w:endnoteRef/>
      </w:r>
      <w:r w:rsidRPr="00B421E6">
        <w:rPr>
          <w:rFonts w:asciiTheme="minorHAnsi" w:hAnsiTheme="minorHAnsi" w:cstheme="minorHAnsi"/>
          <w:sz w:val="22"/>
          <w:szCs w:val="22"/>
        </w:rPr>
        <w:t xml:space="preserve"> Subsection 25.07.01 of the </w:t>
      </w:r>
      <w:r w:rsidRPr="00B421E6">
        <w:rPr>
          <w:rFonts w:asciiTheme="minorHAnsi" w:hAnsiTheme="minorHAnsi" w:cstheme="minorHAnsi"/>
          <w:i/>
          <w:sz w:val="22"/>
          <w:szCs w:val="22"/>
        </w:rPr>
        <w:t>High Court Rules 2004</w:t>
      </w:r>
      <w:r w:rsidRPr="00B421E6">
        <w:rPr>
          <w:rFonts w:asciiTheme="minorHAnsi" w:hAnsiTheme="minorHAnsi" w:cstheme="minorHAnsi"/>
          <w:sz w:val="22"/>
          <w:szCs w:val="22"/>
        </w:rPr>
        <w:t xml:space="preserve"> (Cth); Section 16.32 of the </w:t>
      </w:r>
      <w:r w:rsidRPr="00B421E6">
        <w:rPr>
          <w:rFonts w:asciiTheme="minorHAnsi" w:hAnsiTheme="minorHAnsi" w:cstheme="minorHAnsi"/>
          <w:i/>
          <w:sz w:val="22"/>
          <w:szCs w:val="22"/>
        </w:rPr>
        <w:t>Federal Court Rules 2011</w:t>
      </w:r>
      <w:r w:rsidRPr="00B421E6">
        <w:rPr>
          <w:rFonts w:asciiTheme="minorHAnsi" w:hAnsiTheme="minorHAnsi" w:cstheme="minorHAnsi"/>
          <w:sz w:val="22"/>
          <w:szCs w:val="22"/>
        </w:rPr>
        <w:t xml:space="preserve"> (Cth); Paragraph 102(1)(a) of the </w:t>
      </w:r>
      <w:r w:rsidRPr="00B421E6">
        <w:rPr>
          <w:rFonts w:asciiTheme="minorHAnsi" w:hAnsiTheme="minorHAnsi" w:cstheme="minorHAnsi"/>
          <w:i/>
          <w:sz w:val="22"/>
          <w:szCs w:val="22"/>
        </w:rPr>
        <w:t>Court Procedure Rules 2006</w:t>
      </w:r>
      <w:r w:rsidRPr="00B421E6">
        <w:rPr>
          <w:rFonts w:asciiTheme="minorHAnsi" w:hAnsiTheme="minorHAnsi" w:cstheme="minorHAnsi"/>
          <w:sz w:val="22"/>
          <w:szCs w:val="22"/>
        </w:rPr>
        <w:t xml:space="preserve"> (ACT); Subsection 14(1) of the </w:t>
      </w:r>
      <w:r w:rsidRPr="00B421E6">
        <w:rPr>
          <w:rFonts w:asciiTheme="minorHAnsi" w:hAnsiTheme="minorHAnsi" w:cstheme="minorHAnsi"/>
          <w:i/>
          <w:sz w:val="22"/>
          <w:szCs w:val="22"/>
        </w:rPr>
        <w:t>Uniform Civil Procedure Rules 2005</w:t>
      </w:r>
      <w:r w:rsidRPr="00B421E6">
        <w:rPr>
          <w:rFonts w:asciiTheme="minorHAnsi" w:hAnsiTheme="minorHAnsi" w:cstheme="minorHAnsi"/>
          <w:sz w:val="22"/>
          <w:szCs w:val="22"/>
        </w:rPr>
        <w:t xml:space="preserve"> (NSW); Subsection 129(3) of the </w:t>
      </w:r>
      <w:r w:rsidRPr="00B421E6">
        <w:rPr>
          <w:rFonts w:asciiTheme="minorHAnsi" w:hAnsiTheme="minorHAnsi" w:cstheme="minorHAnsi"/>
          <w:i/>
          <w:sz w:val="22"/>
          <w:szCs w:val="22"/>
        </w:rPr>
        <w:t>Uniform Civil Procedure Rules 1999</w:t>
      </w:r>
      <w:r w:rsidRPr="00B421E6">
        <w:rPr>
          <w:rFonts w:asciiTheme="minorHAnsi" w:hAnsiTheme="minorHAnsi" w:cstheme="minorHAnsi"/>
          <w:sz w:val="22"/>
          <w:szCs w:val="22"/>
        </w:rPr>
        <w:t xml:space="preserve"> (QLD); Subsection 65.1 of the </w:t>
      </w:r>
      <w:r w:rsidRPr="00B421E6">
        <w:rPr>
          <w:rFonts w:asciiTheme="minorHAnsi" w:hAnsiTheme="minorHAnsi" w:cstheme="minorHAnsi"/>
          <w:i/>
          <w:sz w:val="22"/>
          <w:szCs w:val="22"/>
        </w:rPr>
        <w:t>Uniform Civil Rules 2020</w:t>
      </w:r>
      <w:r w:rsidRPr="00B421E6">
        <w:rPr>
          <w:rFonts w:asciiTheme="minorHAnsi" w:hAnsiTheme="minorHAnsi" w:cstheme="minorHAnsi"/>
          <w:sz w:val="22"/>
          <w:szCs w:val="22"/>
        </w:rPr>
        <w:t xml:space="preserve"> (SA). </w:t>
      </w:r>
    </w:p>
  </w:endnote>
  <w:endnote w:id="9">
    <w:p w14:paraId="28BC000D" w14:textId="7A2EF178" w:rsidR="008A6F25" w:rsidRPr="00B421E6" w:rsidRDefault="008A6F25">
      <w:pPr>
        <w:pStyle w:val="EndnoteText"/>
        <w:rPr>
          <w:rFonts w:asciiTheme="minorHAnsi" w:hAnsiTheme="minorHAnsi" w:cstheme="minorHAnsi"/>
          <w:sz w:val="22"/>
          <w:szCs w:val="22"/>
        </w:rPr>
      </w:pPr>
      <w:r w:rsidRPr="00B421E6">
        <w:rPr>
          <w:rStyle w:val="EndnoteReference"/>
          <w:rFonts w:asciiTheme="minorHAnsi" w:hAnsiTheme="minorHAnsi" w:cstheme="minorHAnsi"/>
          <w:sz w:val="22"/>
          <w:szCs w:val="22"/>
        </w:rPr>
        <w:endnoteRef/>
      </w:r>
      <w:r w:rsidRPr="00B421E6">
        <w:rPr>
          <w:rFonts w:asciiTheme="minorHAnsi" w:hAnsiTheme="minorHAnsi" w:cstheme="minorHAnsi"/>
          <w:sz w:val="22"/>
          <w:szCs w:val="22"/>
        </w:rPr>
        <w:t xml:space="preserve"> Subsections 14.04(a) and 14.04(b) of the </w:t>
      </w:r>
      <w:r w:rsidRPr="00426B0D">
        <w:rPr>
          <w:rFonts w:asciiTheme="minorHAnsi" w:hAnsiTheme="minorHAnsi" w:cstheme="minorHAnsi"/>
          <w:i/>
          <w:sz w:val="22"/>
          <w:szCs w:val="22"/>
        </w:rPr>
        <w:t>Supreme Court (General Civil Procedure) Rules 2015</w:t>
      </w:r>
      <w:r w:rsidRPr="00B421E6">
        <w:rPr>
          <w:rFonts w:asciiTheme="minorHAnsi" w:hAnsiTheme="minorHAnsi" w:cstheme="minorHAnsi"/>
          <w:sz w:val="22"/>
          <w:szCs w:val="22"/>
        </w:rPr>
        <w:t xml:space="preserve"> (VIC). </w:t>
      </w:r>
    </w:p>
  </w:endnote>
  <w:endnote w:id="10">
    <w:p w14:paraId="37762915" w14:textId="541471FF" w:rsidR="008A6F25" w:rsidRPr="00553EA5" w:rsidRDefault="008A6F25" w:rsidP="00AE63C8">
      <w:pPr>
        <w:pStyle w:val="EndnoteText"/>
        <w:rPr>
          <w:rFonts w:asciiTheme="minorHAnsi" w:hAnsiTheme="minorHAnsi"/>
          <w:sz w:val="22"/>
          <w:szCs w:val="22"/>
        </w:rPr>
      </w:pPr>
      <w:r w:rsidRPr="00B421E6">
        <w:rPr>
          <w:rStyle w:val="EndnoteReference"/>
          <w:rFonts w:asciiTheme="minorHAnsi" w:hAnsiTheme="minorHAnsi"/>
          <w:sz w:val="22"/>
          <w:szCs w:val="22"/>
        </w:rPr>
        <w:endnoteRef/>
      </w:r>
      <w:r w:rsidRPr="00B421E6">
        <w:rPr>
          <w:rFonts w:asciiTheme="minorHAnsi" w:hAnsiTheme="minorHAnsi"/>
          <w:sz w:val="22"/>
          <w:szCs w:val="22"/>
        </w:rPr>
        <w:t xml:space="preserve"> Section 5-15 of the </w:t>
      </w:r>
      <w:r w:rsidRPr="00B421E6">
        <w:rPr>
          <w:rFonts w:asciiTheme="minorHAnsi" w:hAnsiTheme="minorHAnsi"/>
          <w:i/>
          <w:sz w:val="22"/>
          <w:szCs w:val="22"/>
        </w:rPr>
        <w:t>Bankruptcy Act 1966</w:t>
      </w:r>
      <w:r w:rsidRPr="00B421E6">
        <w:rPr>
          <w:rFonts w:asciiTheme="minorHAnsi" w:hAnsiTheme="minorHAnsi"/>
          <w:sz w:val="22"/>
          <w:szCs w:val="22"/>
        </w:rPr>
        <w:t xml:space="preserve"> (Cth) defines a “regulated debtor” to mean a person who is: (a) bankrupt; (b) a person whose property is subject to control under Division 2 of Part X; (c) a debtor under a personal insolvency agreement; or (d) a deceased person whose estate is being administered under Part XI. Section 5-16 of the </w:t>
      </w:r>
      <w:r w:rsidRPr="00426B0D">
        <w:rPr>
          <w:rFonts w:asciiTheme="minorHAnsi" w:hAnsiTheme="minorHAnsi"/>
          <w:i/>
          <w:sz w:val="22"/>
          <w:szCs w:val="22"/>
        </w:rPr>
        <w:t>Bankruptcy Act 1966</w:t>
      </w:r>
      <w:r w:rsidRPr="00B421E6">
        <w:rPr>
          <w:rFonts w:asciiTheme="minorHAnsi" w:hAnsiTheme="minorHAnsi"/>
          <w:sz w:val="22"/>
          <w:szCs w:val="22"/>
        </w:rPr>
        <w:t xml:space="preserve"> (Cth) defines a “</w:t>
      </w:r>
      <w:r w:rsidRPr="00B421E6">
        <w:rPr>
          <w:rFonts w:asciiTheme="minorHAnsi" w:hAnsiTheme="minorHAnsi"/>
          <w:i/>
          <w:sz w:val="22"/>
          <w:szCs w:val="22"/>
        </w:rPr>
        <w:t>regulated debtor’s estate</w:t>
      </w:r>
      <w:r w:rsidRPr="00B421E6">
        <w:rPr>
          <w:rFonts w:asciiTheme="minorHAnsi" w:hAnsiTheme="minorHAnsi"/>
          <w:sz w:val="22"/>
          <w:szCs w:val="22"/>
        </w:rPr>
        <w:t xml:space="preserve">” to mean: (a) in relation to a bankrupt—the estate of the bankrupt, other than any estate of the bankrupt administered under Part XI because the bankrupt is a deceased person; (b) in relation to a person whose property is subject to control under Division 2 of Part X—the estate of the person; (c) in relation to a debtor under a personal insolvency agreement—the estate of the debtor; and (d) in relation to a deceased person whose estate is being </w:t>
      </w:r>
      <w:r w:rsidRPr="00553EA5">
        <w:rPr>
          <w:rFonts w:asciiTheme="minorHAnsi" w:hAnsiTheme="minorHAnsi"/>
          <w:sz w:val="22"/>
          <w:szCs w:val="22"/>
        </w:rPr>
        <w:t xml:space="preserve">administered under Part XI—the estate of the person being administered under that Part. </w:t>
      </w:r>
    </w:p>
  </w:endnote>
  <w:endnote w:id="11">
    <w:p w14:paraId="73B425A5" w14:textId="1EC1B6A3" w:rsidR="0063733D" w:rsidRPr="00553EA5" w:rsidRDefault="0063733D">
      <w:pPr>
        <w:pStyle w:val="EndnoteText"/>
        <w:rPr>
          <w:sz w:val="22"/>
          <w:szCs w:val="22"/>
        </w:rPr>
      </w:pPr>
      <w:r w:rsidRPr="00553EA5">
        <w:rPr>
          <w:rStyle w:val="EndnoteReference"/>
          <w:sz w:val="22"/>
          <w:szCs w:val="22"/>
        </w:rPr>
        <w:endnoteRef/>
      </w:r>
      <w:r w:rsidR="00292CD9" w:rsidRPr="00553EA5">
        <w:rPr>
          <w:sz w:val="22"/>
          <w:szCs w:val="22"/>
        </w:rPr>
        <w:t xml:space="preserve">The department notes that a review into the </w:t>
      </w:r>
      <w:r w:rsidR="00292CD9" w:rsidRPr="00ED26B2">
        <w:rPr>
          <w:i/>
          <w:sz w:val="22"/>
          <w:szCs w:val="22"/>
        </w:rPr>
        <w:t>Privacy Act 1988</w:t>
      </w:r>
      <w:r w:rsidR="00ED26B2">
        <w:rPr>
          <w:sz w:val="22"/>
          <w:szCs w:val="22"/>
        </w:rPr>
        <w:t xml:space="preserve"> (</w:t>
      </w:r>
      <w:r w:rsidR="00ED26B2">
        <w:rPr>
          <w:sz w:val="22"/>
          <w:szCs w:val="22"/>
        </w:rPr>
        <w:t>Cth)</w:t>
      </w:r>
      <w:r w:rsidR="00292CD9" w:rsidRPr="00553EA5">
        <w:rPr>
          <w:sz w:val="22"/>
          <w:szCs w:val="22"/>
        </w:rPr>
        <w:t xml:space="preserve"> (Privacy Act) was completed in 2022 (Review). The Attorney-General released the Privacy Act Review report in February 2023 </w:t>
      </w:r>
      <w:r w:rsidR="00ED26B2" w:rsidRPr="00553EA5">
        <w:rPr>
          <w:sz w:val="22"/>
          <w:szCs w:val="22"/>
        </w:rPr>
        <w:t xml:space="preserve">(Report) </w:t>
      </w:r>
      <w:r w:rsidR="00292CD9" w:rsidRPr="00553EA5">
        <w:rPr>
          <w:sz w:val="22"/>
          <w:szCs w:val="22"/>
        </w:rPr>
        <w:t>and the Government is developing the response to the Report, which will set out the pathway for reforms.</w:t>
      </w:r>
    </w:p>
  </w:endnote>
  <w:endnote w:id="12">
    <w:p w14:paraId="140BC2CE" w14:textId="46B7B47C" w:rsidR="003136D1" w:rsidRPr="00553EA5" w:rsidRDefault="003136D1">
      <w:pPr>
        <w:pStyle w:val="EndnoteText"/>
        <w:rPr>
          <w:sz w:val="22"/>
          <w:szCs w:val="22"/>
        </w:rPr>
      </w:pPr>
      <w:r w:rsidRPr="00553EA5">
        <w:rPr>
          <w:rStyle w:val="EndnoteReference"/>
          <w:sz w:val="22"/>
          <w:szCs w:val="22"/>
        </w:rPr>
        <w:endnoteRef/>
      </w:r>
      <w:r w:rsidRPr="00553EA5">
        <w:rPr>
          <w:sz w:val="22"/>
          <w:szCs w:val="22"/>
        </w:rPr>
        <w:t xml:space="preserve"> </w:t>
      </w:r>
      <w:r w:rsidR="00292CD9" w:rsidRPr="00553EA5">
        <w:rPr>
          <w:sz w:val="22"/>
          <w:szCs w:val="22"/>
        </w:rPr>
        <w:t xml:space="preserve">The department notes that a review into the </w:t>
      </w:r>
      <w:r w:rsidR="00292CD9" w:rsidRPr="00ED26B2">
        <w:rPr>
          <w:i/>
          <w:sz w:val="22"/>
          <w:szCs w:val="22"/>
        </w:rPr>
        <w:t>Privacy Act 1988</w:t>
      </w:r>
      <w:r w:rsidR="00ED26B2">
        <w:rPr>
          <w:sz w:val="22"/>
          <w:szCs w:val="22"/>
        </w:rPr>
        <w:t xml:space="preserve"> (Cth)</w:t>
      </w:r>
      <w:r w:rsidR="00292CD9" w:rsidRPr="00553EA5">
        <w:rPr>
          <w:sz w:val="22"/>
          <w:szCs w:val="22"/>
        </w:rPr>
        <w:t xml:space="preserve"> (Privacy Act) is currently underway was completed in 2022 (Review). The Attorney-General released the Privacy Act Review report in February 2023</w:t>
      </w:r>
      <w:r w:rsidR="00ED26B2">
        <w:rPr>
          <w:sz w:val="22"/>
          <w:szCs w:val="22"/>
        </w:rPr>
        <w:t xml:space="preserve"> </w:t>
      </w:r>
      <w:r w:rsidR="00ED26B2" w:rsidRPr="00553EA5">
        <w:rPr>
          <w:sz w:val="22"/>
          <w:szCs w:val="22"/>
        </w:rPr>
        <w:t xml:space="preserve">(Report) </w:t>
      </w:r>
      <w:r w:rsidR="00292CD9" w:rsidRPr="00553EA5">
        <w:rPr>
          <w:sz w:val="22"/>
          <w:szCs w:val="22"/>
        </w:rPr>
        <w:t>and the Government is developing the response to the Report, which will set out the pathway for reforms.</w:t>
      </w:r>
    </w:p>
  </w:endnote>
  <w:endnote w:id="13">
    <w:p w14:paraId="604ECD14" w14:textId="6D70B99D" w:rsidR="00AE19B6" w:rsidRPr="00B421E6" w:rsidRDefault="00AE19B6">
      <w:pPr>
        <w:pStyle w:val="EndnoteText"/>
        <w:rPr>
          <w:sz w:val="22"/>
          <w:szCs w:val="22"/>
        </w:rPr>
      </w:pPr>
      <w:r w:rsidRPr="00553EA5">
        <w:rPr>
          <w:rStyle w:val="EndnoteReference"/>
          <w:sz w:val="22"/>
          <w:szCs w:val="22"/>
        </w:rPr>
        <w:endnoteRef/>
      </w:r>
      <w:r w:rsidRPr="00553EA5">
        <w:rPr>
          <w:sz w:val="22"/>
          <w:szCs w:val="22"/>
        </w:rPr>
        <w:t xml:space="preserve"> A provable debt is one that entitles the creditor to vote on a debt agreement proposal and to participate in dividends paid. Section 82 of the </w:t>
      </w:r>
      <w:r w:rsidRPr="00ED26B2">
        <w:rPr>
          <w:i/>
          <w:sz w:val="22"/>
          <w:szCs w:val="22"/>
        </w:rPr>
        <w:t>B</w:t>
      </w:r>
      <w:r w:rsidR="00ED26B2" w:rsidRPr="00ED26B2">
        <w:rPr>
          <w:i/>
          <w:sz w:val="22"/>
          <w:szCs w:val="22"/>
        </w:rPr>
        <w:t>ankruptcy Act 1966</w:t>
      </w:r>
      <w:r w:rsidR="00ED26B2">
        <w:rPr>
          <w:sz w:val="22"/>
          <w:szCs w:val="22"/>
        </w:rPr>
        <w:t xml:space="preserve"> (Cth)</w:t>
      </w:r>
      <w:r w:rsidRPr="00553EA5">
        <w:rPr>
          <w:sz w:val="22"/>
          <w:szCs w:val="22"/>
        </w:rPr>
        <w:t xml:space="preserve"> outlines which debts are provable and sections 83 to 107 provide further detailed information about provable debts.</w:t>
      </w:r>
    </w:p>
  </w:endnote>
  <w:endnote w:id="14">
    <w:p w14:paraId="7515AF94" w14:textId="48F1C6C9" w:rsidR="008A6F25" w:rsidRPr="00B421E6" w:rsidRDefault="008A6F25">
      <w:pPr>
        <w:pStyle w:val="EndnoteText"/>
        <w:rPr>
          <w:rFonts w:asciiTheme="minorHAnsi" w:hAnsiTheme="minorHAnsi"/>
          <w:sz w:val="22"/>
          <w:szCs w:val="22"/>
        </w:rPr>
      </w:pPr>
      <w:r w:rsidRPr="00B421E6">
        <w:rPr>
          <w:rStyle w:val="EndnoteReference"/>
          <w:rFonts w:asciiTheme="minorHAnsi" w:hAnsiTheme="minorHAnsi"/>
          <w:sz w:val="22"/>
          <w:szCs w:val="22"/>
        </w:rPr>
        <w:endnoteRef/>
      </w:r>
      <w:r w:rsidRPr="00B421E6">
        <w:rPr>
          <w:rFonts w:asciiTheme="minorHAnsi" w:hAnsiTheme="minorHAnsi"/>
          <w:sz w:val="22"/>
          <w:szCs w:val="22"/>
        </w:rPr>
        <w:t xml:space="preserve"> </w:t>
      </w:r>
      <w:r w:rsidRPr="00B421E6">
        <w:rPr>
          <w:rFonts w:asciiTheme="minorHAnsi" w:hAnsiTheme="minorHAnsi" w:cstheme="minorHAnsi"/>
          <w:sz w:val="22"/>
          <w:szCs w:val="22"/>
        </w:rPr>
        <w:t xml:space="preserve">Paragraph 44(1)(c) of the </w:t>
      </w:r>
      <w:r w:rsidRPr="00ED26B2">
        <w:rPr>
          <w:rFonts w:asciiTheme="minorHAnsi" w:hAnsiTheme="minorHAnsi" w:cstheme="minorHAnsi"/>
          <w:i/>
          <w:sz w:val="22"/>
          <w:szCs w:val="22"/>
        </w:rPr>
        <w:t>Bankruptcy Act</w:t>
      </w:r>
      <w:r w:rsidR="00ED26B2" w:rsidRPr="00ED26B2">
        <w:rPr>
          <w:rFonts w:asciiTheme="minorHAnsi" w:hAnsiTheme="minorHAnsi" w:cstheme="minorHAnsi"/>
          <w:i/>
          <w:sz w:val="22"/>
          <w:szCs w:val="22"/>
        </w:rPr>
        <w:t xml:space="preserve"> 1966</w:t>
      </w:r>
      <w:r w:rsidR="00ED26B2">
        <w:rPr>
          <w:rFonts w:asciiTheme="minorHAnsi" w:hAnsiTheme="minorHAnsi" w:cstheme="minorHAnsi"/>
          <w:sz w:val="22"/>
          <w:szCs w:val="22"/>
        </w:rPr>
        <w:t xml:space="preserve"> (Cth)</w:t>
      </w:r>
      <w:r w:rsidRPr="00B421E6">
        <w:rPr>
          <w:rFonts w:asciiTheme="minorHAnsi" w:hAnsiTheme="minorHAnsi" w:cstheme="minorHAnsi"/>
          <w:sz w:val="22"/>
          <w:szCs w:val="22"/>
        </w:rPr>
        <w:t>.</w:t>
      </w:r>
    </w:p>
  </w:endnote>
  <w:endnote w:id="15">
    <w:p w14:paraId="0E584C1E" w14:textId="7AA275ED" w:rsidR="008A6F25" w:rsidRPr="00711907" w:rsidRDefault="008A6F25">
      <w:pPr>
        <w:pStyle w:val="EndnoteText"/>
        <w:rPr>
          <w:rFonts w:asciiTheme="minorHAnsi" w:hAnsiTheme="minorHAnsi"/>
          <w:sz w:val="22"/>
          <w:szCs w:val="22"/>
        </w:rPr>
      </w:pPr>
      <w:r w:rsidRPr="00B421E6">
        <w:rPr>
          <w:rStyle w:val="EndnoteReference"/>
          <w:rFonts w:asciiTheme="minorHAnsi" w:hAnsiTheme="minorHAnsi"/>
          <w:sz w:val="22"/>
          <w:szCs w:val="22"/>
        </w:rPr>
        <w:endnoteRef/>
      </w:r>
      <w:r w:rsidRPr="00B421E6">
        <w:rPr>
          <w:rFonts w:asciiTheme="minorHAnsi" w:hAnsiTheme="minorHAnsi"/>
          <w:sz w:val="22"/>
          <w:szCs w:val="22"/>
        </w:rPr>
        <w:t xml:space="preserve"> Paragraph 44(1)(c) of the </w:t>
      </w:r>
      <w:r w:rsidRPr="00ED26B2">
        <w:rPr>
          <w:rFonts w:asciiTheme="minorHAnsi" w:hAnsiTheme="minorHAnsi"/>
          <w:i/>
          <w:sz w:val="22"/>
          <w:szCs w:val="22"/>
        </w:rPr>
        <w:t>Bankruptcy Act</w:t>
      </w:r>
      <w:r w:rsidR="00ED26B2" w:rsidRPr="00ED26B2">
        <w:rPr>
          <w:rFonts w:asciiTheme="minorHAnsi" w:hAnsiTheme="minorHAnsi"/>
          <w:i/>
          <w:sz w:val="22"/>
          <w:szCs w:val="22"/>
        </w:rPr>
        <w:t xml:space="preserve"> 1966</w:t>
      </w:r>
      <w:r w:rsidR="00ED26B2">
        <w:rPr>
          <w:rFonts w:asciiTheme="minorHAnsi" w:hAnsiTheme="minorHAnsi"/>
          <w:sz w:val="22"/>
          <w:szCs w:val="22"/>
        </w:rPr>
        <w:t xml:space="preserve"> (Cth)</w:t>
      </w:r>
      <w:r w:rsidRPr="00B421E6">
        <w:rPr>
          <w:rFonts w:asciiTheme="minorHAnsi" w:hAnsiTheme="minorHAnsi"/>
          <w:sz w:val="22"/>
          <w:szCs w:val="22"/>
        </w:rPr>
        <w:t>.</w:t>
      </w:r>
      <w:r w:rsidRPr="00711907">
        <w:rPr>
          <w:rFonts w:asciiTheme="minorHAnsi" w:hAnsiTheme="minorHAnsi"/>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E819" w14:textId="238A7F87" w:rsidR="008A6F25" w:rsidRPr="00453257" w:rsidRDefault="008A6F25" w:rsidP="00394664">
    <w:pPr>
      <w:pStyle w:val="Footer"/>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981973"/>
      <w:docPartObj>
        <w:docPartGallery w:val="Page Numbers (Bottom of Page)"/>
        <w:docPartUnique/>
      </w:docPartObj>
    </w:sdtPr>
    <w:sdtEndPr>
      <w:rPr>
        <w:noProof/>
      </w:rPr>
    </w:sdtEndPr>
    <w:sdtContent>
      <w:p w14:paraId="7883F2EB" w14:textId="3B645287" w:rsidR="008A6F25" w:rsidRDefault="008A6F25">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7226E81A" w14:textId="77777777" w:rsidR="008A6F25" w:rsidRDefault="008A6F25" w:rsidP="0061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B690C" w14:textId="77777777" w:rsidR="0095276F" w:rsidRDefault="0095276F" w:rsidP="006150CB">
      <w:r>
        <w:separator/>
      </w:r>
    </w:p>
  </w:footnote>
  <w:footnote w:type="continuationSeparator" w:id="0">
    <w:p w14:paraId="7E3C0ECD" w14:textId="77777777" w:rsidR="0095276F" w:rsidRDefault="0095276F" w:rsidP="00615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435F7" w14:textId="2E134682" w:rsidR="008A6F25" w:rsidRDefault="008A6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55E6B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18EAD9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A21148"/>
    <w:multiLevelType w:val="hybridMultilevel"/>
    <w:tmpl w:val="7324946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43460BF"/>
    <w:multiLevelType w:val="hybridMultilevel"/>
    <w:tmpl w:val="7C7E5DD4"/>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4" w15:restartNumberingAfterBreak="0">
    <w:nsid w:val="04DD4DE5"/>
    <w:multiLevelType w:val="hybridMultilevel"/>
    <w:tmpl w:val="194CEB9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09D2721E"/>
    <w:multiLevelType w:val="multilevel"/>
    <w:tmpl w:val="EFDC8A06"/>
    <w:numStyleLink w:val="Bullet2"/>
  </w:abstractNum>
  <w:abstractNum w:abstractNumId="6" w15:restartNumberingAfterBreak="0">
    <w:nsid w:val="09F10D1A"/>
    <w:multiLevelType w:val="hybridMultilevel"/>
    <w:tmpl w:val="BCB29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CC4055"/>
    <w:multiLevelType w:val="hybridMultilevel"/>
    <w:tmpl w:val="6624F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2A655B"/>
    <w:multiLevelType w:val="hybridMultilevel"/>
    <w:tmpl w:val="1ABCFAAC"/>
    <w:lvl w:ilvl="0" w:tplc="5226ED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932166"/>
    <w:multiLevelType w:val="multilevel"/>
    <w:tmpl w:val="EFDC8A06"/>
    <w:styleLink w:val="Bulle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9B1660"/>
    <w:multiLevelType w:val="hybridMultilevel"/>
    <w:tmpl w:val="34F03DD2"/>
    <w:lvl w:ilvl="0" w:tplc="B9A21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CE7710"/>
    <w:multiLevelType w:val="hybridMultilevel"/>
    <w:tmpl w:val="E7787CD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7342EC1"/>
    <w:multiLevelType w:val="hybridMultilevel"/>
    <w:tmpl w:val="1204A234"/>
    <w:lvl w:ilvl="0" w:tplc="CEC60F2A">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040E5A"/>
    <w:multiLevelType w:val="hybridMultilevel"/>
    <w:tmpl w:val="41A83968"/>
    <w:lvl w:ilvl="0" w:tplc="A41AE8E6">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6E3B25"/>
    <w:multiLevelType w:val="hybridMultilevel"/>
    <w:tmpl w:val="38405E96"/>
    <w:lvl w:ilvl="0" w:tplc="17D6DA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39384F"/>
    <w:multiLevelType w:val="hybridMultilevel"/>
    <w:tmpl w:val="FF144E72"/>
    <w:lvl w:ilvl="0" w:tplc="AD808AB2">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517E2C"/>
    <w:multiLevelType w:val="hybridMultilevel"/>
    <w:tmpl w:val="4E5A5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59759C"/>
    <w:multiLevelType w:val="hybridMultilevel"/>
    <w:tmpl w:val="721C2A60"/>
    <w:lvl w:ilvl="0" w:tplc="3484F224">
      <w:start w:val="1"/>
      <w:numFmt w:val="bullet"/>
      <w:lvlText w:val=""/>
      <w:lvlJc w:val="left"/>
      <w:pPr>
        <w:ind w:left="720" w:hanging="360"/>
      </w:pPr>
      <w:rPr>
        <w:rFonts w:ascii="Symbol" w:hAnsi="Symbol" w:hint="default"/>
        <w:color w:val="5C5C5C"/>
      </w:rPr>
    </w:lvl>
    <w:lvl w:ilvl="1" w:tplc="EE0CC5E8">
      <w:start w:val="1"/>
      <w:numFmt w:val="decimal"/>
      <w:lvlText w:val="%2."/>
      <w:lvlJc w:val="left"/>
      <w:pPr>
        <w:ind w:left="927" w:hanging="360"/>
      </w:pPr>
      <w:rPr>
        <w:rFonts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D85243"/>
    <w:multiLevelType w:val="hybridMultilevel"/>
    <w:tmpl w:val="5AEA3D5C"/>
    <w:lvl w:ilvl="0" w:tplc="0C09000F">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6E4C28"/>
    <w:multiLevelType w:val="hybridMultilevel"/>
    <w:tmpl w:val="DAE66B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35F2D0F"/>
    <w:multiLevelType w:val="hybridMultilevel"/>
    <w:tmpl w:val="AB78CEB6"/>
    <w:lvl w:ilvl="0" w:tplc="AD808AB2">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55448EF"/>
    <w:multiLevelType w:val="hybridMultilevel"/>
    <w:tmpl w:val="BB96E0A0"/>
    <w:lvl w:ilvl="0" w:tplc="DD466B5A">
      <w:start w:val="1"/>
      <w:numFmt w:val="bullet"/>
      <w:lvlText w:val=""/>
      <w:lvlJc w:val="left"/>
      <w:pPr>
        <w:ind w:left="644" w:hanging="360"/>
      </w:pPr>
      <w:rPr>
        <w:rFonts w:ascii="Symbol" w:hAnsi="Symbol" w:hint="default"/>
        <w:color w:val="auto"/>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5E1C18A1"/>
    <w:multiLevelType w:val="hybridMultilevel"/>
    <w:tmpl w:val="1B70F8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021B58"/>
    <w:multiLevelType w:val="hybridMultilevel"/>
    <w:tmpl w:val="61940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A15FB9"/>
    <w:multiLevelType w:val="hybridMultilevel"/>
    <w:tmpl w:val="BF3AA932"/>
    <w:lvl w:ilvl="0" w:tplc="3484F224">
      <w:start w:val="1"/>
      <w:numFmt w:val="bullet"/>
      <w:pStyle w:val="Bullet1"/>
      <w:lvlText w:val=""/>
      <w:lvlJc w:val="left"/>
      <w:pPr>
        <w:ind w:left="720" w:hanging="360"/>
      </w:pPr>
      <w:rPr>
        <w:rFonts w:ascii="Symbol" w:hAnsi="Symbol" w:hint="default"/>
        <w:color w:val="5C5C5C"/>
      </w:rPr>
    </w:lvl>
    <w:lvl w:ilvl="1" w:tplc="7610D95C">
      <w:start w:val="1"/>
      <w:numFmt w:val="bullet"/>
      <w:pStyle w:val="ListBullet"/>
      <w:lvlText w:val=""/>
      <w:lvlJc w:val="left"/>
      <w:pPr>
        <w:ind w:left="1353"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DB7493"/>
    <w:multiLevelType w:val="hybridMultilevel"/>
    <w:tmpl w:val="F7344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1B4C48"/>
    <w:multiLevelType w:val="hybridMultilevel"/>
    <w:tmpl w:val="85B60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D53EED"/>
    <w:multiLevelType w:val="hybridMultilevel"/>
    <w:tmpl w:val="8D266D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167D66"/>
    <w:multiLevelType w:val="hybridMultilevel"/>
    <w:tmpl w:val="250471CC"/>
    <w:lvl w:ilvl="0" w:tplc="A52880F0">
      <w:start w:val="1"/>
      <w:numFmt w:val="decimal"/>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421AAC"/>
    <w:multiLevelType w:val="multilevel"/>
    <w:tmpl w:val="D5EA1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0B3972"/>
    <w:multiLevelType w:val="hybridMultilevel"/>
    <w:tmpl w:val="16CABF44"/>
    <w:lvl w:ilvl="0" w:tplc="A52880F0">
      <w:start w:val="1"/>
      <w:numFmt w:val="decimal"/>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9"/>
  </w:num>
  <w:num w:numId="3">
    <w:abstractNumId w:val="5"/>
  </w:num>
  <w:num w:numId="4">
    <w:abstractNumId w:val="0"/>
  </w:num>
  <w:num w:numId="5">
    <w:abstractNumId w:val="1"/>
  </w:num>
  <w:num w:numId="6">
    <w:abstractNumId w:val="25"/>
  </w:num>
  <w:num w:numId="7">
    <w:abstractNumId w:val="21"/>
  </w:num>
  <w:num w:numId="8">
    <w:abstractNumId w:val="23"/>
  </w:num>
  <w:num w:numId="9">
    <w:abstractNumId w:val="16"/>
  </w:num>
  <w:num w:numId="10">
    <w:abstractNumId w:val="2"/>
  </w:num>
  <w:num w:numId="11">
    <w:abstractNumId w:val="7"/>
  </w:num>
  <w:num w:numId="12">
    <w:abstractNumId w:val="17"/>
  </w:num>
  <w:num w:numId="13">
    <w:abstractNumId w:val="20"/>
  </w:num>
  <w:num w:numId="14">
    <w:abstractNumId w:val="11"/>
  </w:num>
  <w:num w:numId="15">
    <w:abstractNumId w:val="19"/>
  </w:num>
  <w:num w:numId="16">
    <w:abstractNumId w:val="26"/>
  </w:num>
  <w:num w:numId="17">
    <w:abstractNumId w:val="6"/>
  </w:num>
  <w:num w:numId="18">
    <w:abstractNumId w:val="14"/>
  </w:num>
  <w:num w:numId="19">
    <w:abstractNumId w:val="8"/>
  </w:num>
  <w:num w:numId="20">
    <w:abstractNumId w:val="10"/>
  </w:num>
  <w:num w:numId="21">
    <w:abstractNumId w:val="13"/>
  </w:num>
  <w:num w:numId="22">
    <w:abstractNumId w:val="4"/>
  </w:num>
  <w:num w:numId="23">
    <w:abstractNumId w:val="12"/>
  </w:num>
  <w:num w:numId="24">
    <w:abstractNumId w:val="15"/>
  </w:num>
  <w:num w:numId="25">
    <w:abstractNumId w:val="18"/>
  </w:num>
  <w:num w:numId="26">
    <w:abstractNumId w:val="29"/>
  </w:num>
  <w:num w:numId="27">
    <w:abstractNumId w:val="28"/>
  </w:num>
  <w:num w:numId="28">
    <w:abstractNumId w:val="22"/>
  </w:num>
  <w:num w:numId="29">
    <w:abstractNumId w:val="27"/>
  </w:num>
  <w:num w:numId="30">
    <w:abstractNumId w:val="3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B8"/>
    <w:rsid w:val="0000016F"/>
    <w:rsid w:val="00002C89"/>
    <w:rsid w:val="00003523"/>
    <w:rsid w:val="00003BC9"/>
    <w:rsid w:val="00004060"/>
    <w:rsid w:val="00005CA7"/>
    <w:rsid w:val="00006F48"/>
    <w:rsid w:val="000137FB"/>
    <w:rsid w:val="00013D50"/>
    <w:rsid w:val="00014F57"/>
    <w:rsid w:val="00016417"/>
    <w:rsid w:val="00022A75"/>
    <w:rsid w:val="00024627"/>
    <w:rsid w:val="000250DD"/>
    <w:rsid w:val="00025685"/>
    <w:rsid w:val="00025DA1"/>
    <w:rsid w:val="0002698C"/>
    <w:rsid w:val="00026D64"/>
    <w:rsid w:val="00031035"/>
    <w:rsid w:val="00031D5F"/>
    <w:rsid w:val="00032AB8"/>
    <w:rsid w:val="00033AC2"/>
    <w:rsid w:val="0003541B"/>
    <w:rsid w:val="000354C2"/>
    <w:rsid w:val="000359D0"/>
    <w:rsid w:val="00036632"/>
    <w:rsid w:val="00041421"/>
    <w:rsid w:val="00042F26"/>
    <w:rsid w:val="000430AC"/>
    <w:rsid w:val="000432A2"/>
    <w:rsid w:val="000432CE"/>
    <w:rsid w:val="0004799B"/>
    <w:rsid w:val="00050677"/>
    <w:rsid w:val="00052F22"/>
    <w:rsid w:val="000536A5"/>
    <w:rsid w:val="00060197"/>
    <w:rsid w:val="00060E0E"/>
    <w:rsid w:val="00061375"/>
    <w:rsid w:val="000629ED"/>
    <w:rsid w:val="00066189"/>
    <w:rsid w:val="000668CC"/>
    <w:rsid w:val="00067ACB"/>
    <w:rsid w:val="00067DB9"/>
    <w:rsid w:val="000701A1"/>
    <w:rsid w:val="00071448"/>
    <w:rsid w:val="000722D2"/>
    <w:rsid w:val="00072766"/>
    <w:rsid w:val="00072BD1"/>
    <w:rsid w:val="000735A7"/>
    <w:rsid w:val="000738F1"/>
    <w:rsid w:val="00073FC7"/>
    <w:rsid w:val="00075260"/>
    <w:rsid w:val="00076509"/>
    <w:rsid w:val="000779BE"/>
    <w:rsid w:val="000806CE"/>
    <w:rsid w:val="0008277A"/>
    <w:rsid w:val="00090B9B"/>
    <w:rsid w:val="00090F14"/>
    <w:rsid w:val="000920DA"/>
    <w:rsid w:val="000925C6"/>
    <w:rsid w:val="0009371F"/>
    <w:rsid w:val="00096A75"/>
    <w:rsid w:val="00096B7A"/>
    <w:rsid w:val="000979FB"/>
    <w:rsid w:val="000A0646"/>
    <w:rsid w:val="000A1BB6"/>
    <w:rsid w:val="000A2F3F"/>
    <w:rsid w:val="000B1BB1"/>
    <w:rsid w:val="000B5A72"/>
    <w:rsid w:val="000B6777"/>
    <w:rsid w:val="000B69E9"/>
    <w:rsid w:val="000B6EC0"/>
    <w:rsid w:val="000C1E9E"/>
    <w:rsid w:val="000C23A3"/>
    <w:rsid w:val="000C24D1"/>
    <w:rsid w:val="000C3F42"/>
    <w:rsid w:val="000C4628"/>
    <w:rsid w:val="000C687A"/>
    <w:rsid w:val="000C7206"/>
    <w:rsid w:val="000C72EB"/>
    <w:rsid w:val="000D1021"/>
    <w:rsid w:val="000D162B"/>
    <w:rsid w:val="000D172E"/>
    <w:rsid w:val="000D1C66"/>
    <w:rsid w:val="000D3759"/>
    <w:rsid w:val="000D4688"/>
    <w:rsid w:val="000D548D"/>
    <w:rsid w:val="000D56B7"/>
    <w:rsid w:val="000E2FC3"/>
    <w:rsid w:val="000E7A6C"/>
    <w:rsid w:val="000F3D72"/>
    <w:rsid w:val="000F3F2F"/>
    <w:rsid w:val="001016F4"/>
    <w:rsid w:val="00101EA7"/>
    <w:rsid w:val="00102E88"/>
    <w:rsid w:val="00102FAE"/>
    <w:rsid w:val="00103FDE"/>
    <w:rsid w:val="00110363"/>
    <w:rsid w:val="00110CC1"/>
    <w:rsid w:val="001129E6"/>
    <w:rsid w:val="00112C29"/>
    <w:rsid w:val="0011430B"/>
    <w:rsid w:val="00114479"/>
    <w:rsid w:val="00115101"/>
    <w:rsid w:val="001151AF"/>
    <w:rsid w:val="0011567D"/>
    <w:rsid w:val="00115CF5"/>
    <w:rsid w:val="00120771"/>
    <w:rsid w:val="00121156"/>
    <w:rsid w:val="00122257"/>
    <w:rsid w:val="00123449"/>
    <w:rsid w:val="00125058"/>
    <w:rsid w:val="00130B07"/>
    <w:rsid w:val="00132272"/>
    <w:rsid w:val="00132B02"/>
    <w:rsid w:val="00133244"/>
    <w:rsid w:val="00133546"/>
    <w:rsid w:val="00133E49"/>
    <w:rsid w:val="001344C4"/>
    <w:rsid w:val="001450AA"/>
    <w:rsid w:val="0014610E"/>
    <w:rsid w:val="0015042B"/>
    <w:rsid w:val="00151A0A"/>
    <w:rsid w:val="00152E9F"/>
    <w:rsid w:val="00153543"/>
    <w:rsid w:val="0015529E"/>
    <w:rsid w:val="0015690B"/>
    <w:rsid w:val="00157544"/>
    <w:rsid w:val="00157731"/>
    <w:rsid w:val="001606D2"/>
    <w:rsid w:val="00160D46"/>
    <w:rsid w:val="0016398A"/>
    <w:rsid w:val="00165C99"/>
    <w:rsid w:val="00166937"/>
    <w:rsid w:val="001719FF"/>
    <w:rsid w:val="0017443F"/>
    <w:rsid w:val="00175F44"/>
    <w:rsid w:val="00176CD9"/>
    <w:rsid w:val="001810DE"/>
    <w:rsid w:val="001816C0"/>
    <w:rsid w:val="001840E3"/>
    <w:rsid w:val="001857FF"/>
    <w:rsid w:val="0018637C"/>
    <w:rsid w:val="00190659"/>
    <w:rsid w:val="00191C90"/>
    <w:rsid w:val="00192AD8"/>
    <w:rsid w:val="00192F33"/>
    <w:rsid w:val="001A29E2"/>
    <w:rsid w:val="001A2B98"/>
    <w:rsid w:val="001A4B11"/>
    <w:rsid w:val="001A6CAC"/>
    <w:rsid w:val="001B0526"/>
    <w:rsid w:val="001B0CBE"/>
    <w:rsid w:val="001B11C5"/>
    <w:rsid w:val="001B1B69"/>
    <w:rsid w:val="001B23F6"/>
    <w:rsid w:val="001C050C"/>
    <w:rsid w:val="001C0989"/>
    <w:rsid w:val="001D081E"/>
    <w:rsid w:val="001D1726"/>
    <w:rsid w:val="001D20D3"/>
    <w:rsid w:val="001D3BD9"/>
    <w:rsid w:val="001D53D0"/>
    <w:rsid w:val="001D60AA"/>
    <w:rsid w:val="001E0264"/>
    <w:rsid w:val="001E1D57"/>
    <w:rsid w:val="001E348D"/>
    <w:rsid w:val="001E4B31"/>
    <w:rsid w:val="001E6421"/>
    <w:rsid w:val="001F40A8"/>
    <w:rsid w:val="00200FA3"/>
    <w:rsid w:val="002011DF"/>
    <w:rsid w:val="0020203B"/>
    <w:rsid w:val="0020357A"/>
    <w:rsid w:val="0020764D"/>
    <w:rsid w:val="002107FB"/>
    <w:rsid w:val="00210E7A"/>
    <w:rsid w:val="002148F1"/>
    <w:rsid w:val="00215BE2"/>
    <w:rsid w:val="002207E3"/>
    <w:rsid w:val="00222A58"/>
    <w:rsid w:val="002259D7"/>
    <w:rsid w:val="0022691E"/>
    <w:rsid w:val="00227E8B"/>
    <w:rsid w:val="00230B26"/>
    <w:rsid w:val="002319AD"/>
    <w:rsid w:val="00231DC5"/>
    <w:rsid w:val="0023271B"/>
    <w:rsid w:val="002338FC"/>
    <w:rsid w:val="00235F51"/>
    <w:rsid w:val="0023658D"/>
    <w:rsid w:val="0024044E"/>
    <w:rsid w:val="00241834"/>
    <w:rsid w:val="00241DAB"/>
    <w:rsid w:val="00243E29"/>
    <w:rsid w:val="00245CE2"/>
    <w:rsid w:val="00245F62"/>
    <w:rsid w:val="002463A5"/>
    <w:rsid w:val="002463FD"/>
    <w:rsid w:val="002514C9"/>
    <w:rsid w:val="00251E38"/>
    <w:rsid w:val="00252AEF"/>
    <w:rsid w:val="00253442"/>
    <w:rsid w:val="00255FBF"/>
    <w:rsid w:val="0026168A"/>
    <w:rsid w:val="00261D8C"/>
    <w:rsid w:val="00263701"/>
    <w:rsid w:val="00266CDD"/>
    <w:rsid w:val="00271B2B"/>
    <w:rsid w:val="002725E6"/>
    <w:rsid w:val="00276EC9"/>
    <w:rsid w:val="00280189"/>
    <w:rsid w:val="0028039A"/>
    <w:rsid w:val="00282BFF"/>
    <w:rsid w:val="002835C9"/>
    <w:rsid w:val="00283B2D"/>
    <w:rsid w:val="00285333"/>
    <w:rsid w:val="00285481"/>
    <w:rsid w:val="0028670F"/>
    <w:rsid w:val="00291157"/>
    <w:rsid w:val="00292B85"/>
    <w:rsid w:val="00292CD9"/>
    <w:rsid w:val="00294F29"/>
    <w:rsid w:val="00295DBA"/>
    <w:rsid w:val="00297F82"/>
    <w:rsid w:val="002A0994"/>
    <w:rsid w:val="002A2876"/>
    <w:rsid w:val="002A3EFB"/>
    <w:rsid w:val="002A5C65"/>
    <w:rsid w:val="002B14B6"/>
    <w:rsid w:val="002B324C"/>
    <w:rsid w:val="002B5870"/>
    <w:rsid w:val="002C10F3"/>
    <w:rsid w:val="002C36CE"/>
    <w:rsid w:val="002C36D2"/>
    <w:rsid w:val="002C640A"/>
    <w:rsid w:val="002D048A"/>
    <w:rsid w:val="002D2001"/>
    <w:rsid w:val="002D3071"/>
    <w:rsid w:val="002D35E5"/>
    <w:rsid w:val="002D4EB6"/>
    <w:rsid w:val="002D4EC9"/>
    <w:rsid w:val="002D5BAF"/>
    <w:rsid w:val="002D755F"/>
    <w:rsid w:val="002D7E4B"/>
    <w:rsid w:val="002D7F4F"/>
    <w:rsid w:val="002E0F84"/>
    <w:rsid w:val="002E1AF7"/>
    <w:rsid w:val="002E2D34"/>
    <w:rsid w:val="002E4C66"/>
    <w:rsid w:val="002E58A7"/>
    <w:rsid w:val="002F1D83"/>
    <w:rsid w:val="002F6DAA"/>
    <w:rsid w:val="002F761F"/>
    <w:rsid w:val="002F78E8"/>
    <w:rsid w:val="00300DF5"/>
    <w:rsid w:val="00304903"/>
    <w:rsid w:val="003104E9"/>
    <w:rsid w:val="003136D1"/>
    <w:rsid w:val="003212A4"/>
    <w:rsid w:val="00324EB2"/>
    <w:rsid w:val="00332B23"/>
    <w:rsid w:val="0033674A"/>
    <w:rsid w:val="00337B1F"/>
    <w:rsid w:val="00340142"/>
    <w:rsid w:val="0034113E"/>
    <w:rsid w:val="00342B54"/>
    <w:rsid w:val="00342CCD"/>
    <w:rsid w:val="003439E3"/>
    <w:rsid w:val="003446CE"/>
    <w:rsid w:val="00345E79"/>
    <w:rsid w:val="0035072B"/>
    <w:rsid w:val="00356204"/>
    <w:rsid w:val="00357CDC"/>
    <w:rsid w:val="00357E37"/>
    <w:rsid w:val="0036002D"/>
    <w:rsid w:val="0036167C"/>
    <w:rsid w:val="0036504D"/>
    <w:rsid w:val="0037098A"/>
    <w:rsid w:val="00372C25"/>
    <w:rsid w:val="003736B3"/>
    <w:rsid w:val="00374048"/>
    <w:rsid w:val="0037431D"/>
    <w:rsid w:val="00377DD8"/>
    <w:rsid w:val="003823C3"/>
    <w:rsid w:val="00384673"/>
    <w:rsid w:val="00384BB9"/>
    <w:rsid w:val="00385E73"/>
    <w:rsid w:val="00386696"/>
    <w:rsid w:val="00386D0F"/>
    <w:rsid w:val="0038771C"/>
    <w:rsid w:val="00391046"/>
    <w:rsid w:val="003917D3"/>
    <w:rsid w:val="00391974"/>
    <w:rsid w:val="00392604"/>
    <w:rsid w:val="0039343C"/>
    <w:rsid w:val="00393B77"/>
    <w:rsid w:val="00394664"/>
    <w:rsid w:val="00394B17"/>
    <w:rsid w:val="003950BB"/>
    <w:rsid w:val="00395615"/>
    <w:rsid w:val="003A222E"/>
    <w:rsid w:val="003A33BC"/>
    <w:rsid w:val="003A3AC7"/>
    <w:rsid w:val="003A550D"/>
    <w:rsid w:val="003A60AF"/>
    <w:rsid w:val="003A62E4"/>
    <w:rsid w:val="003A70A4"/>
    <w:rsid w:val="003A7F6A"/>
    <w:rsid w:val="003B0E44"/>
    <w:rsid w:val="003B1304"/>
    <w:rsid w:val="003B1DB0"/>
    <w:rsid w:val="003B28B8"/>
    <w:rsid w:val="003B3B5D"/>
    <w:rsid w:val="003B634E"/>
    <w:rsid w:val="003B73D7"/>
    <w:rsid w:val="003B7743"/>
    <w:rsid w:val="003B7D30"/>
    <w:rsid w:val="003C1875"/>
    <w:rsid w:val="003C1DA9"/>
    <w:rsid w:val="003C3789"/>
    <w:rsid w:val="003C3C01"/>
    <w:rsid w:val="003C4BEA"/>
    <w:rsid w:val="003C5E94"/>
    <w:rsid w:val="003C7658"/>
    <w:rsid w:val="003D13A0"/>
    <w:rsid w:val="003D541B"/>
    <w:rsid w:val="003D7D8C"/>
    <w:rsid w:val="003E35CA"/>
    <w:rsid w:val="003E4225"/>
    <w:rsid w:val="003E611C"/>
    <w:rsid w:val="003E61A1"/>
    <w:rsid w:val="003F1B18"/>
    <w:rsid w:val="003F2E88"/>
    <w:rsid w:val="003F34CC"/>
    <w:rsid w:val="003F6133"/>
    <w:rsid w:val="003F6C1B"/>
    <w:rsid w:val="003F6F74"/>
    <w:rsid w:val="003F755F"/>
    <w:rsid w:val="00400478"/>
    <w:rsid w:val="004006A6"/>
    <w:rsid w:val="00400F2C"/>
    <w:rsid w:val="00402C17"/>
    <w:rsid w:val="00403AFA"/>
    <w:rsid w:val="00405D22"/>
    <w:rsid w:val="0040752E"/>
    <w:rsid w:val="004111F0"/>
    <w:rsid w:val="00411A37"/>
    <w:rsid w:val="00415C4C"/>
    <w:rsid w:val="00415FF4"/>
    <w:rsid w:val="00420AF8"/>
    <w:rsid w:val="00423387"/>
    <w:rsid w:val="004236A3"/>
    <w:rsid w:val="004247B3"/>
    <w:rsid w:val="00425207"/>
    <w:rsid w:val="00426B0D"/>
    <w:rsid w:val="00426CB5"/>
    <w:rsid w:val="00431B04"/>
    <w:rsid w:val="0043200B"/>
    <w:rsid w:val="004341C8"/>
    <w:rsid w:val="00437B00"/>
    <w:rsid w:val="00440A6C"/>
    <w:rsid w:val="0044236E"/>
    <w:rsid w:val="00443456"/>
    <w:rsid w:val="00443AAC"/>
    <w:rsid w:val="00444092"/>
    <w:rsid w:val="004450A3"/>
    <w:rsid w:val="00446431"/>
    <w:rsid w:val="0045024F"/>
    <w:rsid w:val="00451C05"/>
    <w:rsid w:val="00451C46"/>
    <w:rsid w:val="00453257"/>
    <w:rsid w:val="004532B6"/>
    <w:rsid w:val="00456EE2"/>
    <w:rsid w:val="00462002"/>
    <w:rsid w:val="0046353D"/>
    <w:rsid w:val="00463F05"/>
    <w:rsid w:val="00464E18"/>
    <w:rsid w:val="00465153"/>
    <w:rsid w:val="00466486"/>
    <w:rsid w:val="00466AE8"/>
    <w:rsid w:val="004705DC"/>
    <w:rsid w:val="00471B6A"/>
    <w:rsid w:val="00474B9D"/>
    <w:rsid w:val="00474D22"/>
    <w:rsid w:val="00480913"/>
    <w:rsid w:val="00483210"/>
    <w:rsid w:val="00483FD4"/>
    <w:rsid w:val="004841B3"/>
    <w:rsid w:val="004854F0"/>
    <w:rsid w:val="004859DD"/>
    <w:rsid w:val="00487529"/>
    <w:rsid w:val="00490CAC"/>
    <w:rsid w:val="004921AE"/>
    <w:rsid w:val="00494844"/>
    <w:rsid w:val="004A0DD5"/>
    <w:rsid w:val="004A165B"/>
    <w:rsid w:val="004A1A0A"/>
    <w:rsid w:val="004A57CC"/>
    <w:rsid w:val="004B1515"/>
    <w:rsid w:val="004B3B59"/>
    <w:rsid w:val="004B472A"/>
    <w:rsid w:val="004B6660"/>
    <w:rsid w:val="004C0EBC"/>
    <w:rsid w:val="004C0EC5"/>
    <w:rsid w:val="004C31AC"/>
    <w:rsid w:val="004C3AB7"/>
    <w:rsid w:val="004C5585"/>
    <w:rsid w:val="004D61DB"/>
    <w:rsid w:val="004D7580"/>
    <w:rsid w:val="004E18C8"/>
    <w:rsid w:val="004E2005"/>
    <w:rsid w:val="004E288B"/>
    <w:rsid w:val="004E351B"/>
    <w:rsid w:val="004E42EC"/>
    <w:rsid w:val="004E51FD"/>
    <w:rsid w:val="004F299E"/>
    <w:rsid w:val="004F43C4"/>
    <w:rsid w:val="004F52EE"/>
    <w:rsid w:val="004F726B"/>
    <w:rsid w:val="004F79ED"/>
    <w:rsid w:val="005061B8"/>
    <w:rsid w:val="00506517"/>
    <w:rsid w:val="00506F7A"/>
    <w:rsid w:val="00511058"/>
    <w:rsid w:val="00514E5C"/>
    <w:rsid w:val="0051776D"/>
    <w:rsid w:val="00517B87"/>
    <w:rsid w:val="00517F9E"/>
    <w:rsid w:val="0052160C"/>
    <w:rsid w:val="0052281C"/>
    <w:rsid w:val="00525D85"/>
    <w:rsid w:val="00527345"/>
    <w:rsid w:val="005313A6"/>
    <w:rsid w:val="00532B69"/>
    <w:rsid w:val="005371F5"/>
    <w:rsid w:val="005406D2"/>
    <w:rsid w:val="00541E44"/>
    <w:rsid w:val="005423E3"/>
    <w:rsid w:val="005458D9"/>
    <w:rsid w:val="00546E48"/>
    <w:rsid w:val="005470F9"/>
    <w:rsid w:val="0055179B"/>
    <w:rsid w:val="00552121"/>
    <w:rsid w:val="00553EA5"/>
    <w:rsid w:val="005577C6"/>
    <w:rsid w:val="00557B67"/>
    <w:rsid w:val="00557B78"/>
    <w:rsid w:val="00557D89"/>
    <w:rsid w:val="005601DD"/>
    <w:rsid w:val="00564213"/>
    <w:rsid w:val="005642CD"/>
    <w:rsid w:val="00564D37"/>
    <w:rsid w:val="00565CE5"/>
    <w:rsid w:val="00566FA5"/>
    <w:rsid w:val="005672F0"/>
    <w:rsid w:val="005703BA"/>
    <w:rsid w:val="00570825"/>
    <w:rsid w:val="00573E21"/>
    <w:rsid w:val="00577E6E"/>
    <w:rsid w:val="00581A8F"/>
    <w:rsid w:val="005859B2"/>
    <w:rsid w:val="00591742"/>
    <w:rsid w:val="00591BCD"/>
    <w:rsid w:val="00592A2E"/>
    <w:rsid w:val="00594C8F"/>
    <w:rsid w:val="00594D83"/>
    <w:rsid w:val="00596087"/>
    <w:rsid w:val="00596479"/>
    <w:rsid w:val="005968E1"/>
    <w:rsid w:val="0059719C"/>
    <w:rsid w:val="005A0767"/>
    <w:rsid w:val="005A0E32"/>
    <w:rsid w:val="005A5E63"/>
    <w:rsid w:val="005A6751"/>
    <w:rsid w:val="005A7799"/>
    <w:rsid w:val="005B0106"/>
    <w:rsid w:val="005B1897"/>
    <w:rsid w:val="005B4F1A"/>
    <w:rsid w:val="005C1BB3"/>
    <w:rsid w:val="005C2EE6"/>
    <w:rsid w:val="005C34F7"/>
    <w:rsid w:val="005C35A6"/>
    <w:rsid w:val="005C71C2"/>
    <w:rsid w:val="005D0D27"/>
    <w:rsid w:val="005D2B8C"/>
    <w:rsid w:val="005D3FEF"/>
    <w:rsid w:val="005D5A21"/>
    <w:rsid w:val="005E4E1B"/>
    <w:rsid w:val="005E561C"/>
    <w:rsid w:val="005E60BF"/>
    <w:rsid w:val="005E6387"/>
    <w:rsid w:val="005E68F4"/>
    <w:rsid w:val="005E75D8"/>
    <w:rsid w:val="005F05E3"/>
    <w:rsid w:val="005F2F85"/>
    <w:rsid w:val="005F7449"/>
    <w:rsid w:val="0060248C"/>
    <w:rsid w:val="00602EDC"/>
    <w:rsid w:val="006150CB"/>
    <w:rsid w:val="00616903"/>
    <w:rsid w:val="006209D4"/>
    <w:rsid w:val="00624EDF"/>
    <w:rsid w:val="00625A08"/>
    <w:rsid w:val="00631924"/>
    <w:rsid w:val="00631E6F"/>
    <w:rsid w:val="00632079"/>
    <w:rsid w:val="006348DE"/>
    <w:rsid w:val="00634BA4"/>
    <w:rsid w:val="00634DF9"/>
    <w:rsid w:val="00636025"/>
    <w:rsid w:val="0063733D"/>
    <w:rsid w:val="00637ABB"/>
    <w:rsid w:val="00641144"/>
    <w:rsid w:val="00646566"/>
    <w:rsid w:val="00646A0C"/>
    <w:rsid w:val="00650120"/>
    <w:rsid w:val="006514D1"/>
    <w:rsid w:val="00653443"/>
    <w:rsid w:val="00653FB7"/>
    <w:rsid w:val="006571C2"/>
    <w:rsid w:val="00657690"/>
    <w:rsid w:val="00661186"/>
    <w:rsid w:val="006617E2"/>
    <w:rsid w:val="00661BF1"/>
    <w:rsid w:val="00665EE2"/>
    <w:rsid w:val="00666615"/>
    <w:rsid w:val="00671545"/>
    <w:rsid w:val="00671FA0"/>
    <w:rsid w:val="00672AAE"/>
    <w:rsid w:val="00672D82"/>
    <w:rsid w:val="00674637"/>
    <w:rsid w:val="00674CE4"/>
    <w:rsid w:val="00676421"/>
    <w:rsid w:val="006811A0"/>
    <w:rsid w:val="00683718"/>
    <w:rsid w:val="00683BDD"/>
    <w:rsid w:val="006864AD"/>
    <w:rsid w:val="00686D4C"/>
    <w:rsid w:val="0068785F"/>
    <w:rsid w:val="00690BEF"/>
    <w:rsid w:val="00690EA0"/>
    <w:rsid w:val="006915E5"/>
    <w:rsid w:val="00692D98"/>
    <w:rsid w:val="00694873"/>
    <w:rsid w:val="006965F1"/>
    <w:rsid w:val="00696DDC"/>
    <w:rsid w:val="006A0588"/>
    <w:rsid w:val="006A0EF5"/>
    <w:rsid w:val="006A4389"/>
    <w:rsid w:val="006A72B5"/>
    <w:rsid w:val="006A79F3"/>
    <w:rsid w:val="006B22D5"/>
    <w:rsid w:val="006B3641"/>
    <w:rsid w:val="006B3696"/>
    <w:rsid w:val="006B46B4"/>
    <w:rsid w:val="006B48AE"/>
    <w:rsid w:val="006B5FDD"/>
    <w:rsid w:val="006B7EEA"/>
    <w:rsid w:val="006C4551"/>
    <w:rsid w:val="006D05E2"/>
    <w:rsid w:val="006D0B61"/>
    <w:rsid w:val="006D1071"/>
    <w:rsid w:val="006D34EF"/>
    <w:rsid w:val="006D50E7"/>
    <w:rsid w:val="006D58F0"/>
    <w:rsid w:val="006E0D07"/>
    <w:rsid w:val="006E2BE1"/>
    <w:rsid w:val="006E32EA"/>
    <w:rsid w:val="006E3A76"/>
    <w:rsid w:val="006E3E4D"/>
    <w:rsid w:val="006E5340"/>
    <w:rsid w:val="006E645A"/>
    <w:rsid w:val="006E7B0F"/>
    <w:rsid w:val="006E7D48"/>
    <w:rsid w:val="006F4034"/>
    <w:rsid w:val="006F4C79"/>
    <w:rsid w:val="006F4D31"/>
    <w:rsid w:val="006F55DE"/>
    <w:rsid w:val="00704544"/>
    <w:rsid w:val="00711122"/>
    <w:rsid w:val="00711907"/>
    <w:rsid w:val="00711BD7"/>
    <w:rsid w:val="00711E92"/>
    <w:rsid w:val="0071426A"/>
    <w:rsid w:val="00717AA6"/>
    <w:rsid w:val="00721466"/>
    <w:rsid w:val="00721E2D"/>
    <w:rsid w:val="00722316"/>
    <w:rsid w:val="00723945"/>
    <w:rsid w:val="00723D7B"/>
    <w:rsid w:val="00725521"/>
    <w:rsid w:val="00732EEC"/>
    <w:rsid w:val="007337C4"/>
    <w:rsid w:val="007347FE"/>
    <w:rsid w:val="007353ED"/>
    <w:rsid w:val="00735BC4"/>
    <w:rsid w:val="00735BF2"/>
    <w:rsid w:val="00736CA9"/>
    <w:rsid w:val="00741CE7"/>
    <w:rsid w:val="0074262A"/>
    <w:rsid w:val="00742F12"/>
    <w:rsid w:val="007439A7"/>
    <w:rsid w:val="0074417A"/>
    <w:rsid w:val="00745E25"/>
    <w:rsid w:val="00745F09"/>
    <w:rsid w:val="0074707D"/>
    <w:rsid w:val="00747412"/>
    <w:rsid w:val="007476C0"/>
    <w:rsid w:val="00752DE7"/>
    <w:rsid w:val="00754157"/>
    <w:rsid w:val="00761212"/>
    <w:rsid w:val="00761EAC"/>
    <w:rsid w:val="00762105"/>
    <w:rsid w:val="007626B2"/>
    <w:rsid w:val="00763BB1"/>
    <w:rsid w:val="00765954"/>
    <w:rsid w:val="00771AC1"/>
    <w:rsid w:val="00771CFF"/>
    <w:rsid w:val="00774455"/>
    <w:rsid w:val="007820AF"/>
    <w:rsid w:val="00784331"/>
    <w:rsid w:val="00784830"/>
    <w:rsid w:val="0078678A"/>
    <w:rsid w:val="00790A38"/>
    <w:rsid w:val="00791517"/>
    <w:rsid w:val="007930BB"/>
    <w:rsid w:val="00794094"/>
    <w:rsid w:val="0079421E"/>
    <w:rsid w:val="00795853"/>
    <w:rsid w:val="007969D1"/>
    <w:rsid w:val="007A032B"/>
    <w:rsid w:val="007A0443"/>
    <w:rsid w:val="007A340C"/>
    <w:rsid w:val="007A35BD"/>
    <w:rsid w:val="007A36A1"/>
    <w:rsid w:val="007A62A0"/>
    <w:rsid w:val="007B0031"/>
    <w:rsid w:val="007B00B5"/>
    <w:rsid w:val="007B0F81"/>
    <w:rsid w:val="007B19A8"/>
    <w:rsid w:val="007B2275"/>
    <w:rsid w:val="007B285D"/>
    <w:rsid w:val="007B3E41"/>
    <w:rsid w:val="007C00BA"/>
    <w:rsid w:val="007C0F8D"/>
    <w:rsid w:val="007C2F3E"/>
    <w:rsid w:val="007C3195"/>
    <w:rsid w:val="007C56A1"/>
    <w:rsid w:val="007D55C2"/>
    <w:rsid w:val="007D6957"/>
    <w:rsid w:val="007D7E39"/>
    <w:rsid w:val="007E20EB"/>
    <w:rsid w:val="007E2159"/>
    <w:rsid w:val="007E4052"/>
    <w:rsid w:val="007E4294"/>
    <w:rsid w:val="007E4EAB"/>
    <w:rsid w:val="007F048F"/>
    <w:rsid w:val="007F129E"/>
    <w:rsid w:val="007F1D19"/>
    <w:rsid w:val="007F1DD6"/>
    <w:rsid w:val="007F2235"/>
    <w:rsid w:val="007F2A29"/>
    <w:rsid w:val="007F2EE1"/>
    <w:rsid w:val="007F4156"/>
    <w:rsid w:val="007F5601"/>
    <w:rsid w:val="007F5F13"/>
    <w:rsid w:val="007F67E9"/>
    <w:rsid w:val="008035C2"/>
    <w:rsid w:val="0080431F"/>
    <w:rsid w:val="008048CF"/>
    <w:rsid w:val="00807DEC"/>
    <w:rsid w:val="00810E8C"/>
    <w:rsid w:val="008146C1"/>
    <w:rsid w:val="008157F9"/>
    <w:rsid w:val="00820092"/>
    <w:rsid w:val="0082058F"/>
    <w:rsid w:val="00821736"/>
    <w:rsid w:val="008225FE"/>
    <w:rsid w:val="00822F9C"/>
    <w:rsid w:val="00825025"/>
    <w:rsid w:val="00825637"/>
    <w:rsid w:val="00826BF3"/>
    <w:rsid w:val="00831289"/>
    <w:rsid w:val="008313F0"/>
    <w:rsid w:val="00833367"/>
    <w:rsid w:val="00834C46"/>
    <w:rsid w:val="00836A47"/>
    <w:rsid w:val="00844948"/>
    <w:rsid w:val="0084686C"/>
    <w:rsid w:val="008531E0"/>
    <w:rsid w:val="00853381"/>
    <w:rsid w:val="008542B6"/>
    <w:rsid w:val="00855978"/>
    <w:rsid w:val="00857C5F"/>
    <w:rsid w:val="00857CE8"/>
    <w:rsid w:val="008604F7"/>
    <w:rsid w:val="00861994"/>
    <w:rsid w:val="00870821"/>
    <w:rsid w:val="00870C1C"/>
    <w:rsid w:val="0087205A"/>
    <w:rsid w:val="00872B52"/>
    <w:rsid w:val="00872D48"/>
    <w:rsid w:val="008745AB"/>
    <w:rsid w:val="00874E29"/>
    <w:rsid w:val="008767C0"/>
    <w:rsid w:val="008817FC"/>
    <w:rsid w:val="00881A02"/>
    <w:rsid w:val="008825C8"/>
    <w:rsid w:val="0088278A"/>
    <w:rsid w:val="00882E23"/>
    <w:rsid w:val="00884C1B"/>
    <w:rsid w:val="008860D2"/>
    <w:rsid w:val="0088723B"/>
    <w:rsid w:val="008922E6"/>
    <w:rsid w:val="00892834"/>
    <w:rsid w:val="008934DA"/>
    <w:rsid w:val="00894D41"/>
    <w:rsid w:val="008964B1"/>
    <w:rsid w:val="00896FC5"/>
    <w:rsid w:val="008978E4"/>
    <w:rsid w:val="008A0657"/>
    <w:rsid w:val="008A076D"/>
    <w:rsid w:val="008A0F57"/>
    <w:rsid w:val="008A4045"/>
    <w:rsid w:val="008A4D58"/>
    <w:rsid w:val="008A570D"/>
    <w:rsid w:val="008A6F25"/>
    <w:rsid w:val="008B099D"/>
    <w:rsid w:val="008B1835"/>
    <w:rsid w:val="008B374C"/>
    <w:rsid w:val="008B6A28"/>
    <w:rsid w:val="008C0888"/>
    <w:rsid w:val="008C175A"/>
    <w:rsid w:val="008C7AFE"/>
    <w:rsid w:val="008D2354"/>
    <w:rsid w:val="008D2EF7"/>
    <w:rsid w:val="008D34BA"/>
    <w:rsid w:val="008D61A8"/>
    <w:rsid w:val="008D6A5C"/>
    <w:rsid w:val="008D769C"/>
    <w:rsid w:val="008E1459"/>
    <w:rsid w:val="008E1966"/>
    <w:rsid w:val="008E1E07"/>
    <w:rsid w:val="008E3BF2"/>
    <w:rsid w:val="008E4292"/>
    <w:rsid w:val="008E6CBF"/>
    <w:rsid w:val="008E7AA7"/>
    <w:rsid w:val="008F065C"/>
    <w:rsid w:val="008F069A"/>
    <w:rsid w:val="008F19AF"/>
    <w:rsid w:val="008F3978"/>
    <w:rsid w:val="008F4F67"/>
    <w:rsid w:val="008F5FFA"/>
    <w:rsid w:val="008F6676"/>
    <w:rsid w:val="00900E79"/>
    <w:rsid w:val="00903119"/>
    <w:rsid w:val="009035F7"/>
    <w:rsid w:val="00904CC4"/>
    <w:rsid w:val="00906D2D"/>
    <w:rsid w:val="009176C5"/>
    <w:rsid w:val="009203A8"/>
    <w:rsid w:val="00920EAE"/>
    <w:rsid w:val="00922356"/>
    <w:rsid w:val="009235A3"/>
    <w:rsid w:val="00923C12"/>
    <w:rsid w:val="009241E9"/>
    <w:rsid w:val="0092642D"/>
    <w:rsid w:val="00930181"/>
    <w:rsid w:val="0093210B"/>
    <w:rsid w:val="00932BF1"/>
    <w:rsid w:val="00933851"/>
    <w:rsid w:val="00936219"/>
    <w:rsid w:val="00944528"/>
    <w:rsid w:val="009461D6"/>
    <w:rsid w:val="00950CCD"/>
    <w:rsid w:val="00951A50"/>
    <w:rsid w:val="0095276F"/>
    <w:rsid w:val="00952AB9"/>
    <w:rsid w:val="00956301"/>
    <w:rsid w:val="00956E54"/>
    <w:rsid w:val="009602A5"/>
    <w:rsid w:val="0096791E"/>
    <w:rsid w:val="00967A95"/>
    <w:rsid w:val="009727E7"/>
    <w:rsid w:val="00973CFC"/>
    <w:rsid w:val="00974BAA"/>
    <w:rsid w:val="0097741A"/>
    <w:rsid w:val="0098093F"/>
    <w:rsid w:val="009817CD"/>
    <w:rsid w:val="0098372A"/>
    <w:rsid w:val="009838B5"/>
    <w:rsid w:val="009840F9"/>
    <w:rsid w:val="0098671E"/>
    <w:rsid w:val="009874D8"/>
    <w:rsid w:val="00991449"/>
    <w:rsid w:val="00992EF6"/>
    <w:rsid w:val="00993CE2"/>
    <w:rsid w:val="00996EE7"/>
    <w:rsid w:val="009973D9"/>
    <w:rsid w:val="009A07A1"/>
    <w:rsid w:val="009A15CE"/>
    <w:rsid w:val="009A6FAC"/>
    <w:rsid w:val="009B35B5"/>
    <w:rsid w:val="009B610C"/>
    <w:rsid w:val="009B66F1"/>
    <w:rsid w:val="009C4A80"/>
    <w:rsid w:val="009C57F7"/>
    <w:rsid w:val="009D119E"/>
    <w:rsid w:val="009E08C4"/>
    <w:rsid w:val="009E17D6"/>
    <w:rsid w:val="009E1AE2"/>
    <w:rsid w:val="009E2594"/>
    <w:rsid w:val="009E2C48"/>
    <w:rsid w:val="009E2FC3"/>
    <w:rsid w:val="009E4466"/>
    <w:rsid w:val="009E4BB9"/>
    <w:rsid w:val="009E4C7B"/>
    <w:rsid w:val="009E4CD5"/>
    <w:rsid w:val="009E5C7B"/>
    <w:rsid w:val="009E6081"/>
    <w:rsid w:val="009E6C80"/>
    <w:rsid w:val="009F0C8C"/>
    <w:rsid w:val="009F44DE"/>
    <w:rsid w:val="009F7AB5"/>
    <w:rsid w:val="00A00705"/>
    <w:rsid w:val="00A00A85"/>
    <w:rsid w:val="00A129F5"/>
    <w:rsid w:val="00A17BF5"/>
    <w:rsid w:val="00A202E6"/>
    <w:rsid w:val="00A23443"/>
    <w:rsid w:val="00A238E5"/>
    <w:rsid w:val="00A23C34"/>
    <w:rsid w:val="00A23DCD"/>
    <w:rsid w:val="00A373A7"/>
    <w:rsid w:val="00A37B60"/>
    <w:rsid w:val="00A44B04"/>
    <w:rsid w:val="00A50F6D"/>
    <w:rsid w:val="00A52CB2"/>
    <w:rsid w:val="00A54519"/>
    <w:rsid w:val="00A6340A"/>
    <w:rsid w:val="00A65AC8"/>
    <w:rsid w:val="00A65F87"/>
    <w:rsid w:val="00A70E2C"/>
    <w:rsid w:val="00A72861"/>
    <w:rsid w:val="00A72ECD"/>
    <w:rsid w:val="00A769FE"/>
    <w:rsid w:val="00A76E53"/>
    <w:rsid w:val="00A77E6A"/>
    <w:rsid w:val="00A84A52"/>
    <w:rsid w:val="00A876E8"/>
    <w:rsid w:val="00A917F7"/>
    <w:rsid w:val="00A92922"/>
    <w:rsid w:val="00A92BF4"/>
    <w:rsid w:val="00A92C80"/>
    <w:rsid w:val="00A93043"/>
    <w:rsid w:val="00A930FF"/>
    <w:rsid w:val="00A95F6C"/>
    <w:rsid w:val="00A97F38"/>
    <w:rsid w:val="00AA2B5F"/>
    <w:rsid w:val="00AA2FF1"/>
    <w:rsid w:val="00AA46AA"/>
    <w:rsid w:val="00AA4826"/>
    <w:rsid w:val="00AB3B37"/>
    <w:rsid w:val="00AB3BCB"/>
    <w:rsid w:val="00AB3CB9"/>
    <w:rsid w:val="00AB41D5"/>
    <w:rsid w:val="00AB4F3B"/>
    <w:rsid w:val="00AB52CE"/>
    <w:rsid w:val="00AC4954"/>
    <w:rsid w:val="00AC5E49"/>
    <w:rsid w:val="00AC6436"/>
    <w:rsid w:val="00AD02E1"/>
    <w:rsid w:val="00AD5794"/>
    <w:rsid w:val="00AE19B6"/>
    <w:rsid w:val="00AE313A"/>
    <w:rsid w:val="00AE3716"/>
    <w:rsid w:val="00AE3881"/>
    <w:rsid w:val="00AE63C8"/>
    <w:rsid w:val="00AE6D82"/>
    <w:rsid w:val="00AE73D4"/>
    <w:rsid w:val="00AF0A8D"/>
    <w:rsid w:val="00AF3503"/>
    <w:rsid w:val="00AF3B1E"/>
    <w:rsid w:val="00AF5337"/>
    <w:rsid w:val="00AF553B"/>
    <w:rsid w:val="00AF6FA9"/>
    <w:rsid w:val="00AF7FCE"/>
    <w:rsid w:val="00B00FEB"/>
    <w:rsid w:val="00B025ED"/>
    <w:rsid w:val="00B033E4"/>
    <w:rsid w:val="00B0371F"/>
    <w:rsid w:val="00B06D42"/>
    <w:rsid w:val="00B1167C"/>
    <w:rsid w:val="00B1274E"/>
    <w:rsid w:val="00B127B3"/>
    <w:rsid w:val="00B14F7C"/>
    <w:rsid w:val="00B1518F"/>
    <w:rsid w:val="00B151F5"/>
    <w:rsid w:val="00B1778D"/>
    <w:rsid w:val="00B23E96"/>
    <w:rsid w:val="00B2439B"/>
    <w:rsid w:val="00B267B3"/>
    <w:rsid w:val="00B27215"/>
    <w:rsid w:val="00B32CB4"/>
    <w:rsid w:val="00B3345B"/>
    <w:rsid w:val="00B3576F"/>
    <w:rsid w:val="00B400F1"/>
    <w:rsid w:val="00B409AB"/>
    <w:rsid w:val="00B421E6"/>
    <w:rsid w:val="00B427C6"/>
    <w:rsid w:val="00B43E28"/>
    <w:rsid w:val="00B45423"/>
    <w:rsid w:val="00B47318"/>
    <w:rsid w:val="00B5125C"/>
    <w:rsid w:val="00B51A15"/>
    <w:rsid w:val="00B523D3"/>
    <w:rsid w:val="00B5388A"/>
    <w:rsid w:val="00B550C7"/>
    <w:rsid w:val="00B56526"/>
    <w:rsid w:val="00B61CD7"/>
    <w:rsid w:val="00B63AEB"/>
    <w:rsid w:val="00B6430E"/>
    <w:rsid w:val="00B6457C"/>
    <w:rsid w:val="00B6475E"/>
    <w:rsid w:val="00B65D4B"/>
    <w:rsid w:val="00B675ED"/>
    <w:rsid w:val="00B711EA"/>
    <w:rsid w:val="00B71FE3"/>
    <w:rsid w:val="00B72CBF"/>
    <w:rsid w:val="00B73684"/>
    <w:rsid w:val="00B74535"/>
    <w:rsid w:val="00B748BD"/>
    <w:rsid w:val="00B77323"/>
    <w:rsid w:val="00B802E6"/>
    <w:rsid w:val="00B81126"/>
    <w:rsid w:val="00B818EE"/>
    <w:rsid w:val="00B81EEB"/>
    <w:rsid w:val="00B825C4"/>
    <w:rsid w:val="00B8583E"/>
    <w:rsid w:val="00B85F02"/>
    <w:rsid w:val="00B85F80"/>
    <w:rsid w:val="00B862F0"/>
    <w:rsid w:val="00B911D6"/>
    <w:rsid w:val="00B920C3"/>
    <w:rsid w:val="00B9337C"/>
    <w:rsid w:val="00B96EE0"/>
    <w:rsid w:val="00B97BAE"/>
    <w:rsid w:val="00B97F67"/>
    <w:rsid w:val="00BA03A8"/>
    <w:rsid w:val="00BA0A8B"/>
    <w:rsid w:val="00BA506E"/>
    <w:rsid w:val="00BA7D22"/>
    <w:rsid w:val="00BB3345"/>
    <w:rsid w:val="00BB3AB4"/>
    <w:rsid w:val="00BB4C9B"/>
    <w:rsid w:val="00BB4D6C"/>
    <w:rsid w:val="00BB534E"/>
    <w:rsid w:val="00BB5C13"/>
    <w:rsid w:val="00BC0051"/>
    <w:rsid w:val="00BC07A6"/>
    <w:rsid w:val="00BC6D17"/>
    <w:rsid w:val="00BD2CCE"/>
    <w:rsid w:val="00BD4A43"/>
    <w:rsid w:val="00BE0C11"/>
    <w:rsid w:val="00BE1F60"/>
    <w:rsid w:val="00BE308E"/>
    <w:rsid w:val="00BE461E"/>
    <w:rsid w:val="00BE5B46"/>
    <w:rsid w:val="00BE5CB6"/>
    <w:rsid w:val="00BE6C44"/>
    <w:rsid w:val="00BF004D"/>
    <w:rsid w:val="00BF1CC4"/>
    <w:rsid w:val="00BF1DF5"/>
    <w:rsid w:val="00BF3D8C"/>
    <w:rsid w:val="00BF3E03"/>
    <w:rsid w:val="00BF5C80"/>
    <w:rsid w:val="00BF623C"/>
    <w:rsid w:val="00BF6301"/>
    <w:rsid w:val="00BF6495"/>
    <w:rsid w:val="00BF7043"/>
    <w:rsid w:val="00BF74B2"/>
    <w:rsid w:val="00BF7598"/>
    <w:rsid w:val="00C0144F"/>
    <w:rsid w:val="00C0432A"/>
    <w:rsid w:val="00C05024"/>
    <w:rsid w:val="00C07EC5"/>
    <w:rsid w:val="00C11B32"/>
    <w:rsid w:val="00C1208B"/>
    <w:rsid w:val="00C12E4E"/>
    <w:rsid w:val="00C13DC8"/>
    <w:rsid w:val="00C15464"/>
    <w:rsid w:val="00C15652"/>
    <w:rsid w:val="00C17C55"/>
    <w:rsid w:val="00C23972"/>
    <w:rsid w:val="00C24306"/>
    <w:rsid w:val="00C24CC1"/>
    <w:rsid w:val="00C2552E"/>
    <w:rsid w:val="00C26051"/>
    <w:rsid w:val="00C278B5"/>
    <w:rsid w:val="00C279C1"/>
    <w:rsid w:val="00C3056E"/>
    <w:rsid w:val="00C3134F"/>
    <w:rsid w:val="00C37B78"/>
    <w:rsid w:val="00C41CA7"/>
    <w:rsid w:val="00C44198"/>
    <w:rsid w:val="00C44768"/>
    <w:rsid w:val="00C46B07"/>
    <w:rsid w:val="00C528D9"/>
    <w:rsid w:val="00C5615B"/>
    <w:rsid w:val="00C570B8"/>
    <w:rsid w:val="00C602D9"/>
    <w:rsid w:val="00C6772C"/>
    <w:rsid w:val="00C71E59"/>
    <w:rsid w:val="00C73355"/>
    <w:rsid w:val="00C83459"/>
    <w:rsid w:val="00C83837"/>
    <w:rsid w:val="00C85492"/>
    <w:rsid w:val="00C92D0F"/>
    <w:rsid w:val="00C92EB1"/>
    <w:rsid w:val="00C93FD6"/>
    <w:rsid w:val="00C94BC8"/>
    <w:rsid w:val="00C97CE3"/>
    <w:rsid w:val="00CA089F"/>
    <w:rsid w:val="00CA1150"/>
    <w:rsid w:val="00CA185C"/>
    <w:rsid w:val="00CA2BC1"/>
    <w:rsid w:val="00CA3772"/>
    <w:rsid w:val="00CA5A22"/>
    <w:rsid w:val="00CA754D"/>
    <w:rsid w:val="00CB5B82"/>
    <w:rsid w:val="00CB6593"/>
    <w:rsid w:val="00CC2512"/>
    <w:rsid w:val="00CC3187"/>
    <w:rsid w:val="00CC4E22"/>
    <w:rsid w:val="00CC577D"/>
    <w:rsid w:val="00CC6B39"/>
    <w:rsid w:val="00CC79E9"/>
    <w:rsid w:val="00CC7FE9"/>
    <w:rsid w:val="00CD1138"/>
    <w:rsid w:val="00CD3D41"/>
    <w:rsid w:val="00CD6646"/>
    <w:rsid w:val="00CD7B54"/>
    <w:rsid w:val="00CE4F67"/>
    <w:rsid w:val="00CF113B"/>
    <w:rsid w:val="00CF3EDB"/>
    <w:rsid w:val="00CF6D67"/>
    <w:rsid w:val="00D003C6"/>
    <w:rsid w:val="00D0696F"/>
    <w:rsid w:val="00D07623"/>
    <w:rsid w:val="00D10574"/>
    <w:rsid w:val="00D110CD"/>
    <w:rsid w:val="00D118EE"/>
    <w:rsid w:val="00D12703"/>
    <w:rsid w:val="00D12883"/>
    <w:rsid w:val="00D22BD6"/>
    <w:rsid w:val="00D2404A"/>
    <w:rsid w:val="00D245D7"/>
    <w:rsid w:val="00D24F8D"/>
    <w:rsid w:val="00D263B6"/>
    <w:rsid w:val="00D26692"/>
    <w:rsid w:val="00D27963"/>
    <w:rsid w:val="00D27B55"/>
    <w:rsid w:val="00D30F36"/>
    <w:rsid w:val="00D31595"/>
    <w:rsid w:val="00D3204B"/>
    <w:rsid w:val="00D326E7"/>
    <w:rsid w:val="00D331D8"/>
    <w:rsid w:val="00D347BE"/>
    <w:rsid w:val="00D36EFA"/>
    <w:rsid w:val="00D373F7"/>
    <w:rsid w:val="00D417F7"/>
    <w:rsid w:val="00D42440"/>
    <w:rsid w:val="00D45136"/>
    <w:rsid w:val="00D4527F"/>
    <w:rsid w:val="00D472CB"/>
    <w:rsid w:val="00D50310"/>
    <w:rsid w:val="00D50B8C"/>
    <w:rsid w:val="00D51B2C"/>
    <w:rsid w:val="00D52915"/>
    <w:rsid w:val="00D53970"/>
    <w:rsid w:val="00D53AC7"/>
    <w:rsid w:val="00D55454"/>
    <w:rsid w:val="00D55D87"/>
    <w:rsid w:val="00D57A83"/>
    <w:rsid w:val="00D605FC"/>
    <w:rsid w:val="00D641D9"/>
    <w:rsid w:val="00D71015"/>
    <w:rsid w:val="00D746CB"/>
    <w:rsid w:val="00D83591"/>
    <w:rsid w:val="00D859CD"/>
    <w:rsid w:val="00D86234"/>
    <w:rsid w:val="00D86692"/>
    <w:rsid w:val="00D869D5"/>
    <w:rsid w:val="00D87D99"/>
    <w:rsid w:val="00D922BD"/>
    <w:rsid w:val="00D926BC"/>
    <w:rsid w:val="00D93838"/>
    <w:rsid w:val="00D9716F"/>
    <w:rsid w:val="00DA2F62"/>
    <w:rsid w:val="00DA323E"/>
    <w:rsid w:val="00DA39E7"/>
    <w:rsid w:val="00DA5634"/>
    <w:rsid w:val="00DA5E76"/>
    <w:rsid w:val="00DA6DFB"/>
    <w:rsid w:val="00DA726F"/>
    <w:rsid w:val="00DB3011"/>
    <w:rsid w:val="00DB3280"/>
    <w:rsid w:val="00DB659C"/>
    <w:rsid w:val="00DB70DD"/>
    <w:rsid w:val="00DC0292"/>
    <w:rsid w:val="00DC330A"/>
    <w:rsid w:val="00DC3748"/>
    <w:rsid w:val="00DC4521"/>
    <w:rsid w:val="00DC64AA"/>
    <w:rsid w:val="00DC7BBF"/>
    <w:rsid w:val="00DD26BA"/>
    <w:rsid w:val="00DD5974"/>
    <w:rsid w:val="00DE2EBA"/>
    <w:rsid w:val="00DE36F9"/>
    <w:rsid w:val="00DE4D14"/>
    <w:rsid w:val="00DE4F88"/>
    <w:rsid w:val="00DE5CF2"/>
    <w:rsid w:val="00DF034C"/>
    <w:rsid w:val="00DF42CD"/>
    <w:rsid w:val="00DF6CCC"/>
    <w:rsid w:val="00DF798A"/>
    <w:rsid w:val="00E0367A"/>
    <w:rsid w:val="00E042A3"/>
    <w:rsid w:val="00E05205"/>
    <w:rsid w:val="00E0753C"/>
    <w:rsid w:val="00E07743"/>
    <w:rsid w:val="00E07EB9"/>
    <w:rsid w:val="00E10930"/>
    <w:rsid w:val="00E11444"/>
    <w:rsid w:val="00E144FE"/>
    <w:rsid w:val="00E15585"/>
    <w:rsid w:val="00E1624F"/>
    <w:rsid w:val="00E21576"/>
    <w:rsid w:val="00E21A60"/>
    <w:rsid w:val="00E22937"/>
    <w:rsid w:val="00E22CC0"/>
    <w:rsid w:val="00E26580"/>
    <w:rsid w:val="00E274C4"/>
    <w:rsid w:val="00E30C1E"/>
    <w:rsid w:val="00E31F79"/>
    <w:rsid w:val="00E34811"/>
    <w:rsid w:val="00E37714"/>
    <w:rsid w:val="00E403F4"/>
    <w:rsid w:val="00E40550"/>
    <w:rsid w:val="00E414E0"/>
    <w:rsid w:val="00E42F3F"/>
    <w:rsid w:val="00E42FF1"/>
    <w:rsid w:val="00E43FF7"/>
    <w:rsid w:val="00E50CD7"/>
    <w:rsid w:val="00E512AC"/>
    <w:rsid w:val="00E5150D"/>
    <w:rsid w:val="00E5224D"/>
    <w:rsid w:val="00E522EE"/>
    <w:rsid w:val="00E551B7"/>
    <w:rsid w:val="00E6157A"/>
    <w:rsid w:val="00E622CF"/>
    <w:rsid w:val="00E650F2"/>
    <w:rsid w:val="00E67F01"/>
    <w:rsid w:val="00E701B5"/>
    <w:rsid w:val="00E728F1"/>
    <w:rsid w:val="00E7349B"/>
    <w:rsid w:val="00E75A15"/>
    <w:rsid w:val="00E77D3C"/>
    <w:rsid w:val="00E82032"/>
    <w:rsid w:val="00E846AA"/>
    <w:rsid w:val="00E863E1"/>
    <w:rsid w:val="00E86AF0"/>
    <w:rsid w:val="00E87F58"/>
    <w:rsid w:val="00E9014D"/>
    <w:rsid w:val="00E9087E"/>
    <w:rsid w:val="00E90EBB"/>
    <w:rsid w:val="00E90FCB"/>
    <w:rsid w:val="00E96AA4"/>
    <w:rsid w:val="00E97D36"/>
    <w:rsid w:val="00EA1EED"/>
    <w:rsid w:val="00EA2100"/>
    <w:rsid w:val="00EA4DD3"/>
    <w:rsid w:val="00EA4E62"/>
    <w:rsid w:val="00EA676E"/>
    <w:rsid w:val="00EB1361"/>
    <w:rsid w:val="00EB2124"/>
    <w:rsid w:val="00EB4427"/>
    <w:rsid w:val="00EC17A1"/>
    <w:rsid w:val="00EC1B2B"/>
    <w:rsid w:val="00EC1BEE"/>
    <w:rsid w:val="00EC20FB"/>
    <w:rsid w:val="00EC2FE2"/>
    <w:rsid w:val="00EC381E"/>
    <w:rsid w:val="00EC548E"/>
    <w:rsid w:val="00EC5A43"/>
    <w:rsid w:val="00EC6BE9"/>
    <w:rsid w:val="00ED03C2"/>
    <w:rsid w:val="00ED1F0E"/>
    <w:rsid w:val="00ED26B2"/>
    <w:rsid w:val="00ED57DA"/>
    <w:rsid w:val="00EE369C"/>
    <w:rsid w:val="00EE4116"/>
    <w:rsid w:val="00EE5272"/>
    <w:rsid w:val="00EE7763"/>
    <w:rsid w:val="00EF17A5"/>
    <w:rsid w:val="00EF2A04"/>
    <w:rsid w:val="00EF2D05"/>
    <w:rsid w:val="00EF2FB6"/>
    <w:rsid w:val="00EF3CEB"/>
    <w:rsid w:val="00F03CCF"/>
    <w:rsid w:val="00F053E7"/>
    <w:rsid w:val="00F053FD"/>
    <w:rsid w:val="00F0761A"/>
    <w:rsid w:val="00F10B1A"/>
    <w:rsid w:val="00F12813"/>
    <w:rsid w:val="00F1414E"/>
    <w:rsid w:val="00F14D5F"/>
    <w:rsid w:val="00F169DC"/>
    <w:rsid w:val="00F2079F"/>
    <w:rsid w:val="00F20A5B"/>
    <w:rsid w:val="00F20E9F"/>
    <w:rsid w:val="00F22D71"/>
    <w:rsid w:val="00F2302B"/>
    <w:rsid w:val="00F23A75"/>
    <w:rsid w:val="00F243A1"/>
    <w:rsid w:val="00F246F8"/>
    <w:rsid w:val="00F24B1E"/>
    <w:rsid w:val="00F251F6"/>
    <w:rsid w:val="00F30C9F"/>
    <w:rsid w:val="00F3240D"/>
    <w:rsid w:val="00F33AC5"/>
    <w:rsid w:val="00F341A0"/>
    <w:rsid w:val="00F34C12"/>
    <w:rsid w:val="00F34D52"/>
    <w:rsid w:val="00F35FBD"/>
    <w:rsid w:val="00F37CE5"/>
    <w:rsid w:val="00F42B66"/>
    <w:rsid w:val="00F460A6"/>
    <w:rsid w:val="00F51E45"/>
    <w:rsid w:val="00F531E2"/>
    <w:rsid w:val="00F55469"/>
    <w:rsid w:val="00F56A9B"/>
    <w:rsid w:val="00F56EDC"/>
    <w:rsid w:val="00F57067"/>
    <w:rsid w:val="00F575C6"/>
    <w:rsid w:val="00F600F9"/>
    <w:rsid w:val="00F63D60"/>
    <w:rsid w:val="00F673ED"/>
    <w:rsid w:val="00F67B03"/>
    <w:rsid w:val="00F7086D"/>
    <w:rsid w:val="00F72815"/>
    <w:rsid w:val="00F733FD"/>
    <w:rsid w:val="00F778BC"/>
    <w:rsid w:val="00F81AA9"/>
    <w:rsid w:val="00F8522F"/>
    <w:rsid w:val="00F874A2"/>
    <w:rsid w:val="00F90C3F"/>
    <w:rsid w:val="00F94743"/>
    <w:rsid w:val="00F97D16"/>
    <w:rsid w:val="00FA0AB0"/>
    <w:rsid w:val="00FA2866"/>
    <w:rsid w:val="00FA39AD"/>
    <w:rsid w:val="00FA3DDD"/>
    <w:rsid w:val="00FA3FED"/>
    <w:rsid w:val="00FA567B"/>
    <w:rsid w:val="00FB1165"/>
    <w:rsid w:val="00FB1D03"/>
    <w:rsid w:val="00FB266B"/>
    <w:rsid w:val="00FB2F8E"/>
    <w:rsid w:val="00FB30FC"/>
    <w:rsid w:val="00FB372C"/>
    <w:rsid w:val="00FB7658"/>
    <w:rsid w:val="00FC018A"/>
    <w:rsid w:val="00FC06B7"/>
    <w:rsid w:val="00FC4027"/>
    <w:rsid w:val="00FC51E6"/>
    <w:rsid w:val="00FC5F9B"/>
    <w:rsid w:val="00FC724E"/>
    <w:rsid w:val="00FD121A"/>
    <w:rsid w:val="00FD4CEB"/>
    <w:rsid w:val="00FD625C"/>
    <w:rsid w:val="00FE54FA"/>
    <w:rsid w:val="00FE652D"/>
    <w:rsid w:val="00FE6DEE"/>
    <w:rsid w:val="00FF472C"/>
    <w:rsid w:val="00FF513D"/>
    <w:rsid w:val="00FF57BE"/>
    <w:rsid w:val="00FF5F65"/>
    <w:rsid w:val="00FF79D6"/>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6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0CB"/>
    <w:pPr>
      <w:spacing w:after="200" w:line="276" w:lineRule="auto"/>
    </w:pPr>
    <w:rPr>
      <w:rFonts w:cs="Calibri"/>
      <w:w w:val="105"/>
      <w:kern w:val="40"/>
      <w:sz w:val="22"/>
      <w:szCs w:val="22"/>
      <w:lang w:eastAsia="en-US"/>
    </w:rPr>
  </w:style>
  <w:style w:type="paragraph" w:styleId="Heading1">
    <w:name w:val="heading 1"/>
    <w:basedOn w:val="Normal"/>
    <w:next w:val="Normal"/>
    <w:link w:val="Heading1Char"/>
    <w:uiPriority w:val="9"/>
    <w:qFormat/>
    <w:rsid w:val="006150CB"/>
    <w:pPr>
      <w:keepNext/>
      <w:spacing w:after="0" w:line="240" w:lineRule="auto"/>
      <w:jc w:val="right"/>
      <w:outlineLvl w:val="0"/>
    </w:pPr>
    <w:rPr>
      <w:rFonts w:eastAsia="SimSun" w:cs="Angsana New"/>
      <w:b/>
      <w:bCs/>
      <w:color w:val="404040"/>
      <w:kern w:val="32"/>
      <w:sz w:val="52"/>
      <w:szCs w:val="52"/>
    </w:rPr>
  </w:style>
  <w:style w:type="paragraph" w:styleId="Heading2">
    <w:name w:val="heading 2"/>
    <w:basedOn w:val="Normal"/>
    <w:next w:val="Normal"/>
    <w:link w:val="Heading2Char"/>
    <w:uiPriority w:val="9"/>
    <w:unhideWhenUsed/>
    <w:qFormat/>
    <w:rsid w:val="00394664"/>
    <w:pPr>
      <w:keepNext/>
      <w:spacing w:before="240" w:after="60" w:line="240" w:lineRule="auto"/>
      <w:outlineLvl w:val="1"/>
    </w:pPr>
    <w:rPr>
      <w:rFonts w:eastAsia="SimSun" w:cs="Angsana New"/>
      <w:b/>
      <w:bCs/>
      <w:iCs/>
      <w:color w:val="4D738A"/>
      <w:sz w:val="40"/>
      <w:szCs w:val="48"/>
    </w:rPr>
  </w:style>
  <w:style w:type="paragraph" w:styleId="Heading3">
    <w:name w:val="heading 3"/>
    <w:basedOn w:val="Normal"/>
    <w:next w:val="Normal"/>
    <w:link w:val="Heading3Char"/>
    <w:uiPriority w:val="9"/>
    <w:unhideWhenUsed/>
    <w:qFormat/>
    <w:rsid w:val="006150CB"/>
    <w:pPr>
      <w:keepNext/>
      <w:spacing w:after="60" w:line="240" w:lineRule="auto"/>
      <w:outlineLvl w:val="2"/>
    </w:pPr>
    <w:rPr>
      <w:rFonts w:eastAsia="SimSun" w:cs="Angsana New"/>
      <w:b/>
      <w:bCs/>
      <w:color w:val="404040"/>
      <w:sz w:val="32"/>
      <w:szCs w:val="32"/>
    </w:rPr>
  </w:style>
  <w:style w:type="paragraph" w:styleId="Heading4">
    <w:name w:val="heading 4"/>
    <w:basedOn w:val="Heading3"/>
    <w:next w:val="Normal"/>
    <w:link w:val="Heading4Char"/>
    <w:uiPriority w:val="9"/>
    <w:unhideWhenUsed/>
    <w:qFormat/>
    <w:rsid w:val="0098671E"/>
    <w:pPr>
      <w:outlineLvl w:val="3"/>
    </w:pPr>
    <w:rPr>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50CB"/>
    <w:rPr>
      <w:rFonts w:eastAsia="SimSun" w:cs="Angsana New"/>
      <w:b/>
      <w:bCs/>
      <w:color w:val="404040"/>
      <w:w w:val="105"/>
      <w:kern w:val="32"/>
      <w:sz w:val="52"/>
      <w:szCs w:val="52"/>
      <w:lang w:eastAsia="en-US"/>
    </w:rPr>
  </w:style>
  <w:style w:type="paragraph" w:styleId="Title">
    <w:name w:val="Title"/>
    <w:basedOn w:val="Normal"/>
    <w:next w:val="Normal"/>
    <w:link w:val="TitleChar"/>
    <w:uiPriority w:val="10"/>
    <w:qFormat/>
    <w:rsid w:val="006150CB"/>
    <w:pPr>
      <w:spacing w:before="240" w:after="60" w:line="240" w:lineRule="auto"/>
      <w:outlineLvl w:val="0"/>
    </w:pPr>
    <w:rPr>
      <w:rFonts w:eastAsia="SimSun" w:cs="Angsana New"/>
      <w:b/>
      <w:bCs/>
      <w:noProof/>
      <w:kern w:val="28"/>
      <w:sz w:val="56"/>
      <w:szCs w:val="32"/>
    </w:rPr>
  </w:style>
  <w:style w:type="character" w:customStyle="1" w:styleId="TitleChar">
    <w:name w:val="Title Char"/>
    <w:link w:val="Title"/>
    <w:uiPriority w:val="10"/>
    <w:rsid w:val="006150CB"/>
    <w:rPr>
      <w:rFonts w:eastAsia="SimSun" w:cs="Angsana New"/>
      <w:b/>
      <w:bCs/>
      <w:noProof/>
      <w:w w:val="105"/>
      <w:kern w:val="28"/>
      <w:sz w:val="56"/>
      <w:szCs w:val="32"/>
      <w:lang w:eastAsia="en-US"/>
    </w:rPr>
  </w:style>
  <w:style w:type="character" w:customStyle="1" w:styleId="Heading2Char">
    <w:name w:val="Heading 2 Char"/>
    <w:link w:val="Heading2"/>
    <w:uiPriority w:val="9"/>
    <w:rsid w:val="00394664"/>
    <w:rPr>
      <w:rFonts w:eastAsia="SimSun" w:cs="Angsana New"/>
      <w:b/>
      <w:bCs/>
      <w:iCs/>
      <w:color w:val="4D738A"/>
      <w:w w:val="105"/>
      <w:kern w:val="40"/>
      <w:sz w:val="40"/>
      <w:szCs w:val="48"/>
      <w:lang w:eastAsia="en-US"/>
    </w:rPr>
  </w:style>
  <w:style w:type="paragraph" w:styleId="Subtitle">
    <w:name w:val="Subtitle"/>
    <w:basedOn w:val="Title"/>
    <w:next w:val="Normal"/>
    <w:link w:val="SubtitleChar"/>
    <w:uiPriority w:val="11"/>
    <w:qFormat/>
    <w:rsid w:val="006150CB"/>
    <w:pPr>
      <w:jc w:val="right"/>
    </w:pPr>
    <w:rPr>
      <w:sz w:val="28"/>
      <w:szCs w:val="28"/>
    </w:rPr>
  </w:style>
  <w:style w:type="character" w:customStyle="1" w:styleId="SubtitleChar">
    <w:name w:val="Subtitle Char"/>
    <w:link w:val="Subtitle"/>
    <w:uiPriority w:val="11"/>
    <w:rsid w:val="006150CB"/>
    <w:rPr>
      <w:rFonts w:eastAsia="SimSun" w:cs="Angsana New"/>
      <w:b/>
      <w:bCs/>
      <w:noProof/>
      <w:w w:val="105"/>
      <w:kern w:val="28"/>
      <w:sz w:val="28"/>
      <w:szCs w:val="28"/>
      <w:lang w:eastAsia="en-US"/>
    </w:rPr>
  </w:style>
  <w:style w:type="character" w:customStyle="1" w:styleId="Heading3Char">
    <w:name w:val="Heading 3 Char"/>
    <w:link w:val="Heading3"/>
    <w:uiPriority w:val="9"/>
    <w:rsid w:val="006150CB"/>
    <w:rPr>
      <w:rFonts w:eastAsia="SimSun" w:cs="Angsana New"/>
      <w:b/>
      <w:bCs/>
      <w:color w:val="404040"/>
      <w:w w:val="105"/>
      <w:kern w:val="40"/>
      <w:sz w:val="32"/>
      <w:szCs w:val="32"/>
      <w:lang w:eastAsia="en-US"/>
    </w:rPr>
  </w:style>
  <w:style w:type="paragraph" w:styleId="Header">
    <w:name w:val="header"/>
    <w:basedOn w:val="Normal"/>
    <w:link w:val="HeaderChar"/>
    <w:uiPriority w:val="99"/>
    <w:unhideWhenUsed/>
    <w:rsid w:val="006150CB"/>
    <w:pPr>
      <w:tabs>
        <w:tab w:val="center" w:pos="4513"/>
        <w:tab w:val="right" w:pos="9026"/>
      </w:tabs>
    </w:pPr>
  </w:style>
  <w:style w:type="character" w:customStyle="1" w:styleId="HeaderChar">
    <w:name w:val="Header Char"/>
    <w:link w:val="Header"/>
    <w:uiPriority w:val="99"/>
    <w:rsid w:val="006150CB"/>
    <w:rPr>
      <w:sz w:val="22"/>
      <w:szCs w:val="22"/>
      <w:lang w:eastAsia="en-US"/>
    </w:rPr>
  </w:style>
  <w:style w:type="paragraph" w:styleId="Footer">
    <w:name w:val="footer"/>
    <w:basedOn w:val="Normal"/>
    <w:link w:val="FooterChar"/>
    <w:uiPriority w:val="99"/>
    <w:unhideWhenUsed/>
    <w:rsid w:val="006150CB"/>
    <w:pPr>
      <w:tabs>
        <w:tab w:val="center" w:pos="4513"/>
        <w:tab w:val="right" w:pos="9026"/>
      </w:tabs>
    </w:pPr>
  </w:style>
  <w:style w:type="character" w:customStyle="1" w:styleId="FooterChar">
    <w:name w:val="Footer Char"/>
    <w:link w:val="Footer"/>
    <w:uiPriority w:val="99"/>
    <w:rsid w:val="006150CB"/>
    <w:rPr>
      <w:sz w:val="22"/>
      <w:szCs w:val="22"/>
      <w:lang w:eastAsia="en-US"/>
    </w:rPr>
  </w:style>
  <w:style w:type="paragraph" w:styleId="BalloonText">
    <w:name w:val="Balloon Text"/>
    <w:basedOn w:val="Normal"/>
    <w:link w:val="BalloonTextChar"/>
    <w:uiPriority w:val="99"/>
    <w:semiHidden/>
    <w:unhideWhenUsed/>
    <w:rsid w:val="005C1B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1BB3"/>
    <w:rPr>
      <w:rFonts w:ascii="Tahoma" w:hAnsi="Tahoma" w:cs="Tahoma"/>
      <w:w w:val="105"/>
      <w:kern w:val="40"/>
      <w:sz w:val="16"/>
      <w:szCs w:val="16"/>
      <w:lang w:eastAsia="en-US"/>
    </w:rPr>
  </w:style>
  <w:style w:type="paragraph" w:customStyle="1" w:styleId="Bullet1">
    <w:name w:val="Bullet 1"/>
    <w:basedOn w:val="ListBullet2"/>
    <w:autoRedefine/>
    <w:qFormat/>
    <w:rsid w:val="00151A0A"/>
    <w:pPr>
      <w:numPr>
        <w:ilvl w:val="0"/>
      </w:numPr>
      <w:ind w:left="567" w:hanging="567"/>
    </w:pPr>
  </w:style>
  <w:style w:type="numbering" w:customStyle="1" w:styleId="Bullet2">
    <w:name w:val="Bullet 2"/>
    <w:basedOn w:val="NoList"/>
    <w:uiPriority w:val="99"/>
    <w:rsid w:val="0011430B"/>
    <w:pPr>
      <w:numPr>
        <w:numId w:val="2"/>
      </w:numPr>
    </w:pPr>
  </w:style>
  <w:style w:type="paragraph" w:styleId="ListBullet2">
    <w:name w:val="List Bullet 2"/>
    <w:basedOn w:val="ListBullet"/>
    <w:autoRedefine/>
    <w:uiPriority w:val="99"/>
    <w:unhideWhenUsed/>
    <w:qFormat/>
    <w:rsid w:val="00151A0A"/>
    <w:pPr>
      <w:ind w:left="1134" w:hanging="567"/>
    </w:pPr>
  </w:style>
  <w:style w:type="character" w:customStyle="1" w:styleId="Heading4Char">
    <w:name w:val="Heading 4 Char"/>
    <w:basedOn w:val="DefaultParagraphFont"/>
    <w:link w:val="Heading4"/>
    <w:uiPriority w:val="9"/>
    <w:rsid w:val="0098671E"/>
    <w:rPr>
      <w:rFonts w:eastAsia="SimSun" w:cs="Angsana New"/>
      <w:b/>
      <w:bCs/>
      <w:color w:val="595959" w:themeColor="text1" w:themeTint="A6"/>
      <w:w w:val="105"/>
      <w:kern w:val="40"/>
      <w:sz w:val="26"/>
      <w:szCs w:val="26"/>
      <w:lang w:eastAsia="en-US"/>
    </w:rPr>
  </w:style>
  <w:style w:type="paragraph" w:styleId="ListBullet">
    <w:name w:val="List Bullet"/>
    <w:aliases w:val="List Bullet 1"/>
    <w:basedOn w:val="Normal"/>
    <w:uiPriority w:val="99"/>
    <w:unhideWhenUsed/>
    <w:rsid w:val="0011430B"/>
    <w:pPr>
      <w:numPr>
        <w:ilvl w:val="1"/>
        <w:numId w:val="1"/>
      </w:numPr>
      <w:ind w:left="1440"/>
      <w:contextualSpacing/>
    </w:pPr>
  </w:style>
  <w:style w:type="character" w:styleId="Strong">
    <w:name w:val="Strong"/>
    <w:basedOn w:val="DefaultParagraphFont"/>
    <w:uiPriority w:val="22"/>
    <w:qFormat/>
    <w:rsid w:val="0011430B"/>
    <w:rPr>
      <w:b/>
      <w:bCs/>
    </w:rPr>
  </w:style>
  <w:style w:type="character" w:styleId="SubtleEmphasis">
    <w:name w:val="Subtle Emphasis"/>
    <w:basedOn w:val="DefaultParagraphFont"/>
    <w:uiPriority w:val="19"/>
    <w:rsid w:val="0011430B"/>
    <w:rPr>
      <w:i/>
      <w:iCs/>
      <w:color w:val="808080" w:themeColor="text1" w:themeTint="7F"/>
    </w:rPr>
  </w:style>
  <w:style w:type="paragraph" w:styleId="ListParagraph">
    <w:name w:val="List Paragraph"/>
    <w:basedOn w:val="Normal"/>
    <w:uiPriority w:val="34"/>
    <w:qFormat/>
    <w:rsid w:val="00870C1C"/>
    <w:pPr>
      <w:spacing w:after="160" w:line="259" w:lineRule="auto"/>
      <w:ind w:left="720"/>
      <w:contextualSpacing/>
    </w:pPr>
    <w:rPr>
      <w:rFonts w:asciiTheme="minorHAnsi" w:eastAsiaTheme="minorHAnsi" w:hAnsiTheme="minorHAnsi" w:cstheme="minorBidi"/>
      <w:w w:val="100"/>
      <w:kern w:val="0"/>
    </w:rPr>
  </w:style>
  <w:style w:type="character" w:styleId="Hyperlink">
    <w:name w:val="Hyperlink"/>
    <w:basedOn w:val="DefaultParagraphFont"/>
    <w:uiPriority w:val="99"/>
    <w:unhideWhenUsed/>
    <w:rsid w:val="0015529E"/>
    <w:rPr>
      <w:color w:val="0000FF" w:themeColor="hyperlink"/>
      <w:u w:val="single"/>
    </w:rPr>
  </w:style>
  <w:style w:type="character" w:styleId="CommentReference">
    <w:name w:val="annotation reference"/>
    <w:basedOn w:val="DefaultParagraphFont"/>
    <w:uiPriority w:val="99"/>
    <w:semiHidden/>
    <w:unhideWhenUsed/>
    <w:rsid w:val="000250DD"/>
    <w:rPr>
      <w:sz w:val="16"/>
      <w:szCs w:val="16"/>
    </w:rPr>
  </w:style>
  <w:style w:type="paragraph" w:styleId="CommentText">
    <w:name w:val="annotation text"/>
    <w:basedOn w:val="Normal"/>
    <w:link w:val="CommentTextChar"/>
    <w:uiPriority w:val="99"/>
    <w:unhideWhenUsed/>
    <w:rsid w:val="000250DD"/>
    <w:pPr>
      <w:spacing w:line="240" w:lineRule="auto"/>
    </w:pPr>
    <w:rPr>
      <w:sz w:val="20"/>
      <w:szCs w:val="20"/>
    </w:rPr>
  </w:style>
  <w:style w:type="character" w:customStyle="1" w:styleId="CommentTextChar">
    <w:name w:val="Comment Text Char"/>
    <w:basedOn w:val="DefaultParagraphFont"/>
    <w:link w:val="CommentText"/>
    <w:uiPriority w:val="99"/>
    <w:rsid w:val="000250DD"/>
    <w:rPr>
      <w:rFonts w:cs="Calibri"/>
      <w:w w:val="105"/>
      <w:kern w:val="40"/>
      <w:lang w:eastAsia="en-US"/>
    </w:rPr>
  </w:style>
  <w:style w:type="paragraph" w:styleId="CommentSubject">
    <w:name w:val="annotation subject"/>
    <w:basedOn w:val="CommentText"/>
    <w:next w:val="CommentText"/>
    <w:link w:val="CommentSubjectChar"/>
    <w:uiPriority w:val="99"/>
    <w:semiHidden/>
    <w:unhideWhenUsed/>
    <w:rsid w:val="000250DD"/>
    <w:rPr>
      <w:b/>
      <w:bCs/>
    </w:rPr>
  </w:style>
  <w:style w:type="character" w:customStyle="1" w:styleId="CommentSubjectChar">
    <w:name w:val="Comment Subject Char"/>
    <w:basedOn w:val="CommentTextChar"/>
    <w:link w:val="CommentSubject"/>
    <w:uiPriority w:val="99"/>
    <w:semiHidden/>
    <w:rsid w:val="000250DD"/>
    <w:rPr>
      <w:rFonts w:cs="Calibri"/>
      <w:b/>
      <w:bCs/>
      <w:w w:val="105"/>
      <w:kern w:val="40"/>
      <w:lang w:eastAsia="en-US"/>
    </w:rPr>
  </w:style>
  <w:style w:type="character" w:customStyle="1" w:styleId="normaltextrun">
    <w:name w:val="normaltextrun"/>
    <w:basedOn w:val="DefaultParagraphFont"/>
    <w:rsid w:val="00EC20FB"/>
  </w:style>
  <w:style w:type="paragraph" w:styleId="NormalWeb">
    <w:name w:val="Normal (Web)"/>
    <w:basedOn w:val="Normal"/>
    <w:uiPriority w:val="99"/>
    <w:semiHidden/>
    <w:unhideWhenUsed/>
    <w:rsid w:val="006811A0"/>
    <w:pPr>
      <w:spacing w:before="100" w:beforeAutospacing="1" w:after="100" w:afterAutospacing="1" w:line="240" w:lineRule="auto"/>
    </w:pPr>
    <w:rPr>
      <w:rFonts w:ascii="Times New Roman" w:eastAsiaTheme="minorHAnsi" w:hAnsi="Times New Roman" w:cs="Times New Roman"/>
      <w:w w:val="100"/>
      <w:kern w:val="0"/>
      <w:sz w:val="24"/>
      <w:szCs w:val="24"/>
      <w:lang w:eastAsia="en-AU"/>
    </w:rPr>
  </w:style>
  <w:style w:type="paragraph" w:styleId="EndnoteText">
    <w:name w:val="endnote text"/>
    <w:basedOn w:val="Normal"/>
    <w:link w:val="EndnoteTextChar"/>
    <w:uiPriority w:val="99"/>
    <w:semiHidden/>
    <w:unhideWhenUsed/>
    <w:rsid w:val="000D56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56B7"/>
    <w:rPr>
      <w:rFonts w:cs="Calibri"/>
      <w:w w:val="105"/>
      <w:kern w:val="40"/>
      <w:lang w:eastAsia="en-US"/>
    </w:rPr>
  </w:style>
  <w:style w:type="character" w:styleId="EndnoteReference">
    <w:name w:val="endnote reference"/>
    <w:basedOn w:val="DefaultParagraphFont"/>
    <w:uiPriority w:val="99"/>
    <w:semiHidden/>
    <w:unhideWhenUsed/>
    <w:rsid w:val="000D56B7"/>
    <w:rPr>
      <w:vertAlign w:val="superscript"/>
    </w:rPr>
  </w:style>
  <w:style w:type="table" w:styleId="TableGrid">
    <w:name w:val="Table Grid"/>
    <w:basedOn w:val="TableNormal"/>
    <w:uiPriority w:val="59"/>
    <w:rsid w:val="00B71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300DF5"/>
    <w:pPr>
      <w:spacing w:after="0" w:line="240" w:lineRule="auto"/>
    </w:pPr>
    <w:rPr>
      <w:sz w:val="20"/>
      <w:szCs w:val="20"/>
    </w:rPr>
  </w:style>
  <w:style w:type="character" w:customStyle="1" w:styleId="FootnoteTextChar">
    <w:name w:val="Footnote Text Char"/>
    <w:basedOn w:val="DefaultParagraphFont"/>
    <w:link w:val="FootnoteText"/>
    <w:semiHidden/>
    <w:rsid w:val="00300DF5"/>
    <w:rPr>
      <w:rFonts w:cs="Calibri"/>
      <w:w w:val="105"/>
      <w:kern w:val="40"/>
      <w:lang w:eastAsia="en-US"/>
    </w:rPr>
  </w:style>
  <w:style w:type="character" w:styleId="FootnoteReference">
    <w:name w:val="footnote reference"/>
    <w:basedOn w:val="DefaultParagraphFont"/>
    <w:uiPriority w:val="99"/>
    <w:unhideWhenUsed/>
    <w:rsid w:val="00300DF5"/>
    <w:rPr>
      <w:vertAlign w:val="superscript"/>
    </w:rPr>
  </w:style>
  <w:style w:type="character" w:styleId="UnresolvedMention">
    <w:name w:val="Unresolved Mention"/>
    <w:basedOn w:val="DefaultParagraphFont"/>
    <w:uiPriority w:val="99"/>
    <w:semiHidden/>
    <w:unhideWhenUsed/>
    <w:rsid w:val="00300DF5"/>
    <w:rPr>
      <w:color w:val="605E5C"/>
      <w:shd w:val="clear" w:color="auto" w:fill="E1DFDD"/>
    </w:rPr>
  </w:style>
  <w:style w:type="character" w:styleId="FollowedHyperlink">
    <w:name w:val="FollowedHyperlink"/>
    <w:basedOn w:val="DefaultParagraphFont"/>
    <w:uiPriority w:val="99"/>
    <w:semiHidden/>
    <w:unhideWhenUsed/>
    <w:rsid w:val="00632079"/>
    <w:rPr>
      <w:color w:val="800080" w:themeColor="followedHyperlink"/>
      <w:u w:val="single"/>
    </w:rPr>
  </w:style>
  <w:style w:type="paragraph" w:styleId="Revision">
    <w:name w:val="Revision"/>
    <w:hidden/>
    <w:uiPriority w:val="99"/>
    <w:semiHidden/>
    <w:rsid w:val="00A72ECD"/>
    <w:rPr>
      <w:rFonts w:cs="Calibri"/>
      <w:w w:val="105"/>
      <w:kern w:val="40"/>
      <w:sz w:val="22"/>
      <w:szCs w:val="22"/>
      <w:lang w:eastAsia="en-US"/>
    </w:rPr>
  </w:style>
  <w:style w:type="character" w:styleId="Emphasis">
    <w:name w:val="Emphasis"/>
    <w:basedOn w:val="DefaultParagraphFont"/>
    <w:uiPriority w:val="20"/>
    <w:qFormat/>
    <w:rsid w:val="003104E9"/>
    <w:rPr>
      <w:i/>
      <w:iCs/>
    </w:rPr>
  </w:style>
  <w:style w:type="paragraph" w:customStyle="1" w:styleId="Paragraph">
    <w:name w:val="Paragraph"/>
    <w:basedOn w:val="Normal"/>
    <w:link w:val="ParagraphChar"/>
    <w:uiPriority w:val="99"/>
    <w:rsid w:val="00CC7FE9"/>
    <w:pPr>
      <w:numPr>
        <w:ilvl w:val="12"/>
      </w:numPr>
      <w:spacing w:before="240" w:after="0" w:line="240" w:lineRule="auto"/>
    </w:pPr>
    <w:rPr>
      <w:rFonts w:ascii="Times New Roman" w:eastAsia="Times New Roman" w:hAnsi="Times New Roman" w:cs="Times New Roman"/>
      <w:w w:val="100"/>
      <w:kern w:val="0"/>
      <w:sz w:val="24"/>
      <w:szCs w:val="20"/>
      <w:lang w:eastAsia="en-AU"/>
    </w:rPr>
  </w:style>
  <w:style w:type="character" w:customStyle="1" w:styleId="ParagraphChar">
    <w:name w:val="Paragraph Char"/>
    <w:link w:val="Paragraph"/>
    <w:uiPriority w:val="99"/>
    <w:rsid w:val="00CC7FE9"/>
    <w:rPr>
      <w:rFonts w:ascii="Times New Roman" w:eastAsia="Times New Roman" w:hAnsi="Times New Roman"/>
      <w:sz w:val="24"/>
    </w:rPr>
  </w:style>
  <w:style w:type="paragraph" w:styleId="NoSpacing">
    <w:name w:val="No Spacing"/>
    <w:uiPriority w:val="1"/>
    <w:qFormat/>
    <w:rsid w:val="00546E48"/>
    <w:rPr>
      <w:rFonts w:cs="Calibri"/>
      <w:w w:val="105"/>
      <w:kern w:val="4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800">
      <w:bodyDiv w:val="1"/>
      <w:marLeft w:val="0"/>
      <w:marRight w:val="0"/>
      <w:marTop w:val="0"/>
      <w:marBottom w:val="0"/>
      <w:divBdr>
        <w:top w:val="none" w:sz="0" w:space="0" w:color="auto"/>
        <w:left w:val="none" w:sz="0" w:space="0" w:color="auto"/>
        <w:bottom w:val="none" w:sz="0" w:space="0" w:color="auto"/>
        <w:right w:val="none" w:sz="0" w:space="0" w:color="auto"/>
      </w:divBdr>
    </w:div>
    <w:div w:id="166597900">
      <w:bodyDiv w:val="1"/>
      <w:marLeft w:val="0"/>
      <w:marRight w:val="0"/>
      <w:marTop w:val="0"/>
      <w:marBottom w:val="0"/>
      <w:divBdr>
        <w:top w:val="none" w:sz="0" w:space="0" w:color="auto"/>
        <w:left w:val="none" w:sz="0" w:space="0" w:color="auto"/>
        <w:bottom w:val="none" w:sz="0" w:space="0" w:color="auto"/>
        <w:right w:val="none" w:sz="0" w:space="0" w:color="auto"/>
      </w:divBdr>
    </w:div>
    <w:div w:id="970944869">
      <w:bodyDiv w:val="1"/>
      <w:marLeft w:val="0"/>
      <w:marRight w:val="0"/>
      <w:marTop w:val="0"/>
      <w:marBottom w:val="0"/>
      <w:divBdr>
        <w:top w:val="none" w:sz="0" w:space="0" w:color="auto"/>
        <w:left w:val="none" w:sz="0" w:space="0" w:color="auto"/>
        <w:bottom w:val="none" w:sz="0" w:space="0" w:color="auto"/>
        <w:right w:val="none" w:sz="0" w:space="0" w:color="auto"/>
      </w:divBdr>
    </w:div>
    <w:div w:id="1108502124">
      <w:bodyDiv w:val="1"/>
      <w:marLeft w:val="0"/>
      <w:marRight w:val="0"/>
      <w:marTop w:val="0"/>
      <w:marBottom w:val="0"/>
      <w:divBdr>
        <w:top w:val="none" w:sz="0" w:space="0" w:color="auto"/>
        <w:left w:val="none" w:sz="0" w:space="0" w:color="auto"/>
        <w:bottom w:val="none" w:sz="0" w:space="0" w:color="auto"/>
        <w:right w:val="none" w:sz="0" w:space="0" w:color="auto"/>
      </w:divBdr>
    </w:div>
    <w:div w:id="1365130038">
      <w:bodyDiv w:val="1"/>
      <w:marLeft w:val="0"/>
      <w:marRight w:val="0"/>
      <w:marTop w:val="0"/>
      <w:marBottom w:val="0"/>
      <w:divBdr>
        <w:top w:val="none" w:sz="0" w:space="0" w:color="auto"/>
        <w:left w:val="none" w:sz="0" w:space="0" w:color="auto"/>
        <w:bottom w:val="none" w:sz="0" w:space="0" w:color="auto"/>
        <w:right w:val="none" w:sz="0" w:space="0" w:color="auto"/>
      </w:divBdr>
    </w:div>
    <w:div w:id="1384671375">
      <w:bodyDiv w:val="1"/>
      <w:marLeft w:val="0"/>
      <w:marRight w:val="0"/>
      <w:marTop w:val="0"/>
      <w:marBottom w:val="0"/>
      <w:divBdr>
        <w:top w:val="none" w:sz="0" w:space="0" w:color="auto"/>
        <w:left w:val="none" w:sz="0" w:space="0" w:color="auto"/>
        <w:bottom w:val="none" w:sz="0" w:space="0" w:color="auto"/>
        <w:right w:val="none" w:sz="0" w:space="0" w:color="auto"/>
      </w:divBdr>
    </w:div>
    <w:div w:id="2013877102">
      <w:bodyDiv w:val="1"/>
      <w:marLeft w:val="0"/>
      <w:marRight w:val="0"/>
      <w:marTop w:val="0"/>
      <w:marBottom w:val="0"/>
      <w:divBdr>
        <w:top w:val="none" w:sz="0" w:space="0" w:color="auto"/>
        <w:left w:val="none" w:sz="0" w:space="0" w:color="auto"/>
        <w:bottom w:val="none" w:sz="0" w:space="0" w:color="auto"/>
        <w:right w:val="none" w:sz="0" w:space="0" w:color="auto"/>
      </w:divBdr>
    </w:div>
    <w:div w:id="2102682310">
      <w:bodyDiv w:val="1"/>
      <w:marLeft w:val="0"/>
      <w:marRight w:val="0"/>
      <w:marTop w:val="0"/>
      <w:marBottom w:val="0"/>
      <w:divBdr>
        <w:top w:val="none" w:sz="0" w:space="0" w:color="auto"/>
        <w:left w:val="none" w:sz="0" w:space="0" w:color="auto"/>
        <w:bottom w:val="none" w:sz="0" w:space="0" w:color="auto"/>
        <w:right w:val="none" w:sz="0" w:space="0" w:color="auto"/>
      </w:divBdr>
    </w:div>
    <w:div w:id="212638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nkruptcy@ag.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gov.au/about-us/accountability-and-reporting/privacy-policy"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_rels/endnotes.xml.rels><?xml version="1.0" encoding="UTF-8" standalone="yes"?>
<Relationships xmlns="http://schemas.openxmlformats.org/package/2006/relationships"><Relationship Id="rId2" Type="http://schemas.openxmlformats.org/officeDocument/2006/relationships/hyperlink" Target="https://www.afsa.gov.au/about-us/statistics/annual-administration-statistics/bankruptcies-and-temporary-debt-protections" TargetMode="External"/><Relationship Id="rId1" Type="http://schemas.openxmlformats.org/officeDocument/2006/relationships/hyperlink" Target="https://www.ag.gov.au/legal-system/publications/ministerial-roundtable-personal-insolvency-summar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yaluj\AppData\Local\Microsoft\Windows\INetCache\Content.Outlook\V1BX4BRD\Debtor%20liability%20bands%20over%20the%20last%205%20financial%20years%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68122166547365"/>
          <c:y val="0.25451757096915789"/>
          <c:w val="0.642449526345092"/>
          <c:h val="0.57427351932446147"/>
        </c:manualLayout>
      </c:layout>
      <c:barChart>
        <c:barDir val="bar"/>
        <c:grouping val="clustered"/>
        <c:varyColors val="0"/>
        <c:ser>
          <c:idx val="0"/>
          <c:order val="0"/>
          <c:tx>
            <c:strRef>
              <c:f>Data!$C$18</c:f>
              <c:strCache>
                <c:ptCount val="1"/>
                <c:pt idx="0">
                  <c:v>FY2017–18</c:v>
                </c:pt>
              </c:strCache>
            </c:strRef>
          </c:tx>
          <c:spPr>
            <a:solidFill>
              <a:schemeClr val="accent1"/>
            </a:solidFill>
            <a:ln>
              <a:noFill/>
            </a:ln>
            <a:effectLst/>
          </c:spPr>
          <c:invertIfNegative val="0"/>
          <c:cat>
            <c:strRef>
              <c:f>Data!$B$19:$B$23</c:f>
              <c:strCache>
                <c:ptCount val="5"/>
                <c:pt idx="0">
                  <c:v> $1–$10,000 </c:v>
                </c:pt>
                <c:pt idx="1">
                  <c:v> $10,001–$20,000 </c:v>
                </c:pt>
                <c:pt idx="2">
                  <c:v> $20,001–$30,000 </c:v>
                </c:pt>
                <c:pt idx="3">
                  <c:v> $30,001–$40,000 </c:v>
                </c:pt>
                <c:pt idx="4">
                  <c:v> $40,001–$50,000 </c:v>
                </c:pt>
              </c:strCache>
            </c:strRef>
          </c:cat>
          <c:val>
            <c:numRef>
              <c:f>Data!$C$19:$C$23</c:f>
              <c:numCache>
                <c:formatCode>_-* #,##0_-;\-* #,##0_-;_-* "-"??_-;_-@_-</c:formatCode>
                <c:ptCount val="5"/>
                <c:pt idx="0">
                  <c:v>619</c:v>
                </c:pt>
                <c:pt idx="1">
                  <c:v>1353</c:v>
                </c:pt>
                <c:pt idx="2">
                  <c:v>1436</c:v>
                </c:pt>
                <c:pt idx="3">
                  <c:v>1491</c:v>
                </c:pt>
                <c:pt idx="4">
                  <c:v>1337</c:v>
                </c:pt>
              </c:numCache>
            </c:numRef>
          </c:val>
          <c:extLst>
            <c:ext xmlns:c16="http://schemas.microsoft.com/office/drawing/2014/chart" uri="{C3380CC4-5D6E-409C-BE32-E72D297353CC}">
              <c16:uniqueId val="{00000000-0C38-47AA-871F-E5A8AC039014}"/>
            </c:ext>
          </c:extLst>
        </c:ser>
        <c:ser>
          <c:idx val="1"/>
          <c:order val="1"/>
          <c:tx>
            <c:strRef>
              <c:f>Data!$D$18</c:f>
              <c:strCache>
                <c:ptCount val="1"/>
                <c:pt idx="0">
                  <c:v>FY2018–19</c:v>
                </c:pt>
              </c:strCache>
            </c:strRef>
          </c:tx>
          <c:spPr>
            <a:solidFill>
              <a:schemeClr val="accent2"/>
            </a:solidFill>
            <a:ln>
              <a:noFill/>
            </a:ln>
            <a:effectLst/>
          </c:spPr>
          <c:invertIfNegative val="0"/>
          <c:cat>
            <c:strRef>
              <c:f>Data!$B$19:$B$23</c:f>
              <c:strCache>
                <c:ptCount val="5"/>
                <c:pt idx="0">
                  <c:v> $1–$10,000 </c:v>
                </c:pt>
                <c:pt idx="1">
                  <c:v> $10,001–$20,000 </c:v>
                </c:pt>
                <c:pt idx="2">
                  <c:v> $20,001–$30,000 </c:v>
                </c:pt>
                <c:pt idx="3">
                  <c:v> $30,001–$40,000 </c:v>
                </c:pt>
                <c:pt idx="4">
                  <c:v> $40,001–$50,000 </c:v>
                </c:pt>
              </c:strCache>
            </c:strRef>
          </c:cat>
          <c:val>
            <c:numRef>
              <c:f>Data!$D$19:$D$23</c:f>
              <c:numCache>
                <c:formatCode>_-* #,##0_-;\-* #,##0_-;_-* "-"??_-;_-@_-</c:formatCode>
                <c:ptCount val="5"/>
                <c:pt idx="0">
                  <c:v>529</c:v>
                </c:pt>
                <c:pt idx="1">
                  <c:v>1184</c:v>
                </c:pt>
                <c:pt idx="2">
                  <c:v>1314</c:v>
                </c:pt>
                <c:pt idx="3">
                  <c:v>1286</c:v>
                </c:pt>
                <c:pt idx="4">
                  <c:v>1170</c:v>
                </c:pt>
              </c:numCache>
            </c:numRef>
          </c:val>
          <c:extLst>
            <c:ext xmlns:c16="http://schemas.microsoft.com/office/drawing/2014/chart" uri="{C3380CC4-5D6E-409C-BE32-E72D297353CC}">
              <c16:uniqueId val="{00000001-0C38-47AA-871F-E5A8AC039014}"/>
            </c:ext>
          </c:extLst>
        </c:ser>
        <c:ser>
          <c:idx val="2"/>
          <c:order val="2"/>
          <c:tx>
            <c:strRef>
              <c:f>Data!$E$18</c:f>
              <c:strCache>
                <c:ptCount val="1"/>
                <c:pt idx="0">
                  <c:v>FY2019–20</c:v>
                </c:pt>
              </c:strCache>
            </c:strRef>
          </c:tx>
          <c:spPr>
            <a:solidFill>
              <a:schemeClr val="accent3"/>
            </a:solidFill>
            <a:ln>
              <a:noFill/>
            </a:ln>
            <a:effectLst/>
          </c:spPr>
          <c:invertIfNegative val="0"/>
          <c:cat>
            <c:strRef>
              <c:f>Data!$B$19:$B$23</c:f>
              <c:strCache>
                <c:ptCount val="5"/>
                <c:pt idx="0">
                  <c:v> $1–$10,000 </c:v>
                </c:pt>
                <c:pt idx="1">
                  <c:v> $10,001–$20,000 </c:v>
                </c:pt>
                <c:pt idx="2">
                  <c:v> $20,001–$30,000 </c:v>
                </c:pt>
                <c:pt idx="3">
                  <c:v> $30,001–$40,000 </c:v>
                </c:pt>
                <c:pt idx="4">
                  <c:v> $40,001–$50,000 </c:v>
                </c:pt>
              </c:strCache>
            </c:strRef>
          </c:cat>
          <c:val>
            <c:numRef>
              <c:f>Data!$E$19:$E$23</c:f>
              <c:numCache>
                <c:formatCode>_-* #,##0_-;\-* #,##0_-;_-* "-"??_-;_-@_-</c:formatCode>
                <c:ptCount val="5"/>
                <c:pt idx="0">
                  <c:v>390</c:v>
                </c:pt>
                <c:pt idx="1">
                  <c:v>957</c:v>
                </c:pt>
                <c:pt idx="2">
                  <c:v>1096</c:v>
                </c:pt>
                <c:pt idx="3">
                  <c:v>1051</c:v>
                </c:pt>
                <c:pt idx="4">
                  <c:v>925</c:v>
                </c:pt>
              </c:numCache>
            </c:numRef>
          </c:val>
          <c:extLst>
            <c:ext xmlns:c16="http://schemas.microsoft.com/office/drawing/2014/chart" uri="{C3380CC4-5D6E-409C-BE32-E72D297353CC}">
              <c16:uniqueId val="{00000002-0C38-47AA-871F-E5A8AC039014}"/>
            </c:ext>
          </c:extLst>
        </c:ser>
        <c:ser>
          <c:idx val="3"/>
          <c:order val="3"/>
          <c:tx>
            <c:strRef>
              <c:f>Data!$F$18</c:f>
              <c:strCache>
                <c:ptCount val="1"/>
                <c:pt idx="0">
                  <c:v>FY2020–21</c:v>
                </c:pt>
              </c:strCache>
            </c:strRef>
          </c:tx>
          <c:spPr>
            <a:solidFill>
              <a:schemeClr val="accent4"/>
            </a:solidFill>
            <a:ln>
              <a:noFill/>
            </a:ln>
            <a:effectLst/>
          </c:spPr>
          <c:invertIfNegative val="0"/>
          <c:cat>
            <c:strRef>
              <c:f>Data!$B$19:$B$23</c:f>
              <c:strCache>
                <c:ptCount val="5"/>
                <c:pt idx="0">
                  <c:v> $1–$10,000 </c:v>
                </c:pt>
                <c:pt idx="1">
                  <c:v> $10,001–$20,000 </c:v>
                </c:pt>
                <c:pt idx="2">
                  <c:v> $20,001–$30,000 </c:v>
                </c:pt>
                <c:pt idx="3">
                  <c:v> $30,001–$40,000 </c:v>
                </c:pt>
                <c:pt idx="4">
                  <c:v> $40,001–$50,000 </c:v>
                </c:pt>
              </c:strCache>
            </c:strRef>
          </c:cat>
          <c:val>
            <c:numRef>
              <c:f>Data!$F$19:$F$23</c:f>
              <c:numCache>
                <c:formatCode>_-* #,##0_-;\-* #,##0_-;_-* "-"??_-;_-@_-</c:formatCode>
                <c:ptCount val="5"/>
                <c:pt idx="0">
                  <c:v>328</c:v>
                </c:pt>
                <c:pt idx="1">
                  <c:v>640</c:v>
                </c:pt>
                <c:pt idx="2">
                  <c:v>676</c:v>
                </c:pt>
                <c:pt idx="3">
                  <c:v>576</c:v>
                </c:pt>
                <c:pt idx="4">
                  <c:v>488</c:v>
                </c:pt>
              </c:numCache>
            </c:numRef>
          </c:val>
          <c:extLst>
            <c:ext xmlns:c16="http://schemas.microsoft.com/office/drawing/2014/chart" uri="{C3380CC4-5D6E-409C-BE32-E72D297353CC}">
              <c16:uniqueId val="{00000003-0C38-47AA-871F-E5A8AC039014}"/>
            </c:ext>
          </c:extLst>
        </c:ser>
        <c:ser>
          <c:idx val="4"/>
          <c:order val="4"/>
          <c:tx>
            <c:strRef>
              <c:f>Data!$G$18</c:f>
              <c:strCache>
                <c:ptCount val="1"/>
                <c:pt idx="0">
                  <c:v>FY2021–22</c:v>
                </c:pt>
              </c:strCache>
            </c:strRef>
          </c:tx>
          <c:spPr>
            <a:solidFill>
              <a:schemeClr val="accent5"/>
            </a:solidFill>
            <a:ln>
              <a:noFill/>
            </a:ln>
            <a:effectLst/>
          </c:spPr>
          <c:invertIfNegative val="0"/>
          <c:cat>
            <c:strRef>
              <c:f>Data!$B$19:$B$23</c:f>
              <c:strCache>
                <c:ptCount val="5"/>
                <c:pt idx="0">
                  <c:v> $1–$10,000 </c:v>
                </c:pt>
                <c:pt idx="1">
                  <c:v> $10,001–$20,000 </c:v>
                </c:pt>
                <c:pt idx="2">
                  <c:v> $20,001–$30,000 </c:v>
                </c:pt>
                <c:pt idx="3">
                  <c:v> $30,001–$40,000 </c:v>
                </c:pt>
                <c:pt idx="4">
                  <c:v> $40,001–$50,000 </c:v>
                </c:pt>
              </c:strCache>
            </c:strRef>
          </c:cat>
          <c:val>
            <c:numRef>
              <c:f>Data!$G$19:$G$23</c:f>
              <c:numCache>
                <c:formatCode>_-* #,##0_-;\-* #,##0_-;_-* "-"??_-;_-@_-</c:formatCode>
                <c:ptCount val="5"/>
                <c:pt idx="0">
                  <c:v>377</c:v>
                </c:pt>
                <c:pt idx="1">
                  <c:v>706</c:v>
                </c:pt>
                <c:pt idx="2">
                  <c:v>617</c:v>
                </c:pt>
                <c:pt idx="3">
                  <c:v>541</c:v>
                </c:pt>
                <c:pt idx="4">
                  <c:v>424</c:v>
                </c:pt>
              </c:numCache>
            </c:numRef>
          </c:val>
          <c:extLst>
            <c:ext xmlns:c16="http://schemas.microsoft.com/office/drawing/2014/chart" uri="{C3380CC4-5D6E-409C-BE32-E72D297353CC}">
              <c16:uniqueId val="{00000004-0C38-47AA-871F-E5A8AC039014}"/>
            </c:ext>
          </c:extLst>
        </c:ser>
        <c:dLbls>
          <c:showLegendKey val="0"/>
          <c:showVal val="0"/>
          <c:showCatName val="0"/>
          <c:showSerName val="0"/>
          <c:showPercent val="0"/>
          <c:showBubbleSize val="0"/>
        </c:dLbls>
        <c:gapWidth val="269"/>
        <c:axId val="1371613616"/>
        <c:axId val="527540080"/>
      </c:barChart>
      <c:catAx>
        <c:axId val="1371613616"/>
        <c:scaling>
          <c:orientation val="minMax"/>
        </c:scaling>
        <c:delete val="0"/>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AU"/>
                  <a:t>Liability amount</a:t>
                </a:r>
              </a:p>
            </c:rich>
          </c:tx>
          <c:layout>
            <c:manualLayout>
              <c:xMode val="edge"/>
              <c:yMode val="edge"/>
              <c:x val="0"/>
              <c:y val="0.17509961140440969"/>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27540080"/>
        <c:crosses val="autoZero"/>
        <c:auto val="1"/>
        <c:lblAlgn val="ctr"/>
        <c:lblOffset val="100"/>
        <c:noMultiLvlLbl val="0"/>
      </c:catAx>
      <c:valAx>
        <c:axId val="52754008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AU"/>
                  <a:t>Bankruptcies</a:t>
                </a:r>
              </a:p>
            </c:rich>
          </c:tx>
          <c:layout>
            <c:manualLayout>
              <c:xMode val="edge"/>
              <c:yMode val="edge"/>
              <c:x val="0.81393445587060687"/>
              <c:y val="0.89386715676558748"/>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6136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68122166547365"/>
          <c:y val="0.25451757096915789"/>
          <c:w val="0.642449526345092"/>
          <c:h val="0.57427351932446147"/>
        </c:manualLayout>
      </c:layout>
      <c:lineChart>
        <c:grouping val="standard"/>
        <c:varyColors val="0"/>
        <c:ser>
          <c:idx val="0"/>
          <c:order val="0"/>
          <c:tx>
            <c:strRef>
              <c:f>Data!$B$19</c:f>
              <c:strCache>
                <c:ptCount val="1"/>
                <c:pt idx="0">
                  <c:v> $1–$10,000 </c:v>
                </c:pt>
              </c:strCache>
            </c:strRef>
          </c:tx>
          <c:spPr>
            <a:ln w="38100" cap="rnd">
              <a:solidFill>
                <a:schemeClr val="accent1"/>
              </a:solidFill>
              <a:round/>
            </a:ln>
            <a:effectLst/>
          </c:spPr>
          <c:marker>
            <c:symbol val="none"/>
          </c:marker>
          <c:cat>
            <c:strRef>
              <c:f>Data!$C$18:$G$18</c:f>
              <c:strCache>
                <c:ptCount val="5"/>
                <c:pt idx="0">
                  <c:v>FY2017–18</c:v>
                </c:pt>
                <c:pt idx="1">
                  <c:v>FY2018–19</c:v>
                </c:pt>
                <c:pt idx="2">
                  <c:v>FY2019–20</c:v>
                </c:pt>
                <c:pt idx="3">
                  <c:v>FY2020–21</c:v>
                </c:pt>
                <c:pt idx="4">
                  <c:v>FY2021–22</c:v>
                </c:pt>
              </c:strCache>
            </c:strRef>
          </c:cat>
          <c:val>
            <c:numRef>
              <c:f>Data!$C$19:$G$19</c:f>
              <c:numCache>
                <c:formatCode>_-* #,##0_-;\-* #,##0_-;_-* "-"??_-;_-@_-</c:formatCode>
                <c:ptCount val="5"/>
                <c:pt idx="0">
                  <c:v>619</c:v>
                </c:pt>
                <c:pt idx="1">
                  <c:v>529</c:v>
                </c:pt>
                <c:pt idx="2">
                  <c:v>390</c:v>
                </c:pt>
                <c:pt idx="3">
                  <c:v>328</c:v>
                </c:pt>
                <c:pt idx="4">
                  <c:v>377</c:v>
                </c:pt>
              </c:numCache>
            </c:numRef>
          </c:val>
          <c:smooth val="0"/>
          <c:extLst>
            <c:ext xmlns:c16="http://schemas.microsoft.com/office/drawing/2014/chart" uri="{C3380CC4-5D6E-409C-BE32-E72D297353CC}">
              <c16:uniqueId val="{00000000-4D13-4270-A6C9-4FD329E0EF54}"/>
            </c:ext>
          </c:extLst>
        </c:ser>
        <c:ser>
          <c:idx val="1"/>
          <c:order val="1"/>
          <c:tx>
            <c:strRef>
              <c:f>Data!$B$20</c:f>
              <c:strCache>
                <c:ptCount val="1"/>
                <c:pt idx="0">
                  <c:v> $10,001–$20,000 </c:v>
                </c:pt>
              </c:strCache>
            </c:strRef>
          </c:tx>
          <c:spPr>
            <a:ln w="38100" cap="rnd">
              <a:solidFill>
                <a:schemeClr val="accent2"/>
              </a:solidFill>
              <a:round/>
            </a:ln>
            <a:effectLst/>
          </c:spPr>
          <c:marker>
            <c:symbol val="none"/>
          </c:marker>
          <c:cat>
            <c:strRef>
              <c:f>Data!$C$18:$G$18</c:f>
              <c:strCache>
                <c:ptCount val="5"/>
                <c:pt idx="0">
                  <c:v>FY2017–18</c:v>
                </c:pt>
                <c:pt idx="1">
                  <c:v>FY2018–19</c:v>
                </c:pt>
                <c:pt idx="2">
                  <c:v>FY2019–20</c:v>
                </c:pt>
                <c:pt idx="3">
                  <c:v>FY2020–21</c:v>
                </c:pt>
                <c:pt idx="4">
                  <c:v>FY2021–22</c:v>
                </c:pt>
              </c:strCache>
            </c:strRef>
          </c:cat>
          <c:val>
            <c:numRef>
              <c:f>Data!$C$20:$G$20</c:f>
              <c:numCache>
                <c:formatCode>_-* #,##0_-;\-* #,##0_-;_-* "-"??_-;_-@_-</c:formatCode>
                <c:ptCount val="5"/>
                <c:pt idx="0">
                  <c:v>1353</c:v>
                </c:pt>
                <c:pt idx="1">
                  <c:v>1184</c:v>
                </c:pt>
                <c:pt idx="2">
                  <c:v>957</c:v>
                </c:pt>
                <c:pt idx="3">
                  <c:v>640</c:v>
                </c:pt>
                <c:pt idx="4">
                  <c:v>706</c:v>
                </c:pt>
              </c:numCache>
            </c:numRef>
          </c:val>
          <c:smooth val="0"/>
          <c:extLst>
            <c:ext xmlns:c16="http://schemas.microsoft.com/office/drawing/2014/chart" uri="{C3380CC4-5D6E-409C-BE32-E72D297353CC}">
              <c16:uniqueId val="{00000001-4D13-4270-A6C9-4FD329E0EF54}"/>
            </c:ext>
          </c:extLst>
        </c:ser>
        <c:ser>
          <c:idx val="2"/>
          <c:order val="2"/>
          <c:tx>
            <c:strRef>
              <c:f>Data!$B$21</c:f>
              <c:strCache>
                <c:ptCount val="1"/>
                <c:pt idx="0">
                  <c:v> $20,001–$30,000 </c:v>
                </c:pt>
              </c:strCache>
            </c:strRef>
          </c:tx>
          <c:spPr>
            <a:ln w="38100" cap="rnd">
              <a:solidFill>
                <a:schemeClr val="accent3"/>
              </a:solidFill>
              <a:round/>
            </a:ln>
            <a:effectLst/>
          </c:spPr>
          <c:marker>
            <c:symbol val="none"/>
          </c:marker>
          <c:cat>
            <c:strRef>
              <c:f>Data!$C$18:$G$18</c:f>
              <c:strCache>
                <c:ptCount val="5"/>
                <c:pt idx="0">
                  <c:v>FY2017–18</c:v>
                </c:pt>
                <c:pt idx="1">
                  <c:v>FY2018–19</c:v>
                </c:pt>
                <c:pt idx="2">
                  <c:v>FY2019–20</c:v>
                </c:pt>
                <c:pt idx="3">
                  <c:v>FY2020–21</c:v>
                </c:pt>
                <c:pt idx="4">
                  <c:v>FY2021–22</c:v>
                </c:pt>
              </c:strCache>
            </c:strRef>
          </c:cat>
          <c:val>
            <c:numRef>
              <c:f>Data!$C$21:$G$21</c:f>
              <c:numCache>
                <c:formatCode>_-* #,##0_-;\-* #,##0_-;_-* "-"??_-;_-@_-</c:formatCode>
                <c:ptCount val="5"/>
                <c:pt idx="0">
                  <c:v>1436</c:v>
                </c:pt>
                <c:pt idx="1">
                  <c:v>1314</c:v>
                </c:pt>
                <c:pt idx="2">
                  <c:v>1096</c:v>
                </c:pt>
                <c:pt idx="3">
                  <c:v>676</c:v>
                </c:pt>
                <c:pt idx="4">
                  <c:v>617</c:v>
                </c:pt>
              </c:numCache>
            </c:numRef>
          </c:val>
          <c:smooth val="0"/>
          <c:extLst>
            <c:ext xmlns:c16="http://schemas.microsoft.com/office/drawing/2014/chart" uri="{C3380CC4-5D6E-409C-BE32-E72D297353CC}">
              <c16:uniqueId val="{00000002-4D13-4270-A6C9-4FD329E0EF54}"/>
            </c:ext>
          </c:extLst>
        </c:ser>
        <c:ser>
          <c:idx val="3"/>
          <c:order val="3"/>
          <c:tx>
            <c:strRef>
              <c:f>Data!$B$22</c:f>
              <c:strCache>
                <c:ptCount val="1"/>
                <c:pt idx="0">
                  <c:v> $30,001–$40,000 </c:v>
                </c:pt>
              </c:strCache>
            </c:strRef>
          </c:tx>
          <c:spPr>
            <a:ln w="38100" cap="rnd">
              <a:solidFill>
                <a:schemeClr val="accent4"/>
              </a:solidFill>
              <a:round/>
            </a:ln>
            <a:effectLst/>
          </c:spPr>
          <c:marker>
            <c:symbol val="none"/>
          </c:marker>
          <c:cat>
            <c:strRef>
              <c:f>Data!$C$18:$G$18</c:f>
              <c:strCache>
                <c:ptCount val="5"/>
                <c:pt idx="0">
                  <c:v>FY2017–18</c:v>
                </c:pt>
                <c:pt idx="1">
                  <c:v>FY2018–19</c:v>
                </c:pt>
                <c:pt idx="2">
                  <c:v>FY2019–20</c:v>
                </c:pt>
                <c:pt idx="3">
                  <c:v>FY2020–21</c:v>
                </c:pt>
                <c:pt idx="4">
                  <c:v>FY2021–22</c:v>
                </c:pt>
              </c:strCache>
            </c:strRef>
          </c:cat>
          <c:val>
            <c:numRef>
              <c:f>Data!$C$22:$G$22</c:f>
              <c:numCache>
                <c:formatCode>_-* #,##0_-;\-* #,##0_-;_-* "-"??_-;_-@_-</c:formatCode>
                <c:ptCount val="5"/>
                <c:pt idx="0">
                  <c:v>1491</c:v>
                </c:pt>
                <c:pt idx="1">
                  <c:v>1286</c:v>
                </c:pt>
                <c:pt idx="2">
                  <c:v>1051</c:v>
                </c:pt>
                <c:pt idx="3">
                  <c:v>576</c:v>
                </c:pt>
                <c:pt idx="4">
                  <c:v>541</c:v>
                </c:pt>
              </c:numCache>
            </c:numRef>
          </c:val>
          <c:smooth val="0"/>
          <c:extLst>
            <c:ext xmlns:c16="http://schemas.microsoft.com/office/drawing/2014/chart" uri="{C3380CC4-5D6E-409C-BE32-E72D297353CC}">
              <c16:uniqueId val="{00000003-4D13-4270-A6C9-4FD329E0EF54}"/>
            </c:ext>
          </c:extLst>
        </c:ser>
        <c:ser>
          <c:idx val="4"/>
          <c:order val="4"/>
          <c:tx>
            <c:strRef>
              <c:f>Data!$B$23</c:f>
              <c:strCache>
                <c:ptCount val="1"/>
                <c:pt idx="0">
                  <c:v> $40,001–$50,000 </c:v>
                </c:pt>
              </c:strCache>
            </c:strRef>
          </c:tx>
          <c:spPr>
            <a:ln w="38100" cap="rnd">
              <a:solidFill>
                <a:schemeClr val="accent5"/>
              </a:solidFill>
              <a:round/>
            </a:ln>
            <a:effectLst/>
          </c:spPr>
          <c:marker>
            <c:symbol val="none"/>
          </c:marker>
          <c:cat>
            <c:strRef>
              <c:f>Data!$C$18:$G$18</c:f>
              <c:strCache>
                <c:ptCount val="5"/>
                <c:pt idx="0">
                  <c:v>FY2017–18</c:v>
                </c:pt>
                <c:pt idx="1">
                  <c:v>FY2018–19</c:v>
                </c:pt>
                <c:pt idx="2">
                  <c:v>FY2019–20</c:v>
                </c:pt>
                <c:pt idx="3">
                  <c:v>FY2020–21</c:v>
                </c:pt>
                <c:pt idx="4">
                  <c:v>FY2021–22</c:v>
                </c:pt>
              </c:strCache>
            </c:strRef>
          </c:cat>
          <c:val>
            <c:numRef>
              <c:f>Data!$C$23:$G$23</c:f>
              <c:numCache>
                <c:formatCode>_-* #,##0_-;\-* #,##0_-;_-* "-"??_-;_-@_-</c:formatCode>
                <c:ptCount val="5"/>
                <c:pt idx="0">
                  <c:v>1337</c:v>
                </c:pt>
                <c:pt idx="1">
                  <c:v>1170</c:v>
                </c:pt>
                <c:pt idx="2">
                  <c:v>925</c:v>
                </c:pt>
                <c:pt idx="3">
                  <c:v>488</c:v>
                </c:pt>
                <c:pt idx="4">
                  <c:v>424</c:v>
                </c:pt>
              </c:numCache>
            </c:numRef>
          </c:val>
          <c:smooth val="0"/>
          <c:extLst>
            <c:ext xmlns:c16="http://schemas.microsoft.com/office/drawing/2014/chart" uri="{C3380CC4-5D6E-409C-BE32-E72D297353CC}">
              <c16:uniqueId val="{00000004-4D13-4270-A6C9-4FD329E0EF54}"/>
            </c:ext>
          </c:extLst>
        </c:ser>
        <c:dLbls>
          <c:showLegendKey val="0"/>
          <c:showVal val="0"/>
          <c:showCatName val="0"/>
          <c:showSerName val="0"/>
          <c:showPercent val="0"/>
          <c:showBubbleSize val="0"/>
        </c:dLbls>
        <c:smooth val="0"/>
        <c:axId val="1371613616"/>
        <c:axId val="527540080"/>
      </c:lineChart>
      <c:catAx>
        <c:axId val="137161361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AU"/>
                  <a:t>Bankruptcies</a:t>
                </a:r>
              </a:p>
            </c:rich>
          </c:tx>
          <c:layout>
            <c:manualLayout>
              <c:xMode val="edge"/>
              <c:yMode val="edge"/>
              <c:x val="1.2698410582275452E-2"/>
              <c:y val="0.16435287255759701"/>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27540080"/>
        <c:crosses val="autoZero"/>
        <c:auto val="1"/>
        <c:lblAlgn val="ctr"/>
        <c:lblOffset val="100"/>
        <c:noMultiLvlLbl val="0"/>
      </c:catAx>
      <c:valAx>
        <c:axId val="52754008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AU"/>
                  <a:t>Financial year</a:t>
                </a:r>
              </a:p>
            </c:rich>
          </c:tx>
          <c:layout>
            <c:manualLayout>
              <c:xMode val="edge"/>
              <c:yMode val="edge"/>
              <c:x val="0.80758525057946895"/>
              <c:y val="0.8770760233918129"/>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6136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837C6-BCD9-463F-B31F-F8BAD487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5220</Words>
  <Characters>29754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2024-06-03T05:24:00Z</dcterms:created>
  <dcterms:modified xsi:type="dcterms:W3CDTF">2024-06-03T05:39:00Z</dcterms:modified>
</cp:coreProperties>
</file>