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D941" w14:textId="77777777" w:rsidR="00394664" w:rsidRDefault="00BF004D" w:rsidP="00C96DAE">
      <w:pPr>
        <w:spacing w:after="120"/>
        <w:ind w:left="-851"/>
        <w:sectPr w:rsidR="00394664" w:rsidSect="00C279C1">
          <w:headerReference w:type="default" r:id="rId8"/>
          <w:footerReference w:type="default" r:id="rId9"/>
          <w:pgSz w:w="12240" w:h="15840"/>
          <w:pgMar w:top="142" w:right="964" w:bottom="964" w:left="964" w:header="142" w:footer="311" w:gutter="0"/>
          <w:cols w:space="708"/>
          <w:docGrid w:linePitch="360"/>
        </w:sectPr>
      </w:pPr>
      <w:r>
        <w:rPr>
          <w:noProof/>
          <w:lang w:eastAsia="en-AU"/>
        </w:rPr>
        <w:drawing>
          <wp:inline distT="0" distB="0" distL="0" distR="0" wp14:anchorId="5BD4AB71" wp14:editId="08C1E5CC">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5C5A602A" w14:textId="495D8971" w:rsidR="00151A0A" w:rsidRPr="00852B60" w:rsidRDefault="002C4DD7" w:rsidP="00C96DAE">
      <w:pPr>
        <w:spacing w:after="120"/>
        <w:jc w:val="right"/>
      </w:pPr>
      <w:r w:rsidRPr="002C4DD7">
        <w:t>February</w:t>
      </w:r>
      <w:r w:rsidR="00392E6C" w:rsidRPr="002C4DD7">
        <w:t xml:space="preserve"> </w:t>
      </w:r>
      <w:r w:rsidR="009654B6" w:rsidRPr="002C4DD7">
        <w:t>202</w:t>
      </w:r>
      <w:r w:rsidR="00392E6C" w:rsidRPr="002C4DD7">
        <w:t>3</w:t>
      </w:r>
    </w:p>
    <w:p w14:paraId="12280506" w14:textId="5345185E" w:rsidR="00151A0A" w:rsidRPr="00852B60" w:rsidRDefault="009B0412" w:rsidP="00DA004E">
      <w:pPr>
        <w:pStyle w:val="Heading1"/>
        <w:spacing w:beforeLines="100" w:before="240" w:after="120" w:line="276" w:lineRule="auto"/>
        <w:jc w:val="center"/>
      </w:pPr>
      <w:r>
        <w:t>Review of sunsetting i</w:t>
      </w:r>
      <w:r w:rsidR="006E6D94">
        <w:t>nstruments</w:t>
      </w:r>
      <w:r w:rsidR="009654B6">
        <w:t xml:space="preserve"> under the </w:t>
      </w:r>
      <w:r w:rsidR="009654B6" w:rsidRPr="009654B6">
        <w:rPr>
          <w:i/>
        </w:rPr>
        <w:t xml:space="preserve">Native Title Act 1993 </w:t>
      </w:r>
      <w:r w:rsidR="009654B6" w:rsidRPr="00BA72A6">
        <w:t>(</w:t>
      </w:r>
      <w:proofErr w:type="spellStart"/>
      <w:r w:rsidR="009654B6" w:rsidRPr="00BA72A6">
        <w:t>Cth</w:t>
      </w:r>
      <w:proofErr w:type="spellEnd"/>
      <w:r w:rsidR="009654B6" w:rsidRPr="00BA72A6">
        <w:t>)</w:t>
      </w:r>
      <w:r w:rsidR="002A2EE8">
        <w:t xml:space="preserve"> </w:t>
      </w:r>
      <w:r w:rsidR="00D4207C">
        <w:t>-</w:t>
      </w:r>
      <w:r w:rsidR="002A2EE8">
        <w:t xml:space="preserve"> Reform </w:t>
      </w:r>
      <w:r w:rsidR="002D72BA">
        <w:t>o</w:t>
      </w:r>
      <w:r w:rsidR="002A2EE8">
        <w:t>ptions</w:t>
      </w:r>
    </w:p>
    <w:p w14:paraId="3B79D5A8" w14:textId="77777777" w:rsidR="003D1DCE" w:rsidRDefault="003D1DCE" w:rsidP="003D1DCE">
      <w:pPr>
        <w:spacing w:after="0" w:line="240" w:lineRule="auto"/>
        <w:jc w:val="center"/>
        <w:rPr>
          <w:i/>
        </w:rPr>
      </w:pPr>
    </w:p>
    <w:p w14:paraId="05173F8E" w14:textId="65BFCA86" w:rsidR="003D1DCE" w:rsidRDefault="003D1DCE" w:rsidP="003D1DCE">
      <w:pPr>
        <w:spacing w:after="0" w:line="240" w:lineRule="auto"/>
        <w:jc w:val="center"/>
        <w:rPr>
          <w:b/>
        </w:rPr>
      </w:pPr>
    </w:p>
    <w:tbl>
      <w:tblPr>
        <w:tblStyle w:val="TableGrid"/>
        <w:tblW w:w="0" w:type="auto"/>
        <w:tblLook w:val="04A0" w:firstRow="1" w:lastRow="0" w:firstColumn="1" w:lastColumn="0" w:noHBand="0" w:noVBand="1"/>
      </w:tblPr>
      <w:tblGrid>
        <w:gridCol w:w="10302"/>
      </w:tblGrid>
      <w:tr w:rsidR="003D1DCE" w14:paraId="54D68E0A" w14:textId="77777777" w:rsidTr="003D1DCE">
        <w:tc>
          <w:tcPr>
            <w:tcW w:w="10302" w:type="dxa"/>
          </w:tcPr>
          <w:p w14:paraId="6CB4B35F" w14:textId="77777777" w:rsidR="00D4207C" w:rsidRDefault="00D4207C" w:rsidP="003D1DCE">
            <w:pPr>
              <w:spacing w:after="0" w:line="240" w:lineRule="auto"/>
              <w:jc w:val="center"/>
              <w:rPr>
                <w:i/>
              </w:rPr>
            </w:pPr>
          </w:p>
          <w:p w14:paraId="4C2AEA2D" w14:textId="77777777" w:rsidR="003D1DCE" w:rsidRDefault="003D1DCE" w:rsidP="003D1DCE">
            <w:pPr>
              <w:spacing w:after="0" w:line="240" w:lineRule="auto"/>
              <w:jc w:val="center"/>
              <w:rPr>
                <w:i/>
                <w:iCs/>
              </w:rPr>
            </w:pPr>
            <w:r>
              <w:rPr>
                <w:i/>
              </w:rPr>
              <w:t xml:space="preserve">The Attorney-General’s Department </w:t>
            </w:r>
            <w:r>
              <w:rPr>
                <w:i/>
                <w:iCs/>
              </w:rPr>
              <w:t xml:space="preserve">acknowledges the traditional owners and custodians of country throughout Australia and their continuing connection to land, waters and community. We pay our respects to the people, the cultures and the elders past and present. </w:t>
            </w:r>
          </w:p>
          <w:p w14:paraId="3D648888" w14:textId="6B523793" w:rsidR="00D4207C" w:rsidRPr="003D1DCE" w:rsidRDefault="00D4207C" w:rsidP="003D1DCE">
            <w:pPr>
              <w:spacing w:after="0" w:line="240" w:lineRule="auto"/>
              <w:jc w:val="center"/>
              <w:rPr>
                <w:b/>
              </w:rPr>
            </w:pPr>
          </w:p>
        </w:tc>
      </w:tr>
    </w:tbl>
    <w:p w14:paraId="245581E3" w14:textId="2BC259C9" w:rsidR="00151A0A" w:rsidRPr="00852B60" w:rsidRDefault="002A2EE8" w:rsidP="00C96DAE">
      <w:pPr>
        <w:pStyle w:val="Heading2"/>
        <w:spacing w:before="0" w:after="120" w:line="276" w:lineRule="auto"/>
      </w:pPr>
      <w:r>
        <w:t>Background</w:t>
      </w:r>
    </w:p>
    <w:p w14:paraId="513F8CE3" w14:textId="2109B4D7" w:rsidR="009654B6" w:rsidRDefault="001F1854" w:rsidP="00C96DAE">
      <w:pPr>
        <w:spacing w:after="120"/>
      </w:pPr>
      <w:r>
        <w:t xml:space="preserve">The Attorney-General's Department </w:t>
      </w:r>
      <w:r w:rsidR="00B708DE">
        <w:t xml:space="preserve">(the department) </w:t>
      </w:r>
      <w:r>
        <w:t xml:space="preserve">is conducting a review of 4 legislative instruments </w:t>
      </w:r>
      <w:r w:rsidR="00526D6B">
        <w:t xml:space="preserve">(the </w:t>
      </w:r>
      <w:r w:rsidR="006E6D94">
        <w:t>Instruments</w:t>
      </w:r>
      <w:r w:rsidR="00526D6B">
        <w:t xml:space="preserve">) </w:t>
      </w:r>
      <w:r>
        <w:t xml:space="preserve">made under the </w:t>
      </w:r>
      <w:r w:rsidRPr="001F1854">
        <w:rPr>
          <w:i/>
        </w:rPr>
        <w:t>Native Title Act 1993</w:t>
      </w:r>
      <w:r>
        <w:t xml:space="preserve"> (</w:t>
      </w:r>
      <w:proofErr w:type="spellStart"/>
      <w:r>
        <w:t>Cth</w:t>
      </w:r>
      <w:proofErr w:type="spellEnd"/>
      <w:r>
        <w:t>) (</w:t>
      </w:r>
      <w:r w:rsidR="00F47929">
        <w:t>the NT Act</w:t>
      </w:r>
      <w:r>
        <w:t>), which are due to sunset on 1</w:t>
      </w:r>
      <w:r w:rsidR="006754EB">
        <w:t> </w:t>
      </w:r>
      <w:r>
        <w:t>October</w:t>
      </w:r>
      <w:r w:rsidR="006754EB">
        <w:t> </w:t>
      </w:r>
      <w:r>
        <w:t xml:space="preserve">2023. These </w:t>
      </w:r>
      <w:r w:rsidR="006E6D94">
        <w:t>Instruments</w:t>
      </w:r>
      <w:r w:rsidR="008B5820">
        <w:t xml:space="preserve"> are:</w:t>
      </w:r>
    </w:p>
    <w:p w14:paraId="0E0CAFD1" w14:textId="4DB00CF8" w:rsidR="001F1854" w:rsidRDefault="001F1854" w:rsidP="00C96DAE">
      <w:pPr>
        <w:pStyle w:val="ListParagraph"/>
        <w:numPr>
          <w:ilvl w:val="0"/>
          <w:numId w:val="26"/>
        </w:numPr>
        <w:spacing w:after="120"/>
        <w:contextualSpacing w:val="0"/>
      </w:pPr>
      <w:r w:rsidRPr="001560F1">
        <w:rPr>
          <w:i/>
        </w:rPr>
        <w:t>Native Title (Federal Court) Regulations 1998</w:t>
      </w:r>
      <w:r>
        <w:t xml:space="preserve"> </w:t>
      </w:r>
    </w:p>
    <w:p w14:paraId="17C1A61E" w14:textId="53B832F2" w:rsidR="001F1854" w:rsidRDefault="001F1854" w:rsidP="00C96DAE">
      <w:pPr>
        <w:pStyle w:val="ListParagraph"/>
        <w:numPr>
          <w:ilvl w:val="0"/>
          <w:numId w:val="26"/>
        </w:numPr>
        <w:spacing w:after="120"/>
        <w:contextualSpacing w:val="0"/>
      </w:pPr>
      <w:r w:rsidRPr="001560F1">
        <w:rPr>
          <w:i/>
        </w:rPr>
        <w:t>Native Title (Tribunal) Regulations 1993</w:t>
      </w:r>
      <w:r w:rsidR="001B37C9">
        <w:t xml:space="preserve"> </w:t>
      </w:r>
    </w:p>
    <w:p w14:paraId="7B0E816B" w14:textId="5C874E0C" w:rsidR="001F1854" w:rsidRDefault="001F1854" w:rsidP="00C96DAE">
      <w:pPr>
        <w:pStyle w:val="ListParagraph"/>
        <w:numPr>
          <w:ilvl w:val="0"/>
          <w:numId w:val="26"/>
        </w:numPr>
        <w:spacing w:after="120"/>
        <w:contextualSpacing w:val="0"/>
      </w:pPr>
      <w:r w:rsidRPr="001560F1">
        <w:rPr>
          <w:i/>
        </w:rPr>
        <w:t>Native Title (Indigenous Land Use Agreements) Regulations 1999</w:t>
      </w:r>
      <w:r w:rsidR="001B37C9">
        <w:t xml:space="preserve"> </w:t>
      </w:r>
    </w:p>
    <w:p w14:paraId="468BC134" w14:textId="591F1F39" w:rsidR="003E0B0E" w:rsidRDefault="001B37C9" w:rsidP="00C96DAE">
      <w:pPr>
        <w:pStyle w:val="ListParagraph"/>
        <w:numPr>
          <w:ilvl w:val="0"/>
          <w:numId w:val="26"/>
        </w:numPr>
        <w:spacing w:after="120"/>
        <w:contextualSpacing w:val="0"/>
      </w:pPr>
      <w:r w:rsidRPr="001560F1">
        <w:rPr>
          <w:i/>
        </w:rPr>
        <w:t>Native Title (Notices) Determination 2011 (No.1)</w:t>
      </w:r>
      <w:r>
        <w:t xml:space="preserve"> </w:t>
      </w:r>
    </w:p>
    <w:p w14:paraId="4319A33F" w14:textId="33925BA8" w:rsidR="002D72BA" w:rsidRDefault="00292149" w:rsidP="00C96DAE">
      <w:pPr>
        <w:spacing w:after="120"/>
      </w:pPr>
      <w:r>
        <w:t>The I</w:t>
      </w:r>
      <w:r w:rsidR="00C847A5">
        <w:t xml:space="preserve">nstruments support native title application and agreement-making mechanisms through prescribing Court and Tribunal forms and fees, as well as prescribing procedural and notice requirements for applications. </w:t>
      </w:r>
      <w:r w:rsidR="00090A52">
        <w:t>In doing so, t</w:t>
      </w:r>
      <w:r w:rsidR="003E0B0E">
        <w:t xml:space="preserve">he Instruments </w:t>
      </w:r>
      <w:r w:rsidR="00090A52">
        <w:t>provide an</w:t>
      </w:r>
      <w:r w:rsidR="003E0B0E">
        <w:t xml:space="preserve"> interface between native title </w:t>
      </w:r>
      <w:r w:rsidR="00650AD1">
        <w:t>A</w:t>
      </w:r>
      <w:r w:rsidR="003E0B0E">
        <w:t>pplicants/ holders and the native title system. For the native title system to continue to operate</w:t>
      </w:r>
      <w:r w:rsidR="00B708DE">
        <w:t xml:space="preserve"> effectively</w:t>
      </w:r>
      <w:r w:rsidR="003E0B0E">
        <w:t xml:space="preserve">, the Instruments cannot be allowed to sunset and </w:t>
      </w:r>
      <w:r w:rsidR="00B708DE">
        <w:t>must</w:t>
      </w:r>
      <w:r w:rsidR="003E0B0E">
        <w:t xml:space="preserve"> be remade, with or without amendments. </w:t>
      </w:r>
      <w:r w:rsidR="00AE2D12">
        <w:t xml:space="preserve">Further details about the </w:t>
      </w:r>
      <w:r w:rsidR="006E6D94">
        <w:t>Instruments</w:t>
      </w:r>
      <w:r w:rsidR="00AE2D12">
        <w:t xml:space="preserve"> is at </w:t>
      </w:r>
      <w:r w:rsidR="00AE2D12" w:rsidRPr="002D72BA">
        <w:rPr>
          <w:b/>
        </w:rPr>
        <w:t>Attachment A</w:t>
      </w:r>
      <w:r w:rsidR="00AE2D12">
        <w:t>.</w:t>
      </w:r>
    </w:p>
    <w:p w14:paraId="09D5B531" w14:textId="77777777" w:rsidR="0035600B" w:rsidRDefault="0035600B" w:rsidP="00C96DAE">
      <w:pPr>
        <w:pStyle w:val="Heading2"/>
        <w:spacing w:before="0" w:after="120" w:line="276" w:lineRule="auto"/>
        <w:sectPr w:rsidR="0035600B" w:rsidSect="00151A0A">
          <w:footerReference w:type="default" r:id="rId11"/>
          <w:type w:val="continuous"/>
          <w:pgSz w:w="12240" w:h="15840"/>
          <w:pgMar w:top="532" w:right="964" w:bottom="964" w:left="964" w:header="142" w:footer="709" w:gutter="0"/>
          <w:cols w:space="708"/>
          <w:docGrid w:linePitch="360"/>
        </w:sectPr>
      </w:pPr>
    </w:p>
    <w:p w14:paraId="0F0D2064" w14:textId="21E28359" w:rsidR="008F4223" w:rsidRDefault="00476038" w:rsidP="0091786E">
      <w:pPr>
        <w:pStyle w:val="Heading2"/>
        <w:spacing w:before="0" w:after="120" w:line="276" w:lineRule="auto"/>
      </w:pPr>
      <w:r>
        <w:lastRenderedPageBreak/>
        <w:t xml:space="preserve">Purpose </w:t>
      </w:r>
      <w:r w:rsidR="00974E42">
        <w:t xml:space="preserve">and scope </w:t>
      </w:r>
      <w:r>
        <w:t>of the review</w:t>
      </w:r>
    </w:p>
    <w:p w14:paraId="05EDCC64" w14:textId="2D128932" w:rsidR="000C61F2" w:rsidRDefault="00CB68B9" w:rsidP="00C96DAE">
      <w:pPr>
        <w:spacing w:after="120"/>
      </w:pPr>
      <w:r>
        <w:t xml:space="preserve">The review will assess whether the </w:t>
      </w:r>
      <w:r w:rsidR="006E6D94">
        <w:t>Instruments</w:t>
      </w:r>
      <w:r>
        <w:t xml:space="preserve"> continue to be fit-for-purpose</w:t>
      </w:r>
      <w:r w:rsidR="006F4B91">
        <w:t>, and</w:t>
      </w:r>
      <w:r w:rsidR="00830422">
        <w:t xml:space="preserve"> examine options</w:t>
      </w:r>
      <w:r w:rsidR="008B5820">
        <w:t xml:space="preserve"> to improve and streamline processes for stakeholders</w:t>
      </w:r>
      <w:r w:rsidR="006F4B91">
        <w:t xml:space="preserve">. </w:t>
      </w:r>
      <w:r w:rsidR="000A772C" w:rsidRPr="0091786E">
        <w:t xml:space="preserve">The review will </w:t>
      </w:r>
      <w:r w:rsidR="0053137A" w:rsidRPr="0091786E">
        <w:t xml:space="preserve">also </w:t>
      </w:r>
      <w:r w:rsidR="000A271C" w:rsidRPr="0091786E">
        <w:t>consider</w:t>
      </w:r>
      <w:r w:rsidR="007704E3" w:rsidRPr="0091786E">
        <w:t xml:space="preserve"> </w:t>
      </w:r>
      <w:r w:rsidR="000A271C" w:rsidRPr="0091786E">
        <w:t>whether</w:t>
      </w:r>
      <w:r w:rsidR="0053137A" w:rsidRPr="0091786E">
        <w:t xml:space="preserve"> </w:t>
      </w:r>
      <w:r w:rsidR="000A271C" w:rsidRPr="0091786E">
        <w:t>amendments</w:t>
      </w:r>
      <w:r w:rsidR="000A772C" w:rsidRPr="0091786E">
        <w:t xml:space="preserve"> to </w:t>
      </w:r>
      <w:r w:rsidR="00F47929" w:rsidRPr="0091786E">
        <w:t>the NT Act</w:t>
      </w:r>
      <w:r w:rsidR="000A772C" w:rsidRPr="0091786E">
        <w:t xml:space="preserve"> </w:t>
      </w:r>
      <w:r w:rsidR="00942ACC" w:rsidRPr="0091786E">
        <w:t xml:space="preserve">are required to implement </w:t>
      </w:r>
      <w:r w:rsidR="001B13CC" w:rsidRPr="0091786E">
        <w:t xml:space="preserve">further </w:t>
      </w:r>
      <w:r w:rsidR="00942ACC" w:rsidRPr="0091786E">
        <w:t xml:space="preserve">amendments to the </w:t>
      </w:r>
      <w:r w:rsidR="0091786E">
        <w:t>I</w:t>
      </w:r>
      <w:r w:rsidR="00942ACC" w:rsidRPr="0091786E">
        <w:t>nstruments</w:t>
      </w:r>
      <w:r w:rsidR="0091786E">
        <w:t>.</w:t>
      </w:r>
      <w:r w:rsidR="0053137A">
        <w:t xml:space="preserve"> </w:t>
      </w:r>
      <w:r w:rsidR="000A772C" w:rsidRPr="0091786E">
        <w:t>Th</w:t>
      </w:r>
      <w:r w:rsidR="005A11B4" w:rsidRPr="0091786E">
        <w:t>is</w:t>
      </w:r>
      <w:r w:rsidR="000A772C">
        <w:t xml:space="preserve"> review </w:t>
      </w:r>
      <w:r w:rsidR="00F83E76" w:rsidRPr="0091786E">
        <w:t>will</w:t>
      </w:r>
      <w:r w:rsidR="00F83E76">
        <w:t xml:space="preserve"> </w:t>
      </w:r>
      <w:r w:rsidR="000A772C">
        <w:t>not examine options for</w:t>
      </w:r>
      <w:r w:rsidR="000A271C">
        <w:t xml:space="preserve"> broader</w:t>
      </w:r>
      <w:r w:rsidR="000A772C">
        <w:t xml:space="preserve"> reform of </w:t>
      </w:r>
      <w:r w:rsidR="00F47929">
        <w:t>the NT Act</w:t>
      </w:r>
      <w:r w:rsidR="000A271C">
        <w:t>.</w:t>
      </w:r>
      <w:r w:rsidR="000C61F2" w:rsidRPr="000C61F2">
        <w:t xml:space="preserve"> </w:t>
      </w:r>
    </w:p>
    <w:p w14:paraId="59CC8C13" w14:textId="45E2F4C1" w:rsidR="000C61F2" w:rsidRDefault="000C61F2" w:rsidP="00C96DAE">
      <w:pPr>
        <w:spacing w:after="120"/>
      </w:pPr>
      <w:r>
        <w:t>In early 2022, the department sought preliminary views from native title stakeholders on whether the Instruments remain fit-for-purpose, and sought views on possible amendments to better support the efficient operation of the native title system. In October 2022, a</w:t>
      </w:r>
      <w:r w:rsidR="00086778">
        <w:t xml:space="preserve"> </w:t>
      </w:r>
      <w:r>
        <w:t>n</w:t>
      </w:r>
      <w:r w:rsidR="00086778">
        <w:t>ative title</w:t>
      </w:r>
      <w:r>
        <w:t xml:space="preserve"> Expert Technical Advisory Group (ETAG) was convened to provide advice for the department to consider in progressing the review. The ETAG is comprised of representatives from across the native title system, including from the </w:t>
      </w:r>
      <w:r w:rsidR="005A09C8">
        <w:t>Federal Court of Australia</w:t>
      </w:r>
      <w:r w:rsidR="00C05E2C">
        <w:t xml:space="preserve">, Minerals Council of Australia, National Farmers’ Federation, National Indigenous Australians Agency, </w:t>
      </w:r>
      <w:r>
        <w:t xml:space="preserve">National Native Title Council and its members, National Native Title Tribunal, </w:t>
      </w:r>
      <w:r w:rsidR="00C05E2C">
        <w:t xml:space="preserve">and </w:t>
      </w:r>
      <w:r>
        <w:t xml:space="preserve">state and territory government. </w:t>
      </w:r>
    </w:p>
    <w:p w14:paraId="1D36C5B4" w14:textId="6163C2D4" w:rsidR="002D72BA" w:rsidRDefault="000C61F2" w:rsidP="00C96DAE">
      <w:pPr>
        <w:spacing w:after="120"/>
      </w:pPr>
      <w:r>
        <w:t xml:space="preserve">The proposed options to reform the Instruments outlined in this paper are informed by preliminary feedback from stakeholders as well as the ETAG.  </w:t>
      </w:r>
    </w:p>
    <w:p w14:paraId="5EEA9481" w14:textId="25E8E7B4" w:rsidR="005D3FFC" w:rsidRDefault="000A271C" w:rsidP="00C96DAE">
      <w:pPr>
        <w:spacing w:after="120"/>
      </w:pPr>
      <w:r>
        <w:t>T</w:t>
      </w:r>
      <w:r w:rsidR="001C2C59" w:rsidRPr="00D749B9">
        <w:t xml:space="preserve">his paper seeks views on a range of options </w:t>
      </w:r>
      <w:r w:rsidR="008246E9">
        <w:t xml:space="preserve">proposed by native title stakeholders </w:t>
      </w:r>
      <w:r w:rsidR="00B708DE">
        <w:t xml:space="preserve">and the ETAG </w:t>
      </w:r>
      <w:r w:rsidR="001C2C59" w:rsidRPr="00D749B9">
        <w:t xml:space="preserve">to amend the </w:t>
      </w:r>
      <w:r w:rsidR="006E6D94">
        <w:t>Instruments</w:t>
      </w:r>
      <w:r w:rsidR="005421D5">
        <w:t xml:space="preserve">. </w:t>
      </w:r>
      <w:r w:rsidR="00D749B9" w:rsidRPr="00D749B9">
        <w:t>S</w:t>
      </w:r>
      <w:r w:rsidR="00B708DE">
        <w:t>ubmissions</w:t>
      </w:r>
      <w:r w:rsidR="00D749B9" w:rsidRPr="00D749B9">
        <w:t xml:space="preserve"> on the merits of these proposals – and other measures not canvass</w:t>
      </w:r>
      <w:r w:rsidR="00D749B9">
        <w:t xml:space="preserve">ed by this paper </w:t>
      </w:r>
      <w:r w:rsidR="00974E42">
        <w:t>but within the</w:t>
      </w:r>
      <w:r w:rsidR="000A772C">
        <w:t xml:space="preserve"> </w:t>
      </w:r>
      <w:r w:rsidR="0053137A">
        <w:t>scope of review</w:t>
      </w:r>
      <w:r w:rsidR="00974E42">
        <w:t xml:space="preserve"> </w:t>
      </w:r>
      <w:r w:rsidR="00D749B9">
        <w:t>– are welcomed.</w:t>
      </w:r>
    </w:p>
    <w:p w14:paraId="055A3B36" w14:textId="744A3FE0" w:rsidR="002D72BA" w:rsidRDefault="002D72BA" w:rsidP="00C96DAE">
      <w:pPr>
        <w:pStyle w:val="Heading2"/>
        <w:spacing w:before="0" w:after="120" w:line="276" w:lineRule="auto"/>
      </w:pPr>
      <w:r>
        <w:t>Making a submission</w:t>
      </w:r>
    </w:p>
    <w:p w14:paraId="61246CBA" w14:textId="1AC7C284" w:rsidR="008F71FC" w:rsidRPr="008F71FC" w:rsidRDefault="008F71FC" w:rsidP="008F71FC">
      <w:pPr>
        <w:pStyle w:val="Heading3"/>
        <w:spacing w:after="120" w:line="276" w:lineRule="auto"/>
        <w:rPr>
          <w:b w:val="0"/>
        </w:rPr>
      </w:pPr>
      <w:r>
        <w:rPr>
          <w:b w:val="0"/>
        </w:rPr>
        <w:t>Share your views</w:t>
      </w:r>
    </w:p>
    <w:p w14:paraId="58912895" w14:textId="77777777" w:rsidR="00C85B80" w:rsidRDefault="008F71FC" w:rsidP="00C85B80">
      <w:pPr>
        <w:pStyle w:val="NormalWeb"/>
        <w:spacing w:before="0" w:beforeAutospacing="0" w:after="0" w:afterAutospacing="0" w:line="276" w:lineRule="auto"/>
        <w:rPr>
          <w:rFonts w:asciiTheme="minorHAnsi" w:hAnsiTheme="minorHAnsi" w:cstheme="minorHAnsi"/>
          <w:b/>
          <w:sz w:val="22"/>
          <w:szCs w:val="22"/>
        </w:rPr>
      </w:pPr>
      <w:r w:rsidRPr="008F71FC">
        <w:rPr>
          <w:rFonts w:asciiTheme="minorHAnsi" w:hAnsiTheme="minorHAnsi" w:cstheme="minorHAnsi"/>
          <w:sz w:val="22"/>
          <w:szCs w:val="22"/>
        </w:rPr>
        <w:t xml:space="preserve">The </w:t>
      </w:r>
      <w:r>
        <w:rPr>
          <w:rFonts w:asciiTheme="minorHAnsi" w:hAnsiTheme="minorHAnsi" w:cstheme="minorHAnsi"/>
          <w:sz w:val="22"/>
          <w:szCs w:val="22"/>
        </w:rPr>
        <w:t>Attorney-General’s Department</w:t>
      </w:r>
      <w:r w:rsidRPr="008F71FC">
        <w:rPr>
          <w:rFonts w:asciiTheme="minorHAnsi" w:hAnsiTheme="minorHAnsi" w:cstheme="minorHAnsi"/>
          <w:sz w:val="22"/>
          <w:szCs w:val="22"/>
        </w:rPr>
        <w:t xml:space="preserve"> welcomes stakeholders’ views on issues raised in this discussion paper, and you can share your views through making a submission. </w:t>
      </w:r>
      <w:r w:rsidR="00137CC7">
        <w:rPr>
          <w:rFonts w:asciiTheme="minorHAnsi" w:hAnsiTheme="minorHAnsi" w:cstheme="minorHAnsi"/>
          <w:sz w:val="22"/>
          <w:szCs w:val="22"/>
        </w:rPr>
        <w:t>You can find where to mak</w:t>
      </w:r>
      <w:r w:rsidR="00137CC7" w:rsidRPr="00137CC7">
        <w:rPr>
          <w:rFonts w:asciiTheme="minorHAnsi" w:hAnsiTheme="minorHAnsi" w:cstheme="minorHAnsi"/>
          <w:sz w:val="22"/>
          <w:szCs w:val="22"/>
        </w:rPr>
        <w:t>e s</w:t>
      </w:r>
      <w:r w:rsidRPr="00137CC7">
        <w:rPr>
          <w:rFonts w:asciiTheme="minorHAnsi" w:hAnsiTheme="minorHAnsi" w:cstheme="minorHAnsi"/>
          <w:sz w:val="22"/>
          <w:szCs w:val="22"/>
        </w:rPr>
        <w:t>ubmissions</w:t>
      </w:r>
      <w:r w:rsidRPr="008F71FC">
        <w:rPr>
          <w:rFonts w:asciiTheme="minorHAnsi" w:hAnsiTheme="minorHAnsi" w:cstheme="minorHAnsi"/>
          <w:sz w:val="22"/>
          <w:szCs w:val="22"/>
        </w:rPr>
        <w:t xml:space="preserve"> </w:t>
      </w:r>
      <w:r w:rsidR="000445C7" w:rsidRPr="00137CC7">
        <w:rPr>
          <w:rFonts w:asciiTheme="minorHAnsi" w:hAnsiTheme="minorHAnsi" w:cstheme="minorHAnsi"/>
          <w:sz w:val="22"/>
          <w:szCs w:val="22"/>
        </w:rPr>
        <w:t xml:space="preserve">through the Attorney-General’s Department website </w:t>
      </w:r>
      <w:r w:rsidR="00027C4B">
        <w:rPr>
          <w:rFonts w:asciiTheme="minorHAnsi" w:hAnsiTheme="minorHAnsi" w:cstheme="minorHAnsi"/>
          <w:sz w:val="22"/>
          <w:szCs w:val="22"/>
        </w:rPr>
        <w:t xml:space="preserve">on the consultation hub webpage </w:t>
      </w:r>
      <w:r w:rsidR="000445C7" w:rsidRPr="00137CC7">
        <w:rPr>
          <w:rFonts w:asciiTheme="minorHAnsi" w:hAnsiTheme="minorHAnsi" w:cstheme="minorHAnsi"/>
          <w:sz w:val="22"/>
          <w:szCs w:val="22"/>
        </w:rPr>
        <w:t>using the following link:</w:t>
      </w:r>
      <w:r w:rsidR="00137CC7">
        <w:rPr>
          <w:rFonts w:asciiTheme="minorHAnsi" w:hAnsiTheme="minorHAnsi" w:cstheme="minorHAnsi"/>
          <w:b/>
          <w:sz w:val="22"/>
          <w:szCs w:val="22"/>
        </w:rPr>
        <w:t xml:space="preserve"> </w:t>
      </w:r>
      <w:hyperlink r:id="rId12" w:history="1">
        <w:r w:rsidR="00137CC7" w:rsidRPr="000362F0">
          <w:rPr>
            <w:rStyle w:val="Hyperlink"/>
            <w:rFonts w:asciiTheme="minorHAnsi" w:hAnsiTheme="minorHAnsi" w:cstheme="minorHAnsi"/>
            <w:sz w:val="22"/>
            <w:szCs w:val="22"/>
          </w:rPr>
          <w:t>https://consultations.ag.gov.au/</w:t>
        </w:r>
      </w:hyperlink>
      <w:r w:rsidR="00137CC7">
        <w:rPr>
          <w:rFonts w:asciiTheme="minorHAnsi" w:hAnsiTheme="minorHAnsi" w:cstheme="minorHAnsi"/>
          <w:sz w:val="22"/>
          <w:szCs w:val="22"/>
        </w:rPr>
        <w:t xml:space="preserve">. </w:t>
      </w:r>
      <w:r w:rsidR="000445C7">
        <w:rPr>
          <w:rFonts w:asciiTheme="minorHAnsi" w:hAnsiTheme="minorHAnsi" w:cstheme="minorHAnsi"/>
          <w:b/>
          <w:sz w:val="22"/>
          <w:szCs w:val="22"/>
        </w:rPr>
        <w:t xml:space="preserve"> </w:t>
      </w:r>
    </w:p>
    <w:p w14:paraId="5BD508EA" w14:textId="3C57E915" w:rsidR="00A3595D" w:rsidRPr="00C85B80" w:rsidRDefault="002D72BA" w:rsidP="00C85B80">
      <w:pPr>
        <w:pStyle w:val="NormalWeb"/>
        <w:spacing w:before="240" w:beforeAutospacing="0" w:after="0" w:afterAutospacing="0" w:line="276" w:lineRule="auto"/>
        <w:rPr>
          <w:rFonts w:asciiTheme="minorHAnsi" w:hAnsiTheme="minorHAnsi" w:cstheme="minorHAnsi"/>
          <w:sz w:val="22"/>
          <w:szCs w:val="22"/>
        </w:rPr>
      </w:pPr>
      <w:r w:rsidRPr="00C85B80">
        <w:rPr>
          <w:rFonts w:asciiTheme="minorHAnsi" w:hAnsiTheme="minorHAnsi" w:cstheme="minorHAnsi"/>
          <w:b/>
          <w:sz w:val="22"/>
          <w:szCs w:val="22"/>
        </w:rPr>
        <w:t>Submissions are requested by</w:t>
      </w:r>
      <w:r w:rsidRPr="00C85B80">
        <w:rPr>
          <w:rFonts w:asciiTheme="minorHAnsi" w:hAnsiTheme="minorHAnsi" w:cstheme="minorHAnsi"/>
          <w:sz w:val="22"/>
          <w:szCs w:val="22"/>
        </w:rPr>
        <w:t xml:space="preserve"> </w:t>
      </w:r>
      <w:r w:rsidR="000C080E">
        <w:rPr>
          <w:rFonts w:asciiTheme="minorHAnsi" w:hAnsiTheme="minorHAnsi" w:cstheme="minorHAnsi"/>
          <w:b/>
          <w:sz w:val="22"/>
          <w:szCs w:val="22"/>
        </w:rPr>
        <w:t>3 April</w:t>
      </w:r>
      <w:r w:rsidRPr="00C85B80">
        <w:rPr>
          <w:rFonts w:asciiTheme="minorHAnsi" w:hAnsiTheme="minorHAnsi" w:cstheme="minorHAnsi"/>
          <w:b/>
          <w:sz w:val="22"/>
          <w:szCs w:val="22"/>
        </w:rPr>
        <w:t xml:space="preserve"> 2023</w:t>
      </w:r>
      <w:r w:rsidRPr="00C85B80">
        <w:rPr>
          <w:rFonts w:asciiTheme="minorHAnsi" w:hAnsiTheme="minorHAnsi" w:cstheme="minorHAnsi"/>
          <w:sz w:val="22"/>
          <w:szCs w:val="22"/>
        </w:rPr>
        <w:t>. Please note th</w:t>
      </w:r>
      <w:bookmarkStart w:id="0" w:name="_GoBack"/>
      <w:bookmarkEnd w:id="0"/>
      <w:r w:rsidRPr="00C85B80">
        <w:rPr>
          <w:rFonts w:asciiTheme="minorHAnsi" w:hAnsiTheme="minorHAnsi" w:cstheme="minorHAnsi"/>
          <w:sz w:val="22"/>
          <w:szCs w:val="22"/>
        </w:rPr>
        <w:t>at submissions may be made publicly available and will generally be subject to freedom of information provisions. Please indicate if you wish your submission to be confidential.</w:t>
      </w:r>
    </w:p>
    <w:p w14:paraId="29221816" w14:textId="77777777" w:rsidR="000445C7" w:rsidRPr="00F154EB" w:rsidRDefault="000445C7" w:rsidP="000445C7">
      <w:pPr>
        <w:pStyle w:val="Heading2"/>
        <w:jc w:val="both"/>
      </w:pPr>
      <w:bookmarkStart w:id="1" w:name="_Toc119343336"/>
      <w:bookmarkStart w:id="2" w:name="_Toc119418495"/>
      <w:bookmarkStart w:id="3" w:name="_Toc119673085"/>
      <w:bookmarkStart w:id="4" w:name="_Toc124939923"/>
      <w:r w:rsidRPr="00F154EB">
        <w:t>Additional consultation channels</w:t>
      </w:r>
      <w:bookmarkEnd w:id="1"/>
      <w:bookmarkEnd w:id="2"/>
      <w:bookmarkEnd w:id="3"/>
    </w:p>
    <w:p w14:paraId="1C02BDEA" w14:textId="77777777" w:rsidR="000445C7" w:rsidRPr="00F154EB" w:rsidRDefault="000445C7" w:rsidP="000445C7">
      <w:r w:rsidRPr="00F154EB">
        <w:t xml:space="preserve">If you would like to discuss your feedback in person or via a video or phone call, please contact </w:t>
      </w:r>
      <w:hyperlink r:id="rId13" w:history="1">
        <w:r w:rsidRPr="001560F1">
          <w:rPr>
            <w:rStyle w:val="Hyperlink"/>
            <w:rFonts w:asciiTheme="minorHAnsi" w:hAnsiTheme="minorHAnsi" w:cstheme="minorHAnsi"/>
          </w:rPr>
          <w:t>native.title@ag.gov.au</w:t>
        </w:r>
      </w:hyperlink>
      <w:r w:rsidRPr="00F154EB">
        <w:t xml:space="preserve">. </w:t>
      </w:r>
    </w:p>
    <w:p w14:paraId="185BBE84" w14:textId="22F95123" w:rsidR="000445C7" w:rsidRDefault="000445C7" w:rsidP="000445C7">
      <w:pPr>
        <w:rPr>
          <w:rFonts w:eastAsia="SimSun" w:cs="Angsana New"/>
          <w:bCs/>
          <w:color w:val="404040"/>
          <w:sz w:val="32"/>
          <w:szCs w:val="32"/>
        </w:rPr>
      </w:pPr>
      <w:r w:rsidRPr="00F154EB">
        <w:t xml:space="preserve">During the consultation period, the Attorney-General’s Department </w:t>
      </w:r>
      <w:r>
        <w:t>may conduct</w:t>
      </w:r>
      <w:r w:rsidRPr="00F154EB">
        <w:t xml:space="preserve"> targeted in</w:t>
      </w:r>
      <w:r w:rsidRPr="00F154EB">
        <w:noBreakHyphen/>
        <w:t>person and online consultation sessions</w:t>
      </w:r>
      <w:r>
        <w:t xml:space="preserve"> on particular aspects of the review as required</w:t>
      </w:r>
      <w:r w:rsidRPr="00F154EB">
        <w:t xml:space="preserve">. </w:t>
      </w:r>
      <w:r>
        <w:rPr>
          <w:b/>
        </w:rPr>
        <w:br w:type="page"/>
      </w:r>
    </w:p>
    <w:p w14:paraId="33B92335" w14:textId="3B65B967" w:rsidR="00A3595D" w:rsidRDefault="00A3595D" w:rsidP="00A3595D">
      <w:pPr>
        <w:pStyle w:val="Heading3"/>
        <w:spacing w:after="120" w:line="276" w:lineRule="auto"/>
        <w:rPr>
          <w:b w:val="0"/>
        </w:rPr>
      </w:pPr>
      <w:r>
        <w:rPr>
          <w:b w:val="0"/>
        </w:rPr>
        <w:lastRenderedPageBreak/>
        <w:t>Privacy</w:t>
      </w:r>
      <w:bookmarkEnd w:id="4"/>
      <w:r>
        <w:rPr>
          <w:b w:val="0"/>
        </w:rPr>
        <w:t xml:space="preserve"> </w:t>
      </w:r>
    </w:p>
    <w:p w14:paraId="60886C83" w14:textId="77777777" w:rsidR="00A3595D" w:rsidRDefault="00A3595D" w:rsidP="00A3595D">
      <w:pPr>
        <w:spacing w:after="120"/>
      </w:pPr>
      <w:r>
        <w:t>The Attorney-General’s Department is collecting your personal information in this consultation process for the purpose of reviewing and considering amendments to the Instruments. For the same purpose, we may provide this information to relevant Ministers and government agencies (including contractors).</w:t>
      </w:r>
    </w:p>
    <w:p w14:paraId="6CB7C9A2" w14:textId="77777777" w:rsidR="00A3595D" w:rsidRDefault="00A3595D" w:rsidP="00A3595D">
      <w:pPr>
        <w:spacing w:after="120"/>
      </w:pPr>
      <w:r>
        <w:t>Your participation in further consultations about the Instruments, or in responding to this discussion paper, is voluntary. If you choose not to provide us with your personal information we may be unable to contact you about the consultation, however we will still consider your comments. Submissions received within the scope of the discussion paper may be published on the Attorney-General’s Department website in the interest of transparency and sharing of views.</w:t>
      </w:r>
    </w:p>
    <w:p w14:paraId="61BF4934" w14:textId="77777777" w:rsidR="00A3595D" w:rsidRDefault="00A3595D" w:rsidP="00A3595D">
      <w:pPr>
        <w:spacing w:after="120"/>
      </w:pPr>
      <w:r>
        <w:t xml:space="preserve">Except as indicated above, the Attorney-General’s Department will not provide personal information collected from you to anyone else outside the department unless you have given consent for us to do so, or we are authorised or required to do so by law. However, the department may disclose or publish your de-identified information for the purposes set out above. The privacy and security of your personal information is important to us, and is protected by law. </w:t>
      </w:r>
    </w:p>
    <w:p w14:paraId="02684BC0" w14:textId="77777777" w:rsidR="00A3595D" w:rsidRDefault="00A3595D" w:rsidP="00A3595D">
      <w:pPr>
        <w:spacing w:after="120"/>
      </w:pPr>
      <w:r>
        <w:t>The department’s Privacy Policy can be found at &lt;</w:t>
      </w:r>
      <w:hyperlink r:id="rId14" w:history="1">
        <w:r>
          <w:rPr>
            <w:rStyle w:val="Hyperlink"/>
            <w:spacing w:val="-1"/>
          </w:rPr>
          <w:t>https://www.ag.gov.au/about-us/accountability-and-reporting/privacy-policy</w:t>
        </w:r>
      </w:hyperlink>
      <w:r>
        <w:t xml:space="preserve">&gt; which explains how the department handles and protects the information provided by you.  The department’s Privacy Policy also explains how you can request access to or correct the personal information we hold about you, and who to contact if you have a privacy enquiry or complaint. </w:t>
      </w:r>
      <w:r>
        <w:br/>
        <w:t xml:space="preserve">If you require a copy of our Privacy Policy contact the Privacy Officer at </w:t>
      </w:r>
      <w:hyperlink r:id="rId15" w:history="1">
        <w:r>
          <w:rPr>
            <w:rStyle w:val="Hyperlink"/>
            <w:spacing w:val="-1"/>
          </w:rPr>
          <w:t>privacy@ag.gov.au</w:t>
        </w:r>
      </w:hyperlink>
      <w:r>
        <w:t xml:space="preserve">. </w:t>
      </w:r>
    </w:p>
    <w:p w14:paraId="712F03FE" w14:textId="77777777" w:rsidR="00A3595D" w:rsidRDefault="00A3595D" w:rsidP="00C96DAE">
      <w:pPr>
        <w:spacing w:after="120"/>
      </w:pPr>
    </w:p>
    <w:p w14:paraId="050AF5CD" w14:textId="16C3D0D4" w:rsidR="002D72BA" w:rsidRPr="001560F1" w:rsidRDefault="002D72BA" w:rsidP="00C96DAE">
      <w:pPr>
        <w:spacing w:after="120"/>
        <w:rPr>
          <w:rFonts w:asciiTheme="minorHAnsi" w:eastAsiaTheme="minorHAnsi" w:hAnsiTheme="minorHAnsi" w:cstheme="minorBidi"/>
        </w:rPr>
      </w:pPr>
      <w:r>
        <w:br w:type="page"/>
      </w:r>
    </w:p>
    <w:p w14:paraId="1AB3F8BD" w14:textId="77777777" w:rsidR="002D72BA" w:rsidRPr="002D72BA" w:rsidRDefault="002D72BA" w:rsidP="00C96DAE">
      <w:pPr>
        <w:spacing w:after="120"/>
      </w:pPr>
    </w:p>
    <w:p w14:paraId="7A7E961A" w14:textId="65515675" w:rsidR="009F0C39" w:rsidRPr="009F0C39" w:rsidRDefault="009F0C39" w:rsidP="00C96DAE">
      <w:pPr>
        <w:pStyle w:val="Heading2"/>
        <w:spacing w:before="0" w:after="120" w:line="276" w:lineRule="auto"/>
      </w:pPr>
      <w:r>
        <w:t>List of questions for consideration</w:t>
      </w:r>
    </w:p>
    <w:p w14:paraId="255A28DF" w14:textId="17504D0D" w:rsidR="000C61F2" w:rsidRPr="00C96DAE" w:rsidRDefault="000C61F2" w:rsidP="00C96DAE">
      <w:pPr>
        <w:spacing w:after="120"/>
        <w:rPr>
          <w:b/>
        </w:rPr>
      </w:pPr>
      <w:bookmarkStart w:id="5" w:name="_Hlk122519628"/>
      <w:r w:rsidRPr="002469B5">
        <w:rPr>
          <w:b/>
          <w:i/>
        </w:rPr>
        <w:t>Native Title (Federal Court) Regulations</w:t>
      </w:r>
      <w:r>
        <w:rPr>
          <w:b/>
          <w:i/>
        </w:rPr>
        <w:t xml:space="preserve"> 1998 </w:t>
      </w:r>
      <w:r>
        <w:rPr>
          <w:b/>
        </w:rPr>
        <w:t>(the Federal Court Regulations)</w:t>
      </w:r>
    </w:p>
    <w:p w14:paraId="30562910" w14:textId="0F948376" w:rsidR="009A31EF" w:rsidRPr="00897B9F" w:rsidRDefault="009A31EF" w:rsidP="00897B9F">
      <w:pPr>
        <w:pStyle w:val="Heading3"/>
        <w:rPr>
          <w:b w:val="0"/>
          <w:i/>
          <w:sz w:val="22"/>
          <w:szCs w:val="22"/>
        </w:rPr>
      </w:pPr>
      <w:r w:rsidRPr="00897B9F">
        <w:rPr>
          <w:b w:val="0"/>
          <w:i/>
          <w:sz w:val="22"/>
          <w:szCs w:val="22"/>
        </w:rPr>
        <w:t>Transfer responsibility of all native title forms to the Federal Court</w:t>
      </w:r>
    </w:p>
    <w:p w14:paraId="4F83EF27" w14:textId="3B2E45DC" w:rsidR="007B3C23" w:rsidRPr="007B3C23" w:rsidRDefault="007B3C23" w:rsidP="007B3C23">
      <w:pPr>
        <w:pStyle w:val="ListParagraph"/>
        <w:numPr>
          <w:ilvl w:val="0"/>
          <w:numId w:val="93"/>
        </w:numPr>
        <w:spacing w:after="120"/>
        <w:rPr>
          <w:rFonts w:eastAsia="Times New Roman"/>
          <w:color w:val="000000"/>
          <w:szCs w:val="20"/>
          <w:lang w:eastAsia="en-AU"/>
        </w:rPr>
      </w:pPr>
      <w:r w:rsidRPr="00FD4BC6">
        <w:rPr>
          <w:rFonts w:eastAsia="Times New Roman"/>
          <w:color w:val="000000"/>
          <w:szCs w:val="20"/>
          <w:lang w:eastAsia="en-AU"/>
        </w:rPr>
        <w:t xml:space="preserve">Should responsibility for native title forms be transferred to the Federal Court? </w:t>
      </w:r>
    </w:p>
    <w:p w14:paraId="3644FA6B" w14:textId="649E17A7" w:rsidR="009A31EF" w:rsidRDefault="009A31EF" w:rsidP="009A31EF">
      <w:pPr>
        <w:pStyle w:val="Heading3"/>
        <w:spacing w:after="120" w:line="276" w:lineRule="auto"/>
        <w:rPr>
          <w:b w:val="0"/>
          <w:i/>
          <w:color w:val="auto"/>
          <w:sz w:val="22"/>
          <w:szCs w:val="22"/>
        </w:rPr>
      </w:pPr>
      <w:r w:rsidRPr="006F4054">
        <w:rPr>
          <w:b w:val="0"/>
          <w:i/>
          <w:color w:val="auto"/>
          <w:sz w:val="22"/>
          <w:szCs w:val="22"/>
        </w:rPr>
        <w:t xml:space="preserve">Reforms to both Form 1 and Form 4 </w:t>
      </w:r>
    </w:p>
    <w:p w14:paraId="52FB9262" w14:textId="77777777" w:rsidR="007B3C23" w:rsidRDefault="007B3C23" w:rsidP="007B3C23">
      <w:pPr>
        <w:pStyle w:val="ListParagraph"/>
        <w:keepNext/>
        <w:keepLines/>
        <w:numPr>
          <w:ilvl w:val="0"/>
          <w:numId w:val="93"/>
        </w:numPr>
        <w:spacing w:after="120"/>
        <w:contextualSpacing w:val="0"/>
      </w:pPr>
      <w:r w:rsidRPr="00C05E2C">
        <w:rPr>
          <w:bCs/>
        </w:rPr>
        <w:t xml:space="preserve">Should the Federal Court Regulations be amended to clearly require all </w:t>
      </w:r>
      <w:r>
        <w:t>A</w:t>
      </w:r>
      <w:r w:rsidRPr="00655A9C">
        <w:t xml:space="preserve">pplicants to </w:t>
      </w:r>
      <w:r>
        <w:t>file</w:t>
      </w:r>
      <w:r w:rsidRPr="00655A9C">
        <w:t xml:space="preserve"> a </w:t>
      </w:r>
      <w:r>
        <w:t>F</w:t>
      </w:r>
      <w:r w:rsidRPr="00655A9C">
        <w:t>orm 1 in all cases where a determination of native title is sought</w:t>
      </w:r>
      <w:r>
        <w:t xml:space="preserve"> (as contemplated by NTA s 13(2))?</w:t>
      </w:r>
    </w:p>
    <w:p w14:paraId="182B9611" w14:textId="77777777" w:rsidR="007B3C23" w:rsidRDefault="007B3C23" w:rsidP="007B3C23">
      <w:pPr>
        <w:pStyle w:val="ListParagraph"/>
        <w:keepNext/>
        <w:keepLines/>
        <w:numPr>
          <w:ilvl w:val="0"/>
          <w:numId w:val="93"/>
        </w:numPr>
        <w:spacing w:after="120"/>
        <w:contextualSpacing w:val="0"/>
      </w:pPr>
      <w:r>
        <w:t>Should there be a separate compensation form (e.g. Form 4a) for when a native title claim has already been determined as opposed to only having a Form 4, which presupposes a native title claim and a compensation claim concurrently?</w:t>
      </w:r>
    </w:p>
    <w:p w14:paraId="5B28C332" w14:textId="77777777" w:rsidR="007B3C23" w:rsidRPr="00C96DAE" w:rsidRDefault="007B3C23" w:rsidP="007B3C23">
      <w:pPr>
        <w:pStyle w:val="ListParagraph"/>
        <w:numPr>
          <w:ilvl w:val="0"/>
          <w:numId w:val="93"/>
        </w:numPr>
        <w:spacing w:after="120"/>
        <w:contextualSpacing w:val="0"/>
        <w:rPr>
          <w:b/>
        </w:rPr>
      </w:pPr>
      <w:r>
        <w:t>Are the current requirements for disclosure of authorisation processes in Form 4 adequate? Should Schedule R of Form 1 be replicated in Form 4?</w:t>
      </w:r>
    </w:p>
    <w:p w14:paraId="45D537C5" w14:textId="77777777" w:rsidR="007B3C23" w:rsidRPr="00B52E51" w:rsidRDefault="007B3C23" w:rsidP="007B3C23">
      <w:pPr>
        <w:pStyle w:val="ListParagraph"/>
        <w:numPr>
          <w:ilvl w:val="0"/>
          <w:numId w:val="93"/>
        </w:numPr>
        <w:spacing w:after="120"/>
        <w:contextualSpacing w:val="0"/>
        <w:rPr>
          <w:b/>
        </w:rPr>
      </w:pPr>
      <w:r>
        <w:t>Is there other information regarding Applicant parties and the authorisation process that is followed which should be required by Form 4?</w:t>
      </w:r>
    </w:p>
    <w:p w14:paraId="1FC95BE8" w14:textId="5797B6D0" w:rsidR="007B3C23" w:rsidRPr="00960198" w:rsidRDefault="007B3C23" w:rsidP="00960198">
      <w:pPr>
        <w:pStyle w:val="ListParagraph"/>
        <w:numPr>
          <w:ilvl w:val="0"/>
          <w:numId w:val="93"/>
        </w:numPr>
        <w:spacing w:after="120"/>
        <w:ind w:left="714" w:hanging="357"/>
        <w:contextualSpacing w:val="0"/>
        <w:rPr>
          <w:b/>
        </w:rPr>
      </w:pPr>
      <w:r w:rsidRPr="00960198">
        <w:t>Are the current details requested by each of the Items and Schedules in Forms 1 and 4 as canvassed on pages 9-10 below necessary? Please specify and justify any suggested amendment or removal.</w:t>
      </w:r>
    </w:p>
    <w:p w14:paraId="0AD796DF" w14:textId="0FF3AFB6" w:rsidR="007B3C23" w:rsidRPr="00A04377" w:rsidRDefault="007B3C23" w:rsidP="00960198">
      <w:pPr>
        <w:pStyle w:val="ListParagraph"/>
        <w:numPr>
          <w:ilvl w:val="0"/>
          <w:numId w:val="93"/>
        </w:numPr>
        <w:ind w:left="714" w:hanging="357"/>
        <w:contextualSpacing w:val="0"/>
        <w:rPr>
          <w:b/>
        </w:rPr>
      </w:pPr>
      <w:r w:rsidRPr="00A04377">
        <w:t xml:space="preserve">Would the revisions to Forms 1 and 4 </w:t>
      </w:r>
      <w:r>
        <w:t>canvassed</w:t>
      </w:r>
      <w:r w:rsidRPr="00A04377">
        <w:t xml:space="preserve"> </w:t>
      </w:r>
      <w:r>
        <w:t>on pages 10-11 below</w:t>
      </w:r>
      <w:r w:rsidRPr="00A04377">
        <w:t xml:space="preserve"> be beneficial for stakeholders? </w:t>
      </w:r>
    </w:p>
    <w:p w14:paraId="5C7E9EFB" w14:textId="60C82BE1" w:rsidR="00417879" w:rsidRPr="00897B9F" w:rsidRDefault="00417879" w:rsidP="00897B9F">
      <w:pPr>
        <w:pStyle w:val="Heading3"/>
        <w:rPr>
          <w:b w:val="0"/>
          <w:i/>
          <w:sz w:val="22"/>
          <w:szCs w:val="22"/>
        </w:rPr>
      </w:pPr>
      <w:r w:rsidRPr="00897B9F">
        <w:rPr>
          <w:b w:val="0"/>
          <w:i/>
          <w:sz w:val="22"/>
          <w:szCs w:val="22"/>
        </w:rPr>
        <w:t>Form 1 (Determination Application) of the</w:t>
      </w:r>
      <w:r w:rsidR="000C61F2" w:rsidRPr="00897B9F">
        <w:rPr>
          <w:b w:val="0"/>
          <w:i/>
          <w:sz w:val="22"/>
          <w:szCs w:val="22"/>
        </w:rPr>
        <w:t xml:space="preserve"> Federal Court Regulations</w:t>
      </w:r>
      <w:r w:rsidRPr="00897B9F">
        <w:rPr>
          <w:b w:val="0"/>
          <w:i/>
          <w:sz w:val="22"/>
          <w:szCs w:val="22"/>
        </w:rPr>
        <w:t xml:space="preserve"> </w:t>
      </w:r>
    </w:p>
    <w:p w14:paraId="04DC54C0" w14:textId="77777777" w:rsidR="007B3C23" w:rsidRPr="00B52E51" w:rsidRDefault="007B3C23" w:rsidP="007B3C23">
      <w:pPr>
        <w:pStyle w:val="ListParagraph"/>
        <w:numPr>
          <w:ilvl w:val="0"/>
          <w:numId w:val="93"/>
        </w:numPr>
        <w:spacing w:after="120"/>
        <w:contextualSpacing w:val="0"/>
        <w:rPr>
          <w:bCs/>
        </w:rPr>
      </w:pPr>
      <w:r w:rsidRPr="00C6266B">
        <w:rPr>
          <w:bCs/>
        </w:rPr>
        <w:t>How can</w:t>
      </w:r>
      <w:r>
        <w:rPr>
          <w:bCs/>
        </w:rPr>
        <w:t xml:space="preserve"> Schedules B and F in Form 1 be amended to clarify what information is required?</w:t>
      </w:r>
    </w:p>
    <w:p w14:paraId="2FEC0238" w14:textId="017B7F5B" w:rsidR="00417879" w:rsidRPr="00897B9F" w:rsidRDefault="00417879" w:rsidP="00897B9F">
      <w:pPr>
        <w:pStyle w:val="Heading3"/>
        <w:rPr>
          <w:b w:val="0"/>
          <w:i/>
          <w:sz w:val="22"/>
          <w:szCs w:val="22"/>
        </w:rPr>
      </w:pPr>
      <w:r w:rsidRPr="00897B9F">
        <w:rPr>
          <w:b w:val="0"/>
          <w:i/>
          <w:sz w:val="22"/>
          <w:szCs w:val="22"/>
        </w:rPr>
        <w:t xml:space="preserve">Form 4 (Compensation Application) </w:t>
      </w:r>
    </w:p>
    <w:p w14:paraId="41728F73" w14:textId="77777777" w:rsidR="007B3C23" w:rsidRPr="00C96DAE" w:rsidRDefault="007B3C23" w:rsidP="007B3C23">
      <w:pPr>
        <w:pStyle w:val="ListParagraph"/>
        <w:numPr>
          <w:ilvl w:val="0"/>
          <w:numId w:val="93"/>
        </w:numPr>
        <w:spacing w:after="120"/>
        <w:contextualSpacing w:val="0"/>
        <w:rPr>
          <w:rFonts w:asciiTheme="minorHAnsi" w:hAnsiTheme="minorHAnsi" w:cstheme="minorHAnsi"/>
          <w:b/>
        </w:rPr>
      </w:pPr>
      <w:r w:rsidRPr="00C96DAE">
        <w:rPr>
          <w:rFonts w:asciiTheme="minorHAnsi" w:hAnsiTheme="minorHAnsi" w:cstheme="minorHAnsi"/>
        </w:rPr>
        <w:t>How could Schedule E be amended to more clearly require specification of the relevant native title rights and interests affected by compensable acts?</w:t>
      </w:r>
    </w:p>
    <w:p w14:paraId="62F6132E" w14:textId="77777777" w:rsidR="007B3C23" w:rsidRPr="00431141" w:rsidRDefault="007B3C23" w:rsidP="007B3C23">
      <w:pPr>
        <w:pStyle w:val="ListParagraph"/>
        <w:numPr>
          <w:ilvl w:val="0"/>
          <w:numId w:val="93"/>
        </w:numPr>
        <w:spacing w:after="120"/>
        <w:contextualSpacing w:val="0"/>
        <w:rPr>
          <w:rFonts w:asciiTheme="minorHAnsi" w:hAnsiTheme="minorHAnsi" w:cstheme="minorHAnsi"/>
          <w:b/>
        </w:rPr>
      </w:pPr>
      <w:r>
        <w:rPr>
          <w:rFonts w:asciiTheme="minorHAnsi" w:hAnsiTheme="minorHAnsi" w:cstheme="minorHAnsi"/>
        </w:rPr>
        <w:t>Should Schedule E be amended to require rights and interests to be set out in relation to the date(s) of the compensable act(s)?</w:t>
      </w:r>
    </w:p>
    <w:p w14:paraId="154AB4D7" w14:textId="0C0687C5" w:rsidR="007B3C23" w:rsidRPr="00B52E51" w:rsidRDefault="007B3C23" w:rsidP="007B3C23">
      <w:pPr>
        <w:pStyle w:val="ListParagraph"/>
        <w:numPr>
          <w:ilvl w:val="0"/>
          <w:numId w:val="93"/>
        </w:numPr>
        <w:spacing w:after="120"/>
        <w:contextualSpacing w:val="0"/>
        <w:rPr>
          <w:rFonts w:asciiTheme="minorHAnsi" w:hAnsiTheme="minorHAnsi" w:cstheme="minorHAnsi"/>
          <w:b/>
        </w:rPr>
      </w:pPr>
      <w:r>
        <w:rPr>
          <w:rFonts w:asciiTheme="minorHAnsi" w:hAnsiTheme="minorHAnsi" w:cstheme="minorHAnsi"/>
        </w:rPr>
        <w:t xml:space="preserve">Should Form 4 be split into 2 forms for Registered Native Title </w:t>
      </w:r>
      <w:r w:rsidR="000442D3">
        <w:rPr>
          <w:rFonts w:asciiTheme="minorHAnsi" w:hAnsiTheme="minorHAnsi" w:cstheme="minorHAnsi"/>
        </w:rPr>
        <w:t>Bodies Corporate</w:t>
      </w:r>
      <w:r>
        <w:rPr>
          <w:rFonts w:asciiTheme="minorHAnsi" w:hAnsiTheme="minorHAnsi" w:cstheme="minorHAnsi"/>
        </w:rPr>
        <w:t xml:space="preserve"> and compensation claim groups respectively? </w:t>
      </w:r>
    </w:p>
    <w:p w14:paraId="6E084982" w14:textId="77777777" w:rsidR="007B3C23" w:rsidRPr="009E6151" w:rsidRDefault="007B3C23" w:rsidP="007B3C23">
      <w:pPr>
        <w:pStyle w:val="ListParagraph"/>
        <w:numPr>
          <w:ilvl w:val="0"/>
          <w:numId w:val="93"/>
        </w:numPr>
        <w:spacing w:after="120"/>
        <w:contextualSpacing w:val="0"/>
        <w:rPr>
          <w:rFonts w:asciiTheme="minorHAnsi" w:hAnsiTheme="minorHAnsi" w:cstheme="minorHAnsi"/>
          <w:b/>
        </w:rPr>
      </w:pPr>
      <w:r>
        <w:rPr>
          <w:rFonts w:asciiTheme="minorHAnsi" w:hAnsiTheme="minorHAnsi" w:cstheme="minorHAnsi"/>
        </w:rPr>
        <w:t>Should Form 4 require additional information about compensable acts? What detail could usefully be added to Schedule I?</w:t>
      </w:r>
    </w:p>
    <w:p w14:paraId="4EF90347" w14:textId="77777777" w:rsidR="007B3C23" w:rsidRPr="00353087" w:rsidRDefault="007B3C23" w:rsidP="007B3C23">
      <w:pPr>
        <w:pStyle w:val="ListParagraph"/>
        <w:numPr>
          <w:ilvl w:val="0"/>
          <w:numId w:val="93"/>
        </w:numPr>
        <w:spacing w:after="120"/>
        <w:contextualSpacing w:val="0"/>
        <w:rPr>
          <w:rFonts w:cstheme="minorHAnsi"/>
          <w:b/>
        </w:rPr>
      </w:pPr>
      <w:r>
        <w:rPr>
          <w:rFonts w:cstheme="minorHAnsi"/>
        </w:rPr>
        <w:t>Which of the mechanisms detailed on page 15 below would be most effective in ensuring consistency between related compensation claims?</w:t>
      </w:r>
    </w:p>
    <w:p w14:paraId="41FF88CB" w14:textId="77777777" w:rsidR="007B3C23" w:rsidRPr="00C96DAE" w:rsidRDefault="007B3C23" w:rsidP="007B3C23">
      <w:pPr>
        <w:pStyle w:val="ListParagraph"/>
        <w:numPr>
          <w:ilvl w:val="0"/>
          <w:numId w:val="93"/>
        </w:numPr>
        <w:spacing w:after="120"/>
        <w:contextualSpacing w:val="0"/>
        <w:rPr>
          <w:rFonts w:cstheme="minorHAnsi"/>
          <w:b/>
        </w:rPr>
      </w:pPr>
      <w:r>
        <w:rPr>
          <w:rFonts w:cstheme="minorHAnsi"/>
        </w:rPr>
        <w:t xml:space="preserve">Are there any other mechanisms to address this issue which the department should consider? </w:t>
      </w:r>
    </w:p>
    <w:p w14:paraId="032FB0F6" w14:textId="77777777" w:rsidR="007B3C23" w:rsidRPr="009E6151" w:rsidRDefault="007B3C23" w:rsidP="007B3C23">
      <w:pPr>
        <w:pStyle w:val="ListParagraph"/>
        <w:numPr>
          <w:ilvl w:val="0"/>
          <w:numId w:val="93"/>
        </w:numPr>
        <w:spacing w:after="120"/>
        <w:rPr>
          <w:rFonts w:cstheme="minorHAnsi"/>
        </w:rPr>
      </w:pPr>
      <w:r w:rsidRPr="00C05E2C">
        <w:rPr>
          <w:rFonts w:cstheme="minorHAnsi"/>
        </w:rPr>
        <w:t>How could the current notification requirements for compensation applications be improved?</w:t>
      </w:r>
    </w:p>
    <w:p w14:paraId="79D17855" w14:textId="77777777" w:rsidR="007B3C23" w:rsidRPr="000C61F2" w:rsidRDefault="007B3C23" w:rsidP="00C96DAE">
      <w:pPr>
        <w:spacing w:after="120"/>
        <w:rPr>
          <w:b/>
          <w:i/>
        </w:rPr>
      </w:pPr>
    </w:p>
    <w:p w14:paraId="20ABA6BE" w14:textId="4D036AD4" w:rsidR="00417879" w:rsidRDefault="00417879" w:rsidP="00C96DAE">
      <w:pPr>
        <w:pStyle w:val="Heading3"/>
        <w:spacing w:after="120" w:line="276" w:lineRule="auto"/>
        <w:rPr>
          <w:i/>
          <w:color w:val="auto"/>
          <w:sz w:val="22"/>
          <w:szCs w:val="22"/>
        </w:rPr>
      </w:pPr>
      <w:r w:rsidRPr="00DC467B">
        <w:rPr>
          <w:i/>
          <w:color w:val="auto"/>
          <w:sz w:val="22"/>
          <w:szCs w:val="22"/>
        </w:rPr>
        <w:t>Native Title (Tribunal) Regulations 1993</w:t>
      </w:r>
    </w:p>
    <w:p w14:paraId="17261E3C" w14:textId="1F906A15" w:rsidR="007B3C23" w:rsidRPr="007B3C23" w:rsidRDefault="007B3C23" w:rsidP="007B3C23">
      <w:pPr>
        <w:pStyle w:val="ListParagraph"/>
        <w:widowControl w:val="0"/>
        <w:numPr>
          <w:ilvl w:val="0"/>
          <w:numId w:val="93"/>
        </w:numPr>
        <w:spacing w:after="120"/>
        <w:contextualSpacing w:val="0"/>
      </w:pPr>
      <w:r>
        <w:t>Should the fee structure be revised consistent with the approach outlined at page 17 below? Are there other ways in which the approach to fees could be modified?</w:t>
      </w:r>
    </w:p>
    <w:p w14:paraId="5282948E" w14:textId="161C49BD" w:rsidR="00417879" w:rsidRDefault="00417879" w:rsidP="00C96DAE">
      <w:pPr>
        <w:pStyle w:val="Heading3"/>
        <w:spacing w:after="120" w:line="276" w:lineRule="auto"/>
        <w:rPr>
          <w:i/>
          <w:color w:val="auto"/>
          <w:sz w:val="22"/>
          <w:szCs w:val="22"/>
        </w:rPr>
      </w:pPr>
      <w:r w:rsidRPr="00417879">
        <w:rPr>
          <w:i/>
          <w:color w:val="auto"/>
          <w:sz w:val="22"/>
          <w:szCs w:val="22"/>
        </w:rPr>
        <w:t>Native Title (Indigenous Land Use Agreements) Regulations 1999</w:t>
      </w:r>
    </w:p>
    <w:p w14:paraId="6D12B83B" w14:textId="77777777" w:rsidR="007B3C23" w:rsidRPr="005E5B22" w:rsidRDefault="007B3C23" w:rsidP="007B3C23">
      <w:pPr>
        <w:pStyle w:val="ListParagraph"/>
        <w:numPr>
          <w:ilvl w:val="0"/>
          <w:numId w:val="93"/>
        </w:numPr>
        <w:spacing w:after="120"/>
        <w:contextualSpacing w:val="0"/>
      </w:pPr>
      <w:r>
        <w:t xml:space="preserve">Should the ILUA Regulations be amended so that instead of requiring a full copy of a native title determination for applications made under </w:t>
      </w:r>
      <w:r w:rsidRPr="00855B18">
        <w:rPr>
          <w:lang w:eastAsia="en-AU"/>
        </w:rPr>
        <w:t>regulations 6(2)</w:t>
      </w:r>
      <w:r>
        <w:rPr>
          <w:lang w:eastAsia="en-AU"/>
        </w:rPr>
        <w:t>(</w:t>
      </w:r>
      <w:r w:rsidRPr="00855B18">
        <w:rPr>
          <w:lang w:eastAsia="en-AU"/>
        </w:rPr>
        <w:t>a</w:t>
      </w:r>
      <w:r>
        <w:rPr>
          <w:lang w:eastAsia="en-AU"/>
        </w:rPr>
        <w:t>)</w:t>
      </w:r>
      <w:r w:rsidRPr="00855B18">
        <w:rPr>
          <w:lang w:eastAsia="en-AU"/>
        </w:rPr>
        <w:t>, 7(2)</w:t>
      </w:r>
      <w:r>
        <w:rPr>
          <w:lang w:eastAsia="en-AU"/>
        </w:rPr>
        <w:t>(a)</w:t>
      </w:r>
      <w:r w:rsidRPr="00855B18">
        <w:rPr>
          <w:lang w:eastAsia="en-AU"/>
        </w:rPr>
        <w:t xml:space="preserve"> and 8(2)</w:t>
      </w:r>
      <w:r>
        <w:rPr>
          <w:lang w:eastAsia="en-AU"/>
        </w:rPr>
        <w:t>(</w:t>
      </w:r>
      <w:r w:rsidRPr="00855B18">
        <w:rPr>
          <w:lang w:eastAsia="en-AU"/>
        </w:rPr>
        <w:t>a</w:t>
      </w:r>
      <w:r>
        <w:rPr>
          <w:lang w:eastAsia="en-AU"/>
        </w:rPr>
        <w:t>)</w:t>
      </w:r>
      <w:r w:rsidRPr="0084569B">
        <w:t xml:space="preserve"> </w:t>
      </w:r>
      <w:r>
        <w:t xml:space="preserve">of </w:t>
      </w:r>
      <w:r w:rsidRPr="0084569B">
        <w:t>the</w:t>
      </w:r>
      <w:r>
        <w:rPr>
          <w:i/>
        </w:rPr>
        <w:t xml:space="preserve"> </w:t>
      </w:r>
      <w:r>
        <w:t>ILUA Regulations, a copy of an extract from the National Native Title Register is acceptable?</w:t>
      </w:r>
    </w:p>
    <w:p w14:paraId="023298DD" w14:textId="77777777" w:rsidR="007B3C23" w:rsidRPr="005E5B22" w:rsidRDefault="007B3C23" w:rsidP="007B3C23">
      <w:pPr>
        <w:pStyle w:val="ListParagraph"/>
        <w:keepNext/>
        <w:numPr>
          <w:ilvl w:val="0"/>
          <w:numId w:val="93"/>
        </w:numPr>
        <w:spacing w:after="120"/>
        <w:contextualSpacing w:val="0"/>
      </w:pPr>
      <w:r>
        <w:t xml:space="preserve">Should the ILUA Regulations be amended so that the requirement to provide a full copy of a PBC Regulation 9 certificate is removed, and a written statement from the relevant Registered Native Title Body Corporate, confirming that the certificate has been prepared, is instead required? </w:t>
      </w:r>
    </w:p>
    <w:p w14:paraId="6A1EF946" w14:textId="77777777" w:rsidR="007B3C23" w:rsidRPr="00632989" w:rsidRDefault="007B3C23" w:rsidP="007B3C23">
      <w:pPr>
        <w:pStyle w:val="ListParagraph"/>
        <w:numPr>
          <w:ilvl w:val="0"/>
          <w:numId w:val="93"/>
        </w:numPr>
        <w:spacing w:after="120"/>
        <w:contextualSpacing w:val="0"/>
      </w:pPr>
      <w:r w:rsidRPr="00632989">
        <w:t xml:space="preserve">Would </w:t>
      </w:r>
      <w:r>
        <w:t xml:space="preserve">removing the requirement to provide geographic coordinates improve the ILUA application process?  </w:t>
      </w:r>
    </w:p>
    <w:p w14:paraId="414DEBF7" w14:textId="77777777" w:rsidR="007B3C23" w:rsidRPr="00417879" w:rsidRDefault="007B3C23" w:rsidP="007B3C23">
      <w:pPr>
        <w:pStyle w:val="ListParagraph"/>
        <w:numPr>
          <w:ilvl w:val="0"/>
          <w:numId w:val="93"/>
        </w:numPr>
        <w:spacing w:after="120"/>
        <w:contextualSpacing w:val="0"/>
        <w:rPr>
          <w:b/>
        </w:rPr>
      </w:pPr>
      <w:r>
        <w:t>Are the requirements under the ILUA Regulations adequately clear?</w:t>
      </w:r>
    </w:p>
    <w:p w14:paraId="56459015" w14:textId="2B765A77" w:rsidR="007B3C23" w:rsidRPr="007B3C23" w:rsidRDefault="007B3C23" w:rsidP="007B3C23">
      <w:pPr>
        <w:pStyle w:val="ListParagraph"/>
        <w:numPr>
          <w:ilvl w:val="0"/>
          <w:numId w:val="93"/>
        </w:numPr>
        <w:spacing w:after="120"/>
        <w:contextualSpacing w:val="0"/>
        <w:rPr>
          <w:b/>
        </w:rPr>
      </w:pPr>
      <w:r>
        <w:t>How should other agreements made between some or all of the parties to the agreement in connection with the doing of an act which the agreement relates be treated?</w:t>
      </w:r>
    </w:p>
    <w:p w14:paraId="2A974706" w14:textId="77777777" w:rsidR="00417879" w:rsidRPr="00417879" w:rsidRDefault="00417879" w:rsidP="00C96DAE">
      <w:pPr>
        <w:spacing w:after="120"/>
        <w:rPr>
          <w:rFonts w:cstheme="minorHAnsi"/>
          <w:b/>
          <w:i/>
        </w:rPr>
      </w:pPr>
      <w:r w:rsidRPr="00417879">
        <w:rPr>
          <w:rFonts w:cstheme="minorHAnsi"/>
          <w:b/>
          <w:i/>
        </w:rPr>
        <w:t>Notices under the Native Title (Notices) Determination 2011 (No. 1)</w:t>
      </w:r>
    </w:p>
    <w:p w14:paraId="085FC2EB" w14:textId="77777777" w:rsidR="007B3C23" w:rsidRPr="00C95BE8" w:rsidRDefault="007B3C23" w:rsidP="007B3C23">
      <w:pPr>
        <w:pStyle w:val="ListParagraph"/>
        <w:keepNext/>
        <w:keepLines/>
        <w:numPr>
          <w:ilvl w:val="0"/>
          <w:numId w:val="93"/>
        </w:numPr>
        <w:spacing w:after="120"/>
        <w:contextualSpacing w:val="0"/>
        <w:rPr>
          <w:b/>
        </w:rPr>
      </w:pPr>
      <w:r>
        <w:t>In what circumstances should electronic transmission of notices be permitted?</w:t>
      </w:r>
    </w:p>
    <w:p w14:paraId="5CC55F13" w14:textId="77777777" w:rsidR="007B3C23" w:rsidRPr="00D26329" w:rsidRDefault="007B3C23" w:rsidP="007B3C23">
      <w:pPr>
        <w:pStyle w:val="ListParagraph"/>
        <w:keepNext/>
        <w:keepLines/>
        <w:numPr>
          <w:ilvl w:val="0"/>
          <w:numId w:val="93"/>
        </w:numPr>
        <w:spacing w:after="120"/>
        <w:contextualSpacing w:val="0"/>
        <w:rPr>
          <w:b/>
        </w:rPr>
      </w:pPr>
      <w:r w:rsidRPr="00D26329">
        <w:t xml:space="preserve">In relation to public notification, would notification in digital newspapers be sufficient where there are no print editions of newspapers? Are there other communication methods that could be employed to ensure </w:t>
      </w:r>
      <w:r>
        <w:t xml:space="preserve">effective </w:t>
      </w:r>
      <w:r w:rsidRPr="00D26329">
        <w:t>public notification?</w:t>
      </w:r>
    </w:p>
    <w:p w14:paraId="1ADD5477" w14:textId="77777777" w:rsidR="007B3C23" w:rsidRPr="00D26329" w:rsidRDefault="007B3C23" w:rsidP="007B3C23">
      <w:pPr>
        <w:pStyle w:val="ListParagraph"/>
        <w:numPr>
          <w:ilvl w:val="0"/>
          <w:numId w:val="93"/>
        </w:numPr>
        <w:spacing w:after="120"/>
        <w:contextualSpacing w:val="0"/>
        <w:rPr>
          <w:b/>
        </w:rPr>
      </w:pPr>
      <w:r w:rsidRPr="00D26329">
        <w:t>Should the circulation requirement be changed to be geographically close to the area to which the notice relates?</w:t>
      </w:r>
    </w:p>
    <w:p w14:paraId="79BE4588" w14:textId="3B6AC84B" w:rsidR="00F157AB" w:rsidRDefault="001B13CC" w:rsidP="001B13CC">
      <w:pPr>
        <w:spacing w:after="120"/>
        <w:rPr>
          <w:b/>
          <w:i/>
        </w:rPr>
      </w:pPr>
      <w:r>
        <w:rPr>
          <w:b/>
          <w:i/>
        </w:rPr>
        <w:t xml:space="preserve">Further suggestions to amend </w:t>
      </w:r>
      <w:r w:rsidR="00E42AD5">
        <w:rPr>
          <w:b/>
          <w:i/>
        </w:rPr>
        <w:t>I</w:t>
      </w:r>
      <w:r>
        <w:rPr>
          <w:b/>
          <w:i/>
        </w:rPr>
        <w:t>nstruments</w:t>
      </w:r>
    </w:p>
    <w:p w14:paraId="21A72146" w14:textId="22EB499F" w:rsidR="001B13CC" w:rsidRPr="001B13CC" w:rsidRDefault="001B13CC" w:rsidP="001B13CC">
      <w:pPr>
        <w:pStyle w:val="ListParagraph"/>
        <w:numPr>
          <w:ilvl w:val="0"/>
          <w:numId w:val="93"/>
        </w:numPr>
        <w:spacing w:after="120"/>
        <w:rPr>
          <w:b/>
        </w:rPr>
      </w:pPr>
      <w:r>
        <w:t>Please provide any further suggestions to reform or amend the four Instruments.</w:t>
      </w:r>
    </w:p>
    <w:bookmarkEnd w:id="5"/>
    <w:p w14:paraId="4CF68446" w14:textId="1EA165AE" w:rsidR="00FD4BC6" w:rsidRDefault="00FD4BC6">
      <w:pPr>
        <w:spacing w:after="0" w:line="240" w:lineRule="auto"/>
      </w:pPr>
      <w:r>
        <w:br w:type="page"/>
      </w:r>
    </w:p>
    <w:p w14:paraId="252630BD" w14:textId="1C5C2482" w:rsidR="00593A79" w:rsidRPr="00593A79" w:rsidRDefault="00593A79" w:rsidP="00C96DAE">
      <w:pPr>
        <w:pStyle w:val="Heading2"/>
        <w:spacing w:before="0" w:after="120" w:line="276" w:lineRule="auto"/>
      </w:pPr>
      <w:r>
        <w:lastRenderedPageBreak/>
        <w:t>Reform options</w:t>
      </w:r>
    </w:p>
    <w:p w14:paraId="3F239B64" w14:textId="53F32303" w:rsidR="00E45B98" w:rsidRDefault="00E45B98" w:rsidP="00C96DAE">
      <w:pPr>
        <w:pStyle w:val="Heading3"/>
        <w:spacing w:after="120" w:line="276" w:lineRule="auto"/>
      </w:pPr>
      <w:r w:rsidRPr="001560F1">
        <w:rPr>
          <w:i/>
        </w:rPr>
        <w:t>Native Title (Federal Court) Regulations 1998</w:t>
      </w:r>
      <w:r>
        <w:t xml:space="preserve"> </w:t>
      </w:r>
    </w:p>
    <w:p w14:paraId="24775FAB" w14:textId="7A5A14B8" w:rsidR="00F41185" w:rsidRDefault="00E45B98" w:rsidP="00C96DAE">
      <w:pPr>
        <w:spacing w:after="120"/>
      </w:pPr>
      <w:r>
        <w:t xml:space="preserve">The </w:t>
      </w:r>
      <w:r w:rsidRPr="001560F1">
        <w:rPr>
          <w:i/>
        </w:rPr>
        <w:t>Native Title (Federal Court) Regulations 1998</w:t>
      </w:r>
      <w:r>
        <w:t xml:space="preserve"> (the </w:t>
      </w:r>
      <w:r w:rsidR="00412B66">
        <w:t>Federal Court Regulations</w:t>
      </w:r>
      <w:r>
        <w:t xml:space="preserve">) specifies the requirements for native title and compensation application forms. It also specifies that notice </w:t>
      </w:r>
      <w:r w:rsidR="009E541A">
        <w:t xml:space="preserve">to </w:t>
      </w:r>
      <w:r>
        <w:t>the Federal Court of an intention to be a party to a native title or compensation application</w:t>
      </w:r>
      <w:r w:rsidR="009E541A">
        <w:t xml:space="preserve"> (as required by s 84(3)(b) of the NT Act)</w:t>
      </w:r>
      <w:r>
        <w:t xml:space="preserve">, may be given in accordance with Form 5 of the Schedule to the </w:t>
      </w:r>
      <w:r w:rsidR="00412B66">
        <w:t>Federal Court Regulations</w:t>
      </w:r>
      <w:r>
        <w:t>.</w:t>
      </w:r>
    </w:p>
    <w:p w14:paraId="2B9376D9" w14:textId="2DDCBC00" w:rsidR="009E541A" w:rsidRDefault="00F47929" w:rsidP="00C96DAE">
      <w:pPr>
        <w:spacing w:after="120"/>
      </w:pPr>
      <w:r>
        <w:t xml:space="preserve">The </w:t>
      </w:r>
      <w:r w:rsidR="00412B66">
        <w:t>Federal Court Regulations</w:t>
      </w:r>
      <w:r>
        <w:t xml:space="preserve"> prescribe five forms</w:t>
      </w:r>
      <w:r w:rsidR="009E541A">
        <w:t xml:space="preserve"> altogether</w:t>
      </w:r>
      <w:r>
        <w:t xml:space="preserve">. </w:t>
      </w:r>
      <w:r w:rsidR="00865312">
        <w:t>F</w:t>
      </w:r>
      <w:r w:rsidR="0027587A">
        <w:t xml:space="preserve">eedback </w:t>
      </w:r>
      <w:r w:rsidR="00930558">
        <w:t>from stakeholder</w:t>
      </w:r>
      <w:r w:rsidR="00865312">
        <w:t>s</w:t>
      </w:r>
      <w:r w:rsidR="00930558">
        <w:t xml:space="preserve"> </w:t>
      </w:r>
      <w:r w:rsidR="0027587A">
        <w:t xml:space="preserve">has suggested that those forms be prescribed by the </w:t>
      </w:r>
      <w:r w:rsidR="0027587A" w:rsidRPr="006F4054">
        <w:rPr>
          <w:i/>
        </w:rPr>
        <w:t>Federal Court Rules 2011</w:t>
      </w:r>
      <w:r w:rsidR="0027587A" w:rsidRPr="006F4054">
        <w:t xml:space="preserve"> (the Federal Court Rules)</w:t>
      </w:r>
      <w:r w:rsidR="0027587A">
        <w:rPr>
          <w:b/>
        </w:rPr>
        <w:t xml:space="preserve"> </w:t>
      </w:r>
      <w:r w:rsidR="0027587A">
        <w:t xml:space="preserve">instead. This issue is explored further below. </w:t>
      </w:r>
    </w:p>
    <w:p w14:paraId="3041742F" w14:textId="70B890E2" w:rsidR="00F41185" w:rsidRDefault="0027587A" w:rsidP="00C96DAE">
      <w:pPr>
        <w:spacing w:after="120"/>
      </w:pPr>
      <w:r>
        <w:t xml:space="preserve">Additionally, </w:t>
      </w:r>
      <w:r w:rsidR="00F47929">
        <w:t xml:space="preserve">stakeholders have proposed reforms </w:t>
      </w:r>
      <w:r>
        <w:t xml:space="preserve">specifically </w:t>
      </w:r>
      <w:r w:rsidR="00F47929">
        <w:t>to Form 1 (the application form for a determination of native title) and Form 4 (the application form for a determination of compensation under s</w:t>
      </w:r>
      <w:r>
        <w:t> </w:t>
      </w:r>
      <w:r w:rsidR="00F47929">
        <w:t xml:space="preserve">50(2) of the NT Act). </w:t>
      </w:r>
      <w:r w:rsidR="00C20CB5">
        <w:t xml:space="preserve">These proposed reforms are </w:t>
      </w:r>
      <w:r w:rsidR="00F41185">
        <w:t>outlined below</w:t>
      </w:r>
      <w:r w:rsidR="009E541A">
        <w:t xml:space="preserve"> and b</w:t>
      </w:r>
      <w:r w:rsidR="009F27B0">
        <w:t xml:space="preserve">roadly include updating </w:t>
      </w:r>
      <w:r w:rsidR="009E541A">
        <w:t xml:space="preserve">both </w:t>
      </w:r>
      <w:r w:rsidR="009F27B0">
        <w:t>forms to be fit</w:t>
      </w:r>
      <w:r w:rsidR="00A334FE">
        <w:t>-</w:t>
      </w:r>
      <w:r w:rsidR="009F27B0">
        <w:t>for</w:t>
      </w:r>
      <w:r w:rsidR="00A334FE">
        <w:t>-</w:t>
      </w:r>
      <w:r w:rsidR="009F27B0">
        <w:t xml:space="preserve">purpose, </w:t>
      </w:r>
      <w:r w:rsidR="009731C4">
        <w:t xml:space="preserve">as well as </w:t>
      </w:r>
      <w:r w:rsidR="009E541A">
        <w:t>improving the compensation application (Form 4) process</w:t>
      </w:r>
      <w:r w:rsidR="00A64B0F">
        <w:t>, including requiring a distinct process for compensation claims where native title has already been determined, contrary to where a claim for native title and compensation are sought together</w:t>
      </w:r>
      <w:r w:rsidR="00F41185">
        <w:t>.</w:t>
      </w:r>
      <w:r w:rsidR="00F338E5">
        <w:t xml:space="preserve"> </w:t>
      </w:r>
    </w:p>
    <w:p w14:paraId="717B87FD" w14:textId="015E7D06" w:rsidR="00BB145B" w:rsidRDefault="00BB145B" w:rsidP="00BB145B">
      <w:pPr>
        <w:pStyle w:val="Heading4"/>
        <w:spacing w:after="120" w:line="276" w:lineRule="auto"/>
      </w:pPr>
      <w:r>
        <w:t xml:space="preserve">Transfer responsibility of all </w:t>
      </w:r>
      <w:r w:rsidR="00070E2A">
        <w:t xml:space="preserve">native title </w:t>
      </w:r>
      <w:r>
        <w:t>forms to the Federal Court</w:t>
      </w:r>
    </w:p>
    <w:p w14:paraId="2B1CFA10" w14:textId="77777777" w:rsidR="00BB145B" w:rsidRPr="004A05C5" w:rsidRDefault="00BB145B" w:rsidP="00BB145B">
      <w:pPr>
        <w:spacing w:after="120"/>
      </w:pPr>
      <w:r>
        <w:rPr>
          <w:rFonts w:cstheme="minorHAnsi"/>
          <w:b/>
        </w:rPr>
        <w:t>Overview</w:t>
      </w:r>
    </w:p>
    <w:p w14:paraId="11B1F9AD" w14:textId="78F0934E" w:rsidR="00BB145B" w:rsidRPr="001560F1" w:rsidRDefault="00BB145B" w:rsidP="00BB145B">
      <w:pPr>
        <w:pStyle w:val="Heading3"/>
        <w:spacing w:after="120" w:line="276" w:lineRule="auto"/>
      </w:pPr>
      <w:r w:rsidRPr="001560F1">
        <w:rPr>
          <w:b w:val="0"/>
          <w:color w:val="auto"/>
          <w:sz w:val="22"/>
          <w:szCs w:val="22"/>
        </w:rPr>
        <w:t>The Federal Court of Australia has considerable experience with the preparation of forms used in civil litigation through the</w:t>
      </w:r>
      <w:r w:rsidR="0027587A" w:rsidRPr="006F4054">
        <w:rPr>
          <w:b w:val="0"/>
          <w:color w:val="auto"/>
          <w:sz w:val="22"/>
          <w:szCs w:val="22"/>
        </w:rPr>
        <w:t xml:space="preserve"> Federal Court Rules</w:t>
      </w:r>
      <w:r>
        <w:rPr>
          <w:b w:val="0"/>
          <w:color w:val="auto"/>
          <w:sz w:val="22"/>
          <w:szCs w:val="22"/>
        </w:rPr>
        <w:t xml:space="preserve">. If Forms 1 to 5 of the Schedule to the Federal Court Regulations are transferred to the Federal Court Rules, future amendments to the forms will be able to be implemented more quickly, without remaking delegated instruments, and judicial officers may be better placed than the department to propose amendments as key users of the forms. </w:t>
      </w:r>
    </w:p>
    <w:p w14:paraId="73C42EB9" w14:textId="02C01E4E" w:rsidR="00BB145B" w:rsidRDefault="00BB145B" w:rsidP="00BB145B">
      <w:pPr>
        <w:spacing w:after="120"/>
        <w:rPr>
          <w:rFonts w:eastAsia="Times New Roman"/>
          <w:color w:val="000000"/>
          <w:szCs w:val="20"/>
          <w:lang w:eastAsia="en-AU"/>
        </w:rPr>
      </w:pPr>
      <w:r>
        <w:rPr>
          <w:rFonts w:eastAsia="Times New Roman"/>
          <w:color w:val="000000"/>
          <w:szCs w:val="20"/>
          <w:lang w:eastAsia="en-AU"/>
        </w:rPr>
        <w:t xml:space="preserve">By way of example, in practice, while s </w:t>
      </w:r>
      <w:r w:rsidRPr="00212AF8">
        <w:rPr>
          <w:rFonts w:eastAsia="Times New Roman"/>
          <w:color w:val="000000"/>
          <w:szCs w:val="20"/>
          <w:lang w:eastAsia="en-AU"/>
        </w:rPr>
        <w:t xml:space="preserve">61 </w:t>
      </w:r>
      <w:r>
        <w:rPr>
          <w:rFonts w:eastAsia="Times New Roman"/>
          <w:color w:val="000000"/>
          <w:szCs w:val="20"/>
          <w:lang w:eastAsia="en-AU"/>
        </w:rPr>
        <w:t xml:space="preserve">of the NT Act </w:t>
      </w:r>
      <w:r w:rsidRPr="00212AF8">
        <w:rPr>
          <w:rFonts w:eastAsia="Times New Roman"/>
          <w:color w:val="000000"/>
          <w:szCs w:val="20"/>
          <w:lang w:eastAsia="en-AU"/>
        </w:rPr>
        <w:t xml:space="preserve">requires the prescribed form to be used, </w:t>
      </w:r>
      <w:r w:rsidR="0005542C">
        <w:rPr>
          <w:rFonts w:eastAsia="Times New Roman"/>
          <w:color w:val="000000"/>
          <w:szCs w:val="20"/>
          <w:lang w:eastAsia="en-AU"/>
        </w:rPr>
        <w:t>A</w:t>
      </w:r>
      <w:r w:rsidRPr="00212AF8">
        <w:rPr>
          <w:rFonts w:eastAsia="Times New Roman"/>
          <w:color w:val="000000"/>
          <w:szCs w:val="20"/>
          <w:lang w:eastAsia="en-AU"/>
        </w:rPr>
        <w:t>pplicants do not always use the current version of the prescribed form</w:t>
      </w:r>
      <w:r w:rsidR="00E828A2">
        <w:rPr>
          <w:rFonts w:eastAsia="Times New Roman"/>
          <w:color w:val="000000"/>
          <w:szCs w:val="20"/>
          <w:lang w:eastAsia="en-AU"/>
        </w:rPr>
        <w:t>, particularly Forms 1 and 2 (claimant and non-claimant native title determination applications)</w:t>
      </w:r>
      <w:r w:rsidRPr="00212AF8">
        <w:rPr>
          <w:rFonts w:eastAsia="Times New Roman"/>
          <w:color w:val="000000"/>
          <w:szCs w:val="20"/>
          <w:lang w:eastAsia="en-AU"/>
        </w:rPr>
        <w:t>.</w:t>
      </w:r>
      <w:r>
        <w:rPr>
          <w:rFonts w:eastAsia="Times New Roman"/>
          <w:color w:val="000000"/>
          <w:szCs w:val="20"/>
          <w:lang w:eastAsia="en-AU"/>
        </w:rPr>
        <w:t xml:space="preserve"> As a result, all required information may not be submitted for registration by the </w:t>
      </w:r>
      <w:r w:rsidR="008E192E">
        <w:rPr>
          <w:rFonts w:eastAsia="Times New Roman"/>
          <w:color w:val="000000"/>
          <w:szCs w:val="20"/>
          <w:lang w:eastAsia="en-AU"/>
        </w:rPr>
        <w:t>A</w:t>
      </w:r>
      <w:r>
        <w:rPr>
          <w:rFonts w:eastAsia="Times New Roman"/>
          <w:color w:val="000000"/>
          <w:szCs w:val="20"/>
          <w:lang w:eastAsia="en-AU"/>
        </w:rPr>
        <w:t xml:space="preserve">pplicant and this becomes a </w:t>
      </w:r>
      <w:r w:rsidRPr="00212AF8">
        <w:rPr>
          <w:rFonts w:eastAsia="Times New Roman"/>
          <w:color w:val="000000"/>
          <w:szCs w:val="20"/>
          <w:lang w:eastAsia="en-AU"/>
        </w:rPr>
        <w:t>barrier to</w:t>
      </w:r>
      <w:r>
        <w:rPr>
          <w:rFonts w:eastAsia="Times New Roman"/>
          <w:color w:val="000000"/>
          <w:szCs w:val="20"/>
          <w:lang w:eastAsia="en-AU"/>
        </w:rPr>
        <w:t xml:space="preserve"> applications being registered and gaining procedural rights in an expeditious manner</w:t>
      </w:r>
      <w:r w:rsidRPr="00212AF8">
        <w:rPr>
          <w:rFonts w:eastAsia="Times New Roman"/>
          <w:color w:val="000000"/>
          <w:szCs w:val="20"/>
          <w:lang w:eastAsia="en-AU"/>
        </w:rPr>
        <w:t>.</w:t>
      </w:r>
    </w:p>
    <w:p w14:paraId="484156FC" w14:textId="77777777" w:rsidR="00BB145B" w:rsidRDefault="00BB145B" w:rsidP="00BB145B">
      <w:pPr>
        <w:spacing w:after="120"/>
        <w:rPr>
          <w:rFonts w:eastAsia="Times New Roman"/>
          <w:color w:val="000000"/>
          <w:szCs w:val="20"/>
          <w:lang w:eastAsia="en-AU"/>
        </w:rPr>
      </w:pPr>
      <w:r>
        <w:rPr>
          <w:rFonts w:eastAsia="Times New Roman"/>
          <w:color w:val="000000"/>
          <w:szCs w:val="20"/>
          <w:lang w:eastAsia="en-AU"/>
        </w:rPr>
        <w:t xml:space="preserve">Additionally, Division 34.7 of the Federal Court Rules contains rules concerning native title proceedings and a number of forms have been prescribed for that purpose (Forms 107-115). If Forms 1-5 were transferred to also be vested in the Federal Court Rules, practitioners and litigants would have a single point of reference to identify the appropriate rules and forms. </w:t>
      </w:r>
    </w:p>
    <w:p w14:paraId="0DB2CB0E" w14:textId="70F2E1F4" w:rsidR="00BB145B" w:rsidRPr="001560F1" w:rsidRDefault="00BB145B" w:rsidP="00BB145B">
      <w:pPr>
        <w:spacing w:after="120"/>
        <w:rPr>
          <w:rFonts w:eastAsia="Times New Roman"/>
          <w:b/>
          <w:color w:val="000000"/>
          <w:szCs w:val="20"/>
          <w:lang w:eastAsia="en-AU"/>
        </w:rPr>
      </w:pPr>
      <w:r w:rsidRPr="001560F1">
        <w:rPr>
          <w:rFonts w:eastAsia="Times New Roman"/>
          <w:b/>
          <w:color w:val="000000"/>
          <w:szCs w:val="20"/>
          <w:lang w:eastAsia="en-AU"/>
        </w:rPr>
        <w:t>P</w:t>
      </w:r>
      <w:r>
        <w:rPr>
          <w:rFonts w:eastAsia="Times New Roman"/>
          <w:b/>
          <w:color w:val="000000"/>
          <w:szCs w:val="20"/>
          <w:lang w:eastAsia="en-AU"/>
        </w:rPr>
        <w:t>ossible</w:t>
      </w:r>
      <w:r w:rsidRPr="001560F1">
        <w:rPr>
          <w:rFonts w:eastAsia="Times New Roman"/>
          <w:b/>
          <w:color w:val="000000"/>
          <w:szCs w:val="20"/>
          <w:lang w:eastAsia="en-AU"/>
        </w:rPr>
        <w:t xml:space="preserve"> reform</w:t>
      </w:r>
    </w:p>
    <w:p w14:paraId="51885C5E" w14:textId="5E74C511" w:rsidR="00E32C3B" w:rsidRDefault="00BB145B" w:rsidP="00BB145B">
      <w:pPr>
        <w:spacing w:after="120"/>
        <w:rPr>
          <w:rFonts w:eastAsia="Times New Roman"/>
          <w:color w:val="000000"/>
          <w:szCs w:val="20"/>
          <w:lang w:eastAsia="en-AU"/>
        </w:rPr>
      </w:pPr>
      <w:r>
        <w:rPr>
          <w:rFonts w:eastAsia="Times New Roman"/>
          <w:color w:val="000000"/>
          <w:szCs w:val="20"/>
          <w:lang w:eastAsia="en-AU"/>
        </w:rPr>
        <w:t xml:space="preserve">The department is considering a suggestion to transfer Forms 1 to 5 of the Schedule to the Federal Court Regulations to the Federal Court Rules. This proposal </w:t>
      </w:r>
      <w:r w:rsidR="008E192E">
        <w:rPr>
          <w:rFonts w:eastAsia="Times New Roman"/>
          <w:color w:val="000000"/>
          <w:szCs w:val="20"/>
          <w:lang w:eastAsia="en-AU"/>
        </w:rPr>
        <w:t>would</w:t>
      </w:r>
      <w:r>
        <w:rPr>
          <w:rFonts w:eastAsia="Times New Roman"/>
          <w:color w:val="000000"/>
          <w:szCs w:val="20"/>
          <w:lang w:eastAsia="en-AU"/>
        </w:rPr>
        <w:t xml:space="preserve"> require </w:t>
      </w:r>
      <w:r w:rsidR="00C17949">
        <w:rPr>
          <w:rFonts w:eastAsia="Times New Roman"/>
          <w:color w:val="000000"/>
          <w:szCs w:val="20"/>
          <w:lang w:eastAsia="en-AU"/>
        </w:rPr>
        <w:t>further related</w:t>
      </w:r>
      <w:r>
        <w:rPr>
          <w:rFonts w:eastAsia="Times New Roman"/>
          <w:color w:val="000000"/>
          <w:szCs w:val="20"/>
          <w:lang w:eastAsia="en-AU"/>
        </w:rPr>
        <w:t xml:space="preserve"> amendment</w:t>
      </w:r>
      <w:r w:rsidR="00D14FD0">
        <w:rPr>
          <w:rFonts w:eastAsia="Times New Roman"/>
          <w:color w:val="000000"/>
          <w:szCs w:val="20"/>
          <w:lang w:eastAsia="en-AU"/>
        </w:rPr>
        <w:t>s</w:t>
      </w:r>
      <w:r>
        <w:rPr>
          <w:rFonts w:eastAsia="Times New Roman"/>
          <w:color w:val="000000"/>
          <w:szCs w:val="20"/>
          <w:lang w:eastAsia="en-AU"/>
        </w:rPr>
        <w:t xml:space="preserve"> to sections</w:t>
      </w:r>
      <w:r w:rsidR="0075783E">
        <w:rPr>
          <w:rFonts w:eastAsia="Times New Roman"/>
          <w:color w:val="000000"/>
          <w:szCs w:val="20"/>
          <w:lang w:eastAsia="en-AU"/>
        </w:rPr>
        <w:t> </w:t>
      </w:r>
      <w:r>
        <w:rPr>
          <w:rFonts w:eastAsia="Times New Roman"/>
          <w:color w:val="000000"/>
          <w:szCs w:val="20"/>
          <w:lang w:eastAsia="en-AU"/>
        </w:rPr>
        <w:t xml:space="preserve">61, 62, 190B and 190C of the NT Act to </w:t>
      </w:r>
      <w:r w:rsidR="008E192E">
        <w:rPr>
          <w:rFonts w:eastAsia="Times New Roman"/>
          <w:color w:val="000000"/>
          <w:szCs w:val="20"/>
          <w:lang w:eastAsia="en-AU"/>
        </w:rPr>
        <w:t>implement</w:t>
      </w:r>
      <w:r>
        <w:rPr>
          <w:rFonts w:eastAsia="Times New Roman"/>
          <w:color w:val="000000"/>
          <w:szCs w:val="20"/>
          <w:lang w:eastAsia="en-AU"/>
        </w:rPr>
        <w:t xml:space="preserve">. </w:t>
      </w:r>
    </w:p>
    <w:p w14:paraId="4B431E9C" w14:textId="5D85CD27" w:rsidR="00E32C3B" w:rsidRPr="006F4054" w:rsidRDefault="00E32C3B" w:rsidP="00BB145B">
      <w:pPr>
        <w:spacing w:after="120"/>
        <w:rPr>
          <w:rFonts w:eastAsia="Times New Roman"/>
          <w:i/>
          <w:color w:val="000000"/>
          <w:szCs w:val="20"/>
          <w:lang w:eastAsia="en-AU"/>
        </w:rPr>
      </w:pPr>
      <w:r>
        <w:rPr>
          <w:rFonts w:eastAsia="Times New Roman"/>
          <w:i/>
          <w:color w:val="000000"/>
          <w:szCs w:val="20"/>
          <w:lang w:eastAsia="en-AU"/>
        </w:rPr>
        <w:lastRenderedPageBreak/>
        <w:t>Intended effect</w:t>
      </w:r>
    </w:p>
    <w:p w14:paraId="1F2492D5" w14:textId="5CA10558" w:rsidR="00BB145B" w:rsidRDefault="00F45946" w:rsidP="00BB145B">
      <w:pPr>
        <w:spacing w:after="120"/>
        <w:rPr>
          <w:rFonts w:eastAsia="Times New Roman"/>
          <w:color w:val="000000"/>
          <w:szCs w:val="20"/>
          <w:lang w:eastAsia="en-AU"/>
        </w:rPr>
      </w:pPr>
      <w:r>
        <w:rPr>
          <w:rFonts w:eastAsia="Times New Roman"/>
          <w:color w:val="000000"/>
          <w:szCs w:val="20"/>
          <w:lang w:eastAsia="en-AU"/>
        </w:rPr>
        <w:t xml:space="preserve">The intended effect of this reform is that </w:t>
      </w:r>
      <w:r w:rsidR="00F3796C">
        <w:rPr>
          <w:rFonts w:eastAsia="Times New Roman"/>
          <w:color w:val="000000"/>
          <w:szCs w:val="20"/>
          <w:lang w:eastAsia="en-AU"/>
        </w:rPr>
        <w:t xml:space="preserve">all </w:t>
      </w:r>
      <w:r w:rsidR="00725AA7">
        <w:rPr>
          <w:rFonts w:eastAsia="Times New Roman"/>
          <w:color w:val="000000"/>
          <w:szCs w:val="20"/>
          <w:lang w:eastAsia="en-AU"/>
        </w:rPr>
        <w:t>native title</w:t>
      </w:r>
      <w:r w:rsidR="00F30D1E">
        <w:rPr>
          <w:rFonts w:eastAsia="Times New Roman"/>
          <w:color w:val="000000"/>
          <w:szCs w:val="20"/>
          <w:lang w:eastAsia="en-AU"/>
        </w:rPr>
        <w:t xml:space="preserve"> f</w:t>
      </w:r>
      <w:r w:rsidR="00725AA7">
        <w:rPr>
          <w:rFonts w:eastAsia="Times New Roman"/>
          <w:color w:val="000000"/>
          <w:szCs w:val="20"/>
          <w:lang w:eastAsia="en-AU"/>
        </w:rPr>
        <w:t xml:space="preserve">orms </w:t>
      </w:r>
      <w:r w:rsidR="00E27A59">
        <w:rPr>
          <w:rFonts w:eastAsia="Times New Roman"/>
          <w:color w:val="000000"/>
          <w:szCs w:val="20"/>
          <w:lang w:eastAsia="en-AU"/>
        </w:rPr>
        <w:t>can be</w:t>
      </w:r>
      <w:r w:rsidR="00725AA7">
        <w:rPr>
          <w:rFonts w:eastAsia="Times New Roman"/>
          <w:color w:val="000000"/>
          <w:szCs w:val="20"/>
          <w:lang w:eastAsia="en-AU"/>
        </w:rPr>
        <w:t xml:space="preserve"> </w:t>
      </w:r>
      <w:r w:rsidR="00134B77">
        <w:rPr>
          <w:rFonts w:eastAsia="Times New Roman"/>
          <w:color w:val="000000"/>
          <w:szCs w:val="20"/>
          <w:lang w:eastAsia="en-AU"/>
        </w:rPr>
        <w:t xml:space="preserve">accessed </w:t>
      </w:r>
      <w:r w:rsidR="008E192E">
        <w:rPr>
          <w:rFonts w:eastAsia="Times New Roman"/>
          <w:color w:val="000000"/>
          <w:szCs w:val="20"/>
          <w:lang w:eastAsia="en-AU"/>
        </w:rPr>
        <w:t>through the Federal Court Rules, consistent with many other areas of civil law</w:t>
      </w:r>
      <w:r w:rsidR="007C0131">
        <w:rPr>
          <w:rFonts w:eastAsia="Times New Roman"/>
          <w:color w:val="000000"/>
          <w:szCs w:val="20"/>
          <w:lang w:eastAsia="en-AU"/>
        </w:rPr>
        <w:t>, leading to increased use of the correct form</w:t>
      </w:r>
      <w:r w:rsidR="00E27A59">
        <w:rPr>
          <w:rFonts w:eastAsia="Times New Roman"/>
          <w:color w:val="000000"/>
          <w:szCs w:val="20"/>
          <w:lang w:eastAsia="en-AU"/>
        </w:rPr>
        <w:t xml:space="preserve"> and</w:t>
      </w:r>
      <w:r w:rsidR="00134B77">
        <w:rPr>
          <w:rFonts w:eastAsia="Times New Roman"/>
          <w:color w:val="000000"/>
          <w:szCs w:val="20"/>
          <w:lang w:eastAsia="en-AU"/>
        </w:rPr>
        <w:t xml:space="preserve">, </w:t>
      </w:r>
      <w:r w:rsidR="00E27A59">
        <w:rPr>
          <w:rFonts w:eastAsia="Times New Roman"/>
          <w:color w:val="000000"/>
          <w:szCs w:val="20"/>
          <w:lang w:eastAsia="en-AU"/>
        </w:rPr>
        <w:t xml:space="preserve">subsequently, </w:t>
      </w:r>
      <w:r w:rsidR="0027587A">
        <w:rPr>
          <w:rFonts w:eastAsia="Times New Roman"/>
          <w:color w:val="000000"/>
          <w:szCs w:val="20"/>
          <w:lang w:eastAsia="en-AU"/>
        </w:rPr>
        <w:t xml:space="preserve">more expeditious registration of </w:t>
      </w:r>
      <w:r w:rsidR="00337586">
        <w:rPr>
          <w:rFonts w:eastAsia="Times New Roman"/>
          <w:color w:val="000000"/>
          <w:szCs w:val="20"/>
          <w:lang w:eastAsia="en-AU"/>
        </w:rPr>
        <w:t>claims</w:t>
      </w:r>
      <w:r w:rsidR="0027587A">
        <w:rPr>
          <w:rFonts w:eastAsia="Times New Roman"/>
          <w:color w:val="000000"/>
          <w:szCs w:val="20"/>
          <w:lang w:eastAsia="en-AU"/>
        </w:rPr>
        <w:t xml:space="preserve"> and access to procedural rights for </w:t>
      </w:r>
      <w:r w:rsidR="00650AD1">
        <w:rPr>
          <w:rFonts w:eastAsia="Times New Roman"/>
          <w:color w:val="000000"/>
          <w:szCs w:val="20"/>
          <w:lang w:eastAsia="en-AU"/>
        </w:rPr>
        <w:t>A</w:t>
      </w:r>
      <w:r w:rsidR="0027587A">
        <w:rPr>
          <w:rFonts w:eastAsia="Times New Roman"/>
          <w:color w:val="000000"/>
          <w:szCs w:val="20"/>
          <w:lang w:eastAsia="en-AU"/>
        </w:rPr>
        <w:t>pplicants</w:t>
      </w:r>
      <w:r w:rsidR="007C0131">
        <w:rPr>
          <w:rFonts w:eastAsia="Times New Roman"/>
          <w:color w:val="000000"/>
          <w:szCs w:val="20"/>
          <w:lang w:eastAsia="en-AU"/>
        </w:rPr>
        <w:t>. Additionally,</w:t>
      </w:r>
      <w:r w:rsidR="00F30D1E">
        <w:rPr>
          <w:rFonts w:eastAsia="Times New Roman"/>
          <w:color w:val="000000"/>
          <w:szCs w:val="20"/>
          <w:lang w:eastAsia="en-AU"/>
        </w:rPr>
        <w:t xml:space="preserve"> </w:t>
      </w:r>
      <w:r w:rsidR="00E27A59">
        <w:rPr>
          <w:rFonts w:eastAsia="Times New Roman"/>
          <w:color w:val="000000"/>
          <w:szCs w:val="20"/>
          <w:lang w:eastAsia="en-AU"/>
        </w:rPr>
        <w:t xml:space="preserve">as </w:t>
      </w:r>
      <w:r w:rsidR="007C0131">
        <w:rPr>
          <w:rFonts w:eastAsia="Times New Roman"/>
          <w:color w:val="000000"/>
          <w:szCs w:val="20"/>
          <w:lang w:eastAsia="en-AU"/>
        </w:rPr>
        <w:t xml:space="preserve">Federal Court </w:t>
      </w:r>
      <w:r w:rsidR="00F3796C">
        <w:rPr>
          <w:rFonts w:eastAsia="Times New Roman"/>
          <w:color w:val="000000"/>
          <w:szCs w:val="20"/>
          <w:lang w:eastAsia="en-AU"/>
        </w:rPr>
        <w:t>officers</w:t>
      </w:r>
      <w:r w:rsidR="007C0131">
        <w:rPr>
          <w:rFonts w:eastAsia="Times New Roman"/>
          <w:color w:val="000000"/>
          <w:szCs w:val="20"/>
          <w:lang w:eastAsia="en-AU"/>
        </w:rPr>
        <w:t xml:space="preserve"> </w:t>
      </w:r>
      <w:r w:rsidR="00E27A59">
        <w:rPr>
          <w:rFonts w:eastAsia="Times New Roman"/>
          <w:color w:val="000000"/>
          <w:szCs w:val="20"/>
          <w:lang w:eastAsia="en-AU"/>
        </w:rPr>
        <w:t>are key users</w:t>
      </w:r>
      <w:r w:rsidR="007C0131">
        <w:rPr>
          <w:rFonts w:eastAsia="Times New Roman"/>
          <w:color w:val="000000"/>
          <w:szCs w:val="20"/>
          <w:lang w:eastAsia="en-AU"/>
        </w:rPr>
        <w:t xml:space="preserve"> </w:t>
      </w:r>
      <w:r w:rsidR="00E27A59">
        <w:rPr>
          <w:rFonts w:eastAsia="Times New Roman"/>
          <w:color w:val="000000"/>
          <w:szCs w:val="20"/>
          <w:lang w:eastAsia="en-AU"/>
        </w:rPr>
        <w:t xml:space="preserve">of </w:t>
      </w:r>
      <w:r w:rsidR="007C0131">
        <w:rPr>
          <w:rFonts w:eastAsia="Times New Roman"/>
          <w:color w:val="000000"/>
          <w:szCs w:val="20"/>
          <w:lang w:eastAsia="en-AU"/>
        </w:rPr>
        <w:t xml:space="preserve">the forms in practice, </w:t>
      </w:r>
      <w:r w:rsidR="00725AA7">
        <w:rPr>
          <w:rFonts w:eastAsia="Times New Roman"/>
          <w:color w:val="000000"/>
          <w:szCs w:val="20"/>
          <w:lang w:eastAsia="en-AU"/>
        </w:rPr>
        <w:t xml:space="preserve">any </w:t>
      </w:r>
      <w:r w:rsidR="008E192E">
        <w:rPr>
          <w:rFonts w:eastAsia="Times New Roman"/>
          <w:color w:val="000000"/>
          <w:szCs w:val="20"/>
          <w:lang w:eastAsia="en-AU"/>
        </w:rPr>
        <w:t xml:space="preserve">identified </w:t>
      </w:r>
      <w:r w:rsidR="00F30D1E">
        <w:rPr>
          <w:rFonts w:eastAsia="Times New Roman"/>
          <w:color w:val="000000"/>
          <w:szCs w:val="20"/>
          <w:lang w:eastAsia="en-AU"/>
        </w:rPr>
        <w:t>future</w:t>
      </w:r>
      <w:r w:rsidR="00E27A59">
        <w:rPr>
          <w:rFonts w:eastAsia="Times New Roman"/>
          <w:color w:val="000000"/>
          <w:szCs w:val="20"/>
          <w:lang w:eastAsia="en-AU"/>
        </w:rPr>
        <w:t xml:space="preserve"> </w:t>
      </w:r>
      <w:r w:rsidR="00F30D1E">
        <w:rPr>
          <w:rFonts w:eastAsia="Times New Roman"/>
          <w:color w:val="000000"/>
          <w:szCs w:val="20"/>
          <w:lang w:eastAsia="en-AU"/>
        </w:rPr>
        <w:t xml:space="preserve">amendments </w:t>
      </w:r>
      <w:r w:rsidR="00725AA7">
        <w:rPr>
          <w:rFonts w:eastAsia="Times New Roman"/>
          <w:color w:val="000000"/>
          <w:szCs w:val="20"/>
          <w:lang w:eastAsia="en-AU"/>
        </w:rPr>
        <w:t>to the forms can</w:t>
      </w:r>
      <w:r w:rsidR="00F30D1E">
        <w:rPr>
          <w:rFonts w:eastAsia="Times New Roman"/>
          <w:color w:val="000000"/>
          <w:szCs w:val="20"/>
          <w:lang w:eastAsia="en-AU"/>
        </w:rPr>
        <w:t xml:space="preserve"> be </w:t>
      </w:r>
      <w:r w:rsidR="00E27A59">
        <w:rPr>
          <w:rFonts w:eastAsia="Times New Roman"/>
          <w:color w:val="000000"/>
          <w:szCs w:val="20"/>
          <w:lang w:eastAsia="en-AU"/>
        </w:rPr>
        <w:t xml:space="preserve">appropriately </w:t>
      </w:r>
      <w:r w:rsidR="0027587A">
        <w:rPr>
          <w:rFonts w:eastAsia="Times New Roman"/>
          <w:color w:val="000000"/>
          <w:szCs w:val="20"/>
          <w:lang w:eastAsia="en-AU"/>
        </w:rPr>
        <w:t xml:space="preserve">initiated and </w:t>
      </w:r>
      <w:r w:rsidR="00E27A59">
        <w:rPr>
          <w:rFonts w:eastAsia="Times New Roman"/>
          <w:color w:val="000000"/>
          <w:szCs w:val="20"/>
          <w:lang w:eastAsia="en-AU"/>
        </w:rPr>
        <w:t>progressed</w:t>
      </w:r>
      <w:r w:rsidR="00F30D1E">
        <w:rPr>
          <w:rFonts w:eastAsia="Times New Roman"/>
          <w:color w:val="000000"/>
          <w:szCs w:val="20"/>
          <w:lang w:eastAsia="en-AU"/>
        </w:rPr>
        <w:t xml:space="preserve"> </w:t>
      </w:r>
      <w:r w:rsidR="007C0131">
        <w:rPr>
          <w:rFonts w:eastAsia="Times New Roman"/>
          <w:color w:val="000000"/>
          <w:szCs w:val="20"/>
          <w:lang w:eastAsia="en-AU"/>
        </w:rPr>
        <w:t xml:space="preserve">more </w:t>
      </w:r>
      <w:r w:rsidR="00F30D1E">
        <w:rPr>
          <w:rFonts w:eastAsia="Times New Roman"/>
          <w:color w:val="000000"/>
          <w:szCs w:val="20"/>
          <w:lang w:eastAsia="en-AU"/>
        </w:rPr>
        <w:t>efficiently</w:t>
      </w:r>
      <w:r w:rsidR="0027587A">
        <w:rPr>
          <w:rFonts w:eastAsia="Times New Roman"/>
          <w:color w:val="000000"/>
          <w:szCs w:val="20"/>
          <w:lang w:eastAsia="en-AU"/>
        </w:rPr>
        <w:t xml:space="preserve"> by </w:t>
      </w:r>
      <w:r w:rsidR="00F3796C">
        <w:rPr>
          <w:rFonts w:eastAsia="Times New Roman"/>
          <w:color w:val="000000"/>
          <w:szCs w:val="20"/>
          <w:lang w:eastAsia="en-AU"/>
        </w:rPr>
        <w:t>the Federal Court</w:t>
      </w:r>
      <w:r w:rsidR="00F30D1E">
        <w:rPr>
          <w:rFonts w:eastAsia="Times New Roman"/>
          <w:color w:val="000000"/>
          <w:szCs w:val="20"/>
          <w:lang w:eastAsia="en-AU"/>
        </w:rPr>
        <w:t xml:space="preserve">. </w:t>
      </w:r>
    </w:p>
    <w:p w14:paraId="5921B870" w14:textId="77777777" w:rsidR="00BB145B" w:rsidRPr="00417879" w:rsidRDefault="00BB145B" w:rsidP="00BB145B">
      <w:pPr>
        <w:spacing w:after="120"/>
        <w:rPr>
          <w:rFonts w:eastAsia="Times New Roman"/>
          <w:b/>
          <w:color w:val="000000"/>
          <w:szCs w:val="20"/>
          <w:lang w:eastAsia="en-AU"/>
        </w:rPr>
      </w:pPr>
      <w:r w:rsidRPr="00417879">
        <w:rPr>
          <w:rFonts w:eastAsia="Times New Roman"/>
          <w:b/>
          <w:color w:val="000000"/>
          <w:szCs w:val="20"/>
          <w:lang w:eastAsia="en-AU"/>
        </w:rPr>
        <w:t>Question</w:t>
      </w:r>
    </w:p>
    <w:p w14:paraId="7DAD9054" w14:textId="77777777" w:rsidR="00BB145B" w:rsidRPr="00FD4BC6" w:rsidRDefault="00BB145B" w:rsidP="007B3C23">
      <w:pPr>
        <w:pStyle w:val="ListParagraph"/>
        <w:numPr>
          <w:ilvl w:val="0"/>
          <w:numId w:val="106"/>
        </w:numPr>
        <w:spacing w:after="120"/>
        <w:rPr>
          <w:rFonts w:eastAsia="Times New Roman"/>
          <w:color w:val="000000"/>
          <w:szCs w:val="20"/>
          <w:lang w:eastAsia="en-AU"/>
        </w:rPr>
      </w:pPr>
      <w:bookmarkStart w:id="6" w:name="_Hlk122519682"/>
      <w:r w:rsidRPr="00FD4BC6">
        <w:rPr>
          <w:rFonts w:eastAsia="Times New Roman"/>
          <w:color w:val="000000"/>
          <w:szCs w:val="20"/>
          <w:lang w:eastAsia="en-AU"/>
        </w:rPr>
        <w:t xml:space="preserve">Should responsibility for native title forms be transferred to the Federal Court? </w:t>
      </w:r>
    </w:p>
    <w:bookmarkEnd w:id="6"/>
    <w:p w14:paraId="0686D916" w14:textId="0DE3039C" w:rsidR="00BB145B" w:rsidRDefault="00BB145B" w:rsidP="00BB145B">
      <w:pPr>
        <w:spacing w:after="0" w:line="240" w:lineRule="auto"/>
        <w:rPr>
          <w:rFonts w:eastAsia="Times New Roman"/>
          <w:color w:val="000000"/>
          <w:szCs w:val="20"/>
          <w:lang w:eastAsia="en-AU"/>
        </w:rPr>
      </w:pPr>
    </w:p>
    <w:p w14:paraId="2012756E" w14:textId="446B874F" w:rsidR="00BB145B" w:rsidRDefault="00BB145B" w:rsidP="00BB145B">
      <w:pPr>
        <w:pStyle w:val="Heading3"/>
        <w:spacing w:after="120" w:line="276" w:lineRule="auto"/>
      </w:pPr>
      <w:r>
        <w:t xml:space="preserve">Reforms to both Form 1 </w:t>
      </w:r>
      <w:r w:rsidR="00E27A59">
        <w:t>and Form</w:t>
      </w:r>
      <w:r>
        <w:t xml:space="preserve"> 4 </w:t>
      </w:r>
    </w:p>
    <w:p w14:paraId="7F2FBCCC" w14:textId="00157FE3" w:rsidR="00BB145B" w:rsidRPr="001E4702" w:rsidRDefault="00BB145B" w:rsidP="00BB145B">
      <w:pPr>
        <w:pStyle w:val="Heading4"/>
        <w:spacing w:after="120" w:line="276" w:lineRule="auto"/>
      </w:pPr>
      <w:r>
        <w:t xml:space="preserve">Requiring </w:t>
      </w:r>
      <w:r w:rsidR="00A64B0F">
        <w:t>distinct</w:t>
      </w:r>
      <w:r>
        <w:t xml:space="preserve"> </w:t>
      </w:r>
      <w:r w:rsidR="00A64B0F">
        <w:t xml:space="preserve">processes for compensation claims </w:t>
      </w:r>
      <w:r>
        <w:t xml:space="preserve">where </w:t>
      </w:r>
      <w:r w:rsidR="00A64B0F">
        <w:t xml:space="preserve">native title already determined </w:t>
      </w:r>
      <w:r w:rsidR="00B54DB1">
        <w:t xml:space="preserve">versus </w:t>
      </w:r>
      <w:r w:rsidR="00A64B0F">
        <w:t>where</w:t>
      </w:r>
      <w:r>
        <w:t xml:space="preserve"> determination of native title is sought </w:t>
      </w:r>
      <w:r w:rsidRPr="009E7637">
        <w:t>together with compensation</w:t>
      </w:r>
    </w:p>
    <w:p w14:paraId="656AD505" w14:textId="77777777" w:rsidR="00BB145B" w:rsidRDefault="00BB145B" w:rsidP="00BB145B">
      <w:pPr>
        <w:spacing w:after="120"/>
        <w:rPr>
          <w:b/>
          <w:bCs/>
        </w:rPr>
      </w:pPr>
      <w:r w:rsidRPr="0058562C">
        <w:rPr>
          <w:b/>
          <w:bCs/>
        </w:rPr>
        <w:t>Overview</w:t>
      </w:r>
    </w:p>
    <w:p w14:paraId="4E7B04D8" w14:textId="65F899D1" w:rsidR="00BB145B" w:rsidRDefault="00BB145B" w:rsidP="00BB145B">
      <w:pPr>
        <w:spacing w:after="120"/>
      </w:pPr>
      <w:r>
        <w:rPr>
          <w:bCs/>
        </w:rPr>
        <w:t xml:space="preserve">In order for the Federal Court to </w:t>
      </w:r>
      <w:proofErr w:type="gramStart"/>
      <w:r>
        <w:rPr>
          <w:bCs/>
        </w:rPr>
        <w:t>make a determination</w:t>
      </w:r>
      <w:proofErr w:type="gramEnd"/>
      <w:r>
        <w:rPr>
          <w:bCs/>
        </w:rPr>
        <w:t xml:space="preserve"> of compensation, there must be an approved determination of native title made in relation to the whole or part of the area concerned (s13(2) of the NT Act). </w:t>
      </w:r>
      <w:r w:rsidRPr="0058562C">
        <w:rPr>
          <w:bCs/>
        </w:rPr>
        <w:t>Currently</w:t>
      </w:r>
      <w:r>
        <w:rPr>
          <w:bCs/>
        </w:rPr>
        <w:t xml:space="preserve">, it is potentially unclear whether </w:t>
      </w:r>
      <w:r>
        <w:t>an</w:t>
      </w:r>
      <w:r w:rsidRPr="00655A9C">
        <w:t xml:space="preserve"> </w:t>
      </w:r>
      <w:r w:rsidR="008E192E">
        <w:t>A</w:t>
      </w:r>
      <w:r w:rsidRPr="00655A9C">
        <w:t xml:space="preserve">pplicant </w:t>
      </w:r>
      <w:r>
        <w:t>seeking compensation without already having a determination of native title is required</w:t>
      </w:r>
      <w:r w:rsidRPr="00655A9C">
        <w:t xml:space="preserve"> </w:t>
      </w:r>
      <w:r>
        <w:t>to file both a F</w:t>
      </w:r>
      <w:r w:rsidRPr="00655A9C">
        <w:t xml:space="preserve">orm 1 </w:t>
      </w:r>
      <w:r>
        <w:t>(</w:t>
      </w:r>
      <w:r w:rsidR="00470D85">
        <w:t>d</w:t>
      </w:r>
      <w:r>
        <w:t xml:space="preserve">etermination </w:t>
      </w:r>
      <w:r w:rsidR="00470D85">
        <w:t>a</w:t>
      </w:r>
      <w:r>
        <w:t>pplication) and</w:t>
      </w:r>
      <w:r w:rsidRPr="00655A9C">
        <w:t xml:space="preserve"> </w:t>
      </w:r>
      <w:r>
        <w:t>a F</w:t>
      </w:r>
      <w:r w:rsidRPr="00655A9C">
        <w:t>orm 4 (</w:t>
      </w:r>
      <w:r w:rsidR="00470D85">
        <w:t>c</w:t>
      </w:r>
      <w:r>
        <w:t xml:space="preserve">ompensation </w:t>
      </w:r>
      <w:r w:rsidR="00470D85">
        <w:t>a</w:t>
      </w:r>
      <w:r>
        <w:t>pplication</w:t>
      </w:r>
      <w:r w:rsidRPr="00655A9C">
        <w:t>).</w:t>
      </w:r>
      <w:r>
        <w:t xml:space="preserve"> </w:t>
      </w:r>
    </w:p>
    <w:p w14:paraId="6075BF1D" w14:textId="25D0EC82" w:rsidR="00BB145B" w:rsidRPr="0058562C" w:rsidRDefault="00BB145B" w:rsidP="00BB145B">
      <w:pPr>
        <w:spacing w:after="120"/>
        <w:rPr>
          <w:bCs/>
        </w:rPr>
      </w:pPr>
      <w:r w:rsidRPr="001E4702">
        <w:rPr>
          <w:bCs/>
        </w:rPr>
        <w:t>Th</w:t>
      </w:r>
      <w:r>
        <w:rPr>
          <w:bCs/>
        </w:rPr>
        <w:t xml:space="preserve">is potentially </w:t>
      </w:r>
      <w:r w:rsidRPr="001E4702">
        <w:rPr>
          <w:bCs/>
        </w:rPr>
        <w:t xml:space="preserve">creates complexity </w:t>
      </w:r>
      <w:r>
        <w:rPr>
          <w:bCs/>
        </w:rPr>
        <w:t>because of the differing requirements between the two forms. C</w:t>
      </w:r>
      <w:r w:rsidRPr="001E4702">
        <w:rPr>
          <w:bCs/>
        </w:rPr>
        <w:t xml:space="preserve">laim applications through Form 1 will </w:t>
      </w:r>
      <w:r>
        <w:rPr>
          <w:bCs/>
        </w:rPr>
        <w:t xml:space="preserve">also </w:t>
      </w:r>
      <w:r w:rsidRPr="001E4702">
        <w:rPr>
          <w:bCs/>
        </w:rPr>
        <w:t xml:space="preserve">attract the registration test </w:t>
      </w:r>
      <w:r>
        <w:rPr>
          <w:bCs/>
        </w:rPr>
        <w:t>(see ss 190A, 190B and 190C of the NT</w:t>
      </w:r>
      <w:r w:rsidR="00685A69">
        <w:rPr>
          <w:bCs/>
        </w:rPr>
        <w:t> </w:t>
      </w:r>
      <w:r>
        <w:rPr>
          <w:bCs/>
        </w:rPr>
        <w:t xml:space="preserve">Act) </w:t>
      </w:r>
      <w:r w:rsidRPr="001E4702">
        <w:rPr>
          <w:bCs/>
        </w:rPr>
        <w:t xml:space="preserve">whereas </w:t>
      </w:r>
      <w:r w:rsidR="00883DA2">
        <w:rPr>
          <w:bCs/>
        </w:rPr>
        <w:t>applications made</w:t>
      </w:r>
      <w:r w:rsidRPr="001E4702">
        <w:rPr>
          <w:bCs/>
        </w:rPr>
        <w:t xml:space="preserve"> through </w:t>
      </w:r>
      <w:r>
        <w:rPr>
          <w:bCs/>
        </w:rPr>
        <w:t>F</w:t>
      </w:r>
      <w:r w:rsidRPr="001E4702">
        <w:rPr>
          <w:bCs/>
        </w:rPr>
        <w:t xml:space="preserve">orm 4 </w:t>
      </w:r>
      <w:r>
        <w:rPr>
          <w:bCs/>
        </w:rPr>
        <w:t>will not.</w:t>
      </w:r>
    </w:p>
    <w:p w14:paraId="48837465" w14:textId="73638179" w:rsidR="0075783E" w:rsidRPr="00662736" w:rsidRDefault="00BB145B" w:rsidP="0075783E">
      <w:pPr>
        <w:spacing w:after="120"/>
        <w:rPr>
          <w:b/>
          <w:bCs/>
        </w:rPr>
      </w:pPr>
      <w:r>
        <w:rPr>
          <w:b/>
          <w:bCs/>
        </w:rPr>
        <w:t>Possible reforms</w:t>
      </w:r>
    </w:p>
    <w:p w14:paraId="26367480" w14:textId="77777777" w:rsidR="00662736" w:rsidRDefault="00662736" w:rsidP="00BB145B">
      <w:pPr>
        <w:pStyle w:val="ListParagraph"/>
        <w:numPr>
          <w:ilvl w:val="0"/>
          <w:numId w:val="68"/>
        </w:numPr>
        <w:spacing w:after="120"/>
        <w:contextualSpacing w:val="0"/>
        <w:rPr>
          <w:bCs/>
        </w:rPr>
      </w:pPr>
      <w:r>
        <w:rPr>
          <w:bCs/>
        </w:rPr>
        <w:t xml:space="preserve">Where a determination of native title is sought in conjunction with a claim for compensation: </w:t>
      </w:r>
    </w:p>
    <w:p w14:paraId="6DEB9ABB" w14:textId="4344A6C8" w:rsidR="00337586" w:rsidRDefault="00662736" w:rsidP="00883DA2">
      <w:pPr>
        <w:pStyle w:val="ListParagraph"/>
        <w:numPr>
          <w:ilvl w:val="1"/>
          <w:numId w:val="68"/>
        </w:numPr>
        <w:spacing w:after="120"/>
        <w:contextualSpacing w:val="0"/>
        <w:rPr>
          <w:bCs/>
        </w:rPr>
      </w:pPr>
      <w:r>
        <w:rPr>
          <w:bCs/>
        </w:rPr>
        <w:t>r</w:t>
      </w:r>
      <w:r w:rsidR="00BB145B" w:rsidRPr="001560F1">
        <w:rPr>
          <w:bCs/>
        </w:rPr>
        <w:t xml:space="preserve">evise the </w:t>
      </w:r>
      <w:r w:rsidR="00BB145B">
        <w:rPr>
          <w:bCs/>
        </w:rPr>
        <w:t>Federal Court Regulations</w:t>
      </w:r>
      <w:r w:rsidR="00BB145B" w:rsidRPr="001560F1">
        <w:rPr>
          <w:bCs/>
        </w:rPr>
        <w:t xml:space="preserve"> to </w:t>
      </w:r>
      <w:r w:rsidR="00BB145B">
        <w:rPr>
          <w:bCs/>
        </w:rPr>
        <w:t xml:space="preserve">make it clear </w:t>
      </w:r>
      <w:r w:rsidR="00BB145B" w:rsidRPr="001560F1">
        <w:rPr>
          <w:bCs/>
        </w:rPr>
        <w:t xml:space="preserve">Form 1 </w:t>
      </w:r>
      <w:r w:rsidR="00BB145B">
        <w:rPr>
          <w:bCs/>
        </w:rPr>
        <w:t>must</w:t>
      </w:r>
      <w:r w:rsidR="00BB145B" w:rsidRPr="001560F1">
        <w:rPr>
          <w:bCs/>
        </w:rPr>
        <w:t xml:space="preserve"> be lodged in all cases where a determination of native title is sought</w:t>
      </w:r>
      <w:r w:rsidR="00F5780E">
        <w:rPr>
          <w:bCs/>
        </w:rPr>
        <w:t>; and</w:t>
      </w:r>
      <w:r w:rsidR="00BB145B" w:rsidRPr="001560F1">
        <w:rPr>
          <w:bCs/>
        </w:rPr>
        <w:t xml:space="preserve"> </w:t>
      </w:r>
    </w:p>
    <w:p w14:paraId="43BCAB17" w14:textId="7E413A70" w:rsidR="00F5780E" w:rsidRDefault="00F5780E" w:rsidP="00883DA2">
      <w:pPr>
        <w:pStyle w:val="ListParagraph"/>
        <w:numPr>
          <w:ilvl w:val="1"/>
          <w:numId w:val="68"/>
        </w:numPr>
        <w:spacing w:after="120"/>
        <w:contextualSpacing w:val="0"/>
        <w:rPr>
          <w:bCs/>
        </w:rPr>
      </w:pPr>
      <w:r>
        <w:rPr>
          <w:bCs/>
        </w:rPr>
        <w:t xml:space="preserve">streamline Form 4 to remove unnecessary details already requested in Form 1. </w:t>
      </w:r>
    </w:p>
    <w:p w14:paraId="188D95E6" w14:textId="4907885A" w:rsidR="00337586" w:rsidRPr="00883DA2" w:rsidRDefault="00337586" w:rsidP="00883DA2">
      <w:pPr>
        <w:spacing w:after="120"/>
        <w:ind w:left="720"/>
        <w:rPr>
          <w:bCs/>
          <w:i/>
        </w:rPr>
      </w:pPr>
      <w:r w:rsidRPr="00883DA2">
        <w:rPr>
          <w:bCs/>
          <w:i/>
        </w:rPr>
        <w:t>Intended effect</w:t>
      </w:r>
    </w:p>
    <w:p w14:paraId="363B2B2F" w14:textId="77777777" w:rsidR="007B3C23" w:rsidRPr="00883DA2" w:rsidRDefault="00BB145B" w:rsidP="00883DA2">
      <w:pPr>
        <w:spacing w:after="120"/>
        <w:ind w:left="720"/>
        <w:rPr>
          <w:bCs/>
        </w:rPr>
        <w:sectPr w:rsidR="007B3C23" w:rsidRPr="00883DA2" w:rsidSect="00CC4C50">
          <w:pgSz w:w="12240" w:h="15840"/>
          <w:pgMar w:top="532" w:right="964" w:bottom="964" w:left="964" w:header="142" w:footer="709" w:gutter="0"/>
          <w:cols w:space="708"/>
          <w:docGrid w:linePitch="360"/>
        </w:sectPr>
      </w:pPr>
      <w:r w:rsidRPr="00883DA2">
        <w:rPr>
          <w:bCs/>
        </w:rPr>
        <w:t>Th</w:t>
      </w:r>
      <w:r w:rsidR="00685A69" w:rsidRPr="00883DA2">
        <w:rPr>
          <w:bCs/>
        </w:rPr>
        <w:t xml:space="preserve">e </w:t>
      </w:r>
      <w:r w:rsidR="00C76231" w:rsidRPr="00883DA2">
        <w:rPr>
          <w:bCs/>
        </w:rPr>
        <w:t xml:space="preserve">intended </w:t>
      </w:r>
      <w:r w:rsidR="00685A69" w:rsidRPr="00883DA2">
        <w:rPr>
          <w:bCs/>
        </w:rPr>
        <w:t xml:space="preserve">practical effect </w:t>
      </w:r>
      <w:r w:rsidR="00AC5FBD" w:rsidRPr="00883DA2">
        <w:rPr>
          <w:bCs/>
        </w:rPr>
        <w:t xml:space="preserve">of requiring Form 1 to be lodged, whenever seeking a determination of native title, </w:t>
      </w:r>
      <w:r w:rsidR="00685A69" w:rsidRPr="00883DA2">
        <w:rPr>
          <w:bCs/>
        </w:rPr>
        <w:t xml:space="preserve">is that </w:t>
      </w:r>
      <w:r w:rsidRPr="00883DA2">
        <w:rPr>
          <w:bCs/>
        </w:rPr>
        <w:t>all native title applications, including compensation applications, follow a known process and are subject to consistent case law.</w:t>
      </w:r>
      <w:r w:rsidR="00F5780E" w:rsidRPr="00883DA2">
        <w:rPr>
          <w:bCs/>
        </w:rPr>
        <w:t xml:space="preserve"> Additionally, </w:t>
      </w:r>
      <w:r w:rsidR="00AC5FBD" w:rsidRPr="00883DA2">
        <w:rPr>
          <w:bCs/>
        </w:rPr>
        <w:t xml:space="preserve">if Form 1 is required where native title is sought together with compensation, </w:t>
      </w:r>
      <w:r w:rsidR="00F5780E" w:rsidRPr="00883DA2">
        <w:rPr>
          <w:bCs/>
        </w:rPr>
        <w:t>by streamlining Form 4</w:t>
      </w:r>
      <w:r w:rsidR="00AC5FBD" w:rsidRPr="00883DA2">
        <w:rPr>
          <w:bCs/>
        </w:rPr>
        <w:t xml:space="preserve">, Applicants will not have to repeat detail already provided in Form 1. </w:t>
      </w:r>
    </w:p>
    <w:p w14:paraId="5F7E6989" w14:textId="70D3F1A1" w:rsidR="00662736" w:rsidRDefault="00662736" w:rsidP="00BB145B">
      <w:pPr>
        <w:pStyle w:val="ListParagraph"/>
        <w:numPr>
          <w:ilvl w:val="0"/>
          <w:numId w:val="68"/>
        </w:numPr>
        <w:spacing w:after="120"/>
        <w:contextualSpacing w:val="0"/>
      </w:pPr>
      <w:r>
        <w:lastRenderedPageBreak/>
        <w:t xml:space="preserve">Where a native title determination has already been finalised: </w:t>
      </w:r>
    </w:p>
    <w:p w14:paraId="4B53352D" w14:textId="58FD75EB" w:rsidR="00337586" w:rsidRDefault="00BB145B" w:rsidP="00883DA2">
      <w:pPr>
        <w:pStyle w:val="ListParagraph"/>
        <w:numPr>
          <w:ilvl w:val="1"/>
          <w:numId w:val="68"/>
        </w:numPr>
        <w:spacing w:after="120"/>
        <w:contextualSpacing w:val="0"/>
      </w:pPr>
      <w:r>
        <w:t xml:space="preserve">have a separate compensation form. This ‘Form 4a’ could be streamlined to take account of that determination and remove unnecessary </w:t>
      </w:r>
      <w:r w:rsidR="00883DA2">
        <w:t xml:space="preserve">or duplicative </w:t>
      </w:r>
      <w:r>
        <w:t xml:space="preserve">details. </w:t>
      </w:r>
      <w:r w:rsidR="00D5674F">
        <w:t xml:space="preserve"> </w:t>
      </w:r>
    </w:p>
    <w:p w14:paraId="79E3F954" w14:textId="76654439" w:rsidR="00337586" w:rsidRPr="00883DA2" w:rsidRDefault="00337586" w:rsidP="00883DA2">
      <w:pPr>
        <w:spacing w:after="120"/>
        <w:ind w:left="720"/>
        <w:rPr>
          <w:i/>
        </w:rPr>
      </w:pPr>
      <w:r w:rsidRPr="00883DA2">
        <w:rPr>
          <w:i/>
        </w:rPr>
        <w:t>Intended effect</w:t>
      </w:r>
    </w:p>
    <w:p w14:paraId="1C06F40A" w14:textId="14B55C8A" w:rsidR="00BB145B" w:rsidRPr="008248DF" w:rsidRDefault="00890A9B" w:rsidP="00883DA2">
      <w:pPr>
        <w:spacing w:after="120"/>
        <w:ind w:left="720"/>
      </w:pPr>
      <w:r>
        <w:t>This reform would result in two compensation forms; one tailored specifically for when there is already a determination of native title</w:t>
      </w:r>
      <w:r w:rsidR="00D14FD0">
        <w:t xml:space="preserve"> </w:t>
      </w:r>
      <w:r>
        <w:t xml:space="preserve">and the other for when there is no such determination made yet, which may require </w:t>
      </w:r>
      <w:r w:rsidR="00883DA2">
        <w:t>different</w:t>
      </w:r>
      <w:r>
        <w:t xml:space="preserve"> details</w:t>
      </w:r>
      <w:r w:rsidR="003C037A">
        <w:t xml:space="preserve"> to be included in the form</w:t>
      </w:r>
      <w:r>
        <w:t xml:space="preserve">.  </w:t>
      </w:r>
    </w:p>
    <w:p w14:paraId="51CCEDD0" w14:textId="482FB1CA" w:rsidR="00BB145B" w:rsidRDefault="00BB145B" w:rsidP="00BB145B">
      <w:pPr>
        <w:keepNext/>
        <w:keepLines/>
        <w:spacing w:after="120"/>
        <w:rPr>
          <w:b/>
          <w:bCs/>
        </w:rPr>
      </w:pPr>
      <w:r>
        <w:rPr>
          <w:b/>
          <w:bCs/>
        </w:rPr>
        <w:t>Question</w:t>
      </w:r>
      <w:r w:rsidR="00CC4C50">
        <w:rPr>
          <w:b/>
          <w:bCs/>
        </w:rPr>
        <w:t>s</w:t>
      </w:r>
    </w:p>
    <w:p w14:paraId="3DCC17A9" w14:textId="6CE51D97" w:rsidR="00BB145B" w:rsidRDefault="00BB145B" w:rsidP="007B3C23">
      <w:pPr>
        <w:pStyle w:val="ListParagraph"/>
        <w:keepNext/>
        <w:keepLines/>
        <w:numPr>
          <w:ilvl w:val="0"/>
          <w:numId w:val="106"/>
        </w:numPr>
        <w:spacing w:after="120"/>
        <w:contextualSpacing w:val="0"/>
      </w:pPr>
      <w:bookmarkStart w:id="7" w:name="_Hlk122520262"/>
      <w:r w:rsidRPr="00C05E2C">
        <w:rPr>
          <w:bCs/>
        </w:rPr>
        <w:t xml:space="preserve">Should the Federal Court Regulations be amended to clearly require all </w:t>
      </w:r>
      <w:r w:rsidR="00650AD1">
        <w:t>A</w:t>
      </w:r>
      <w:r w:rsidRPr="00655A9C">
        <w:t xml:space="preserve">pplicants to </w:t>
      </w:r>
      <w:r w:rsidR="003C037A">
        <w:t>file</w:t>
      </w:r>
      <w:r w:rsidRPr="00655A9C">
        <w:t xml:space="preserve"> a </w:t>
      </w:r>
      <w:r>
        <w:t>F</w:t>
      </w:r>
      <w:r w:rsidRPr="00655A9C">
        <w:t>orm 1 in all cases where a determination of native title is sought</w:t>
      </w:r>
      <w:r>
        <w:t xml:space="preserve"> (as contemplated by NTA s 13(2))?</w:t>
      </w:r>
    </w:p>
    <w:p w14:paraId="59B472BA" w14:textId="77777777" w:rsidR="00BB145B" w:rsidRDefault="00BB145B" w:rsidP="007B3C23">
      <w:pPr>
        <w:pStyle w:val="ListParagraph"/>
        <w:keepNext/>
        <w:keepLines/>
        <w:numPr>
          <w:ilvl w:val="0"/>
          <w:numId w:val="106"/>
        </w:numPr>
        <w:spacing w:after="120"/>
        <w:contextualSpacing w:val="0"/>
      </w:pPr>
      <w:r>
        <w:t>Should there be a separate compensation form (e.g. Form 4a) for when a native title claim has already been determined as opposed to only having a Form 4, which presupposes a native title claim and a compensation claim concurrently?</w:t>
      </w:r>
    </w:p>
    <w:bookmarkEnd w:id="7"/>
    <w:p w14:paraId="7AA23C95" w14:textId="77777777" w:rsidR="00BB145B" w:rsidRDefault="00BB145B" w:rsidP="00BB145B">
      <w:pPr>
        <w:pStyle w:val="Heading4"/>
        <w:spacing w:after="120" w:line="276" w:lineRule="auto"/>
      </w:pPr>
      <w:r>
        <w:t>Information regarding the authorisation process for Forms 1 and 4</w:t>
      </w:r>
    </w:p>
    <w:p w14:paraId="3CFB195D" w14:textId="77777777" w:rsidR="00BB145B" w:rsidRDefault="00BB145B" w:rsidP="00BB145B">
      <w:pPr>
        <w:spacing w:after="120"/>
        <w:rPr>
          <w:b/>
        </w:rPr>
      </w:pPr>
      <w:r w:rsidRPr="00602E5D">
        <w:rPr>
          <w:b/>
        </w:rPr>
        <w:t>Overview</w:t>
      </w:r>
    </w:p>
    <w:p w14:paraId="6415BAFD" w14:textId="117B2637" w:rsidR="0012333A" w:rsidRDefault="00BB145B" w:rsidP="00BB145B">
      <w:pPr>
        <w:spacing w:after="120"/>
        <w:rPr>
          <w:rFonts w:asciiTheme="minorHAnsi" w:hAnsiTheme="minorHAnsi" w:cstheme="minorHAnsi"/>
          <w:lang w:val="en-GB" w:eastAsia="en-GB"/>
        </w:rPr>
      </w:pPr>
      <w:r>
        <w:t xml:space="preserve">Currently, </w:t>
      </w:r>
      <w:r w:rsidR="000105B2">
        <w:t>I</w:t>
      </w:r>
      <w:r>
        <w:t xml:space="preserve">tem 2 of Part A in </w:t>
      </w:r>
      <w:r>
        <w:rPr>
          <w:rFonts w:asciiTheme="minorHAnsi" w:hAnsiTheme="minorHAnsi" w:cstheme="minorHAnsi"/>
          <w:lang w:val="en-GB" w:eastAsia="en-GB"/>
        </w:rPr>
        <w:t>Forms 1 and 4 (and 3) specif</w:t>
      </w:r>
      <w:r w:rsidR="00883DA2">
        <w:rPr>
          <w:rFonts w:asciiTheme="minorHAnsi" w:hAnsiTheme="minorHAnsi" w:cstheme="minorHAnsi"/>
          <w:lang w:val="en-GB" w:eastAsia="en-GB"/>
        </w:rPr>
        <w:t>ies</w:t>
      </w:r>
      <w:r>
        <w:rPr>
          <w:rFonts w:asciiTheme="minorHAnsi" w:hAnsiTheme="minorHAnsi" w:cstheme="minorHAnsi"/>
          <w:lang w:val="en-GB" w:eastAsia="en-GB"/>
        </w:rPr>
        <w:t xml:space="preserve"> that the </w:t>
      </w:r>
      <w:r w:rsidR="008E192E">
        <w:rPr>
          <w:rFonts w:asciiTheme="minorHAnsi" w:hAnsiTheme="minorHAnsi" w:cstheme="minorHAnsi"/>
          <w:lang w:val="en-GB" w:eastAsia="en-GB"/>
        </w:rPr>
        <w:t>A</w:t>
      </w:r>
      <w:r>
        <w:rPr>
          <w:rFonts w:asciiTheme="minorHAnsi" w:hAnsiTheme="minorHAnsi" w:cstheme="minorHAnsi"/>
          <w:lang w:val="en-GB" w:eastAsia="en-GB"/>
        </w:rPr>
        <w:t xml:space="preserve">pplicant is entitled to make </w:t>
      </w:r>
      <w:r w:rsidR="003C037A">
        <w:rPr>
          <w:rFonts w:asciiTheme="minorHAnsi" w:hAnsiTheme="minorHAnsi" w:cstheme="minorHAnsi"/>
          <w:lang w:val="en-GB" w:eastAsia="en-GB"/>
        </w:rPr>
        <w:t>the relevant</w:t>
      </w:r>
      <w:r>
        <w:rPr>
          <w:rFonts w:asciiTheme="minorHAnsi" w:hAnsiTheme="minorHAnsi" w:cstheme="minorHAnsi"/>
          <w:lang w:val="en-GB" w:eastAsia="en-GB"/>
        </w:rPr>
        <w:t xml:space="preserve"> application in the ‘capacity in which the </w:t>
      </w:r>
      <w:r w:rsidR="00650AD1">
        <w:rPr>
          <w:rFonts w:asciiTheme="minorHAnsi" w:hAnsiTheme="minorHAnsi" w:cstheme="minorHAnsi"/>
          <w:lang w:val="en-GB" w:eastAsia="en-GB"/>
        </w:rPr>
        <w:t>A</w:t>
      </w:r>
      <w:r>
        <w:rPr>
          <w:rFonts w:asciiTheme="minorHAnsi" w:hAnsiTheme="minorHAnsi" w:cstheme="minorHAnsi"/>
          <w:lang w:val="en-GB" w:eastAsia="en-GB"/>
        </w:rPr>
        <w:t>pplicant claims to be entitled to make the application</w:t>
      </w:r>
      <w:r w:rsidR="008476D3">
        <w:rPr>
          <w:rFonts w:asciiTheme="minorHAnsi" w:hAnsiTheme="minorHAnsi" w:cstheme="minorHAnsi"/>
          <w:lang w:val="en-GB" w:eastAsia="en-GB"/>
        </w:rPr>
        <w:t>’</w:t>
      </w:r>
      <w:r>
        <w:rPr>
          <w:rFonts w:asciiTheme="minorHAnsi" w:hAnsiTheme="minorHAnsi" w:cstheme="minorHAnsi"/>
          <w:lang w:val="en-GB" w:eastAsia="en-GB"/>
        </w:rPr>
        <w:t xml:space="preserve">, e.g. the </w:t>
      </w:r>
      <w:r w:rsidR="006E0A79">
        <w:rPr>
          <w:rFonts w:asciiTheme="minorHAnsi" w:hAnsiTheme="minorHAnsi" w:cstheme="minorHAnsi"/>
          <w:lang w:val="en-GB" w:eastAsia="en-GB"/>
        </w:rPr>
        <w:t>Registered Native Title Body Corporate</w:t>
      </w:r>
      <w:r w:rsidR="008476D3">
        <w:rPr>
          <w:rFonts w:asciiTheme="minorHAnsi" w:hAnsiTheme="minorHAnsi" w:cstheme="minorHAnsi"/>
          <w:lang w:val="en-GB" w:eastAsia="en-GB"/>
        </w:rPr>
        <w:t xml:space="preserve"> or a person authorised by the compensation claim group</w:t>
      </w:r>
      <w:r>
        <w:rPr>
          <w:rFonts w:asciiTheme="minorHAnsi" w:hAnsiTheme="minorHAnsi" w:cstheme="minorHAnsi"/>
          <w:lang w:val="en-GB" w:eastAsia="en-GB"/>
        </w:rPr>
        <w:t xml:space="preserve">. </w:t>
      </w:r>
    </w:p>
    <w:p w14:paraId="58F89319" w14:textId="7C8D49BC" w:rsidR="0012333A" w:rsidRDefault="002A1194" w:rsidP="00BB145B">
      <w:pPr>
        <w:spacing w:after="120"/>
        <w:rPr>
          <w:rFonts w:asciiTheme="minorHAnsi" w:hAnsiTheme="minorHAnsi" w:cstheme="minorHAnsi"/>
          <w:lang w:val="en-GB" w:eastAsia="en-GB"/>
        </w:rPr>
      </w:pPr>
      <w:r>
        <w:rPr>
          <w:rFonts w:asciiTheme="minorHAnsi" w:hAnsiTheme="minorHAnsi" w:cstheme="minorHAnsi"/>
          <w:lang w:val="en-GB" w:eastAsia="en-GB"/>
        </w:rPr>
        <w:t>For Form 1, t</w:t>
      </w:r>
      <w:r w:rsidR="00BB145B">
        <w:rPr>
          <w:rFonts w:asciiTheme="minorHAnsi" w:hAnsiTheme="minorHAnsi" w:cstheme="minorHAnsi"/>
          <w:lang w:val="en-GB" w:eastAsia="en-GB"/>
        </w:rPr>
        <w:t xml:space="preserve">he department has received </w:t>
      </w:r>
      <w:r>
        <w:rPr>
          <w:rFonts w:asciiTheme="minorHAnsi" w:hAnsiTheme="minorHAnsi" w:cstheme="minorHAnsi"/>
          <w:lang w:val="en-GB" w:eastAsia="en-GB"/>
        </w:rPr>
        <w:t xml:space="preserve">a suggestion to </w:t>
      </w:r>
      <w:r w:rsidR="00BB145B">
        <w:rPr>
          <w:rFonts w:asciiTheme="minorHAnsi" w:hAnsiTheme="minorHAnsi" w:cstheme="minorHAnsi"/>
          <w:lang w:val="en-GB" w:eastAsia="en-GB"/>
        </w:rPr>
        <w:t>adopt the wording used in section 61(1) of the NT</w:t>
      </w:r>
      <w:r w:rsidR="006E0A79">
        <w:rPr>
          <w:rFonts w:asciiTheme="minorHAnsi" w:hAnsiTheme="minorHAnsi" w:cstheme="minorHAnsi"/>
          <w:lang w:val="en-GB" w:eastAsia="en-GB"/>
        </w:rPr>
        <w:t> </w:t>
      </w:r>
      <w:r w:rsidR="00BB145B">
        <w:rPr>
          <w:rFonts w:asciiTheme="minorHAnsi" w:hAnsiTheme="minorHAnsi" w:cstheme="minorHAnsi"/>
          <w:lang w:val="en-GB" w:eastAsia="en-GB"/>
        </w:rPr>
        <w:t>Act</w:t>
      </w:r>
      <w:r>
        <w:rPr>
          <w:rFonts w:asciiTheme="minorHAnsi" w:hAnsiTheme="minorHAnsi" w:cstheme="minorHAnsi"/>
          <w:lang w:val="en-GB" w:eastAsia="en-GB"/>
        </w:rPr>
        <w:t xml:space="preserve"> to add clarity </w:t>
      </w:r>
      <w:r w:rsidR="004001B8">
        <w:rPr>
          <w:rFonts w:asciiTheme="minorHAnsi" w:hAnsiTheme="minorHAnsi" w:cstheme="minorHAnsi"/>
          <w:lang w:val="en-GB" w:eastAsia="en-GB"/>
        </w:rPr>
        <w:t xml:space="preserve">as to what detail should be provided </w:t>
      </w:r>
      <w:r>
        <w:rPr>
          <w:rFonts w:asciiTheme="minorHAnsi" w:hAnsiTheme="minorHAnsi" w:cstheme="minorHAnsi"/>
          <w:lang w:val="en-GB" w:eastAsia="en-GB"/>
        </w:rPr>
        <w:t xml:space="preserve">and </w:t>
      </w:r>
      <w:r w:rsidR="004001B8">
        <w:rPr>
          <w:rFonts w:asciiTheme="minorHAnsi" w:hAnsiTheme="minorHAnsi" w:cstheme="minorHAnsi"/>
          <w:lang w:val="en-GB" w:eastAsia="en-GB"/>
        </w:rPr>
        <w:t xml:space="preserve">to </w:t>
      </w:r>
      <w:r>
        <w:rPr>
          <w:rFonts w:asciiTheme="minorHAnsi" w:hAnsiTheme="minorHAnsi" w:cstheme="minorHAnsi"/>
          <w:lang w:val="en-GB" w:eastAsia="en-GB"/>
        </w:rPr>
        <w:t xml:space="preserve">bring consistency with </w:t>
      </w:r>
      <w:r w:rsidR="004001B8">
        <w:rPr>
          <w:rFonts w:asciiTheme="minorHAnsi" w:hAnsiTheme="minorHAnsi" w:cstheme="minorHAnsi"/>
          <w:lang w:val="en-GB" w:eastAsia="en-GB"/>
        </w:rPr>
        <w:t xml:space="preserve">the authorisation requirement for determination applications as stipulated </w:t>
      </w:r>
      <w:r>
        <w:rPr>
          <w:rFonts w:asciiTheme="minorHAnsi" w:hAnsiTheme="minorHAnsi" w:cstheme="minorHAnsi"/>
          <w:lang w:val="en-GB" w:eastAsia="en-GB"/>
        </w:rPr>
        <w:t xml:space="preserve">in the NT Act. </w:t>
      </w:r>
    </w:p>
    <w:p w14:paraId="7A325F8D" w14:textId="3158F417" w:rsidR="002A1194" w:rsidRPr="00A91C75" w:rsidRDefault="002A1194" w:rsidP="00BB145B">
      <w:pPr>
        <w:spacing w:after="120"/>
        <w:rPr>
          <w:rFonts w:asciiTheme="minorHAnsi" w:hAnsiTheme="minorHAnsi" w:cstheme="minorHAnsi"/>
          <w:lang w:val="en-GB" w:eastAsia="en-GB"/>
        </w:rPr>
      </w:pPr>
      <w:r>
        <w:rPr>
          <w:rFonts w:asciiTheme="minorHAnsi" w:hAnsiTheme="minorHAnsi" w:cstheme="minorHAnsi"/>
          <w:lang w:val="en-GB" w:eastAsia="en-GB"/>
        </w:rPr>
        <w:t>For Form 4</w:t>
      </w:r>
      <w:r w:rsidR="00C76231">
        <w:rPr>
          <w:rFonts w:asciiTheme="minorHAnsi" w:hAnsiTheme="minorHAnsi" w:cstheme="minorHAnsi"/>
          <w:lang w:val="en-GB" w:eastAsia="en-GB"/>
        </w:rPr>
        <w:t xml:space="preserve">, </w:t>
      </w:r>
      <w:r>
        <w:rPr>
          <w:rFonts w:asciiTheme="minorHAnsi" w:hAnsiTheme="minorHAnsi" w:cstheme="minorHAnsi"/>
          <w:lang w:val="en-GB" w:eastAsia="en-GB"/>
        </w:rPr>
        <w:t xml:space="preserve">the department received a suggestion to </w:t>
      </w:r>
      <w:r w:rsidR="004001B8">
        <w:rPr>
          <w:rFonts w:asciiTheme="minorHAnsi" w:hAnsiTheme="minorHAnsi" w:cstheme="minorHAnsi"/>
          <w:lang w:val="en-GB" w:eastAsia="en-GB"/>
        </w:rPr>
        <w:t xml:space="preserve">require Applicants to </w:t>
      </w:r>
      <w:r w:rsidR="00BB145B">
        <w:rPr>
          <w:rFonts w:asciiTheme="minorHAnsi" w:hAnsiTheme="minorHAnsi" w:cstheme="minorHAnsi"/>
          <w:lang w:val="en-GB" w:eastAsia="en-GB"/>
        </w:rPr>
        <w:t>includ</w:t>
      </w:r>
      <w:r>
        <w:rPr>
          <w:rFonts w:asciiTheme="minorHAnsi" w:hAnsiTheme="minorHAnsi" w:cstheme="minorHAnsi"/>
          <w:lang w:val="en-GB" w:eastAsia="en-GB"/>
        </w:rPr>
        <w:t>e</w:t>
      </w:r>
      <w:r w:rsidR="00BB145B">
        <w:rPr>
          <w:rFonts w:asciiTheme="minorHAnsi" w:hAnsiTheme="minorHAnsi" w:cstheme="minorHAnsi"/>
          <w:lang w:val="en-GB" w:eastAsia="en-GB"/>
        </w:rPr>
        <w:t xml:space="preserve"> information similar to that used in an Indigenous Land Use Agreement process</w:t>
      </w:r>
      <w:r w:rsidR="00662736">
        <w:rPr>
          <w:rFonts w:asciiTheme="minorHAnsi" w:hAnsiTheme="minorHAnsi" w:cstheme="minorHAnsi"/>
          <w:lang w:val="en-GB" w:eastAsia="en-GB"/>
        </w:rPr>
        <w:t>.</w:t>
      </w:r>
      <w:r w:rsidR="00C76231">
        <w:rPr>
          <w:rFonts w:asciiTheme="minorHAnsi" w:hAnsiTheme="minorHAnsi" w:cstheme="minorHAnsi"/>
          <w:lang w:val="en-GB" w:eastAsia="en-GB"/>
        </w:rPr>
        <w:t xml:space="preserve"> </w:t>
      </w:r>
      <w:r w:rsidR="00662736">
        <w:rPr>
          <w:rFonts w:asciiTheme="minorHAnsi" w:hAnsiTheme="minorHAnsi" w:cstheme="minorHAnsi"/>
          <w:lang w:val="en-GB" w:eastAsia="en-GB"/>
        </w:rPr>
        <w:t xml:space="preserve">This information could be </w:t>
      </w:r>
      <w:r w:rsidR="0012333A">
        <w:rPr>
          <w:rFonts w:asciiTheme="minorHAnsi" w:hAnsiTheme="minorHAnsi" w:cstheme="minorHAnsi"/>
          <w:lang w:val="en-GB" w:eastAsia="en-GB"/>
        </w:rPr>
        <w:t>m</w:t>
      </w:r>
      <w:r>
        <w:rPr>
          <w:rFonts w:asciiTheme="minorHAnsi" w:hAnsiTheme="minorHAnsi" w:cstheme="minorHAnsi"/>
          <w:lang w:val="en-GB" w:eastAsia="en-GB"/>
        </w:rPr>
        <w:t>eeting notice</w:t>
      </w:r>
      <w:r w:rsidR="004001B8">
        <w:rPr>
          <w:rFonts w:asciiTheme="minorHAnsi" w:hAnsiTheme="minorHAnsi" w:cstheme="minorHAnsi"/>
          <w:lang w:val="en-GB" w:eastAsia="en-GB"/>
        </w:rPr>
        <w:t>s</w:t>
      </w:r>
      <w:r>
        <w:rPr>
          <w:rFonts w:asciiTheme="minorHAnsi" w:hAnsiTheme="minorHAnsi" w:cstheme="minorHAnsi"/>
          <w:lang w:val="en-GB" w:eastAsia="en-GB"/>
        </w:rPr>
        <w:t>, resolutions, attendance register etc.</w:t>
      </w:r>
      <w:r w:rsidR="004001B8">
        <w:rPr>
          <w:rFonts w:asciiTheme="minorHAnsi" w:hAnsiTheme="minorHAnsi" w:cstheme="minorHAnsi"/>
          <w:lang w:val="en-GB" w:eastAsia="en-GB"/>
        </w:rPr>
        <w:t xml:space="preserve">, which provides evidence pertaining to authorisation by a compensation claim group. </w:t>
      </w:r>
      <w:r w:rsidR="0012333A">
        <w:rPr>
          <w:rFonts w:asciiTheme="minorHAnsi" w:hAnsiTheme="minorHAnsi" w:cstheme="minorHAnsi"/>
          <w:lang w:val="en-GB" w:eastAsia="en-GB"/>
        </w:rPr>
        <w:t xml:space="preserve">Feedback suggested that </w:t>
      </w:r>
      <w:r w:rsidR="004001B8">
        <w:rPr>
          <w:rFonts w:asciiTheme="minorHAnsi" w:hAnsiTheme="minorHAnsi" w:cstheme="minorHAnsi"/>
          <w:lang w:val="en-GB" w:eastAsia="en-GB"/>
        </w:rPr>
        <w:t>even though requiring this information from Applicants would</w:t>
      </w:r>
      <w:r w:rsidR="0012333A">
        <w:rPr>
          <w:rFonts w:asciiTheme="minorHAnsi" w:hAnsiTheme="minorHAnsi" w:cstheme="minorHAnsi"/>
          <w:lang w:val="en-GB" w:eastAsia="en-GB"/>
        </w:rPr>
        <w:t xml:space="preserve"> add to the application process, this information would provide certainty to all parties and could be beneficial to the Court by providing assurance at the start of the process that they are dealing with </w:t>
      </w:r>
      <w:r w:rsidR="004001B8">
        <w:rPr>
          <w:rFonts w:asciiTheme="minorHAnsi" w:hAnsiTheme="minorHAnsi" w:cstheme="minorHAnsi"/>
          <w:lang w:val="en-GB" w:eastAsia="en-GB"/>
        </w:rPr>
        <w:t>properly authorised Applicants</w:t>
      </w:r>
      <w:r w:rsidR="0012333A">
        <w:rPr>
          <w:rFonts w:asciiTheme="minorHAnsi" w:hAnsiTheme="minorHAnsi" w:cstheme="minorHAnsi"/>
          <w:lang w:val="en-GB" w:eastAsia="en-GB"/>
        </w:rPr>
        <w:t xml:space="preserve">. </w:t>
      </w:r>
    </w:p>
    <w:p w14:paraId="56BBF885" w14:textId="276AAFE6" w:rsidR="00BB145B" w:rsidRDefault="00BB145B" w:rsidP="00BB145B">
      <w:pPr>
        <w:spacing w:after="120"/>
      </w:pPr>
      <w:r>
        <w:t xml:space="preserve">Additionally, Schedule R of Form 1 requires an </w:t>
      </w:r>
      <w:r w:rsidR="004B1208">
        <w:t>A</w:t>
      </w:r>
      <w:r>
        <w:t xml:space="preserve">pplicant to disclose information about the authorisation process followed. This includes a requirement that if the application has been certified by each representative Aboriginal/Torres Strait Islander body, the </w:t>
      </w:r>
      <w:r w:rsidR="004B1208">
        <w:t>A</w:t>
      </w:r>
      <w:r>
        <w:t>pplicant must provide a copy of this certificate.</w:t>
      </w:r>
    </w:p>
    <w:p w14:paraId="71D242ED" w14:textId="77777777" w:rsidR="007B3C23" w:rsidRDefault="007B3C23" w:rsidP="00BB145B">
      <w:pPr>
        <w:spacing w:after="120"/>
        <w:rPr>
          <w:rFonts w:asciiTheme="minorHAnsi" w:hAnsiTheme="minorHAnsi" w:cstheme="minorHAnsi"/>
        </w:rPr>
        <w:sectPr w:rsidR="007B3C23" w:rsidSect="00CC4C50">
          <w:pgSz w:w="12240" w:h="15840"/>
          <w:pgMar w:top="532" w:right="964" w:bottom="964" w:left="964" w:header="142" w:footer="709" w:gutter="0"/>
          <w:cols w:space="708"/>
          <w:docGrid w:linePitch="360"/>
        </w:sectPr>
      </w:pPr>
    </w:p>
    <w:p w14:paraId="0439F630" w14:textId="0E050660" w:rsidR="00BB145B" w:rsidRDefault="00BB145B" w:rsidP="00BB145B">
      <w:pPr>
        <w:spacing w:after="120"/>
        <w:rPr>
          <w:rFonts w:asciiTheme="minorHAnsi" w:hAnsiTheme="minorHAnsi" w:cstheme="minorHAnsi"/>
        </w:rPr>
      </w:pPr>
      <w:r>
        <w:rPr>
          <w:rFonts w:asciiTheme="minorHAnsi" w:hAnsiTheme="minorHAnsi" w:cstheme="minorHAnsi"/>
        </w:rPr>
        <w:lastRenderedPageBreak/>
        <w:t>In the current F</w:t>
      </w:r>
      <w:r w:rsidRPr="006E4677">
        <w:rPr>
          <w:rFonts w:asciiTheme="minorHAnsi" w:hAnsiTheme="minorHAnsi" w:cstheme="minorHAnsi"/>
        </w:rPr>
        <w:t xml:space="preserve">orm 4, there is no equivalent of </w:t>
      </w:r>
      <w:r>
        <w:rPr>
          <w:rFonts w:asciiTheme="minorHAnsi" w:hAnsiTheme="minorHAnsi" w:cstheme="minorHAnsi"/>
        </w:rPr>
        <w:t>S</w:t>
      </w:r>
      <w:r w:rsidRPr="006E4677">
        <w:rPr>
          <w:rFonts w:asciiTheme="minorHAnsi" w:hAnsiTheme="minorHAnsi" w:cstheme="minorHAnsi"/>
        </w:rPr>
        <w:t xml:space="preserve">chedule R which </w:t>
      </w:r>
      <w:r>
        <w:rPr>
          <w:rFonts w:asciiTheme="minorHAnsi" w:hAnsiTheme="minorHAnsi" w:cstheme="minorHAnsi"/>
        </w:rPr>
        <w:t xml:space="preserve">requires a copy of a representative Aboriginal/Torres Strait Islander body certificate. However, compensation </w:t>
      </w:r>
      <w:r w:rsidR="004B1208">
        <w:rPr>
          <w:rFonts w:asciiTheme="minorHAnsi" w:hAnsiTheme="minorHAnsi" w:cstheme="minorHAnsi"/>
        </w:rPr>
        <w:t xml:space="preserve">Applicants </w:t>
      </w:r>
      <w:r>
        <w:rPr>
          <w:rFonts w:asciiTheme="minorHAnsi" w:hAnsiTheme="minorHAnsi" w:cstheme="minorHAnsi"/>
        </w:rPr>
        <w:t>must comply with other disclosure requirements in relation to the authorisation process, including producing an affidavit (s 62</w:t>
      </w:r>
      <w:r w:rsidR="00F760C3">
        <w:rPr>
          <w:rFonts w:asciiTheme="minorHAnsi" w:hAnsiTheme="minorHAnsi" w:cstheme="minorHAnsi"/>
        </w:rPr>
        <w:t>(3)</w:t>
      </w:r>
      <w:r>
        <w:rPr>
          <w:rFonts w:asciiTheme="minorHAnsi" w:hAnsiTheme="minorHAnsi" w:cstheme="minorHAnsi"/>
        </w:rPr>
        <w:t xml:space="preserve"> of the NT Act) which states that:</w:t>
      </w:r>
    </w:p>
    <w:p w14:paraId="3EA64A2F" w14:textId="4722B78A" w:rsidR="00BB145B" w:rsidRDefault="00BB145B" w:rsidP="00BB145B">
      <w:pPr>
        <w:pStyle w:val="ListParagraph"/>
        <w:numPr>
          <w:ilvl w:val="0"/>
          <w:numId w:val="39"/>
        </w:numPr>
        <w:spacing w:after="120"/>
        <w:contextualSpacing w:val="0"/>
        <w:rPr>
          <w:rFonts w:asciiTheme="minorHAnsi" w:hAnsiTheme="minorHAnsi" w:cstheme="minorHAnsi"/>
          <w:lang w:val="en-GB" w:eastAsia="en-GB"/>
        </w:rPr>
      </w:pPr>
      <w:r w:rsidRPr="00DD7249">
        <w:rPr>
          <w:rFonts w:asciiTheme="minorHAnsi" w:hAnsiTheme="minorHAnsi" w:cstheme="minorHAnsi"/>
          <w:lang w:val="en-GB" w:eastAsia="en-GB"/>
        </w:rPr>
        <w:t xml:space="preserve">if the application is authorised by a compensation claim group—that the </w:t>
      </w:r>
      <w:r w:rsidR="00650AD1">
        <w:rPr>
          <w:rFonts w:asciiTheme="minorHAnsi" w:hAnsiTheme="minorHAnsi" w:cstheme="minorHAnsi"/>
          <w:lang w:val="en-GB" w:eastAsia="en-GB"/>
        </w:rPr>
        <w:t>A</w:t>
      </w:r>
      <w:r w:rsidRPr="00DD7249">
        <w:rPr>
          <w:rFonts w:asciiTheme="minorHAnsi" w:hAnsiTheme="minorHAnsi" w:cstheme="minorHAnsi"/>
          <w:lang w:val="en-GB" w:eastAsia="en-GB"/>
        </w:rPr>
        <w:t>pplicant is authorised by all the persons in the compensation claim group to make the application and to deal with ma</w:t>
      </w:r>
      <w:r>
        <w:rPr>
          <w:rFonts w:asciiTheme="minorHAnsi" w:hAnsiTheme="minorHAnsi" w:cstheme="minorHAnsi"/>
          <w:lang w:val="en-GB" w:eastAsia="en-GB"/>
        </w:rPr>
        <w:t>tters arising in relation to it</w:t>
      </w:r>
      <w:r w:rsidR="00662736">
        <w:rPr>
          <w:rFonts w:asciiTheme="minorHAnsi" w:hAnsiTheme="minorHAnsi" w:cstheme="minorHAnsi"/>
          <w:lang w:val="en-GB" w:eastAsia="en-GB"/>
        </w:rPr>
        <w:t>;</w:t>
      </w:r>
    </w:p>
    <w:p w14:paraId="0C78B023" w14:textId="7575A17B" w:rsidR="00BB145B" w:rsidRDefault="00BB145B" w:rsidP="00BB145B">
      <w:pPr>
        <w:pStyle w:val="ListParagraph"/>
        <w:numPr>
          <w:ilvl w:val="0"/>
          <w:numId w:val="39"/>
        </w:numPr>
        <w:spacing w:after="120"/>
        <w:contextualSpacing w:val="0"/>
        <w:rPr>
          <w:rFonts w:asciiTheme="minorHAnsi" w:hAnsiTheme="minorHAnsi" w:cstheme="minorHAnsi"/>
          <w:lang w:val="en-GB" w:eastAsia="en-GB"/>
        </w:rPr>
      </w:pPr>
      <w:r w:rsidRPr="00DD7249">
        <w:rPr>
          <w:rFonts w:asciiTheme="minorHAnsi" w:hAnsiTheme="minorHAnsi" w:cstheme="minorHAnsi"/>
          <w:lang w:val="en-GB" w:eastAsia="en-GB"/>
        </w:rPr>
        <w:t>if the application is authorised by a compensation claim group—the details of the process of decision</w:t>
      </w:r>
      <w:r w:rsidRPr="00DD7249">
        <w:rPr>
          <w:rFonts w:ascii="Cambria Math" w:hAnsi="Cambria Math" w:cs="Cambria Math"/>
          <w:lang w:val="en-GB" w:eastAsia="en-GB"/>
        </w:rPr>
        <w:t>‑</w:t>
      </w:r>
      <w:r w:rsidRPr="00DD7249">
        <w:rPr>
          <w:rFonts w:asciiTheme="minorHAnsi" w:hAnsiTheme="minorHAnsi" w:cstheme="minorHAnsi"/>
          <w:lang w:val="en-GB" w:eastAsia="en-GB"/>
        </w:rPr>
        <w:t xml:space="preserve">making complied with in authorising the </w:t>
      </w:r>
      <w:r w:rsidR="00650AD1">
        <w:rPr>
          <w:rFonts w:asciiTheme="minorHAnsi" w:hAnsiTheme="minorHAnsi" w:cstheme="minorHAnsi"/>
          <w:lang w:val="en-GB" w:eastAsia="en-GB"/>
        </w:rPr>
        <w:t>A</w:t>
      </w:r>
      <w:r w:rsidRPr="00DD7249">
        <w:rPr>
          <w:rFonts w:asciiTheme="minorHAnsi" w:hAnsiTheme="minorHAnsi" w:cstheme="minorHAnsi"/>
          <w:lang w:val="en-GB" w:eastAsia="en-GB"/>
        </w:rPr>
        <w:t xml:space="preserve">pplicant to make the application and to deal with matters </w:t>
      </w:r>
      <w:r>
        <w:rPr>
          <w:rFonts w:asciiTheme="minorHAnsi" w:hAnsiTheme="minorHAnsi" w:cstheme="minorHAnsi"/>
          <w:lang w:val="en-GB" w:eastAsia="en-GB"/>
        </w:rPr>
        <w:t>arising in relation to it</w:t>
      </w:r>
      <w:r w:rsidR="00662736">
        <w:rPr>
          <w:rFonts w:asciiTheme="minorHAnsi" w:hAnsiTheme="minorHAnsi" w:cstheme="minorHAnsi"/>
          <w:lang w:val="en-GB" w:eastAsia="en-GB"/>
        </w:rPr>
        <w:t>;</w:t>
      </w:r>
    </w:p>
    <w:p w14:paraId="0D09F800" w14:textId="4BD360CE" w:rsidR="00BB145B" w:rsidRDefault="00BB145B" w:rsidP="00BB145B">
      <w:pPr>
        <w:pStyle w:val="ListParagraph"/>
        <w:numPr>
          <w:ilvl w:val="0"/>
          <w:numId w:val="39"/>
        </w:numPr>
        <w:spacing w:after="120"/>
        <w:contextualSpacing w:val="0"/>
        <w:rPr>
          <w:rFonts w:asciiTheme="minorHAnsi" w:hAnsiTheme="minorHAnsi" w:cstheme="minorHAnsi"/>
          <w:lang w:val="en-GB" w:eastAsia="en-GB"/>
        </w:rPr>
      </w:pPr>
      <w:r w:rsidRPr="00DD7249">
        <w:rPr>
          <w:rFonts w:asciiTheme="minorHAnsi" w:hAnsiTheme="minorHAnsi" w:cstheme="minorHAnsi"/>
          <w:lang w:val="en-GB" w:eastAsia="en-GB"/>
        </w:rPr>
        <w:t xml:space="preserve">if the application is authorised by a compensation claim group and there are no conditions under section 251BA of </w:t>
      </w:r>
      <w:r>
        <w:rPr>
          <w:rFonts w:asciiTheme="minorHAnsi" w:hAnsiTheme="minorHAnsi" w:cstheme="minorHAnsi"/>
          <w:lang w:val="en-GB" w:eastAsia="en-GB"/>
        </w:rPr>
        <w:t>the NT Act</w:t>
      </w:r>
      <w:r w:rsidRPr="00DD7249">
        <w:rPr>
          <w:rFonts w:asciiTheme="minorHAnsi" w:hAnsiTheme="minorHAnsi" w:cstheme="minorHAnsi"/>
          <w:lang w:val="en-GB" w:eastAsia="en-GB"/>
        </w:rPr>
        <w:t xml:space="preserve"> on the authority that relate to the making of the application—th</w:t>
      </w:r>
      <w:r>
        <w:rPr>
          <w:rFonts w:asciiTheme="minorHAnsi" w:hAnsiTheme="minorHAnsi" w:cstheme="minorHAnsi"/>
          <w:lang w:val="en-GB" w:eastAsia="en-GB"/>
        </w:rPr>
        <w:t>at there are no such conditions</w:t>
      </w:r>
      <w:r w:rsidR="00662736">
        <w:rPr>
          <w:rFonts w:asciiTheme="minorHAnsi" w:hAnsiTheme="minorHAnsi" w:cstheme="minorHAnsi"/>
          <w:lang w:val="en-GB" w:eastAsia="en-GB"/>
        </w:rPr>
        <w:t>;</w:t>
      </w:r>
      <w:r>
        <w:rPr>
          <w:rFonts w:asciiTheme="minorHAnsi" w:hAnsiTheme="minorHAnsi" w:cstheme="minorHAnsi"/>
          <w:lang w:val="en-GB" w:eastAsia="en-GB"/>
        </w:rPr>
        <w:t xml:space="preserve"> and</w:t>
      </w:r>
    </w:p>
    <w:p w14:paraId="527BBDD7" w14:textId="77777777" w:rsidR="00BB145B" w:rsidRDefault="00BB145B" w:rsidP="00BB145B">
      <w:pPr>
        <w:pStyle w:val="ListParagraph"/>
        <w:numPr>
          <w:ilvl w:val="0"/>
          <w:numId w:val="39"/>
        </w:numPr>
        <w:spacing w:after="120"/>
        <w:contextualSpacing w:val="0"/>
        <w:rPr>
          <w:rFonts w:asciiTheme="minorHAnsi" w:hAnsiTheme="minorHAnsi" w:cstheme="minorHAnsi"/>
          <w:lang w:val="en-GB" w:eastAsia="en-GB"/>
        </w:rPr>
      </w:pPr>
      <w:r w:rsidRPr="00DD7249">
        <w:rPr>
          <w:rFonts w:asciiTheme="minorHAnsi" w:hAnsiTheme="minorHAnsi" w:cstheme="minorHAnsi"/>
          <w:lang w:val="en-GB" w:eastAsia="en-GB"/>
        </w:rPr>
        <w:t xml:space="preserve">if the application is authorised by a compensation claim group and there are any conditions under section 251BA of </w:t>
      </w:r>
      <w:r>
        <w:rPr>
          <w:rFonts w:asciiTheme="minorHAnsi" w:hAnsiTheme="minorHAnsi" w:cstheme="minorHAnsi"/>
          <w:lang w:val="en-GB" w:eastAsia="en-GB"/>
        </w:rPr>
        <w:t>the NT Act</w:t>
      </w:r>
      <w:r w:rsidRPr="00DD7249">
        <w:rPr>
          <w:rFonts w:asciiTheme="minorHAnsi" w:hAnsiTheme="minorHAnsi" w:cstheme="minorHAnsi"/>
          <w:lang w:val="en-GB" w:eastAsia="en-GB"/>
        </w:rPr>
        <w:t xml:space="preserve"> on the authority that relate to the making of the application—that the conditions have been satisfied and how the conditions ha</w:t>
      </w:r>
      <w:r>
        <w:rPr>
          <w:rFonts w:asciiTheme="minorHAnsi" w:hAnsiTheme="minorHAnsi" w:cstheme="minorHAnsi"/>
          <w:lang w:val="en-GB" w:eastAsia="en-GB"/>
        </w:rPr>
        <w:t>ve been satisfied.</w:t>
      </w:r>
      <w:r w:rsidRPr="0026390C">
        <w:rPr>
          <w:rFonts w:asciiTheme="minorHAnsi" w:hAnsiTheme="minorHAnsi" w:cstheme="minorHAnsi"/>
          <w:lang w:val="en-GB" w:eastAsia="en-GB"/>
        </w:rPr>
        <w:t xml:space="preserve">  </w:t>
      </w:r>
    </w:p>
    <w:p w14:paraId="702EB087" w14:textId="24026B85" w:rsidR="00BB145B" w:rsidRPr="0026390C" w:rsidRDefault="00BB145B" w:rsidP="00BB145B">
      <w:pPr>
        <w:spacing w:after="120"/>
        <w:rPr>
          <w:rFonts w:asciiTheme="minorHAnsi" w:hAnsiTheme="minorHAnsi" w:cstheme="minorHAnsi"/>
          <w:lang w:val="en-GB" w:eastAsia="en-GB"/>
        </w:rPr>
      </w:pPr>
      <w:r>
        <w:rPr>
          <w:rFonts w:asciiTheme="minorHAnsi" w:hAnsiTheme="minorHAnsi" w:cstheme="minorHAnsi"/>
          <w:lang w:val="en-GB" w:eastAsia="en-GB"/>
        </w:rPr>
        <w:t xml:space="preserve">Stakeholders have </w:t>
      </w:r>
      <w:r w:rsidR="00883DA2">
        <w:rPr>
          <w:rFonts w:asciiTheme="minorHAnsi" w:hAnsiTheme="minorHAnsi" w:cstheme="minorHAnsi"/>
          <w:lang w:val="en-GB" w:eastAsia="en-GB"/>
        </w:rPr>
        <w:t>suggested</w:t>
      </w:r>
      <w:r>
        <w:rPr>
          <w:rFonts w:asciiTheme="minorHAnsi" w:hAnsiTheme="minorHAnsi" w:cstheme="minorHAnsi"/>
          <w:lang w:val="en-GB" w:eastAsia="en-GB"/>
        </w:rPr>
        <w:t xml:space="preserve"> that revising Form 4 to include a mirror provision of Schedule R in Form 1 would enhance transparency in relation to authorisation processes, which would also ensure that court resources are only invested in applications which are appropriately authorised. </w:t>
      </w:r>
    </w:p>
    <w:p w14:paraId="4A371990" w14:textId="1283A304" w:rsidR="00BB145B" w:rsidRPr="00DD7249" w:rsidRDefault="00BB145B" w:rsidP="00BB145B">
      <w:pPr>
        <w:spacing w:after="120"/>
        <w:rPr>
          <w:b/>
        </w:rPr>
      </w:pPr>
      <w:r w:rsidRPr="00DD7249">
        <w:rPr>
          <w:b/>
        </w:rPr>
        <w:t>P</w:t>
      </w:r>
      <w:r>
        <w:rPr>
          <w:b/>
        </w:rPr>
        <w:t>ossible</w:t>
      </w:r>
      <w:r w:rsidRPr="00DD7249">
        <w:rPr>
          <w:b/>
        </w:rPr>
        <w:t xml:space="preserve"> reform</w:t>
      </w:r>
      <w:r w:rsidR="00707788">
        <w:rPr>
          <w:b/>
        </w:rPr>
        <w:t>s</w:t>
      </w:r>
    </w:p>
    <w:p w14:paraId="2FE71279" w14:textId="5DCEE887" w:rsidR="00337586" w:rsidRDefault="00BB145B" w:rsidP="00BB145B">
      <w:pPr>
        <w:pStyle w:val="ListParagraph"/>
        <w:numPr>
          <w:ilvl w:val="0"/>
          <w:numId w:val="70"/>
        </w:numPr>
        <w:spacing w:after="120"/>
        <w:contextualSpacing w:val="0"/>
      </w:pPr>
      <w:r>
        <w:t xml:space="preserve">Amend </w:t>
      </w:r>
      <w:r w:rsidR="0012333A">
        <w:t>I</w:t>
      </w:r>
      <w:r>
        <w:t>tem 2 of Part A in Form 1 to be consistent with the wording in section 61(1) of the NT Act</w:t>
      </w:r>
      <w:r w:rsidR="0012333A">
        <w:t xml:space="preserve"> so that rather than only referencing s 61(1), </w:t>
      </w:r>
      <w:r w:rsidR="004001B8">
        <w:t xml:space="preserve">this item </w:t>
      </w:r>
      <w:r w:rsidR="0012333A">
        <w:t xml:space="preserve">includes the </w:t>
      </w:r>
      <w:r w:rsidR="00677C3E">
        <w:t xml:space="preserve">more </w:t>
      </w:r>
      <w:r w:rsidR="0012333A">
        <w:t xml:space="preserve">comprehensive detail specified </w:t>
      </w:r>
      <w:r w:rsidR="004001B8">
        <w:t>under s 61(1)</w:t>
      </w:r>
      <w:r w:rsidR="006E0A79">
        <w:t xml:space="preserve"> of the NT Act</w:t>
      </w:r>
      <w:r w:rsidR="004001B8">
        <w:t xml:space="preserve">, in relation to a </w:t>
      </w:r>
      <w:r w:rsidR="00677C3E">
        <w:t>n</w:t>
      </w:r>
      <w:r w:rsidR="004001B8">
        <w:t xml:space="preserve">ative title determination application, at paragraphs (1) to (4) </w:t>
      </w:r>
      <w:r w:rsidR="0012333A">
        <w:t>in the column titled ‘Persons who may make the application</w:t>
      </w:r>
      <w:r w:rsidR="004001B8">
        <w:t>’</w:t>
      </w:r>
      <w:r>
        <w:t>.</w:t>
      </w:r>
      <w:r w:rsidR="00B278F7">
        <w:t xml:space="preserve"> </w:t>
      </w:r>
    </w:p>
    <w:p w14:paraId="3200EDCC" w14:textId="69E85FE9" w:rsidR="00337586" w:rsidRPr="00337586" w:rsidRDefault="00337586" w:rsidP="00337586">
      <w:pPr>
        <w:pStyle w:val="ListParagraph"/>
        <w:spacing w:after="120"/>
        <w:contextualSpacing w:val="0"/>
        <w:rPr>
          <w:i/>
        </w:rPr>
      </w:pPr>
      <w:r>
        <w:rPr>
          <w:i/>
        </w:rPr>
        <w:t>Intended effect</w:t>
      </w:r>
    </w:p>
    <w:p w14:paraId="3EDC8028" w14:textId="438FFC3B" w:rsidR="00BB145B" w:rsidRDefault="00B278F7" w:rsidP="00337586">
      <w:pPr>
        <w:pStyle w:val="ListParagraph"/>
        <w:spacing w:after="120"/>
        <w:contextualSpacing w:val="0"/>
      </w:pPr>
      <w:r>
        <w:t xml:space="preserve">This reform aims to clarify what information is required by </w:t>
      </w:r>
      <w:r w:rsidR="00927FA2">
        <w:t>A</w:t>
      </w:r>
      <w:r>
        <w:t>pplicants in relation to the authorisation process</w:t>
      </w:r>
      <w:r w:rsidR="008476D3">
        <w:t>.</w:t>
      </w:r>
    </w:p>
    <w:p w14:paraId="2E1FE38E" w14:textId="23A27434" w:rsidR="00337586" w:rsidRDefault="00BB145B" w:rsidP="00BB145B">
      <w:pPr>
        <w:pStyle w:val="ListParagraph"/>
        <w:numPr>
          <w:ilvl w:val="0"/>
          <w:numId w:val="70"/>
        </w:numPr>
        <w:spacing w:after="120"/>
        <w:contextualSpacing w:val="0"/>
      </w:pPr>
      <w:r>
        <w:t>Insert a new schedule in Form 4 that mirrors Schedule R in Form 1</w:t>
      </w:r>
      <w:r w:rsidR="00820DFB">
        <w:t xml:space="preserve"> or </w:t>
      </w:r>
      <w:r w:rsidR="00883DA2">
        <w:t xml:space="preserve">require the </w:t>
      </w:r>
      <w:r w:rsidR="00820DFB">
        <w:t>inclu</w:t>
      </w:r>
      <w:r w:rsidR="00883DA2">
        <w:t>sion of</w:t>
      </w:r>
      <w:r w:rsidR="00820DFB">
        <w:t xml:space="preserve"> </w:t>
      </w:r>
      <w:r w:rsidR="006E0A79">
        <w:t>information</w:t>
      </w:r>
      <w:r w:rsidR="00A334FE">
        <w:t xml:space="preserve"> </w:t>
      </w:r>
      <w:r w:rsidR="00820DFB">
        <w:rPr>
          <w:rFonts w:asciiTheme="minorHAnsi" w:hAnsiTheme="minorHAnsi" w:cstheme="minorHAnsi"/>
          <w:lang w:val="en-GB" w:eastAsia="en-GB"/>
        </w:rPr>
        <w:t>similar to that used in an Indigenous Land Use Agreement process</w:t>
      </w:r>
      <w:r w:rsidR="006E0A79">
        <w:t>, such as meeting notices, resolutions, attendance register etc.</w:t>
      </w:r>
      <w:r w:rsidR="00B278F7">
        <w:t xml:space="preserve"> </w:t>
      </w:r>
    </w:p>
    <w:p w14:paraId="21C2308B" w14:textId="14349E9B" w:rsidR="00337586" w:rsidRPr="00337586" w:rsidRDefault="00337586" w:rsidP="00337586">
      <w:pPr>
        <w:pStyle w:val="ListParagraph"/>
        <w:spacing w:after="120"/>
        <w:contextualSpacing w:val="0"/>
        <w:rPr>
          <w:i/>
        </w:rPr>
      </w:pPr>
      <w:r>
        <w:rPr>
          <w:i/>
        </w:rPr>
        <w:t>Intended effect</w:t>
      </w:r>
    </w:p>
    <w:p w14:paraId="2C2D4604" w14:textId="53ECC0EB" w:rsidR="00BB145B" w:rsidRDefault="00337586" w:rsidP="00337586">
      <w:pPr>
        <w:pStyle w:val="ListParagraph"/>
        <w:spacing w:after="120"/>
        <w:contextualSpacing w:val="0"/>
      </w:pPr>
      <w:r>
        <w:t>To make the information requirements for native title determination applications and compensation applications similar (where relevant)</w:t>
      </w:r>
      <w:r w:rsidR="006E0A79">
        <w:t xml:space="preserve"> and to provide certainty to all parties and the Court that the application is properly authorised</w:t>
      </w:r>
      <w:r>
        <w:t xml:space="preserve">. </w:t>
      </w:r>
    </w:p>
    <w:p w14:paraId="7D54732D" w14:textId="77777777" w:rsidR="006E0A79" w:rsidRDefault="006E0A79" w:rsidP="00337586">
      <w:pPr>
        <w:pStyle w:val="ListParagraph"/>
        <w:spacing w:after="120"/>
        <w:contextualSpacing w:val="0"/>
      </w:pPr>
    </w:p>
    <w:p w14:paraId="432FE1C4" w14:textId="77777777" w:rsidR="007B3C23" w:rsidRDefault="007B3C23" w:rsidP="00BB145B">
      <w:pPr>
        <w:spacing w:after="120"/>
        <w:rPr>
          <w:b/>
        </w:rPr>
        <w:sectPr w:rsidR="007B3C23" w:rsidSect="00CC4C50">
          <w:pgSz w:w="12240" w:h="15840"/>
          <w:pgMar w:top="532" w:right="964" w:bottom="964" w:left="964" w:header="142" w:footer="709" w:gutter="0"/>
          <w:cols w:space="708"/>
          <w:docGrid w:linePitch="360"/>
        </w:sectPr>
      </w:pPr>
    </w:p>
    <w:p w14:paraId="5FE3C5DE" w14:textId="1A18C450" w:rsidR="00BB145B" w:rsidRDefault="00BB145B" w:rsidP="00BB145B">
      <w:pPr>
        <w:spacing w:after="120"/>
        <w:rPr>
          <w:b/>
        </w:rPr>
      </w:pPr>
      <w:r w:rsidRPr="00D44F1A">
        <w:rPr>
          <w:b/>
        </w:rPr>
        <w:lastRenderedPageBreak/>
        <w:t>Questions</w:t>
      </w:r>
    </w:p>
    <w:p w14:paraId="402ABB40" w14:textId="0E1377D1" w:rsidR="00BB145B" w:rsidRPr="00C96DAE" w:rsidRDefault="00BB145B" w:rsidP="007B3C23">
      <w:pPr>
        <w:pStyle w:val="ListParagraph"/>
        <w:numPr>
          <w:ilvl w:val="0"/>
          <w:numId w:val="106"/>
        </w:numPr>
        <w:spacing w:after="120"/>
        <w:contextualSpacing w:val="0"/>
        <w:rPr>
          <w:b/>
        </w:rPr>
      </w:pPr>
      <w:bookmarkStart w:id="8" w:name="_Hlk122520689"/>
      <w:r>
        <w:t>Are the current requirements for disclosure of authorisation processes in Form 4 adequate? Should Schedule R of Form 1 be replicated in Form 4?</w:t>
      </w:r>
    </w:p>
    <w:p w14:paraId="2261EDFD" w14:textId="730F5637" w:rsidR="007B3C23" w:rsidRDefault="00BB145B" w:rsidP="00897BF2">
      <w:pPr>
        <w:pStyle w:val="ListParagraph"/>
        <w:numPr>
          <w:ilvl w:val="0"/>
          <w:numId w:val="106"/>
        </w:numPr>
        <w:spacing w:after="120"/>
        <w:contextualSpacing w:val="0"/>
      </w:pPr>
      <w:r>
        <w:t xml:space="preserve">Is there other information regarding </w:t>
      </w:r>
      <w:r w:rsidR="00650AD1">
        <w:t>A</w:t>
      </w:r>
      <w:r>
        <w:t>pplicant parties and the authorisation process that is followed which should be required by Form 4?</w:t>
      </w:r>
      <w:bookmarkEnd w:id="8"/>
    </w:p>
    <w:p w14:paraId="3B598FDA" w14:textId="6EF0AE77" w:rsidR="00BB145B" w:rsidRDefault="00BB145B" w:rsidP="007B3C23">
      <w:pPr>
        <w:pStyle w:val="Heading4"/>
        <w:spacing w:before="240" w:after="120" w:line="276" w:lineRule="auto"/>
      </w:pPr>
      <w:r>
        <w:t>Update</w:t>
      </w:r>
      <w:r w:rsidR="00A04377">
        <w:t xml:space="preserve"> requirements </w:t>
      </w:r>
      <w:r w:rsidR="00AE0E82">
        <w:t xml:space="preserve">specified in </w:t>
      </w:r>
      <w:r>
        <w:t xml:space="preserve">Forms 1 &amp; 4 </w:t>
      </w:r>
    </w:p>
    <w:p w14:paraId="75F080DF" w14:textId="77777777" w:rsidR="00BB145B" w:rsidRPr="0026390C" w:rsidRDefault="00BB145B" w:rsidP="00BB145B">
      <w:pPr>
        <w:spacing w:after="120"/>
        <w:rPr>
          <w:b/>
        </w:rPr>
      </w:pPr>
      <w:r w:rsidRPr="0026390C">
        <w:rPr>
          <w:b/>
        </w:rPr>
        <w:t>Overview</w:t>
      </w:r>
    </w:p>
    <w:p w14:paraId="7D6BAB08" w14:textId="16DDD955" w:rsidR="00663315" w:rsidRPr="006F4054" w:rsidRDefault="00663315" w:rsidP="002108CE">
      <w:pPr>
        <w:spacing w:after="120"/>
        <w:rPr>
          <w:u w:val="single"/>
        </w:rPr>
      </w:pPr>
      <w:r w:rsidRPr="006F4054">
        <w:rPr>
          <w:u w:val="single"/>
        </w:rPr>
        <w:t xml:space="preserve">Removal of </w:t>
      </w:r>
      <w:r>
        <w:rPr>
          <w:u w:val="single"/>
        </w:rPr>
        <w:t xml:space="preserve">certain </w:t>
      </w:r>
      <w:r w:rsidRPr="006F4054">
        <w:rPr>
          <w:u w:val="single"/>
        </w:rPr>
        <w:t>details</w:t>
      </w:r>
      <w:r>
        <w:rPr>
          <w:u w:val="single"/>
        </w:rPr>
        <w:t xml:space="preserve"> required in the forms</w:t>
      </w:r>
    </w:p>
    <w:p w14:paraId="7B975598" w14:textId="26148CD6" w:rsidR="002108CE" w:rsidRDefault="002108CE" w:rsidP="002108CE">
      <w:pPr>
        <w:spacing w:after="120"/>
      </w:pPr>
      <w:r>
        <w:t xml:space="preserve">Stakeholder feedback has identified a number of further revisions to </w:t>
      </w:r>
      <w:r w:rsidR="00AE0E82">
        <w:t xml:space="preserve">requirements specified in certain </w:t>
      </w:r>
      <w:r>
        <w:t xml:space="preserve">Items and Schedules in Forms 1 and 4 that are unnecessary or duplicative. These are summarised below. </w:t>
      </w:r>
    </w:p>
    <w:p w14:paraId="3B9A7592" w14:textId="54A1871D" w:rsidR="0019507C" w:rsidRPr="006F4054" w:rsidRDefault="0019507C" w:rsidP="002108CE">
      <w:pPr>
        <w:spacing w:after="120"/>
        <w:rPr>
          <w:i/>
        </w:rPr>
      </w:pPr>
      <w:r>
        <w:rPr>
          <w:i/>
        </w:rPr>
        <w:t>Application under section 61(1) of the NT Act</w:t>
      </w:r>
    </w:p>
    <w:p w14:paraId="77BB8FFE" w14:textId="0DA0C5A6" w:rsidR="002108CE" w:rsidRDefault="002108CE" w:rsidP="002108CE">
      <w:pPr>
        <w:spacing w:after="120"/>
      </w:pPr>
      <w:r>
        <w:t xml:space="preserve">Item 1 of Part A in Form 1 stipulates that the </w:t>
      </w:r>
      <w:r w:rsidR="00C532D0">
        <w:t>A</w:t>
      </w:r>
      <w:r>
        <w:t>pplicant applies for a determination of native title under s</w:t>
      </w:r>
      <w:r w:rsidR="00C532D0">
        <w:t> </w:t>
      </w:r>
      <w:r>
        <w:t xml:space="preserve">61(1) of the NT Act. Feedback has noted that this simply duplicates a similar statement in </w:t>
      </w:r>
      <w:r w:rsidR="00F5780E">
        <w:t>N</w:t>
      </w:r>
      <w:r>
        <w:t>ote</w:t>
      </w:r>
      <w:r w:rsidR="00F5780E">
        <w:t xml:space="preserve"> 1, which appears </w:t>
      </w:r>
      <w:r w:rsidR="006E0A79">
        <w:t xml:space="preserve">directly </w:t>
      </w:r>
      <w:r w:rsidR="00F5780E">
        <w:t>above Item 1 of Part A in Form 1</w:t>
      </w:r>
      <w:r>
        <w:t>.</w:t>
      </w:r>
    </w:p>
    <w:p w14:paraId="6CA2E242" w14:textId="0326FB20" w:rsidR="0019507C" w:rsidRPr="006F4054" w:rsidRDefault="00CC7254" w:rsidP="002108CE">
      <w:pPr>
        <w:spacing w:after="120"/>
        <w:rPr>
          <w:i/>
        </w:rPr>
      </w:pPr>
      <w:r>
        <w:rPr>
          <w:i/>
        </w:rPr>
        <w:t>S</w:t>
      </w:r>
      <w:r w:rsidR="0019507C">
        <w:rPr>
          <w:i/>
        </w:rPr>
        <w:t xml:space="preserve">earches for non-native title rights and interests </w:t>
      </w:r>
    </w:p>
    <w:p w14:paraId="718FF324" w14:textId="6BCB21EE" w:rsidR="002108CE" w:rsidRDefault="002108CE" w:rsidP="002108CE">
      <w:pPr>
        <w:spacing w:after="120"/>
      </w:pPr>
      <w:r>
        <w:t xml:space="preserve">Schedule D in both Forms 1 and 4 requires inclusion of details and results of all searches carried out to determine the existence of any non-native title rights and interests in relation to the area covered by the application in a determination application. Feedback indicates that this </w:t>
      </w:r>
      <w:r w:rsidR="00677C3E">
        <w:t>s</w:t>
      </w:r>
      <w:r>
        <w:t>chedule is rarely completed consistently with the requirements. Additionally, searches do not materially assist with case management by the Court and the National Native Title Tribunal conducts its own searches.</w:t>
      </w:r>
    </w:p>
    <w:p w14:paraId="5D32506F" w14:textId="5FDD7A49" w:rsidR="0019507C" w:rsidRPr="006F4054" w:rsidRDefault="00CC7254" w:rsidP="002108CE">
      <w:pPr>
        <w:spacing w:after="120"/>
        <w:rPr>
          <w:i/>
        </w:rPr>
      </w:pPr>
      <w:r>
        <w:rPr>
          <w:i/>
        </w:rPr>
        <w:t>C</w:t>
      </w:r>
      <w:r w:rsidR="0019507C">
        <w:rPr>
          <w:i/>
        </w:rPr>
        <w:t>urrent activities by native title claim group</w:t>
      </w:r>
    </w:p>
    <w:p w14:paraId="3A6F8D43" w14:textId="6AE1A33D" w:rsidR="002108CE" w:rsidRDefault="002108CE" w:rsidP="002108CE">
      <w:pPr>
        <w:spacing w:after="120"/>
      </w:pPr>
      <w:r>
        <w:t>Schedule G in Form 1 and Schedule H in Form 4 require the inclusion of details of any activities in relation to the land or waters currently carried on by the claim group. Feedback suggests that these activities are already required to be described by Schedule E (as required by s 62(2)(d)) in both Forms 1 and 4.</w:t>
      </w:r>
    </w:p>
    <w:p w14:paraId="14B13DBA" w14:textId="47ABBCFF" w:rsidR="0019507C" w:rsidRPr="006F4054" w:rsidRDefault="00CC7254" w:rsidP="002108CE">
      <w:pPr>
        <w:spacing w:after="120"/>
        <w:rPr>
          <w:i/>
        </w:rPr>
      </w:pPr>
      <w:r>
        <w:rPr>
          <w:i/>
        </w:rPr>
        <w:t>N</w:t>
      </w:r>
      <w:r w:rsidR="0019507C">
        <w:rPr>
          <w:i/>
        </w:rPr>
        <w:t xml:space="preserve">otifications </w:t>
      </w:r>
      <w:r w:rsidR="002A0620">
        <w:rPr>
          <w:i/>
        </w:rPr>
        <w:t xml:space="preserve">of acts that pass the freehold test and </w:t>
      </w:r>
      <w:r w:rsidR="006F2A84">
        <w:rPr>
          <w:i/>
        </w:rPr>
        <w:t xml:space="preserve">of </w:t>
      </w:r>
      <w:r w:rsidR="002A0620">
        <w:rPr>
          <w:i/>
        </w:rPr>
        <w:t>parties affected</w:t>
      </w:r>
    </w:p>
    <w:p w14:paraId="0773B55E" w14:textId="6FC734F1" w:rsidR="00CC4C50" w:rsidRPr="00677C3E" w:rsidRDefault="002108CE" w:rsidP="002108CE">
      <w:pPr>
        <w:spacing w:after="120"/>
        <w:sectPr w:rsidR="00CC4C50" w:rsidRPr="00677C3E" w:rsidSect="00CC4C50">
          <w:pgSz w:w="12240" w:h="15840"/>
          <w:pgMar w:top="532" w:right="964" w:bottom="964" w:left="964" w:header="142" w:footer="709" w:gutter="0"/>
          <w:cols w:space="708"/>
          <w:docGrid w:linePitch="360"/>
        </w:sectPr>
      </w:pPr>
      <w:r>
        <w:t>Schedules HA and I in Form 1 require details of notifications under s</w:t>
      </w:r>
      <w:r w:rsidR="00820DFB">
        <w:t xml:space="preserve"> </w:t>
      </w:r>
      <w:r>
        <w:t>24MD(6</w:t>
      </w:r>
      <w:proofErr w:type="gramStart"/>
      <w:r>
        <w:t>B)(</w:t>
      </w:r>
      <w:proofErr w:type="gramEnd"/>
      <w:r>
        <w:t>c) and s</w:t>
      </w:r>
      <w:r w:rsidR="00820DFB">
        <w:t xml:space="preserve"> </w:t>
      </w:r>
      <w:r>
        <w:t xml:space="preserve">29 of the NT Act respectively to be provided in a determination application. Feedback has suggested that while it is relevant to the registration test, the National Native Title Tribunal conducts its own searches and this information is of little assistance to the Court and </w:t>
      </w:r>
      <w:r w:rsidR="00920343">
        <w:t xml:space="preserve">is </w:t>
      </w:r>
      <w:r>
        <w:t>often inadequately completed. Similarly, feedback has suggested that schedules in Form 4 that mirror Form 1 (particularly Schedules KA and L) are not relevant to compensation applications.</w:t>
      </w:r>
    </w:p>
    <w:p w14:paraId="4C8BCD66" w14:textId="2A8D3D41" w:rsidR="006B44DE" w:rsidRPr="006F4054" w:rsidRDefault="00CC7254" w:rsidP="002108CE">
      <w:pPr>
        <w:spacing w:after="120"/>
        <w:rPr>
          <w:i/>
        </w:rPr>
      </w:pPr>
      <w:r>
        <w:rPr>
          <w:i/>
        </w:rPr>
        <w:lastRenderedPageBreak/>
        <w:t>P</w:t>
      </w:r>
      <w:r w:rsidR="006B44DE">
        <w:rPr>
          <w:i/>
        </w:rPr>
        <w:t>hysical connection and prevention of access</w:t>
      </w:r>
    </w:p>
    <w:p w14:paraId="458F9A8B" w14:textId="6D405E0F" w:rsidR="002108CE" w:rsidRDefault="002108CE" w:rsidP="002108CE">
      <w:pPr>
        <w:spacing w:after="120"/>
      </w:pPr>
      <w:r>
        <w:t xml:space="preserve">Details of physical connection and prevention of access are required by Schedules M and N of Form 1. Feedback suggests that this detail is not particularly useful for the Federal Court, however, is required to be </w:t>
      </w:r>
      <w:proofErr w:type="gramStart"/>
      <w:r>
        <w:t>taken into account</w:t>
      </w:r>
      <w:proofErr w:type="gramEnd"/>
      <w:r>
        <w:t xml:space="preserve"> by the </w:t>
      </w:r>
      <w:r w:rsidR="00920343">
        <w:t xml:space="preserve">National Native Title Tribunal </w:t>
      </w:r>
      <w:r w:rsidR="00446974">
        <w:t xml:space="preserve">Native Title </w:t>
      </w:r>
      <w:r>
        <w:t>Registrar in considering a claim for registration under s 190A of the NT</w:t>
      </w:r>
      <w:r w:rsidR="00820DFB">
        <w:t> </w:t>
      </w:r>
      <w:r>
        <w:t xml:space="preserve">Act. Feedback has suggested that given changes in case law since 1998, consideration should be given as to whether these issues should continue to be requirements of the registration test. Similarly, details of physical connection and prevention of access is required by Schedules O and P of Form 4, </w:t>
      </w:r>
      <w:r w:rsidR="003B5E75">
        <w:t>even though this information is</w:t>
      </w:r>
      <w:r>
        <w:t xml:space="preserve"> not relevant to compensation applications. </w:t>
      </w:r>
    </w:p>
    <w:p w14:paraId="00498673" w14:textId="0696AFC2" w:rsidR="002A0620" w:rsidRPr="006F4054" w:rsidRDefault="00CC7254" w:rsidP="002108CE">
      <w:pPr>
        <w:spacing w:after="120"/>
        <w:rPr>
          <w:i/>
        </w:rPr>
      </w:pPr>
      <w:r>
        <w:rPr>
          <w:i/>
        </w:rPr>
        <w:t>T</w:t>
      </w:r>
      <w:r w:rsidR="006F2A84" w:rsidRPr="006F4054">
        <w:rPr>
          <w:i/>
        </w:rPr>
        <w:t>enure</w:t>
      </w:r>
      <w:r w:rsidR="006F2A84">
        <w:rPr>
          <w:i/>
        </w:rPr>
        <w:t xml:space="preserve"> over which extinguishment is disregarded</w:t>
      </w:r>
    </w:p>
    <w:p w14:paraId="31288EF4" w14:textId="5586632A" w:rsidR="002108CE" w:rsidRDefault="002108CE" w:rsidP="002108CE">
      <w:pPr>
        <w:spacing w:after="120"/>
      </w:pPr>
      <w:r>
        <w:t>Item 1(e) of Schedule L in Form 1 requires detail of tenure over which the NT Act allows extinguishment to be disregarded. Feedback has indicated that these details are usually unavailable at the time a determination application is filed.</w:t>
      </w:r>
    </w:p>
    <w:p w14:paraId="5FA23336" w14:textId="565C2561" w:rsidR="006F2A84" w:rsidRPr="006F4054" w:rsidRDefault="00CC7254" w:rsidP="006F4054">
      <w:pPr>
        <w:keepNext/>
        <w:keepLines/>
        <w:spacing w:after="120"/>
        <w:rPr>
          <w:i/>
        </w:rPr>
      </w:pPr>
      <w:r>
        <w:rPr>
          <w:i/>
        </w:rPr>
        <w:t>M</w:t>
      </w:r>
      <w:r w:rsidR="006F2A84">
        <w:rPr>
          <w:i/>
        </w:rPr>
        <w:t>embership of other native title groups</w:t>
      </w:r>
    </w:p>
    <w:p w14:paraId="7C00F2EA" w14:textId="6A3427F6" w:rsidR="002108CE" w:rsidRDefault="002108CE" w:rsidP="006F4054">
      <w:pPr>
        <w:keepNext/>
        <w:keepLines/>
        <w:spacing w:after="120"/>
      </w:pPr>
      <w:r>
        <w:t xml:space="preserve">Schedule O of Form 1 requires details of membership of other native title groups. Stakeholder feedback suggests that in practice this detail is rarely completed in a fulsome manner by the </w:t>
      </w:r>
      <w:r w:rsidR="00650AD1">
        <w:t>A</w:t>
      </w:r>
      <w:r>
        <w:t>pplicant and the National Native Title Tribunal relies on its own records to ascertain whether s</w:t>
      </w:r>
      <w:r w:rsidR="00820DFB">
        <w:t xml:space="preserve"> </w:t>
      </w:r>
      <w:r>
        <w:t>190</w:t>
      </w:r>
      <w:proofErr w:type="gramStart"/>
      <w:r>
        <w:t>C(</w:t>
      </w:r>
      <w:proofErr w:type="gramEnd"/>
      <w:r>
        <w:t>3) is satisfied.</w:t>
      </w:r>
    </w:p>
    <w:p w14:paraId="45BC2063" w14:textId="36555F40" w:rsidR="006F2A84" w:rsidRPr="006F4054" w:rsidRDefault="00CC7254" w:rsidP="002108CE">
      <w:pPr>
        <w:spacing w:after="120"/>
        <w:rPr>
          <w:i/>
        </w:rPr>
      </w:pPr>
      <w:r>
        <w:rPr>
          <w:i/>
        </w:rPr>
        <w:t>E</w:t>
      </w:r>
      <w:r w:rsidR="006F2A84">
        <w:rPr>
          <w:i/>
        </w:rPr>
        <w:t>xclusive possession of offshore place and ownership of Crown resources</w:t>
      </w:r>
    </w:p>
    <w:p w14:paraId="4B73F7C3" w14:textId="3080A2EE" w:rsidR="002108CE" w:rsidRDefault="002108CE" w:rsidP="002108CE">
      <w:pPr>
        <w:spacing w:after="120"/>
      </w:pPr>
      <w:r>
        <w:t xml:space="preserve">Schedules P and Q of Form 1 require disclosure of details to address </w:t>
      </w:r>
      <w:proofErr w:type="spellStart"/>
      <w:r>
        <w:t>s</w:t>
      </w:r>
      <w:proofErr w:type="spellEnd"/>
      <w:r w:rsidR="00820DFB">
        <w:t xml:space="preserve"> </w:t>
      </w:r>
      <w:r>
        <w:t>190</w:t>
      </w:r>
      <w:proofErr w:type="gramStart"/>
      <w:r>
        <w:t>B(</w:t>
      </w:r>
      <w:proofErr w:type="gramEnd"/>
      <w:r>
        <w:t xml:space="preserve">9), which stipulates areas and resources that cannot be the subject of a native title claim. Feedback suggests that in practice, a response is seldom elicited and moreover, these Schedules provide no assistance to the Court’s management of cases. </w:t>
      </w:r>
    </w:p>
    <w:p w14:paraId="2F6F65B4" w14:textId="6534A1C3" w:rsidR="00CC7254" w:rsidRPr="006F4054" w:rsidRDefault="00CC7254" w:rsidP="002108CE">
      <w:pPr>
        <w:spacing w:after="120"/>
        <w:rPr>
          <w:i/>
        </w:rPr>
      </w:pPr>
      <w:r>
        <w:rPr>
          <w:i/>
        </w:rPr>
        <w:t xml:space="preserve">Draft order </w:t>
      </w:r>
    </w:p>
    <w:p w14:paraId="6A0A4D02" w14:textId="51F75768" w:rsidR="00A04377" w:rsidRDefault="002108CE" w:rsidP="002108CE">
      <w:pPr>
        <w:spacing w:after="120"/>
      </w:pPr>
      <w:r>
        <w:t>Schedule J of Form 1 requires a draft of the order to be sought if the determination application is unopposed. Stakeholder feedback has indicated that in practice, this tends to generate a repetition of the rights and interests claimed as it is difficult to anticipate what the final orders would look like after either a litigated or consensual process.</w:t>
      </w:r>
    </w:p>
    <w:p w14:paraId="2C4FE996" w14:textId="377C93F6" w:rsidR="00CC7254" w:rsidRPr="006F4054" w:rsidRDefault="00CC7254" w:rsidP="00BB145B">
      <w:pPr>
        <w:spacing w:after="120"/>
        <w:rPr>
          <w:u w:val="single"/>
        </w:rPr>
      </w:pPr>
      <w:r w:rsidRPr="006F4054">
        <w:rPr>
          <w:u w:val="single"/>
        </w:rPr>
        <w:t xml:space="preserve">Specific revisions to </w:t>
      </w:r>
      <w:r w:rsidR="00663315">
        <w:rPr>
          <w:u w:val="single"/>
        </w:rPr>
        <w:t>the forms</w:t>
      </w:r>
    </w:p>
    <w:p w14:paraId="2A0649A9" w14:textId="17B078AA" w:rsidR="00090975" w:rsidRDefault="002108CE" w:rsidP="00BB145B">
      <w:pPr>
        <w:spacing w:after="120"/>
      </w:pPr>
      <w:r>
        <w:t>Additionally, s</w:t>
      </w:r>
      <w:r w:rsidR="00BB145B">
        <w:t xml:space="preserve">takeholder feedback has proposed </w:t>
      </w:r>
      <w:r w:rsidR="005B5182">
        <w:t xml:space="preserve">requiring specific </w:t>
      </w:r>
      <w:r w:rsidR="00BB145B">
        <w:t xml:space="preserve">details </w:t>
      </w:r>
      <w:r w:rsidR="00AE0E82">
        <w:t>in Forms 1 and 4</w:t>
      </w:r>
      <w:r w:rsidR="00820DFB">
        <w:t xml:space="preserve"> </w:t>
      </w:r>
      <w:r w:rsidR="00BB145B">
        <w:t>to assist the Federal Court in managing applications received</w:t>
      </w:r>
      <w:r w:rsidR="00A04377">
        <w:t>,</w:t>
      </w:r>
      <w:r>
        <w:t xml:space="preserve"> and </w:t>
      </w:r>
      <w:r w:rsidR="00820DFB">
        <w:t xml:space="preserve">further, </w:t>
      </w:r>
      <w:r>
        <w:t>that all forms be updated to reflect modern forms of communication</w:t>
      </w:r>
      <w:r w:rsidR="00BB145B">
        <w:t xml:space="preserve">. </w:t>
      </w:r>
    </w:p>
    <w:p w14:paraId="086D400B" w14:textId="0C0D88E1" w:rsidR="00BB145B" w:rsidRDefault="00707788" w:rsidP="00BB145B">
      <w:pPr>
        <w:keepNext/>
        <w:keepLines/>
        <w:spacing w:after="120"/>
        <w:rPr>
          <w:b/>
        </w:rPr>
      </w:pPr>
      <w:r w:rsidRPr="0026390C">
        <w:rPr>
          <w:b/>
        </w:rPr>
        <w:t>Po</w:t>
      </w:r>
      <w:r>
        <w:rPr>
          <w:b/>
        </w:rPr>
        <w:t>ssible</w:t>
      </w:r>
      <w:r w:rsidRPr="0026390C">
        <w:rPr>
          <w:b/>
        </w:rPr>
        <w:t xml:space="preserve"> </w:t>
      </w:r>
      <w:r w:rsidR="00BB145B" w:rsidRPr="0026390C">
        <w:rPr>
          <w:b/>
        </w:rPr>
        <w:t>reform</w:t>
      </w:r>
      <w:r w:rsidR="00BB145B">
        <w:rPr>
          <w:b/>
        </w:rPr>
        <w:t>s</w:t>
      </w:r>
    </w:p>
    <w:p w14:paraId="720BB600" w14:textId="4AB09898" w:rsidR="002108CE" w:rsidRDefault="002108CE" w:rsidP="002108CE">
      <w:pPr>
        <w:pStyle w:val="ListParagraph"/>
        <w:numPr>
          <w:ilvl w:val="0"/>
          <w:numId w:val="71"/>
        </w:numPr>
        <w:spacing w:after="120"/>
      </w:pPr>
      <w:r>
        <w:t>Remov</w:t>
      </w:r>
      <w:r w:rsidR="00A04377">
        <w:t>e</w:t>
      </w:r>
      <w:r>
        <w:t xml:space="preserve"> </w:t>
      </w:r>
      <w:r w:rsidR="00A04377">
        <w:t xml:space="preserve">the </w:t>
      </w:r>
      <w:r>
        <w:t xml:space="preserve">Items and Schedules outlined above on the grounds that they are duplicative, unnecessary, or rarely completed. Some of these proposals may require amendments to the NT Act.  </w:t>
      </w:r>
    </w:p>
    <w:p w14:paraId="623E93B3" w14:textId="18E10D8C" w:rsidR="00BB145B" w:rsidRDefault="00BB145B" w:rsidP="006F4054">
      <w:pPr>
        <w:pStyle w:val="ListParagraph"/>
        <w:numPr>
          <w:ilvl w:val="0"/>
          <w:numId w:val="71"/>
        </w:numPr>
        <w:spacing w:before="240" w:after="120"/>
        <w:contextualSpacing w:val="0"/>
      </w:pPr>
      <w:r>
        <w:t>The following suggestions have been proposed in relation to Forms 1 and 4</w:t>
      </w:r>
      <w:r w:rsidR="00090975">
        <w:t xml:space="preserve"> that would allow the Federal Court to more efficiently assess native title determination and compensation applications</w:t>
      </w:r>
      <w:r>
        <w:t>:</w:t>
      </w:r>
    </w:p>
    <w:p w14:paraId="15B53297" w14:textId="77777777" w:rsidR="00BB145B" w:rsidRDefault="00BB145B" w:rsidP="00BB145B">
      <w:pPr>
        <w:pStyle w:val="ListParagraph"/>
        <w:numPr>
          <w:ilvl w:val="1"/>
          <w:numId w:val="71"/>
        </w:numPr>
        <w:spacing w:after="120"/>
        <w:contextualSpacing w:val="0"/>
      </w:pPr>
      <w:r>
        <w:t>Requiring a checklist to ascertain extent of connection/ tenure work done/ discussions with the State/ draft orders or timetable prepared etc.</w:t>
      </w:r>
    </w:p>
    <w:p w14:paraId="6362884B" w14:textId="74F29228" w:rsidR="00BB145B" w:rsidRDefault="00BB145B" w:rsidP="00BB145B">
      <w:pPr>
        <w:pStyle w:val="ListParagraph"/>
        <w:numPr>
          <w:ilvl w:val="1"/>
          <w:numId w:val="71"/>
        </w:numPr>
        <w:spacing w:after="120"/>
        <w:contextualSpacing w:val="0"/>
      </w:pPr>
      <w:r>
        <w:lastRenderedPageBreak/>
        <w:t xml:space="preserve">Requiring details of </w:t>
      </w:r>
      <w:r w:rsidR="0009177F">
        <w:t xml:space="preserve">the </w:t>
      </w:r>
      <w:r>
        <w:t xml:space="preserve">relevant </w:t>
      </w:r>
      <w:r w:rsidR="006E0A79">
        <w:t>R</w:t>
      </w:r>
      <w:r>
        <w:t xml:space="preserve">egistered </w:t>
      </w:r>
      <w:r w:rsidR="006E0A79">
        <w:t>N</w:t>
      </w:r>
      <w:r>
        <w:t xml:space="preserve">ative </w:t>
      </w:r>
      <w:r w:rsidR="006E0A79">
        <w:t>T</w:t>
      </w:r>
      <w:r>
        <w:t xml:space="preserve">itle </w:t>
      </w:r>
      <w:r w:rsidR="006E0A79">
        <w:t>B</w:t>
      </w:r>
      <w:r>
        <w:t xml:space="preserve">ody Corporate and whether </w:t>
      </w:r>
      <w:r w:rsidR="00815A90">
        <w:t xml:space="preserve">they have been </w:t>
      </w:r>
      <w:r>
        <w:t xml:space="preserve">consulted. This mechanism is proposed to ensure a degree of transparency and accountability on </w:t>
      </w:r>
      <w:r w:rsidRPr="000E2EB6">
        <w:t>applications</w:t>
      </w:r>
      <w:r>
        <w:t xml:space="preserve"> brought by claim groups to maximise consistency in approach and avoid undue contestation from the relevant body corporate. This is particularly relevant for Form 4 as the potential for multiple compensation applications and </w:t>
      </w:r>
      <w:r w:rsidR="00650AD1">
        <w:t>A</w:t>
      </w:r>
      <w:r>
        <w:t xml:space="preserve">pplicants is high. This could be linked to the “Authorisation” section of the form. </w:t>
      </w:r>
    </w:p>
    <w:p w14:paraId="5613A359" w14:textId="41329853" w:rsidR="00BB145B" w:rsidRDefault="00BB145B" w:rsidP="00BB145B">
      <w:pPr>
        <w:pStyle w:val="ListParagraph"/>
        <w:numPr>
          <w:ilvl w:val="1"/>
          <w:numId w:val="71"/>
        </w:numPr>
        <w:spacing w:after="120"/>
        <w:contextualSpacing w:val="0"/>
      </w:pPr>
      <w:r>
        <w:t>Reformatting both Forms 1 and 4 without boxes</w:t>
      </w:r>
      <w:r w:rsidR="0009177F">
        <w:t>, perhaps using</w:t>
      </w:r>
      <w:r>
        <w:t xml:space="preserve"> </w:t>
      </w:r>
      <w:r w:rsidR="0009177F">
        <w:t>a</w:t>
      </w:r>
      <w:r>
        <w:t xml:space="preserve"> similar style to the form used in South Australia (</w:t>
      </w:r>
      <w:r w:rsidR="00650AD1">
        <w:t>A</w:t>
      </w:r>
      <w:r>
        <w:t>pplicant details at the front, explanation of schedule content, checklists etc.)</w:t>
      </w:r>
    </w:p>
    <w:p w14:paraId="4A6E8212" w14:textId="6915C173" w:rsidR="00BB145B" w:rsidRDefault="00BB145B" w:rsidP="00BB145B">
      <w:pPr>
        <w:pStyle w:val="ListParagraph"/>
        <w:numPr>
          <w:ilvl w:val="0"/>
          <w:numId w:val="71"/>
        </w:numPr>
        <w:spacing w:after="120"/>
        <w:contextualSpacing w:val="0"/>
      </w:pPr>
      <w:r>
        <w:t>Remove references to ‘DX’ and ‘Facsimile’ in all forms as they are outdated forms of communication the Court no longer uses.</w:t>
      </w:r>
    </w:p>
    <w:p w14:paraId="0A30443A" w14:textId="24391498" w:rsidR="00DF6708" w:rsidRDefault="00DF6708" w:rsidP="00DF6708">
      <w:pPr>
        <w:pStyle w:val="ListParagraph"/>
        <w:spacing w:after="120"/>
        <w:contextualSpacing w:val="0"/>
      </w:pPr>
      <w:r>
        <w:rPr>
          <w:i/>
        </w:rPr>
        <w:t>Intended effect</w:t>
      </w:r>
    </w:p>
    <w:p w14:paraId="3CD7CE6E" w14:textId="12AE5624" w:rsidR="00DF6708" w:rsidRPr="006A1CF0" w:rsidRDefault="00707788" w:rsidP="006F4054">
      <w:pPr>
        <w:pStyle w:val="ListParagraph"/>
        <w:spacing w:after="120"/>
        <w:contextualSpacing w:val="0"/>
      </w:pPr>
      <w:r w:rsidRPr="006F4054">
        <w:t xml:space="preserve">The intended </w:t>
      </w:r>
      <w:r w:rsidR="00BC28F8" w:rsidRPr="006F4054">
        <w:t xml:space="preserve">practical </w:t>
      </w:r>
      <w:r w:rsidRPr="006F4054">
        <w:t>effect is to streamline</w:t>
      </w:r>
      <w:r w:rsidR="00815A90" w:rsidRPr="006F4054">
        <w:t xml:space="preserve"> the forms, and simplify the application process</w:t>
      </w:r>
      <w:r w:rsidR="00920343">
        <w:t xml:space="preserve"> by removing requirements that are unnecessary or duplicative</w:t>
      </w:r>
      <w:r w:rsidR="00815A90" w:rsidRPr="006F4054">
        <w:t xml:space="preserve">. </w:t>
      </w:r>
    </w:p>
    <w:p w14:paraId="0C80C63B" w14:textId="752B6010" w:rsidR="00BB145B" w:rsidRDefault="00BB145B" w:rsidP="00BB145B">
      <w:pPr>
        <w:spacing w:after="120"/>
        <w:rPr>
          <w:b/>
        </w:rPr>
      </w:pPr>
      <w:r w:rsidRPr="00417879">
        <w:rPr>
          <w:b/>
        </w:rPr>
        <w:t>Question</w:t>
      </w:r>
      <w:r w:rsidR="009A31EF">
        <w:rPr>
          <w:b/>
        </w:rPr>
        <w:t>s</w:t>
      </w:r>
    </w:p>
    <w:p w14:paraId="0D0BD360" w14:textId="428527B8" w:rsidR="00A04377" w:rsidRPr="00A04377" w:rsidRDefault="00A04377" w:rsidP="00960198">
      <w:pPr>
        <w:pStyle w:val="ListParagraph"/>
        <w:numPr>
          <w:ilvl w:val="0"/>
          <w:numId w:val="106"/>
        </w:numPr>
        <w:spacing w:after="120"/>
        <w:ind w:left="714" w:hanging="357"/>
        <w:contextualSpacing w:val="0"/>
      </w:pPr>
      <w:r w:rsidRPr="00125A00">
        <w:t xml:space="preserve">Are the current details requested by each of the Items and Schedules in Forms 1 and 4 as described </w:t>
      </w:r>
      <w:r w:rsidR="00677C3E">
        <w:t xml:space="preserve">above </w:t>
      </w:r>
      <w:r w:rsidRPr="00125A00">
        <w:t>necessary? Please specify and justify any suggested amendment or removal.</w:t>
      </w:r>
    </w:p>
    <w:p w14:paraId="24669EC3" w14:textId="1A5CF482" w:rsidR="0009177F" w:rsidRPr="00960198" w:rsidRDefault="00A04377" w:rsidP="00960198">
      <w:pPr>
        <w:pStyle w:val="ListParagraph"/>
        <w:numPr>
          <w:ilvl w:val="0"/>
          <w:numId w:val="106"/>
        </w:numPr>
        <w:spacing w:after="120"/>
        <w:ind w:left="714" w:hanging="357"/>
        <w:contextualSpacing w:val="0"/>
      </w:pPr>
      <w:r w:rsidRPr="00A04377">
        <w:t xml:space="preserve">Would the revisions to Forms 1 and 4 listed </w:t>
      </w:r>
      <w:r w:rsidR="00677C3E">
        <w:t>above</w:t>
      </w:r>
      <w:r w:rsidRPr="00A04377">
        <w:t xml:space="preserve"> be beneficial for stakeholders? </w:t>
      </w:r>
    </w:p>
    <w:p w14:paraId="1471A83F" w14:textId="4D0A6F8F" w:rsidR="00D44F1A" w:rsidRDefault="00D44F1A" w:rsidP="00960198">
      <w:pPr>
        <w:pStyle w:val="Heading3"/>
        <w:spacing w:before="360" w:after="120" w:line="276" w:lineRule="auto"/>
      </w:pPr>
      <w:r>
        <w:t xml:space="preserve">Form 1 (Determination Application) of the </w:t>
      </w:r>
      <w:r w:rsidR="00412B66">
        <w:t>Federal Court Regulations</w:t>
      </w:r>
    </w:p>
    <w:p w14:paraId="5A23FC6A" w14:textId="0EDF26CC" w:rsidR="00112E9B" w:rsidRPr="006F4054" w:rsidRDefault="00112E9B" w:rsidP="00C96DAE">
      <w:pPr>
        <w:pStyle w:val="Heading4"/>
        <w:spacing w:after="120" w:line="276" w:lineRule="auto"/>
        <w:rPr>
          <w:b w:val="0"/>
          <w:color w:val="auto"/>
          <w:sz w:val="22"/>
          <w:szCs w:val="22"/>
        </w:rPr>
      </w:pPr>
      <w:bookmarkStart w:id="9" w:name="_Hlk119047975"/>
      <w:r>
        <w:rPr>
          <w:b w:val="0"/>
          <w:color w:val="auto"/>
          <w:sz w:val="22"/>
          <w:szCs w:val="22"/>
        </w:rPr>
        <w:t xml:space="preserve">Stakeholder feedback </w:t>
      </w:r>
      <w:r w:rsidR="003D295F">
        <w:rPr>
          <w:b w:val="0"/>
          <w:color w:val="auto"/>
          <w:sz w:val="22"/>
          <w:szCs w:val="22"/>
        </w:rPr>
        <w:t xml:space="preserve">specifically in relation to Form 1, aside from those already discussed, is limited to </w:t>
      </w:r>
      <w:r w:rsidR="00B252E2">
        <w:rPr>
          <w:b w:val="0"/>
          <w:color w:val="auto"/>
          <w:sz w:val="22"/>
          <w:szCs w:val="22"/>
        </w:rPr>
        <w:t xml:space="preserve">suggested </w:t>
      </w:r>
      <w:r>
        <w:rPr>
          <w:b w:val="0"/>
          <w:color w:val="auto"/>
          <w:sz w:val="22"/>
          <w:szCs w:val="22"/>
        </w:rPr>
        <w:t>revisi</w:t>
      </w:r>
      <w:r w:rsidR="00B252E2">
        <w:rPr>
          <w:b w:val="0"/>
          <w:color w:val="auto"/>
          <w:sz w:val="22"/>
          <w:szCs w:val="22"/>
        </w:rPr>
        <w:t>ons to</w:t>
      </w:r>
      <w:r>
        <w:rPr>
          <w:b w:val="0"/>
          <w:color w:val="auto"/>
          <w:sz w:val="22"/>
          <w:szCs w:val="22"/>
        </w:rPr>
        <w:t xml:space="preserve"> Schedules B and F to clarify what information is required. </w:t>
      </w:r>
    </w:p>
    <w:p w14:paraId="4085D113" w14:textId="737C038F" w:rsidR="00FC5C91" w:rsidRPr="00C96DAE" w:rsidRDefault="00112E9B" w:rsidP="00C96DAE">
      <w:pPr>
        <w:pStyle w:val="Heading4"/>
        <w:spacing w:after="120" w:line="276" w:lineRule="auto"/>
      </w:pPr>
      <w:r>
        <w:t>Clarify required descriptions on area and basis on which native title exists</w:t>
      </w:r>
    </w:p>
    <w:p w14:paraId="6B4D8669" w14:textId="2979011E" w:rsidR="0000603D" w:rsidRPr="0000603D" w:rsidRDefault="0000603D" w:rsidP="00C96DAE">
      <w:pPr>
        <w:spacing w:after="120"/>
        <w:rPr>
          <w:b/>
          <w:bCs/>
        </w:rPr>
      </w:pPr>
      <w:r w:rsidRPr="0000603D">
        <w:rPr>
          <w:b/>
          <w:bCs/>
        </w:rPr>
        <w:t>Overview</w:t>
      </w:r>
    </w:p>
    <w:p w14:paraId="245FB376" w14:textId="3B020C0F" w:rsidR="00FC5C91" w:rsidRDefault="00FC5C91" w:rsidP="00C96DAE">
      <w:pPr>
        <w:spacing w:after="120"/>
        <w:rPr>
          <w:bCs/>
        </w:rPr>
      </w:pPr>
      <w:r>
        <w:rPr>
          <w:bCs/>
        </w:rPr>
        <w:t xml:space="preserve">Schedule B in Form 1 requires </w:t>
      </w:r>
      <w:r w:rsidR="00F91390">
        <w:rPr>
          <w:bCs/>
        </w:rPr>
        <w:t xml:space="preserve">information identifying the boundaries of the area covered by the application </w:t>
      </w:r>
      <w:r>
        <w:rPr>
          <w:bCs/>
        </w:rPr>
        <w:t>to be included in a determination application. However, it does not require the description to be consistent with the map provided in the form, which would assist the National Native Title Tribunal to apply the registration test efficiently.</w:t>
      </w:r>
    </w:p>
    <w:p w14:paraId="3D054F1B" w14:textId="588BE09D" w:rsidR="00FC5C91" w:rsidRDefault="00FC5C91" w:rsidP="00C96DAE">
      <w:pPr>
        <w:spacing w:after="120"/>
        <w:rPr>
          <w:bCs/>
        </w:rPr>
      </w:pPr>
      <w:r>
        <w:rPr>
          <w:bCs/>
        </w:rPr>
        <w:t xml:space="preserve">Schedule F in Form 1 requires a general description of the factual basis on which it is asserted that the native title rights and interests claimed exist. Feedback </w:t>
      </w:r>
      <w:r w:rsidR="00F91390">
        <w:rPr>
          <w:bCs/>
        </w:rPr>
        <w:t>from stakeholders</w:t>
      </w:r>
      <w:r>
        <w:rPr>
          <w:bCs/>
        </w:rPr>
        <w:t xml:space="preserve"> </w:t>
      </w:r>
      <w:r w:rsidR="00F91390">
        <w:rPr>
          <w:bCs/>
        </w:rPr>
        <w:t xml:space="preserve">suggests </w:t>
      </w:r>
      <w:r>
        <w:rPr>
          <w:bCs/>
        </w:rPr>
        <w:t xml:space="preserve">this requirement is unclear as it merely replicates s 62(2)(e) of </w:t>
      </w:r>
      <w:r w:rsidR="00F47929">
        <w:rPr>
          <w:bCs/>
        </w:rPr>
        <w:t>the NT Act</w:t>
      </w:r>
      <w:r w:rsidR="00920343">
        <w:rPr>
          <w:bCs/>
        </w:rPr>
        <w:t xml:space="preserve"> without providing guidance that the information is required for assessing whether connection is established for the purposes of s 223 of the NT Act</w:t>
      </w:r>
      <w:r>
        <w:rPr>
          <w:bCs/>
        </w:rPr>
        <w:t>.</w:t>
      </w:r>
    </w:p>
    <w:p w14:paraId="0FB88312" w14:textId="7A656297" w:rsidR="00FC5C91" w:rsidRPr="0000603D" w:rsidRDefault="00FC5C91" w:rsidP="00C35106">
      <w:pPr>
        <w:keepNext/>
        <w:spacing w:after="120"/>
        <w:rPr>
          <w:b/>
          <w:bCs/>
        </w:rPr>
      </w:pPr>
      <w:r w:rsidRPr="0000603D">
        <w:rPr>
          <w:b/>
          <w:bCs/>
        </w:rPr>
        <w:lastRenderedPageBreak/>
        <w:t>P</w:t>
      </w:r>
      <w:r w:rsidR="00C6266B" w:rsidRPr="0000603D">
        <w:rPr>
          <w:b/>
          <w:bCs/>
        </w:rPr>
        <w:t>ossible</w:t>
      </w:r>
      <w:r w:rsidRPr="0000603D">
        <w:rPr>
          <w:b/>
          <w:bCs/>
        </w:rPr>
        <w:t xml:space="preserve"> reform</w:t>
      </w:r>
      <w:r w:rsidR="00F91390">
        <w:rPr>
          <w:b/>
          <w:bCs/>
        </w:rPr>
        <w:t>s</w:t>
      </w:r>
    </w:p>
    <w:p w14:paraId="1FEC3211" w14:textId="15BD339D" w:rsidR="006A1CF0" w:rsidRDefault="00FC5C91" w:rsidP="00C35106">
      <w:pPr>
        <w:pStyle w:val="ListParagraph"/>
        <w:keepNext/>
        <w:numPr>
          <w:ilvl w:val="0"/>
          <w:numId w:val="69"/>
        </w:numPr>
        <w:spacing w:after="120"/>
        <w:contextualSpacing w:val="0"/>
        <w:rPr>
          <w:bCs/>
        </w:rPr>
      </w:pPr>
      <w:r>
        <w:rPr>
          <w:bCs/>
        </w:rPr>
        <w:t xml:space="preserve">Amend Schedule B to require that the information identifying the boundary of the area must be consistent with the map provided with </w:t>
      </w:r>
      <w:r w:rsidR="00920343">
        <w:rPr>
          <w:bCs/>
        </w:rPr>
        <w:t>F</w:t>
      </w:r>
      <w:r>
        <w:rPr>
          <w:bCs/>
        </w:rPr>
        <w:t>orm</w:t>
      </w:r>
      <w:r w:rsidR="004A472A">
        <w:rPr>
          <w:bCs/>
        </w:rPr>
        <w:t xml:space="preserve"> 1</w:t>
      </w:r>
      <w:r>
        <w:rPr>
          <w:bCs/>
        </w:rPr>
        <w:t>.</w:t>
      </w:r>
      <w:r w:rsidR="006E1D31">
        <w:rPr>
          <w:bCs/>
        </w:rPr>
        <w:t xml:space="preserve"> </w:t>
      </w:r>
    </w:p>
    <w:p w14:paraId="761B92A9" w14:textId="4D60BB1C" w:rsidR="006A1CF0" w:rsidRPr="006F4054" w:rsidRDefault="006A1CF0" w:rsidP="006A1CF0">
      <w:pPr>
        <w:pStyle w:val="ListParagraph"/>
        <w:spacing w:after="120"/>
        <w:contextualSpacing w:val="0"/>
        <w:rPr>
          <w:bCs/>
          <w:i/>
        </w:rPr>
      </w:pPr>
      <w:r>
        <w:rPr>
          <w:bCs/>
          <w:i/>
        </w:rPr>
        <w:t>Intended effect</w:t>
      </w:r>
    </w:p>
    <w:p w14:paraId="34890F39" w14:textId="321531BF" w:rsidR="00FC5C91" w:rsidRDefault="006E1D31" w:rsidP="006F4054">
      <w:pPr>
        <w:pStyle w:val="ListParagraph"/>
        <w:spacing w:after="120"/>
        <w:contextualSpacing w:val="0"/>
        <w:rPr>
          <w:bCs/>
        </w:rPr>
      </w:pPr>
      <w:r>
        <w:rPr>
          <w:bCs/>
        </w:rPr>
        <w:t xml:space="preserve">This would make the native title application process more efficient as the </w:t>
      </w:r>
      <w:r w:rsidR="007F61E2">
        <w:rPr>
          <w:bCs/>
        </w:rPr>
        <w:t xml:space="preserve">National Native Title </w:t>
      </w:r>
      <w:r>
        <w:rPr>
          <w:bCs/>
        </w:rPr>
        <w:t xml:space="preserve">Tribunal, in assessing the application for registration, would be able to more easily identify the relevant area if the description of the boundaries and map aligned with each other. </w:t>
      </w:r>
    </w:p>
    <w:p w14:paraId="172DF589" w14:textId="2C8DF73B" w:rsidR="006A1CF0" w:rsidRDefault="00FC5C91" w:rsidP="00C96DAE">
      <w:pPr>
        <w:pStyle w:val="ListParagraph"/>
        <w:numPr>
          <w:ilvl w:val="0"/>
          <w:numId w:val="69"/>
        </w:numPr>
        <w:spacing w:after="120"/>
        <w:contextualSpacing w:val="0"/>
        <w:rPr>
          <w:bCs/>
        </w:rPr>
      </w:pPr>
      <w:r>
        <w:rPr>
          <w:bCs/>
        </w:rPr>
        <w:t>Amend Schedule F to clarify that information should address s</w:t>
      </w:r>
      <w:r w:rsidR="006D45A5">
        <w:rPr>
          <w:bCs/>
        </w:rPr>
        <w:t xml:space="preserve"> </w:t>
      </w:r>
      <w:r>
        <w:rPr>
          <w:bCs/>
        </w:rPr>
        <w:t xml:space="preserve">223 of </w:t>
      </w:r>
      <w:r w:rsidR="00F47929">
        <w:rPr>
          <w:bCs/>
        </w:rPr>
        <w:t>the NT Act</w:t>
      </w:r>
      <w:r w:rsidR="00C35106">
        <w:rPr>
          <w:bCs/>
        </w:rPr>
        <w:t xml:space="preserve">, including </w:t>
      </w:r>
      <w:r>
        <w:rPr>
          <w:bCs/>
        </w:rPr>
        <w:t>connection</w:t>
      </w:r>
      <w:r w:rsidR="00743E6E">
        <w:rPr>
          <w:bCs/>
        </w:rPr>
        <w:t>.</w:t>
      </w:r>
    </w:p>
    <w:p w14:paraId="510C2C9E" w14:textId="6D2CBBA7" w:rsidR="006A1CF0" w:rsidRPr="006A1CF0" w:rsidRDefault="006A1CF0" w:rsidP="006A1CF0">
      <w:pPr>
        <w:pStyle w:val="ListParagraph"/>
        <w:spacing w:after="120"/>
        <w:contextualSpacing w:val="0"/>
        <w:rPr>
          <w:bCs/>
          <w:i/>
        </w:rPr>
      </w:pPr>
      <w:r>
        <w:rPr>
          <w:bCs/>
          <w:i/>
        </w:rPr>
        <w:t>Intended effect</w:t>
      </w:r>
    </w:p>
    <w:p w14:paraId="4BFAF315" w14:textId="7654857C" w:rsidR="00C6266B" w:rsidRDefault="006E1D31" w:rsidP="006A1CF0">
      <w:pPr>
        <w:pStyle w:val="ListParagraph"/>
        <w:spacing w:after="120"/>
        <w:contextualSpacing w:val="0"/>
        <w:rPr>
          <w:bCs/>
        </w:rPr>
      </w:pPr>
      <w:r>
        <w:rPr>
          <w:bCs/>
        </w:rPr>
        <w:t xml:space="preserve">This would allow </w:t>
      </w:r>
      <w:r w:rsidR="00650AD1">
        <w:rPr>
          <w:bCs/>
        </w:rPr>
        <w:t>A</w:t>
      </w:r>
      <w:r>
        <w:rPr>
          <w:bCs/>
        </w:rPr>
        <w:t xml:space="preserve">pplicants to understand more clearly what information is </w:t>
      </w:r>
      <w:r w:rsidR="004450E0">
        <w:rPr>
          <w:bCs/>
        </w:rPr>
        <w:t>required</w:t>
      </w:r>
      <w:r w:rsidR="00991939">
        <w:rPr>
          <w:bCs/>
        </w:rPr>
        <w:t xml:space="preserve"> and its relevance in the determin</w:t>
      </w:r>
      <w:r w:rsidR="004450E0">
        <w:rPr>
          <w:bCs/>
        </w:rPr>
        <w:t>ation</w:t>
      </w:r>
      <w:r w:rsidR="00991939">
        <w:rPr>
          <w:bCs/>
        </w:rPr>
        <w:t xml:space="preserve"> </w:t>
      </w:r>
      <w:r w:rsidR="004450E0">
        <w:rPr>
          <w:bCs/>
        </w:rPr>
        <w:t>process, i.e. that the information is required for assessing whether there is a connection in accordance with s</w:t>
      </w:r>
      <w:r w:rsidR="006D45A5">
        <w:rPr>
          <w:bCs/>
        </w:rPr>
        <w:t xml:space="preserve"> </w:t>
      </w:r>
      <w:r w:rsidR="004450E0">
        <w:rPr>
          <w:bCs/>
        </w:rPr>
        <w:t>223 of the NT Act</w:t>
      </w:r>
      <w:r w:rsidR="00991939">
        <w:rPr>
          <w:bCs/>
        </w:rPr>
        <w:t xml:space="preserve">. </w:t>
      </w:r>
    </w:p>
    <w:p w14:paraId="2043830E" w14:textId="5F5C5916" w:rsidR="00C6266B" w:rsidRPr="00C6266B" w:rsidRDefault="00C6266B" w:rsidP="00C96DAE">
      <w:pPr>
        <w:spacing w:after="120"/>
        <w:rPr>
          <w:b/>
          <w:bCs/>
        </w:rPr>
      </w:pPr>
      <w:r>
        <w:rPr>
          <w:b/>
          <w:bCs/>
        </w:rPr>
        <w:t xml:space="preserve">Question </w:t>
      </w:r>
    </w:p>
    <w:p w14:paraId="0E251F19" w14:textId="3BE8E154" w:rsidR="00C96DAE" w:rsidRPr="00AE0E82" w:rsidRDefault="00C6266B" w:rsidP="007B3C23">
      <w:pPr>
        <w:pStyle w:val="ListParagraph"/>
        <w:numPr>
          <w:ilvl w:val="0"/>
          <w:numId w:val="106"/>
        </w:numPr>
        <w:spacing w:after="120"/>
        <w:contextualSpacing w:val="0"/>
        <w:rPr>
          <w:bCs/>
        </w:rPr>
      </w:pPr>
      <w:bookmarkStart w:id="10" w:name="_Hlk122521272"/>
      <w:bookmarkStart w:id="11" w:name="_Hlk121831116"/>
      <w:r w:rsidRPr="00C6266B">
        <w:rPr>
          <w:bCs/>
        </w:rPr>
        <w:t>How can</w:t>
      </w:r>
      <w:r w:rsidR="00743E6E">
        <w:rPr>
          <w:bCs/>
        </w:rPr>
        <w:t xml:space="preserve"> Schedules B and F in Form 1 be amended to clarify what information is required?</w:t>
      </w:r>
    </w:p>
    <w:bookmarkEnd w:id="10"/>
    <w:p w14:paraId="4FE00868" w14:textId="77777777" w:rsidR="00580C0E" w:rsidRPr="00C96DAE" w:rsidRDefault="00580C0E" w:rsidP="00C96DAE">
      <w:pPr>
        <w:spacing w:after="120"/>
        <w:rPr>
          <w:bCs/>
        </w:rPr>
      </w:pPr>
    </w:p>
    <w:p w14:paraId="48CA1E54" w14:textId="35729475" w:rsidR="00593A79" w:rsidRPr="005E21DB" w:rsidRDefault="00593A79" w:rsidP="00C96DAE">
      <w:pPr>
        <w:pStyle w:val="Heading3"/>
        <w:spacing w:after="120" w:line="276" w:lineRule="auto"/>
      </w:pPr>
      <w:bookmarkStart w:id="12" w:name="_Hlk121320307"/>
      <w:bookmarkEnd w:id="11"/>
      <w:r>
        <w:t xml:space="preserve">Form 4 </w:t>
      </w:r>
      <w:bookmarkEnd w:id="9"/>
      <w:r w:rsidR="00F23544">
        <w:t xml:space="preserve">(Compensation Application) </w:t>
      </w:r>
      <w:r>
        <w:t xml:space="preserve">of the </w:t>
      </w:r>
      <w:r w:rsidR="00412B66">
        <w:t>Federal Court Regulations</w:t>
      </w:r>
      <w:r w:rsidR="000B602A">
        <w:t xml:space="preserve"> </w:t>
      </w:r>
    </w:p>
    <w:p w14:paraId="6353322F" w14:textId="3054AA53" w:rsidR="006520A1" w:rsidRPr="006F4054" w:rsidRDefault="006E1947" w:rsidP="00C96DAE">
      <w:pPr>
        <w:pStyle w:val="Heading4"/>
        <w:spacing w:after="120" w:line="276" w:lineRule="auto"/>
        <w:rPr>
          <w:b w:val="0"/>
          <w:color w:val="auto"/>
          <w:sz w:val="22"/>
          <w:szCs w:val="22"/>
        </w:rPr>
      </w:pPr>
      <w:r>
        <w:rPr>
          <w:b w:val="0"/>
          <w:color w:val="auto"/>
          <w:sz w:val="22"/>
          <w:szCs w:val="22"/>
        </w:rPr>
        <w:t xml:space="preserve">Stakeholder feedback suggested a number of reforms specifically </w:t>
      </w:r>
      <w:r w:rsidR="00824C86">
        <w:rPr>
          <w:b w:val="0"/>
          <w:color w:val="auto"/>
          <w:sz w:val="22"/>
          <w:szCs w:val="22"/>
        </w:rPr>
        <w:t xml:space="preserve">in relation </w:t>
      </w:r>
      <w:r>
        <w:rPr>
          <w:b w:val="0"/>
          <w:color w:val="auto"/>
          <w:sz w:val="22"/>
          <w:szCs w:val="22"/>
        </w:rPr>
        <w:t>to Form 4</w:t>
      </w:r>
      <w:r w:rsidR="00824C86">
        <w:rPr>
          <w:b w:val="0"/>
          <w:color w:val="auto"/>
          <w:sz w:val="22"/>
          <w:szCs w:val="22"/>
        </w:rPr>
        <w:t xml:space="preserve">, which could be achieved by revising certain requirements specified in Form 4 and changing the application and notification processes.  </w:t>
      </w:r>
    </w:p>
    <w:p w14:paraId="2F7368B9" w14:textId="5FDAAE07" w:rsidR="00B571D2" w:rsidRDefault="00B571D2" w:rsidP="00C96DAE">
      <w:pPr>
        <w:pStyle w:val="Heading4"/>
        <w:spacing w:after="120" w:line="276" w:lineRule="auto"/>
      </w:pPr>
      <w:r>
        <w:t>D</w:t>
      </w:r>
      <w:r w:rsidR="008F7128" w:rsidRPr="006E4677">
        <w:t>escription of na</w:t>
      </w:r>
      <w:r>
        <w:t>tive title rights and interests</w:t>
      </w:r>
    </w:p>
    <w:bookmarkEnd w:id="12"/>
    <w:p w14:paraId="217F4D36" w14:textId="0508B594" w:rsidR="00B571D2" w:rsidRDefault="000303EF" w:rsidP="00C96DAE">
      <w:pPr>
        <w:spacing w:after="120"/>
        <w:rPr>
          <w:b/>
        </w:rPr>
      </w:pPr>
      <w:r w:rsidRPr="000303EF">
        <w:rPr>
          <w:b/>
        </w:rPr>
        <w:t>Overview</w:t>
      </w:r>
    </w:p>
    <w:p w14:paraId="2642FAB3" w14:textId="2FB0D422" w:rsidR="00743E6E" w:rsidRDefault="00787232" w:rsidP="00C96DAE">
      <w:pPr>
        <w:spacing w:after="120"/>
      </w:pPr>
      <w:r>
        <w:t xml:space="preserve">Schedule E of Form 4 requires </w:t>
      </w:r>
      <w:r w:rsidR="00650AD1">
        <w:t>A</w:t>
      </w:r>
      <w:r>
        <w:t xml:space="preserve">pplicants to include the following </w:t>
      </w:r>
      <w:r w:rsidR="00D567D9">
        <w:t>information in an</w:t>
      </w:r>
      <w:r>
        <w:t xml:space="preserve"> application for compensation:</w:t>
      </w:r>
    </w:p>
    <w:p w14:paraId="733A66DF" w14:textId="6B34E1E8" w:rsidR="008E7D0D" w:rsidRPr="00C96DAE" w:rsidRDefault="00787232" w:rsidP="00C96DAE">
      <w:pPr>
        <w:spacing w:after="120"/>
        <w:ind w:left="720"/>
        <w:rPr>
          <w:i/>
        </w:rPr>
      </w:pPr>
      <w:r w:rsidRPr="00417879">
        <w:rPr>
          <w:i/>
        </w:rPr>
        <w:t>A description of the native title rights and interests in relation to particular land or waters (including any activities in exercise of those rights and interests) for which compensation is claimed. The description must not merely consist of a statement to the effect that the native title rights and interests are all native title rights and interests that existed, or have not been extinguished, at law.</w:t>
      </w:r>
    </w:p>
    <w:p w14:paraId="02F2AD09" w14:textId="268A3ED6" w:rsidR="00787232" w:rsidRDefault="0060680C" w:rsidP="00C96DAE">
      <w:pPr>
        <w:spacing w:after="120"/>
        <w:rPr>
          <w:rFonts w:asciiTheme="minorHAnsi" w:hAnsiTheme="minorHAnsi" w:cstheme="minorHAnsi"/>
          <w:b/>
        </w:rPr>
      </w:pPr>
      <w:r w:rsidRPr="0060680C">
        <w:rPr>
          <w:rFonts w:asciiTheme="minorHAnsi" w:hAnsiTheme="minorHAnsi" w:cstheme="minorHAnsi"/>
          <w:b/>
        </w:rPr>
        <w:t>P</w:t>
      </w:r>
      <w:r w:rsidR="005C7B1D">
        <w:rPr>
          <w:rFonts w:asciiTheme="minorHAnsi" w:hAnsiTheme="minorHAnsi" w:cstheme="minorHAnsi"/>
          <w:b/>
        </w:rPr>
        <w:t>ossible</w:t>
      </w:r>
      <w:r w:rsidRPr="0060680C">
        <w:rPr>
          <w:rFonts w:asciiTheme="minorHAnsi" w:hAnsiTheme="minorHAnsi" w:cstheme="minorHAnsi"/>
          <w:b/>
        </w:rPr>
        <w:t xml:space="preserve"> reform</w:t>
      </w:r>
    </w:p>
    <w:p w14:paraId="74257D1F" w14:textId="77777777" w:rsidR="002100FF" w:rsidRDefault="0060680C" w:rsidP="00C96DAE">
      <w:pPr>
        <w:spacing w:after="120"/>
      </w:pPr>
      <w:r>
        <w:rPr>
          <w:rFonts w:asciiTheme="minorHAnsi" w:hAnsiTheme="minorHAnsi" w:cstheme="minorHAnsi"/>
        </w:rPr>
        <w:t xml:space="preserve">The department is considering </w:t>
      </w:r>
      <w:r w:rsidR="00226F47">
        <w:rPr>
          <w:rFonts w:asciiTheme="minorHAnsi" w:hAnsiTheme="minorHAnsi" w:cstheme="minorHAnsi"/>
        </w:rPr>
        <w:t xml:space="preserve">whether it is possible to </w:t>
      </w:r>
      <w:r>
        <w:rPr>
          <w:rFonts w:asciiTheme="minorHAnsi" w:hAnsiTheme="minorHAnsi" w:cstheme="minorHAnsi"/>
        </w:rPr>
        <w:t>amend Form 4 so it</w:t>
      </w:r>
      <w:r w:rsidR="008162AD">
        <w:rPr>
          <w:rFonts w:asciiTheme="minorHAnsi" w:hAnsiTheme="minorHAnsi" w:cstheme="minorHAnsi"/>
        </w:rPr>
        <w:t xml:space="preserve"> requires </w:t>
      </w:r>
      <w:r w:rsidR="00650AD1">
        <w:rPr>
          <w:rFonts w:asciiTheme="minorHAnsi" w:hAnsiTheme="minorHAnsi" w:cstheme="minorHAnsi"/>
        </w:rPr>
        <w:t>A</w:t>
      </w:r>
      <w:r w:rsidR="008162AD">
        <w:rPr>
          <w:rFonts w:asciiTheme="minorHAnsi" w:hAnsiTheme="minorHAnsi" w:cstheme="minorHAnsi"/>
        </w:rPr>
        <w:t>pplicants to</w:t>
      </w:r>
      <w:r>
        <w:rPr>
          <w:rFonts w:asciiTheme="minorHAnsi" w:hAnsiTheme="minorHAnsi" w:cstheme="minorHAnsi"/>
        </w:rPr>
        <w:t xml:space="preserve"> more clearly and specifically detail the description of na</w:t>
      </w:r>
      <w:r w:rsidR="000522A6">
        <w:rPr>
          <w:rFonts w:asciiTheme="minorHAnsi" w:hAnsiTheme="minorHAnsi" w:cstheme="minorHAnsi"/>
        </w:rPr>
        <w:t>tive title rights and interests in relation to the date</w:t>
      </w:r>
      <w:r w:rsidR="001131FD">
        <w:rPr>
          <w:rFonts w:asciiTheme="minorHAnsi" w:hAnsiTheme="minorHAnsi" w:cstheme="minorHAnsi"/>
        </w:rPr>
        <w:t>(</w:t>
      </w:r>
      <w:r w:rsidR="000522A6">
        <w:rPr>
          <w:rFonts w:asciiTheme="minorHAnsi" w:hAnsiTheme="minorHAnsi" w:cstheme="minorHAnsi"/>
        </w:rPr>
        <w:t>s</w:t>
      </w:r>
      <w:r w:rsidR="001131FD">
        <w:rPr>
          <w:rFonts w:asciiTheme="minorHAnsi" w:hAnsiTheme="minorHAnsi" w:cstheme="minorHAnsi"/>
        </w:rPr>
        <w:t>)</w:t>
      </w:r>
      <w:r w:rsidR="000522A6">
        <w:rPr>
          <w:rFonts w:asciiTheme="minorHAnsi" w:hAnsiTheme="minorHAnsi" w:cstheme="minorHAnsi"/>
        </w:rPr>
        <w:t xml:space="preserve"> of the relevant compensable act</w:t>
      </w:r>
      <w:r w:rsidR="001131FD">
        <w:rPr>
          <w:rFonts w:asciiTheme="minorHAnsi" w:hAnsiTheme="minorHAnsi" w:cstheme="minorHAnsi"/>
        </w:rPr>
        <w:t>(</w:t>
      </w:r>
      <w:r w:rsidR="000522A6">
        <w:rPr>
          <w:rFonts w:asciiTheme="minorHAnsi" w:hAnsiTheme="minorHAnsi" w:cstheme="minorHAnsi"/>
        </w:rPr>
        <w:t>s</w:t>
      </w:r>
      <w:r w:rsidR="001131FD">
        <w:rPr>
          <w:rFonts w:asciiTheme="minorHAnsi" w:hAnsiTheme="minorHAnsi" w:cstheme="minorHAnsi"/>
        </w:rPr>
        <w:t>)</w:t>
      </w:r>
      <w:r w:rsidR="000522A6">
        <w:rPr>
          <w:rFonts w:asciiTheme="minorHAnsi" w:hAnsiTheme="minorHAnsi" w:cstheme="minorHAnsi"/>
        </w:rPr>
        <w:t xml:space="preserve">. </w:t>
      </w:r>
      <w:r w:rsidR="000B6DFA">
        <w:t>Given</w:t>
      </w:r>
      <w:r w:rsidR="00EA74AC">
        <w:t xml:space="preserve"> the</w:t>
      </w:r>
      <w:r w:rsidR="00D567D9">
        <w:t xml:space="preserve"> content of </w:t>
      </w:r>
      <w:r w:rsidR="00EA74AC">
        <w:t>F</w:t>
      </w:r>
      <w:r w:rsidR="000B6DFA">
        <w:t xml:space="preserve">orm 4 (and in particular the description of native title rights and interests) </w:t>
      </w:r>
      <w:r w:rsidR="00D567D9">
        <w:t xml:space="preserve">may vary depending on whether a claim is brought by a </w:t>
      </w:r>
      <w:r w:rsidR="001C5343">
        <w:t xml:space="preserve">Registered Native Title Body Corporate </w:t>
      </w:r>
      <w:r w:rsidR="00D567D9">
        <w:t xml:space="preserve">or a </w:t>
      </w:r>
      <w:r w:rsidR="00144D45">
        <w:t>compensation claim</w:t>
      </w:r>
      <w:r w:rsidR="00D567D9">
        <w:t xml:space="preserve"> group, </w:t>
      </w:r>
      <w:r w:rsidR="000B6DFA">
        <w:t xml:space="preserve">the department is interested in </w:t>
      </w:r>
      <w:r w:rsidR="00A34104">
        <w:t xml:space="preserve">hearing from stakeholders about </w:t>
      </w:r>
      <w:r w:rsidR="00A34104">
        <w:lastRenderedPageBreak/>
        <w:t xml:space="preserve">whether they consider this </w:t>
      </w:r>
      <w:r w:rsidR="00F91390">
        <w:t>would merit</w:t>
      </w:r>
      <w:r w:rsidR="00D567D9">
        <w:t xml:space="preserve"> two</w:t>
      </w:r>
      <w:r w:rsidR="00A34104">
        <w:t xml:space="preserve"> separate Form 4s</w:t>
      </w:r>
      <w:r w:rsidR="00D567D9">
        <w:t xml:space="preserve"> (</w:t>
      </w:r>
      <w:r w:rsidR="00A34104">
        <w:t xml:space="preserve">e.g. </w:t>
      </w:r>
      <w:r w:rsidR="002100FF">
        <w:t>one each</w:t>
      </w:r>
      <w:r w:rsidR="00A34104">
        <w:t xml:space="preserve"> for </w:t>
      </w:r>
      <w:r w:rsidR="001C5343">
        <w:t xml:space="preserve">Registered Native Title </w:t>
      </w:r>
      <w:r w:rsidR="000442D3">
        <w:t>Bodies Corporate</w:t>
      </w:r>
      <w:r w:rsidR="001C5343">
        <w:t xml:space="preserve"> </w:t>
      </w:r>
      <w:r w:rsidR="00A34104">
        <w:t>and claimant groups respectively</w:t>
      </w:r>
      <w:r w:rsidR="00D567D9">
        <w:t>)</w:t>
      </w:r>
      <w:r w:rsidR="00A34104">
        <w:t>. Alternat</w:t>
      </w:r>
      <w:r w:rsidR="00533997">
        <w:t>iv</w:t>
      </w:r>
      <w:r w:rsidR="00A34104">
        <w:t>ely, the department is considering creating</w:t>
      </w:r>
      <w:r w:rsidR="00D567D9">
        <w:t xml:space="preserve"> diffe</w:t>
      </w:r>
      <w:r w:rsidR="00A34104">
        <w:t>rent sections within a revised Form 4 to reflect the different information required.</w:t>
      </w:r>
      <w:r w:rsidR="00606C1B">
        <w:t xml:space="preserve"> </w:t>
      </w:r>
    </w:p>
    <w:p w14:paraId="4BF9D170" w14:textId="60609448" w:rsidR="006A1CF0" w:rsidRPr="002100FF" w:rsidRDefault="006A1CF0" w:rsidP="00C96DAE">
      <w:pPr>
        <w:spacing w:after="120"/>
      </w:pPr>
      <w:r>
        <w:rPr>
          <w:i/>
        </w:rPr>
        <w:t>Intended effect</w:t>
      </w:r>
    </w:p>
    <w:p w14:paraId="7B780616" w14:textId="38500BB5" w:rsidR="001131FD" w:rsidRPr="00A34104" w:rsidRDefault="004450E0" w:rsidP="00C96DAE">
      <w:pPr>
        <w:spacing w:after="120"/>
      </w:pPr>
      <w:r>
        <w:t xml:space="preserve">The intended objective of </w:t>
      </w:r>
      <w:r w:rsidR="00533997">
        <w:t>th</w:t>
      </w:r>
      <w:r w:rsidR="002100FF">
        <w:t>is</w:t>
      </w:r>
      <w:r w:rsidR="00533997">
        <w:t xml:space="preserve"> possible </w:t>
      </w:r>
      <w:r>
        <w:t xml:space="preserve">reform </w:t>
      </w:r>
      <w:r w:rsidR="00533997">
        <w:t xml:space="preserve">option </w:t>
      </w:r>
      <w:r>
        <w:t xml:space="preserve">is to </w:t>
      </w:r>
      <w:r w:rsidR="00527A7B">
        <w:t xml:space="preserve">provide clarity on what the required description </w:t>
      </w:r>
      <w:r w:rsidR="00533997">
        <w:t>of native title rights and interests</w:t>
      </w:r>
      <w:r w:rsidR="00527A7B">
        <w:t xml:space="preserve"> should entail, which might be clearer if Form 4 was tailored specifically for applications lodged by a</w:t>
      </w:r>
      <w:r w:rsidR="001C5343">
        <w:t xml:space="preserve"> Registered Native Title Body Corporate </w:t>
      </w:r>
      <w:r w:rsidR="00527A7B">
        <w:t xml:space="preserve">or a compensation claim group. </w:t>
      </w:r>
    </w:p>
    <w:p w14:paraId="546C8316" w14:textId="57224D8F" w:rsidR="0060680C" w:rsidRPr="0060680C" w:rsidRDefault="0060680C" w:rsidP="00C96DAE">
      <w:pPr>
        <w:spacing w:after="120"/>
        <w:rPr>
          <w:rFonts w:asciiTheme="minorHAnsi" w:hAnsiTheme="minorHAnsi" w:cstheme="minorHAnsi"/>
          <w:b/>
        </w:rPr>
      </w:pPr>
      <w:r w:rsidRPr="0060680C">
        <w:rPr>
          <w:rFonts w:asciiTheme="minorHAnsi" w:hAnsiTheme="minorHAnsi" w:cstheme="minorHAnsi"/>
          <w:b/>
        </w:rPr>
        <w:t>Questions</w:t>
      </w:r>
    </w:p>
    <w:p w14:paraId="31FE2F91" w14:textId="5B66353C" w:rsidR="005C7B1D" w:rsidRPr="00C96DAE" w:rsidRDefault="005C7B1D" w:rsidP="007B3C23">
      <w:pPr>
        <w:pStyle w:val="ListParagraph"/>
        <w:numPr>
          <w:ilvl w:val="0"/>
          <w:numId w:val="106"/>
        </w:numPr>
        <w:spacing w:after="120"/>
        <w:contextualSpacing w:val="0"/>
        <w:rPr>
          <w:rFonts w:asciiTheme="minorHAnsi" w:hAnsiTheme="minorHAnsi" w:cstheme="minorHAnsi"/>
          <w:b/>
        </w:rPr>
      </w:pPr>
      <w:bookmarkStart w:id="13" w:name="_Hlk121831128"/>
      <w:r w:rsidRPr="00C96DAE">
        <w:rPr>
          <w:rFonts w:asciiTheme="minorHAnsi" w:hAnsiTheme="minorHAnsi" w:cstheme="minorHAnsi"/>
        </w:rPr>
        <w:t>How could Schedule E be amended to more clearly require specification of the relevant native title rights and interests affected by compensable acts?</w:t>
      </w:r>
    </w:p>
    <w:p w14:paraId="7B466875" w14:textId="6898338A" w:rsidR="0060680C" w:rsidRPr="00431141" w:rsidRDefault="000522A6" w:rsidP="007B3C23">
      <w:pPr>
        <w:pStyle w:val="ListParagraph"/>
        <w:numPr>
          <w:ilvl w:val="0"/>
          <w:numId w:val="106"/>
        </w:numPr>
        <w:spacing w:after="120"/>
        <w:contextualSpacing w:val="0"/>
        <w:rPr>
          <w:rFonts w:asciiTheme="minorHAnsi" w:hAnsiTheme="minorHAnsi" w:cstheme="minorHAnsi"/>
          <w:b/>
        </w:rPr>
      </w:pPr>
      <w:r>
        <w:rPr>
          <w:rFonts w:asciiTheme="minorHAnsi" w:hAnsiTheme="minorHAnsi" w:cstheme="minorHAnsi"/>
        </w:rPr>
        <w:t>Should</w:t>
      </w:r>
      <w:r w:rsidR="00C95047">
        <w:rPr>
          <w:rFonts w:asciiTheme="minorHAnsi" w:hAnsiTheme="minorHAnsi" w:cstheme="minorHAnsi"/>
        </w:rPr>
        <w:t xml:space="preserve"> </w:t>
      </w:r>
      <w:r>
        <w:rPr>
          <w:rFonts w:asciiTheme="minorHAnsi" w:hAnsiTheme="minorHAnsi" w:cstheme="minorHAnsi"/>
        </w:rPr>
        <w:t>Schedule E be amended to require rights and interests to be set out in relation to the date</w:t>
      </w:r>
      <w:r w:rsidR="001131FD">
        <w:rPr>
          <w:rFonts w:asciiTheme="minorHAnsi" w:hAnsiTheme="minorHAnsi" w:cstheme="minorHAnsi"/>
        </w:rPr>
        <w:t>(</w:t>
      </w:r>
      <w:r>
        <w:rPr>
          <w:rFonts w:asciiTheme="minorHAnsi" w:hAnsiTheme="minorHAnsi" w:cstheme="minorHAnsi"/>
        </w:rPr>
        <w:t>s</w:t>
      </w:r>
      <w:r w:rsidR="001131FD">
        <w:rPr>
          <w:rFonts w:asciiTheme="minorHAnsi" w:hAnsiTheme="minorHAnsi" w:cstheme="minorHAnsi"/>
        </w:rPr>
        <w:t>)</w:t>
      </w:r>
      <w:r>
        <w:rPr>
          <w:rFonts w:asciiTheme="minorHAnsi" w:hAnsiTheme="minorHAnsi" w:cstheme="minorHAnsi"/>
        </w:rPr>
        <w:t xml:space="preserve"> of the compensable act</w:t>
      </w:r>
      <w:r w:rsidR="001131FD">
        <w:rPr>
          <w:rFonts w:asciiTheme="minorHAnsi" w:hAnsiTheme="minorHAnsi" w:cstheme="minorHAnsi"/>
        </w:rPr>
        <w:t>(</w:t>
      </w:r>
      <w:r>
        <w:rPr>
          <w:rFonts w:asciiTheme="minorHAnsi" w:hAnsiTheme="minorHAnsi" w:cstheme="minorHAnsi"/>
        </w:rPr>
        <w:t>s</w:t>
      </w:r>
      <w:r w:rsidR="001131FD">
        <w:rPr>
          <w:rFonts w:asciiTheme="minorHAnsi" w:hAnsiTheme="minorHAnsi" w:cstheme="minorHAnsi"/>
        </w:rPr>
        <w:t>)</w:t>
      </w:r>
      <w:r>
        <w:rPr>
          <w:rFonts w:asciiTheme="minorHAnsi" w:hAnsiTheme="minorHAnsi" w:cstheme="minorHAnsi"/>
        </w:rPr>
        <w:t>?</w:t>
      </w:r>
    </w:p>
    <w:p w14:paraId="2B1BD108" w14:textId="0E8AAF4D" w:rsidR="00431141" w:rsidRPr="00431141" w:rsidRDefault="00431141" w:rsidP="007B3C23">
      <w:pPr>
        <w:pStyle w:val="ListParagraph"/>
        <w:numPr>
          <w:ilvl w:val="0"/>
          <w:numId w:val="106"/>
        </w:numPr>
        <w:spacing w:after="120"/>
        <w:contextualSpacing w:val="0"/>
        <w:rPr>
          <w:rFonts w:asciiTheme="minorHAnsi" w:hAnsiTheme="minorHAnsi" w:cstheme="minorHAnsi"/>
          <w:b/>
        </w:rPr>
      </w:pPr>
      <w:r>
        <w:rPr>
          <w:rFonts w:asciiTheme="minorHAnsi" w:hAnsiTheme="minorHAnsi" w:cstheme="minorHAnsi"/>
        </w:rPr>
        <w:t xml:space="preserve">Should Form 4 be split into 2 forms for </w:t>
      </w:r>
      <w:r w:rsidR="001C5343">
        <w:rPr>
          <w:rFonts w:asciiTheme="minorHAnsi" w:hAnsiTheme="minorHAnsi" w:cstheme="minorHAnsi"/>
        </w:rPr>
        <w:t xml:space="preserve">Registered Native Title </w:t>
      </w:r>
      <w:r w:rsidR="000442D3">
        <w:rPr>
          <w:rFonts w:asciiTheme="minorHAnsi" w:hAnsiTheme="minorHAnsi" w:cstheme="minorHAnsi"/>
        </w:rPr>
        <w:t>Bodies Corporate</w:t>
      </w:r>
      <w:r w:rsidR="001C5343">
        <w:rPr>
          <w:rFonts w:asciiTheme="minorHAnsi" w:hAnsiTheme="minorHAnsi" w:cstheme="minorHAnsi"/>
        </w:rPr>
        <w:t xml:space="preserve"> </w:t>
      </w:r>
      <w:r>
        <w:rPr>
          <w:rFonts w:asciiTheme="minorHAnsi" w:hAnsiTheme="minorHAnsi" w:cstheme="minorHAnsi"/>
        </w:rPr>
        <w:t xml:space="preserve">and </w:t>
      </w:r>
      <w:r w:rsidR="00144D45">
        <w:rPr>
          <w:rFonts w:asciiTheme="minorHAnsi" w:hAnsiTheme="minorHAnsi" w:cstheme="minorHAnsi"/>
        </w:rPr>
        <w:t>compensation claim</w:t>
      </w:r>
      <w:r>
        <w:rPr>
          <w:rFonts w:asciiTheme="minorHAnsi" w:hAnsiTheme="minorHAnsi" w:cstheme="minorHAnsi"/>
        </w:rPr>
        <w:t xml:space="preserve"> groups respectively? </w:t>
      </w:r>
    </w:p>
    <w:p w14:paraId="04343AC1" w14:textId="04DA8731" w:rsidR="00E4698E" w:rsidRPr="00E4698E" w:rsidRDefault="00B571D2" w:rsidP="00C96DAE">
      <w:pPr>
        <w:pStyle w:val="Heading4"/>
        <w:spacing w:after="120" w:line="276" w:lineRule="auto"/>
      </w:pPr>
      <w:bookmarkStart w:id="14" w:name="_Hlk121320344"/>
      <w:bookmarkEnd w:id="13"/>
      <w:r>
        <w:t>Identification of compensable acts</w:t>
      </w:r>
    </w:p>
    <w:bookmarkEnd w:id="14"/>
    <w:p w14:paraId="64191521" w14:textId="36AE0130" w:rsidR="008F7128" w:rsidRPr="00E4698E" w:rsidRDefault="00C95047" w:rsidP="00C96DAE">
      <w:pPr>
        <w:spacing w:after="120"/>
        <w:rPr>
          <w:rFonts w:asciiTheme="minorHAnsi" w:hAnsiTheme="minorHAnsi" w:cstheme="minorHAnsi"/>
          <w:b/>
        </w:rPr>
      </w:pPr>
      <w:r w:rsidRPr="00E4698E">
        <w:rPr>
          <w:rFonts w:asciiTheme="minorHAnsi" w:hAnsiTheme="minorHAnsi" w:cstheme="minorHAnsi"/>
          <w:b/>
        </w:rPr>
        <w:t>O</w:t>
      </w:r>
      <w:r w:rsidR="00DD771C">
        <w:rPr>
          <w:rFonts w:asciiTheme="minorHAnsi" w:hAnsiTheme="minorHAnsi" w:cstheme="minorHAnsi"/>
          <w:b/>
        </w:rPr>
        <w:t>verview</w:t>
      </w:r>
    </w:p>
    <w:p w14:paraId="3299203B" w14:textId="1B157B16" w:rsidR="000522A6" w:rsidRPr="006F4054" w:rsidRDefault="006B754F" w:rsidP="006F4054">
      <w:pPr>
        <w:spacing w:after="120"/>
      </w:pPr>
      <w:r>
        <w:t>Schedule I of</w:t>
      </w:r>
      <w:r w:rsidR="000522A6">
        <w:t xml:space="preserve"> Form 4 requires</w:t>
      </w:r>
      <w:r>
        <w:t xml:space="preserve"> </w:t>
      </w:r>
      <w:r w:rsidR="001E44C7">
        <w:t xml:space="preserve">that </w:t>
      </w:r>
      <w:r w:rsidR="001C3005">
        <w:t>‘</w:t>
      </w:r>
      <w:r w:rsidR="001E44C7" w:rsidRPr="006F4054">
        <w:rPr>
          <w:i/>
        </w:rPr>
        <w:t>d</w:t>
      </w:r>
      <w:r w:rsidRPr="00417879">
        <w:rPr>
          <w:i/>
        </w:rPr>
        <w:t>etails of the act which it is claimed extinguished or affected native title rights and interests for which compensation is claimed</w:t>
      </w:r>
      <w:r w:rsidR="001C3005" w:rsidRPr="001C3005">
        <w:t>’</w:t>
      </w:r>
      <w:r w:rsidR="00FA2E3E">
        <w:rPr>
          <w:i/>
        </w:rPr>
        <w:t xml:space="preserve"> </w:t>
      </w:r>
      <w:r w:rsidR="00FA2E3E" w:rsidRPr="006F4054">
        <w:t>be</w:t>
      </w:r>
      <w:r w:rsidRPr="006F4054">
        <w:t xml:space="preserve"> </w:t>
      </w:r>
      <w:r w:rsidR="00FA2E3E" w:rsidRPr="006F4054">
        <w:t xml:space="preserve">included in </w:t>
      </w:r>
      <w:r w:rsidR="004A472A">
        <w:t>F</w:t>
      </w:r>
      <w:r w:rsidR="00FA2E3E" w:rsidRPr="006F4054">
        <w:t>orm</w:t>
      </w:r>
      <w:r w:rsidR="004A472A">
        <w:t xml:space="preserve"> 4</w:t>
      </w:r>
      <w:r w:rsidRPr="006F4054">
        <w:t>.</w:t>
      </w:r>
    </w:p>
    <w:p w14:paraId="62A22588" w14:textId="6F5104B1" w:rsidR="001131FD" w:rsidRDefault="00026D8D" w:rsidP="00C96DAE">
      <w:pPr>
        <w:spacing w:after="120"/>
      </w:pPr>
      <w:r>
        <w:t xml:space="preserve">It is essential that </w:t>
      </w:r>
      <w:r w:rsidR="00650AD1">
        <w:t>A</w:t>
      </w:r>
      <w:r>
        <w:t>pplicants adequately identify</w:t>
      </w:r>
      <w:r w:rsidR="00D505C0">
        <w:t xml:space="preserve"> compensable acts, as without identification there is no apparent cause of action. These acts determine the parties involved, and the evidence which will be required in a matter. </w:t>
      </w:r>
    </w:p>
    <w:p w14:paraId="2D8E58C3" w14:textId="581AC786" w:rsidR="00F27C4B" w:rsidRDefault="000522A6" w:rsidP="00F27C4B">
      <w:pPr>
        <w:spacing w:after="120"/>
        <w:rPr>
          <w:rFonts w:cstheme="minorHAnsi"/>
          <w:lang w:val="en-GB"/>
        </w:rPr>
      </w:pPr>
      <w:r>
        <w:t xml:space="preserve">The </w:t>
      </w:r>
      <w:r w:rsidR="006B754F">
        <w:t>recent</w:t>
      </w:r>
      <w:r>
        <w:t xml:space="preserve"> Federal Court cases of </w:t>
      </w:r>
      <w:proofErr w:type="spellStart"/>
      <w:r w:rsidRPr="00D505C0">
        <w:rPr>
          <w:i/>
        </w:rPr>
        <w:t>Bigambul</w:t>
      </w:r>
      <w:proofErr w:type="spellEnd"/>
      <w:r>
        <w:t xml:space="preserve"> and </w:t>
      </w:r>
      <w:proofErr w:type="spellStart"/>
      <w:r w:rsidRPr="00D505C0">
        <w:rPr>
          <w:i/>
        </w:rPr>
        <w:t>Kooma</w:t>
      </w:r>
      <w:proofErr w:type="spellEnd"/>
      <w:r>
        <w:t xml:space="preserve"> highlighted the importance of clearly articulating compensable acts</w:t>
      </w:r>
      <w:r w:rsidR="00D505C0">
        <w:t xml:space="preserve"> (</w:t>
      </w:r>
      <w:r w:rsidR="00D505C0" w:rsidRPr="00D505C0">
        <w:rPr>
          <w:i/>
          <w:lang w:val="en-GB"/>
        </w:rPr>
        <w:t xml:space="preserve">Saunders on behalf of the </w:t>
      </w:r>
      <w:proofErr w:type="spellStart"/>
      <w:r w:rsidR="00D505C0" w:rsidRPr="00D505C0">
        <w:rPr>
          <w:i/>
          <w:lang w:val="en-GB"/>
        </w:rPr>
        <w:t>Bigambul</w:t>
      </w:r>
      <w:proofErr w:type="spellEnd"/>
      <w:r w:rsidR="00D505C0" w:rsidRPr="00D505C0">
        <w:rPr>
          <w:i/>
          <w:lang w:val="en-GB"/>
        </w:rPr>
        <w:t xml:space="preserve"> People v State of Queensland (No 2)</w:t>
      </w:r>
      <w:r w:rsidR="00D505C0" w:rsidRPr="00D505C0">
        <w:rPr>
          <w:lang w:val="en-GB"/>
        </w:rPr>
        <w:t xml:space="preserve"> [2021] </w:t>
      </w:r>
      <w:r w:rsidR="00D505C0">
        <w:rPr>
          <w:lang w:val="en-GB"/>
        </w:rPr>
        <w:t>FCA</w:t>
      </w:r>
      <w:r w:rsidR="00D505C0" w:rsidRPr="00D505C0">
        <w:rPr>
          <w:lang w:val="en-GB"/>
        </w:rPr>
        <w:t xml:space="preserve"> 190</w:t>
      </w:r>
      <w:r w:rsidR="00D505C0">
        <w:rPr>
          <w:lang w:val="en-GB"/>
        </w:rPr>
        <w:t xml:space="preserve">; </w:t>
      </w:r>
      <w:r w:rsidR="00D505C0" w:rsidRPr="00D505C0">
        <w:rPr>
          <w:i/>
        </w:rPr>
        <w:t xml:space="preserve">Wharton on behalf of the </w:t>
      </w:r>
      <w:proofErr w:type="spellStart"/>
      <w:r w:rsidR="00D505C0" w:rsidRPr="00D505C0">
        <w:rPr>
          <w:i/>
        </w:rPr>
        <w:t>Kooma</w:t>
      </w:r>
      <w:proofErr w:type="spellEnd"/>
      <w:r w:rsidR="00D505C0" w:rsidRPr="00D505C0">
        <w:rPr>
          <w:i/>
        </w:rPr>
        <w:t xml:space="preserve"> People v State of Queensland (No 2)</w:t>
      </w:r>
      <w:r w:rsidR="00D505C0">
        <w:t xml:space="preserve"> [2021] FCA</w:t>
      </w:r>
      <w:r w:rsidR="00D505C0" w:rsidRPr="00D505C0">
        <w:t xml:space="preserve"> 191).</w:t>
      </w:r>
      <w:r w:rsidR="00D505C0">
        <w:t xml:space="preserve"> On 11 March 2021, the Federal Court struck out </w:t>
      </w:r>
      <w:r w:rsidR="00D505C0" w:rsidRPr="00742405">
        <w:rPr>
          <w:rFonts w:cstheme="minorHAnsi"/>
          <w:lang w:val="en-GB"/>
        </w:rPr>
        <w:t xml:space="preserve">the </w:t>
      </w:r>
      <w:proofErr w:type="spellStart"/>
      <w:r w:rsidR="00D505C0" w:rsidRPr="00D505C0">
        <w:rPr>
          <w:rFonts w:cstheme="minorHAnsi"/>
          <w:i/>
          <w:lang w:val="en-GB"/>
        </w:rPr>
        <w:t>Bigambul</w:t>
      </w:r>
      <w:proofErr w:type="spellEnd"/>
      <w:r w:rsidR="00D505C0" w:rsidRPr="00742405">
        <w:rPr>
          <w:rFonts w:cstheme="minorHAnsi"/>
          <w:lang w:val="en-GB"/>
        </w:rPr>
        <w:t xml:space="preserve"> and </w:t>
      </w:r>
      <w:proofErr w:type="spellStart"/>
      <w:r w:rsidR="00D505C0" w:rsidRPr="00D505C0">
        <w:rPr>
          <w:rFonts w:cstheme="minorHAnsi"/>
          <w:i/>
          <w:lang w:val="en-GB"/>
        </w:rPr>
        <w:t>Kooma</w:t>
      </w:r>
      <w:proofErr w:type="spellEnd"/>
      <w:r w:rsidR="00D505C0" w:rsidRPr="00742405">
        <w:rPr>
          <w:rFonts w:cstheme="minorHAnsi"/>
          <w:lang w:val="en-GB"/>
        </w:rPr>
        <w:t xml:space="preserve"> compensation claims, on the basis that the </w:t>
      </w:r>
      <w:r w:rsidR="00D505C0">
        <w:rPr>
          <w:rFonts w:cstheme="minorHAnsi"/>
          <w:lang w:val="en-GB"/>
        </w:rPr>
        <w:t>originating applications</w:t>
      </w:r>
      <w:r w:rsidR="00D505C0" w:rsidRPr="00742405">
        <w:rPr>
          <w:rFonts w:cstheme="minorHAnsi"/>
          <w:lang w:val="en-GB"/>
        </w:rPr>
        <w:t xml:space="preserve"> did not contain the required information</w:t>
      </w:r>
      <w:r w:rsidR="00D505C0">
        <w:rPr>
          <w:rFonts w:cstheme="minorHAnsi"/>
          <w:lang w:val="en-GB"/>
        </w:rPr>
        <w:t xml:space="preserve">, being </w:t>
      </w:r>
      <w:r w:rsidR="00D505C0" w:rsidRPr="00D505C0">
        <w:rPr>
          <w:rFonts w:cstheme="minorHAnsi"/>
          <w:lang w:val="en-GB"/>
        </w:rPr>
        <w:t>any ‘act</w:t>
      </w:r>
      <w:r w:rsidR="001131FD">
        <w:rPr>
          <w:rFonts w:cstheme="minorHAnsi"/>
          <w:lang w:val="en-GB"/>
        </w:rPr>
        <w:t>(</w:t>
      </w:r>
      <w:r w:rsidR="00D505C0" w:rsidRPr="00D505C0">
        <w:rPr>
          <w:rFonts w:cstheme="minorHAnsi"/>
          <w:lang w:val="en-GB"/>
        </w:rPr>
        <w:t>s</w:t>
      </w:r>
      <w:r w:rsidR="001131FD">
        <w:rPr>
          <w:rFonts w:cstheme="minorHAnsi"/>
          <w:lang w:val="en-GB"/>
        </w:rPr>
        <w:t>)</w:t>
      </w:r>
      <w:r w:rsidR="00D505C0" w:rsidRPr="00D505C0">
        <w:rPr>
          <w:rFonts w:cstheme="minorHAnsi"/>
          <w:lang w:val="en-GB"/>
        </w:rPr>
        <w:t xml:space="preserve">’ affecting native title interests, </w:t>
      </w:r>
      <w:r w:rsidR="00D505C0">
        <w:rPr>
          <w:rFonts w:cstheme="minorHAnsi"/>
          <w:lang w:val="en-GB"/>
        </w:rPr>
        <w:t xml:space="preserve">and </w:t>
      </w:r>
      <w:r w:rsidR="00D505C0" w:rsidRPr="00D505C0">
        <w:rPr>
          <w:rFonts w:cstheme="minorHAnsi"/>
          <w:lang w:val="en-GB"/>
        </w:rPr>
        <w:t>therefore, no specific area</w:t>
      </w:r>
      <w:r w:rsidR="001131FD">
        <w:rPr>
          <w:rFonts w:cstheme="minorHAnsi"/>
          <w:lang w:val="en-GB"/>
        </w:rPr>
        <w:t>(</w:t>
      </w:r>
      <w:r w:rsidR="00D505C0" w:rsidRPr="00D505C0">
        <w:rPr>
          <w:rFonts w:cstheme="minorHAnsi"/>
          <w:lang w:val="en-GB"/>
        </w:rPr>
        <w:t>s</w:t>
      </w:r>
      <w:r w:rsidR="001131FD">
        <w:rPr>
          <w:rFonts w:cstheme="minorHAnsi"/>
          <w:lang w:val="en-GB"/>
        </w:rPr>
        <w:t>)</w:t>
      </w:r>
      <w:r w:rsidR="00D505C0" w:rsidRPr="00D505C0">
        <w:rPr>
          <w:rFonts w:cstheme="minorHAnsi"/>
          <w:lang w:val="en-GB"/>
        </w:rPr>
        <w:t xml:space="preserve"> in which acts occurred.</w:t>
      </w:r>
      <w:r w:rsidR="00D505C0">
        <w:t xml:space="preserve"> </w:t>
      </w:r>
      <w:r w:rsidR="00D505C0">
        <w:rPr>
          <w:rFonts w:cstheme="minorHAnsi"/>
          <w:lang w:val="en-GB"/>
        </w:rPr>
        <w:t>This was found</w:t>
      </w:r>
      <w:r w:rsidR="00D505C0" w:rsidRPr="00742405">
        <w:rPr>
          <w:rFonts w:cstheme="minorHAnsi"/>
          <w:lang w:val="en-GB"/>
        </w:rPr>
        <w:t xml:space="preserve"> </w:t>
      </w:r>
      <w:r w:rsidR="00026D8D">
        <w:rPr>
          <w:rFonts w:cstheme="minorHAnsi"/>
          <w:lang w:val="en-GB"/>
        </w:rPr>
        <w:t xml:space="preserve">to </w:t>
      </w:r>
      <w:r w:rsidR="00D505C0" w:rsidRPr="00742405">
        <w:rPr>
          <w:rFonts w:cstheme="minorHAnsi"/>
          <w:lang w:val="en-GB"/>
        </w:rPr>
        <w:t xml:space="preserve">not comply with s 61(5)(c) of </w:t>
      </w:r>
      <w:r w:rsidR="00F47929">
        <w:rPr>
          <w:rFonts w:cstheme="minorHAnsi"/>
          <w:lang w:val="en-GB"/>
        </w:rPr>
        <w:t>the NT</w:t>
      </w:r>
      <w:r w:rsidR="00422572">
        <w:rPr>
          <w:rFonts w:cstheme="minorHAnsi"/>
          <w:lang w:val="en-GB"/>
        </w:rPr>
        <w:t> </w:t>
      </w:r>
      <w:r w:rsidR="00F47929">
        <w:rPr>
          <w:rFonts w:cstheme="minorHAnsi"/>
          <w:lang w:val="en-GB"/>
        </w:rPr>
        <w:t>Act</w:t>
      </w:r>
      <w:r w:rsidR="00D505C0">
        <w:rPr>
          <w:rFonts w:cstheme="minorHAnsi"/>
          <w:lang w:val="en-GB"/>
        </w:rPr>
        <w:t>, which requires applications to contain prescribed information</w:t>
      </w:r>
      <w:r w:rsidR="00C93D84">
        <w:rPr>
          <w:rFonts w:cstheme="minorHAnsi"/>
          <w:lang w:val="en-GB"/>
        </w:rPr>
        <w:t>.</w:t>
      </w:r>
      <w:r w:rsidR="00DB386B">
        <w:rPr>
          <w:rFonts w:cstheme="minorHAnsi"/>
          <w:lang w:val="en-GB"/>
        </w:rPr>
        <w:t xml:space="preserve"> </w:t>
      </w:r>
    </w:p>
    <w:p w14:paraId="041D5513" w14:textId="15E639CD" w:rsidR="00F27C4B" w:rsidRDefault="009E5908">
      <w:pPr>
        <w:spacing w:after="120"/>
        <w:rPr>
          <w:rFonts w:cstheme="minorHAnsi"/>
          <w:lang w:val="en-GB"/>
        </w:rPr>
      </w:pPr>
      <w:r>
        <w:rPr>
          <w:rFonts w:cstheme="minorHAnsi"/>
          <w:lang w:val="en-GB"/>
        </w:rPr>
        <w:t>A</w:t>
      </w:r>
      <w:r w:rsidR="00095B88">
        <w:rPr>
          <w:rFonts w:cstheme="minorHAnsi"/>
          <w:lang w:val="en-GB"/>
        </w:rPr>
        <w:t xml:space="preserve">nother recent case of </w:t>
      </w:r>
      <w:r w:rsidR="004C2776">
        <w:rPr>
          <w:rFonts w:cstheme="minorHAnsi"/>
          <w:i/>
          <w:lang w:val="en-GB"/>
        </w:rPr>
        <w:t>Tucker</w:t>
      </w:r>
      <w:r w:rsidR="004A472A">
        <w:rPr>
          <w:rFonts w:cstheme="minorHAnsi"/>
          <w:lang w:val="en-GB"/>
        </w:rPr>
        <w:t xml:space="preserve"> (</w:t>
      </w:r>
      <w:r w:rsidR="004A472A" w:rsidRPr="00E86F85">
        <w:rPr>
          <w:rFonts w:cstheme="minorHAnsi"/>
          <w:i/>
          <w:lang w:val="en-GB"/>
        </w:rPr>
        <w:t>Tucker v State of Western Australia</w:t>
      </w:r>
      <w:r w:rsidR="004A472A">
        <w:rPr>
          <w:rFonts w:cstheme="minorHAnsi"/>
          <w:i/>
          <w:lang w:val="en-GB"/>
        </w:rPr>
        <w:t xml:space="preserve"> </w:t>
      </w:r>
      <w:r w:rsidR="004A472A">
        <w:rPr>
          <w:rFonts w:cstheme="minorHAnsi"/>
          <w:lang w:val="en-GB"/>
        </w:rPr>
        <w:t>[2022] FCA 1379)</w:t>
      </w:r>
      <w:r w:rsidR="00DB1442">
        <w:rPr>
          <w:rFonts w:cstheme="minorHAnsi"/>
          <w:lang w:val="en-GB"/>
        </w:rPr>
        <w:t xml:space="preserve">, </w:t>
      </w:r>
      <w:r>
        <w:rPr>
          <w:rFonts w:cstheme="minorHAnsi"/>
          <w:lang w:val="en-GB"/>
        </w:rPr>
        <w:t xml:space="preserve">illustrates </w:t>
      </w:r>
      <w:r w:rsidR="00154FB2">
        <w:rPr>
          <w:rFonts w:cstheme="minorHAnsi"/>
          <w:lang w:val="en-GB"/>
        </w:rPr>
        <w:t>that a failure to identify compensable acts</w:t>
      </w:r>
      <w:r w:rsidR="00C46E58">
        <w:rPr>
          <w:rFonts w:cstheme="minorHAnsi"/>
          <w:lang w:val="en-GB"/>
        </w:rPr>
        <w:t xml:space="preserve"> in and of itself </w:t>
      </w:r>
      <w:r w:rsidR="00154FB2">
        <w:rPr>
          <w:rFonts w:cstheme="minorHAnsi"/>
          <w:lang w:val="en-GB"/>
        </w:rPr>
        <w:t xml:space="preserve">does not </w:t>
      </w:r>
      <w:r w:rsidR="00C46E58">
        <w:rPr>
          <w:rFonts w:cstheme="minorHAnsi"/>
          <w:lang w:val="en-GB"/>
        </w:rPr>
        <w:t xml:space="preserve">necessarily or </w:t>
      </w:r>
      <w:r w:rsidR="00154FB2">
        <w:rPr>
          <w:rFonts w:cstheme="minorHAnsi"/>
          <w:lang w:val="en-GB"/>
        </w:rPr>
        <w:t xml:space="preserve">automatically </w:t>
      </w:r>
      <w:r w:rsidR="00C46E58">
        <w:rPr>
          <w:rFonts w:cstheme="minorHAnsi"/>
          <w:lang w:val="en-GB"/>
        </w:rPr>
        <w:t>warrant</w:t>
      </w:r>
      <w:r w:rsidR="00154FB2">
        <w:rPr>
          <w:rFonts w:cstheme="minorHAnsi"/>
          <w:lang w:val="en-GB"/>
        </w:rPr>
        <w:t xml:space="preserve"> summary dismissal of a compensation application. </w:t>
      </w:r>
      <w:r>
        <w:rPr>
          <w:rFonts w:cstheme="minorHAnsi"/>
          <w:lang w:val="en-GB"/>
        </w:rPr>
        <w:t xml:space="preserve">In </w:t>
      </w:r>
      <w:r w:rsidRPr="00E86F85">
        <w:rPr>
          <w:rFonts w:cstheme="minorHAnsi"/>
          <w:i/>
          <w:lang w:val="en-GB"/>
        </w:rPr>
        <w:t>Tucker</w:t>
      </w:r>
      <w:r w:rsidRPr="003979E1">
        <w:rPr>
          <w:rFonts w:cstheme="minorHAnsi"/>
          <w:lang w:val="en-GB"/>
        </w:rPr>
        <w:t xml:space="preserve">, </w:t>
      </w:r>
      <w:r w:rsidR="00C46E58" w:rsidRPr="00E86F85">
        <w:rPr>
          <w:rFonts w:cstheme="minorHAnsi"/>
          <w:lang w:val="en-GB"/>
        </w:rPr>
        <w:t xml:space="preserve">the </w:t>
      </w:r>
      <w:r w:rsidR="00DB1442">
        <w:rPr>
          <w:rFonts w:cstheme="minorHAnsi"/>
          <w:lang w:val="en-GB"/>
        </w:rPr>
        <w:t xml:space="preserve">Federal Court </w:t>
      </w:r>
      <w:r w:rsidR="00154FB2">
        <w:rPr>
          <w:rFonts w:cstheme="minorHAnsi"/>
          <w:lang w:val="en-GB"/>
        </w:rPr>
        <w:t xml:space="preserve">took a holistic approach in </w:t>
      </w:r>
      <w:r w:rsidR="00AB2125">
        <w:rPr>
          <w:rFonts w:cstheme="minorHAnsi"/>
          <w:lang w:val="en-GB"/>
        </w:rPr>
        <w:t>summarily dismiss</w:t>
      </w:r>
      <w:r w:rsidR="00154FB2">
        <w:rPr>
          <w:rFonts w:cstheme="minorHAnsi"/>
          <w:lang w:val="en-GB"/>
        </w:rPr>
        <w:t>ing</w:t>
      </w:r>
      <w:r w:rsidR="00AB2125">
        <w:rPr>
          <w:rFonts w:cstheme="minorHAnsi"/>
          <w:lang w:val="en-GB"/>
        </w:rPr>
        <w:t xml:space="preserve"> the compensation application where there was a failure to identify any compensable act as required under Schedule I of Form 4</w:t>
      </w:r>
      <w:r w:rsidR="009B7959">
        <w:rPr>
          <w:rFonts w:cstheme="minorHAnsi"/>
          <w:lang w:val="en-GB"/>
        </w:rPr>
        <w:t xml:space="preserve"> (see [56], [62])</w:t>
      </w:r>
      <w:r w:rsidR="00F27C4B">
        <w:rPr>
          <w:rFonts w:cstheme="minorHAnsi"/>
          <w:lang w:val="en-GB"/>
        </w:rPr>
        <w:t>, in conjunction with the lack of authorisation provided as prescribed by s</w:t>
      </w:r>
      <w:r w:rsidR="00C46E58">
        <w:rPr>
          <w:rFonts w:cstheme="minorHAnsi"/>
          <w:lang w:val="en-GB"/>
        </w:rPr>
        <w:t> </w:t>
      </w:r>
      <w:r w:rsidR="00F27C4B">
        <w:rPr>
          <w:rFonts w:cstheme="minorHAnsi"/>
          <w:lang w:val="en-GB"/>
        </w:rPr>
        <w:t>61(1)</w:t>
      </w:r>
      <w:r w:rsidR="009B7959">
        <w:rPr>
          <w:rFonts w:cstheme="minorHAnsi"/>
          <w:lang w:val="en-GB"/>
        </w:rPr>
        <w:t xml:space="preserve"> </w:t>
      </w:r>
      <w:r w:rsidR="00815A90">
        <w:rPr>
          <w:rFonts w:cstheme="minorHAnsi"/>
          <w:lang w:val="en-GB"/>
        </w:rPr>
        <w:t xml:space="preserve">of the NT Act </w:t>
      </w:r>
      <w:r w:rsidR="009B7959">
        <w:rPr>
          <w:rFonts w:cstheme="minorHAnsi"/>
          <w:lang w:val="en-GB"/>
        </w:rPr>
        <w:t>(see [49], [62])</w:t>
      </w:r>
      <w:r w:rsidR="00F27C4B">
        <w:rPr>
          <w:rFonts w:cstheme="minorHAnsi"/>
          <w:lang w:val="en-GB"/>
        </w:rPr>
        <w:t xml:space="preserve">. Relevantly, the Court considered that </w:t>
      </w:r>
      <w:r w:rsidR="0052255D">
        <w:rPr>
          <w:rFonts w:cstheme="minorHAnsi"/>
          <w:lang w:val="en-GB"/>
        </w:rPr>
        <w:t>i</w:t>
      </w:r>
      <w:r w:rsidR="00F27C4B">
        <w:rPr>
          <w:rFonts w:cstheme="minorHAnsi"/>
          <w:lang w:val="en-GB"/>
        </w:rPr>
        <w:t xml:space="preserve">f the application had been properly authorised, </w:t>
      </w:r>
      <w:r w:rsidR="0052255D">
        <w:rPr>
          <w:rFonts w:cstheme="minorHAnsi"/>
          <w:lang w:val="en-GB"/>
        </w:rPr>
        <w:t>“</w:t>
      </w:r>
      <w:r w:rsidR="00F27C4B">
        <w:rPr>
          <w:rFonts w:cstheme="minorHAnsi"/>
          <w:lang w:val="en-GB"/>
        </w:rPr>
        <w:t xml:space="preserve">it is highly unlikely that there would have been a total absence of specified compensable acts </w:t>
      </w:r>
      <w:r w:rsidR="0052255D">
        <w:rPr>
          <w:rFonts w:cstheme="minorHAnsi"/>
          <w:lang w:val="en-GB"/>
        </w:rPr>
        <w:t>[</w:t>
      </w:r>
      <w:proofErr w:type="gramStart"/>
      <w:r w:rsidR="0052255D">
        <w:rPr>
          <w:rFonts w:cstheme="minorHAnsi"/>
          <w:lang w:val="en-GB"/>
        </w:rPr>
        <w:t>…][</w:t>
      </w:r>
      <w:proofErr w:type="gramEnd"/>
      <w:r w:rsidR="00F27C4B">
        <w:rPr>
          <w:rFonts w:cstheme="minorHAnsi"/>
          <w:lang w:val="en-GB"/>
        </w:rPr>
        <w:t>as the relevant</w:t>
      </w:r>
      <w:r w:rsidR="0052255D">
        <w:rPr>
          <w:rFonts w:cstheme="minorHAnsi"/>
          <w:lang w:val="en-GB"/>
        </w:rPr>
        <w:t>]</w:t>
      </w:r>
      <w:r w:rsidR="00F27C4B">
        <w:rPr>
          <w:rFonts w:cstheme="minorHAnsi"/>
          <w:lang w:val="en-GB"/>
        </w:rPr>
        <w:t xml:space="preserve"> native title holders would have had to be properly informed of what </w:t>
      </w:r>
      <w:r w:rsidR="00F27C4B">
        <w:rPr>
          <w:rFonts w:cstheme="minorHAnsi"/>
          <w:lang w:val="en-GB"/>
        </w:rPr>
        <w:lastRenderedPageBreak/>
        <w:t>kind of compensation application they were authorising, and what events were alleged to have affected their native title</w:t>
      </w:r>
      <w:r w:rsidR="0052255D">
        <w:rPr>
          <w:rFonts w:cstheme="minorHAnsi"/>
          <w:lang w:val="en-GB"/>
        </w:rPr>
        <w:t>” ([60])</w:t>
      </w:r>
      <w:r w:rsidR="00F27C4B">
        <w:rPr>
          <w:rFonts w:cstheme="minorHAnsi"/>
          <w:lang w:val="en-GB"/>
        </w:rPr>
        <w:t xml:space="preserve">. </w:t>
      </w:r>
    </w:p>
    <w:p w14:paraId="0AB87143" w14:textId="5B52FB6B" w:rsidR="00DB3DAF" w:rsidRDefault="00C46E58" w:rsidP="00C96DAE">
      <w:pPr>
        <w:spacing w:after="120"/>
        <w:rPr>
          <w:rFonts w:cstheme="minorHAnsi"/>
          <w:lang w:val="en-GB"/>
        </w:rPr>
      </w:pPr>
      <w:r>
        <w:rPr>
          <w:rFonts w:cstheme="minorHAnsi"/>
          <w:lang w:val="en-GB"/>
        </w:rPr>
        <w:t xml:space="preserve">The </w:t>
      </w:r>
      <w:r w:rsidR="00532A6E">
        <w:rPr>
          <w:rFonts w:cstheme="minorHAnsi"/>
          <w:lang w:val="en-GB"/>
        </w:rPr>
        <w:t xml:space="preserve">Court </w:t>
      </w:r>
      <w:r w:rsidR="003979E1">
        <w:rPr>
          <w:rFonts w:cstheme="minorHAnsi"/>
          <w:lang w:val="en-GB"/>
        </w:rPr>
        <w:t xml:space="preserve">further noted in </w:t>
      </w:r>
      <w:r w:rsidR="003979E1" w:rsidRPr="00E86F85">
        <w:rPr>
          <w:rFonts w:cstheme="minorHAnsi"/>
          <w:i/>
          <w:lang w:val="en-GB"/>
        </w:rPr>
        <w:t xml:space="preserve">Tucker </w:t>
      </w:r>
      <w:r w:rsidR="003979E1">
        <w:rPr>
          <w:rFonts w:cstheme="minorHAnsi"/>
          <w:lang w:val="en-GB"/>
        </w:rPr>
        <w:t xml:space="preserve">that </w:t>
      </w:r>
      <w:r>
        <w:rPr>
          <w:rFonts w:cstheme="minorHAnsi"/>
          <w:lang w:val="en-GB"/>
        </w:rPr>
        <w:t xml:space="preserve">it was </w:t>
      </w:r>
      <w:r w:rsidR="002E2D05">
        <w:rPr>
          <w:rFonts w:cstheme="minorHAnsi"/>
          <w:lang w:val="en-GB"/>
        </w:rPr>
        <w:t xml:space="preserve">preferable to </w:t>
      </w:r>
      <w:r>
        <w:rPr>
          <w:rFonts w:cstheme="minorHAnsi"/>
          <w:lang w:val="en-GB"/>
        </w:rPr>
        <w:t xml:space="preserve">exercise its summary dismissal powers (pursuant to s 31A of the </w:t>
      </w:r>
      <w:r w:rsidRPr="00B80306">
        <w:rPr>
          <w:rFonts w:cstheme="minorHAnsi"/>
          <w:i/>
          <w:lang w:val="en-GB"/>
        </w:rPr>
        <w:t>Federal Court Act 1976</w:t>
      </w:r>
      <w:r>
        <w:rPr>
          <w:rFonts w:cstheme="minorHAnsi"/>
          <w:lang w:val="en-GB"/>
        </w:rPr>
        <w:t xml:space="preserve"> and r 26.01 of the </w:t>
      </w:r>
      <w:r w:rsidRPr="00B80306">
        <w:t>Federal Court Rules</w:t>
      </w:r>
      <w:r>
        <w:t>)</w:t>
      </w:r>
      <w:r>
        <w:rPr>
          <w:rFonts w:cstheme="minorHAnsi"/>
          <w:lang w:val="en-GB"/>
        </w:rPr>
        <w:t xml:space="preserve">, than to exercise </w:t>
      </w:r>
      <w:r w:rsidR="002E2D05">
        <w:rPr>
          <w:rFonts w:cstheme="minorHAnsi"/>
          <w:lang w:val="en-GB"/>
        </w:rPr>
        <w:t>its powers</w:t>
      </w:r>
      <w:r w:rsidR="00DB3DAF">
        <w:rPr>
          <w:rFonts w:cstheme="minorHAnsi"/>
          <w:lang w:val="en-GB"/>
        </w:rPr>
        <w:t xml:space="preserve"> </w:t>
      </w:r>
      <w:r w:rsidR="002E2D05">
        <w:rPr>
          <w:rFonts w:cstheme="minorHAnsi"/>
          <w:lang w:val="en-GB"/>
        </w:rPr>
        <w:t xml:space="preserve">to strike out </w:t>
      </w:r>
      <w:r>
        <w:rPr>
          <w:rFonts w:cstheme="minorHAnsi"/>
          <w:lang w:val="en-GB"/>
        </w:rPr>
        <w:t xml:space="preserve">(as it did in </w:t>
      </w:r>
      <w:proofErr w:type="spellStart"/>
      <w:r w:rsidRPr="00D505C0">
        <w:rPr>
          <w:i/>
        </w:rPr>
        <w:t>Bigambul</w:t>
      </w:r>
      <w:proofErr w:type="spellEnd"/>
      <w:r>
        <w:t xml:space="preserve"> and </w:t>
      </w:r>
      <w:proofErr w:type="spellStart"/>
      <w:r w:rsidRPr="00D505C0">
        <w:rPr>
          <w:i/>
        </w:rPr>
        <w:t>Kooma</w:t>
      </w:r>
      <w:proofErr w:type="spellEnd"/>
      <w:r w:rsidRPr="00E86F85">
        <w:t>)</w:t>
      </w:r>
      <w:r>
        <w:rPr>
          <w:rFonts w:cstheme="minorHAnsi"/>
          <w:lang w:val="en-GB"/>
        </w:rPr>
        <w:t xml:space="preserve"> </w:t>
      </w:r>
      <w:r w:rsidR="002E2D05">
        <w:rPr>
          <w:rFonts w:cstheme="minorHAnsi"/>
          <w:lang w:val="en-GB"/>
        </w:rPr>
        <w:t>for failure to comply with requirements of the NT Act under s 84C</w:t>
      </w:r>
      <w:r w:rsidR="009F43B5">
        <w:rPr>
          <w:rFonts w:cstheme="minorHAnsi"/>
          <w:lang w:val="en-GB"/>
        </w:rPr>
        <w:t xml:space="preserve"> of the NT Act</w:t>
      </w:r>
      <w:r w:rsidR="002E2D05">
        <w:rPr>
          <w:rFonts w:cstheme="minorHAnsi"/>
          <w:lang w:val="en-GB"/>
        </w:rPr>
        <w:t xml:space="preserve">, which it considered is concerned more </w:t>
      </w:r>
      <w:r w:rsidR="00532A6E">
        <w:rPr>
          <w:rFonts w:cstheme="minorHAnsi"/>
          <w:lang w:val="en-GB"/>
        </w:rPr>
        <w:t>with form</w:t>
      </w:r>
      <w:r w:rsidR="002E2D05">
        <w:rPr>
          <w:rFonts w:cstheme="minorHAnsi"/>
          <w:lang w:val="en-GB"/>
        </w:rPr>
        <w:t xml:space="preserve"> rather than the merits of the application.</w:t>
      </w:r>
      <w:r w:rsidR="009F43B5">
        <w:rPr>
          <w:rFonts w:cstheme="minorHAnsi"/>
          <w:lang w:val="en-GB"/>
        </w:rPr>
        <w:t xml:space="preserve"> </w:t>
      </w:r>
      <w:bookmarkStart w:id="15" w:name="_Hlk121910076"/>
      <w:r w:rsidR="005F754A">
        <w:rPr>
          <w:rFonts w:cstheme="minorHAnsi"/>
          <w:lang w:val="en-GB"/>
        </w:rPr>
        <w:t xml:space="preserve">If this approach is followed in future cases, it is indicative that compliance with the requirement to include prescribed detail in Form 4, such as </w:t>
      </w:r>
      <w:r w:rsidR="00F9793D">
        <w:rPr>
          <w:rFonts w:cstheme="minorHAnsi"/>
          <w:lang w:val="en-GB"/>
        </w:rPr>
        <w:t xml:space="preserve">identification of </w:t>
      </w:r>
      <w:r w:rsidR="005F754A">
        <w:rPr>
          <w:rFonts w:cstheme="minorHAnsi"/>
          <w:lang w:val="en-GB"/>
        </w:rPr>
        <w:t>compensable acts, is less relevant to whether the application as a whole has reasonable prospects of success.</w:t>
      </w:r>
    </w:p>
    <w:bookmarkEnd w:id="15"/>
    <w:p w14:paraId="1BCD8D8C" w14:textId="4847B351" w:rsidR="003442C7" w:rsidRPr="00B24720" w:rsidRDefault="009F43B5" w:rsidP="00C96DAE">
      <w:pPr>
        <w:spacing w:after="120"/>
        <w:rPr>
          <w:rFonts w:asciiTheme="minorHAnsi" w:hAnsiTheme="minorHAnsi" w:cstheme="minorHAnsi"/>
        </w:rPr>
      </w:pPr>
      <w:r w:rsidRPr="005E236E">
        <w:rPr>
          <w:rFonts w:cstheme="minorHAnsi"/>
          <w:i/>
          <w:lang w:val="en-GB"/>
        </w:rPr>
        <w:t>Tucker</w:t>
      </w:r>
      <w:r>
        <w:rPr>
          <w:rFonts w:cstheme="minorHAnsi"/>
          <w:lang w:val="en-GB"/>
        </w:rPr>
        <w:t xml:space="preserve"> also made it clear that the merits of a compensation application (</w:t>
      </w:r>
      <w:r w:rsidR="00154FB2">
        <w:rPr>
          <w:rFonts w:cstheme="minorHAnsi"/>
          <w:lang w:val="en-GB"/>
        </w:rPr>
        <w:t>including whether compensable acts have been appropriately identified</w:t>
      </w:r>
      <w:r>
        <w:rPr>
          <w:rFonts w:cstheme="minorHAnsi"/>
          <w:lang w:val="en-GB"/>
        </w:rPr>
        <w:t xml:space="preserve">), are </w:t>
      </w:r>
      <w:r w:rsidR="003279D8">
        <w:rPr>
          <w:rFonts w:cstheme="minorHAnsi"/>
          <w:lang w:val="en-GB"/>
        </w:rPr>
        <w:t xml:space="preserve">matters of substance </w:t>
      </w:r>
      <w:r>
        <w:rPr>
          <w:rFonts w:cstheme="minorHAnsi"/>
          <w:lang w:val="en-GB"/>
        </w:rPr>
        <w:t xml:space="preserve">for the Court to consider and not for Court Registry staff to decide at the filing stage. </w:t>
      </w:r>
      <w:r w:rsidR="00DB3DAF">
        <w:rPr>
          <w:rFonts w:cstheme="minorHAnsi"/>
          <w:lang w:val="en-GB"/>
        </w:rPr>
        <w:t>T</w:t>
      </w:r>
      <w:r>
        <w:rPr>
          <w:rFonts w:cstheme="minorHAnsi"/>
          <w:lang w:val="en-GB"/>
        </w:rPr>
        <w:t>he Court noted that how much detail should be required before a compensation application is accepted for filing involves matters of judgment, which would be too burdensome for Registry staff</w:t>
      </w:r>
      <w:r w:rsidR="00154FB2">
        <w:rPr>
          <w:rFonts w:cstheme="minorHAnsi"/>
          <w:lang w:val="en-GB"/>
        </w:rPr>
        <w:t>.</w:t>
      </w:r>
      <w:r>
        <w:rPr>
          <w:rFonts w:cstheme="minorHAnsi"/>
          <w:lang w:val="en-GB"/>
        </w:rPr>
        <w:t xml:space="preserve"> </w:t>
      </w:r>
      <w:r w:rsidR="00154FB2">
        <w:rPr>
          <w:rFonts w:cstheme="minorHAnsi"/>
          <w:lang w:val="en-GB"/>
        </w:rPr>
        <w:t>Additionally,</w:t>
      </w:r>
      <w:r>
        <w:rPr>
          <w:rFonts w:cstheme="minorHAnsi"/>
          <w:lang w:val="en-GB"/>
        </w:rPr>
        <w:t xml:space="preserve"> </w:t>
      </w:r>
      <w:r w:rsidR="00154FB2">
        <w:rPr>
          <w:rFonts w:cstheme="minorHAnsi"/>
          <w:lang w:val="en-GB"/>
        </w:rPr>
        <w:t xml:space="preserve">it noted </w:t>
      </w:r>
      <w:r>
        <w:rPr>
          <w:rFonts w:cstheme="minorHAnsi"/>
          <w:lang w:val="en-GB"/>
        </w:rPr>
        <w:t>a decision of a Registrar of the Court to refuse to accept documents for filing is still subject to review</w:t>
      </w:r>
      <w:r w:rsidR="00154FB2">
        <w:rPr>
          <w:rFonts w:cstheme="minorHAnsi"/>
          <w:lang w:val="en-GB"/>
        </w:rPr>
        <w:t>,</w:t>
      </w:r>
      <w:r>
        <w:rPr>
          <w:rFonts w:cstheme="minorHAnsi"/>
          <w:lang w:val="en-GB"/>
        </w:rPr>
        <w:t xml:space="preserve"> </w:t>
      </w:r>
      <w:r w:rsidR="00DB3DAF">
        <w:rPr>
          <w:rFonts w:cstheme="minorHAnsi"/>
          <w:lang w:val="en-GB"/>
        </w:rPr>
        <w:t>leaving the matter</w:t>
      </w:r>
      <w:r w:rsidR="003279D8">
        <w:rPr>
          <w:rFonts w:cstheme="minorHAnsi"/>
          <w:lang w:val="en-GB"/>
        </w:rPr>
        <w:t xml:space="preserve"> less conclusive ([32]-[36])</w:t>
      </w:r>
      <w:r>
        <w:rPr>
          <w:rFonts w:cstheme="minorHAnsi"/>
          <w:lang w:val="en-GB"/>
        </w:rPr>
        <w:t xml:space="preserve">. </w:t>
      </w:r>
      <w:r w:rsidR="00DB1442">
        <w:rPr>
          <w:rFonts w:cstheme="minorHAnsi"/>
          <w:lang w:val="en-GB"/>
        </w:rPr>
        <w:t xml:space="preserve"> </w:t>
      </w:r>
    </w:p>
    <w:p w14:paraId="14223423" w14:textId="45F0557D" w:rsidR="00C95047" w:rsidRDefault="00C95047" w:rsidP="00C96DAE">
      <w:pPr>
        <w:spacing w:after="120"/>
        <w:rPr>
          <w:rFonts w:asciiTheme="minorHAnsi" w:hAnsiTheme="minorHAnsi" w:cstheme="minorHAnsi"/>
          <w:b/>
        </w:rPr>
      </w:pPr>
      <w:r w:rsidRPr="00C95047">
        <w:rPr>
          <w:rFonts w:asciiTheme="minorHAnsi" w:hAnsiTheme="minorHAnsi" w:cstheme="minorHAnsi"/>
          <w:b/>
        </w:rPr>
        <w:t>P</w:t>
      </w:r>
      <w:r w:rsidR="0050315B">
        <w:rPr>
          <w:rFonts w:asciiTheme="minorHAnsi" w:hAnsiTheme="minorHAnsi" w:cstheme="minorHAnsi"/>
          <w:b/>
        </w:rPr>
        <w:t>ossible</w:t>
      </w:r>
      <w:r w:rsidRPr="00C95047">
        <w:rPr>
          <w:rFonts w:asciiTheme="minorHAnsi" w:hAnsiTheme="minorHAnsi" w:cstheme="minorHAnsi"/>
          <w:b/>
        </w:rPr>
        <w:t xml:space="preserve"> reform</w:t>
      </w:r>
    </w:p>
    <w:p w14:paraId="2AF2581D" w14:textId="2EE6D8A8" w:rsidR="006A1CF0" w:rsidRDefault="000522A6" w:rsidP="00B252E2">
      <w:pPr>
        <w:spacing w:after="120"/>
      </w:pPr>
      <w:r>
        <w:t>The department is considering whether Form 4 could be improved to require clearer ide</w:t>
      </w:r>
      <w:r w:rsidR="00877886">
        <w:t>ntification of compensable acts</w:t>
      </w:r>
      <w:r>
        <w:t xml:space="preserve">. </w:t>
      </w:r>
      <w:r w:rsidR="00986D70">
        <w:t>The department is also conscious of not unduly burdening compensation claimants so as to create a practical bar to compensation claims being properly brought</w:t>
      </w:r>
      <w:r w:rsidR="00FB20BD">
        <w:t xml:space="preserve">. However, improvement to Form 4 </w:t>
      </w:r>
      <w:r>
        <w:t>could</w:t>
      </w:r>
      <w:r w:rsidR="00FB20BD">
        <w:t xml:space="preserve"> be achieved by</w:t>
      </w:r>
      <w:r>
        <w:t xml:space="preserve"> adding additional </w:t>
      </w:r>
      <w:r w:rsidR="00877886">
        <w:t xml:space="preserve">requirements </w:t>
      </w:r>
      <w:r w:rsidR="0078776B">
        <w:t>to Schedule I, such as the dates of compensable acts</w:t>
      </w:r>
      <w:r w:rsidR="00270503">
        <w:t>,</w:t>
      </w:r>
      <w:r w:rsidR="00660D63">
        <w:t xml:space="preserve"> </w:t>
      </w:r>
      <w:r w:rsidR="00270503">
        <w:t>type of act, responsible entity, search results/ tenure,</w:t>
      </w:r>
      <w:r w:rsidR="0078776B">
        <w:t xml:space="preserve"> </w:t>
      </w:r>
      <w:r w:rsidR="00270503">
        <w:t xml:space="preserve">area or </w:t>
      </w:r>
      <w:r w:rsidR="0078776B">
        <w:t>mapping</w:t>
      </w:r>
      <w:r w:rsidR="00270503">
        <w:t xml:space="preserve"> and validation provision(s) in the NT</w:t>
      </w:r>
      <w:r w:rsidR="004A472A">
        <w:t> </w:t>
      </w:r>
      <w:r w:rsidR="00270503">
        <w:t>Act</w:t>
      </w:r>
      <w:r w:rsidR="00660D63">
        <w:t>.</w:t>
      </w:r>
      <w:r w:rsidR="00732842">
        <w:t xml:space="preserve"> </w:t>
      </w:r>
    </w:p>
    <w:p w14:paraId="48DD385B" w14:textId="2FC45488" w:rsidR="006A1CF0" w:rsidRPr="006F4054" w:rsidRDefault="006A1CF0" w:rsidP="00B252E2">
      <w:pPr>
        <w:spacing w:after="120"/>
        <w:rPr>
          <w:i/>
        </w:rPr>
      </w:pPr>
      <w:r w:rsidRPr="006F4054">
        <w:rPr>
          <w:i/>
        </w:rPr>
        <w:t>Intended effect</w:t>
      </w:r>
    </w:p>
    <w:p w14:paraId="295062B1" w14:textId="32C395AB" w:rsidR="001131FD" w:rsidRPr="00660D63" w:rsidRDefault="001C0E33" w:rsidP="00B252E2">
      <w:pPr>
        <w:spacing w:after="120"/>
      </w:pPr>
      <w:r>
        <w:t xml:space="preserve">While some flexibility regarding detail may be appropriate depending on the nature of the claimed compensable act(s), the intended practical effect of </w:t>
      </w:r>
      <w:r w:rsidR="008249A1">
        <w:t>implementing such a reform option</w:t>
      </w:r>
      <w:r>
        <w:t xml:space="preserve"> is to prompt </w:t>
      </w:r>
      <w:r w:rsidR="002E5F7C">
        <w:t>A</w:t>
      </w:r>
      <w:r>
        <w:t xml:space="preserve">pplicants to consider relevant </w:t>
      </w:r>
      <w:r w:rsidR="002E5F7C">
        <w:t>information</w:t>
      </w:r>
      <w:r>
        <w:t xml:space="preserve"> and include sufficient detail to establish a reasonable cause of action.</w:t>
      </w:r>
      <w:r w:rsidR="001E44C7">
        <w:t xml:space="preserve"> </w:t>
      </w:r>
    </w:p>
    <w:p w14:paraId="4F6CB7D6" w14:textId="7D2EBA81" w:rsidR="00C95047" w:rsidRDefault="00C95047" w:rsidP="00C96DAE">
      <w:pPr>
        <w:spacing w:after="120"/>
        <w:rPr>
          <w:rFonts w:asciiTheme="minorHAnsi" w:hAnsiTheme="minorHAnsi" w:cstheme="minorHAnsi"/>
          <w:b/>
        </w:rPr>
      </w:pPr>
      <w:r>
        <w:rPr>
          <w:rFonts w:asciiTheme="minorHAnsi" w:hAnsiTheme="minorHAnsi" w:cstheme="minorHAnsi"/>
          <w:b/>
        </w:rPr>
        <w:t>Question</w:t>
      </w:r>
    </w:p>
    <w:p w14:paraId="0343E349" w14:textId="145189F4" w:rsidR="00606C1B" w:rsidRPr="00C96DAE" w:rsidRDefault="00E4698E" w:rsidP="007B3C23">
      <w:pPr>
        <w:pStyle w:val="ListParagraph"/>
        <w:numPr>
          <w:ilvl w:val="0"/>
          <w:numId w:val="106"/>
        </w:numPr>
        <w:spacing w:after="120"/>
        <w:contextualSpacing w:val="0"/>
        <w:rPr>
          <w:rFonts w:asciiTheme="minorHAnsi" w:hAnsiTheme="minorHAnsi" w:cstheme="minorHAnsi"/>
          <w:b/>
        </w:rPr>
      </w:pPr>
      <w:bookmarkStart w:id="16" w:name="_Hlk121831137"/>
      <w:r>
        <w:rPr>
          <w:rFonts w:asciiTheme="minorHAnsi" w:hAnsiTheme="minorHAnsi" w:cstheme="minorHAnsi"/>
        </w:rPr>
        <w:t>Should Form 4 require additional information about compensable acts? What detail</w:t>
      </w:r>
      <w:r w:rsidR="003D2323">
        <w:rPr>
          <w:rFonts w:asciiTheme="minorHAnsi" w:hAnsiTheme="minorHAnsi" w:cstheme="minorHAnsi"/>
        </w:rPr>
        <w:t xml:space="preserve"> could usefully</w:t>
      </w:r>
      <w:r>
        <w:rPr>
          <w:rFonts w:asciiTheme="minorHAnsi" w:hAnsiTheme="minorHAnsi" w:cstheme="minorHAnsi"/>
        </w:rPr>
        <w:t xml:space="preserve"> be added to Schedule I?</w:t>
      </w:r>
    </w:p>
    <w:p w14:paraId="3E7CA2B9" w14:textId="4DCF34AD" w:rsidR="00D44F1A" w:rsidRPr="00D44F1A" w:rsidRDefault="00D44F1A" w:rsidP="00C96DAE">
      <w:pPr>
        <w:pStyle w:val="Heading4"/>
        <w:spacing w:after="120" w:line="276" w:lineRule="auto"/>
      </w:pPr>
      <w:bookmarkStart w:id="17" w:name="_Hlk121320351"/>
      <w:bookmarkEnd w:id="16"/>
      <w:r>
        <w:t xml:space="preserve">Ensuring consistency between </w:t>
      </w:r>
      <w:r w:rsidR="00C004D4">
        <w:t>related</w:t>
      </w:r>
      <w:r>
        <w:t xml:space="preserve"> compensation claims</w:t>
      </w:r>
    </w:p>
    <w:bookmarkEnd w:id="17"/>
    <w:p w14:paraId="154C9A8F" w14:textId="6BCDA36F" w:rsidR="00E4698E" w:rsidRDefault="00E4698E" w:rsidP="00C96DAE">
      <w:pPr>
        <w:spacing w:after="120"/>
        <w:rPr>
          <w:rFonts w:cstheme="minorHAnsi"/>
          <w:b/>
        </w:rPr>
      </w:pPr>
      <w:r>
        <w:rPr>
          <w:rFonts w:cstheme="minorHAnsi"/>
          <w:b/>
        </w:rPr>
        <w:t>O</w:t>
      </w:r>
      <w:r w:rsidR="00A40CFE">
        <w:rPr>
          <w:rFonts w:cstheme="minorHAnsi"/>
          <w:b/>
        </w:rPr>
        <w:t>verview</w:t>
      </w:r>
    </w:p>
    <w:p w14:paraId="34DE8107" w14:textId="3BFC0142" w:rsidR="00EB1193" w:rsidRDefault="00144D45" w:rsidP="00C96DAE">
      <w:pPr>
        <w:spacing w:after="120"/>
        <w:rPr>
          <w:rFonts w:cstheme="minorHAnsi"/>
        </w:rPr>
      </w:pPr>
      <w:r>
        <w:rPr>
          <w:rFonts w:cstheme="minorHAnsi"/>
        </w:rPr>
        <w:t xml:space="preserve">Under s 61 of </w:t>
      </w:r>
      <w:r w:rsidR="00F47929">
        <w:rPr>
          <w:rFonts w:cstheme="minorHAnsi"/>
        </w:rPr>
        <w:t>the NT Act</w:t>
      </w:r>
      <w:r>
        <w:rPr>
          <w:rFonts w:cstheme="minorHAnsi"/>
        </w:rPr>
        <w:t xml:space="preserve">, a compensation claim can be brought by either a </w:t>
      </w:r>
      <w:r w:rsidR="001C5343">
        <w:rPr>
          <w:rFonts w:cstheme="minorHAnsi"/>
        </w:rPr>
        <w:t xml:space="preserve">Registered Native Title Body Corporate </w:t>
      </w:r>
      <w:r>
        <w:rPr>
          <w:rFonts w:cstheme="minorHAnsi"/>
        </w:rPr>
        <w:t xml:space="preserve">or a person or persons authorised by </w:t>
      </w:r>
      <w:r w:rsidR="00405B5B">
        <w:rPr>
          <w:rFonts w:cstheme="minorHAnsi"/>
        </w:rPr>
        <w:t xml:space="preserve">a </w:t>
      </w:r>
      <w:r>
        <w:rPr>
          <w:rFonts w:cstheme="minorHAnsi"/>
        </w:rPr>
        <w:t xml:space="preserve">compensation claim group. </w:t>
      </w:r>
      <w:r w:rsidR="009625CC">
        <w:rPr>
          <w:rFonts w:cstheme="minorHAnsi"/>
        </w:rPr>
        <w:t xml:space="preserve">This </w:t>
      </w:r>
      <w:r w:rsidR="008D6C51">
        <w:rPr>
          <w:rFonts w:cstheme="minorHAnsi"/>
        </w:rPr>
        <w:t>means</w:t>
      </w:r>
      <w:r w:rsidR="009625CC">
        <w:rPr>
          <w:rFonts w:cstheme="minorHAnsi"/>
        </w:rPr>
        <w:t xml:space="preserve"> claims </w:t>
      </w:r>
      <w:r w:rsidR="00B17568">
        <w:rPr>
          <w:rFonts w:cstheme="minorHAnsi"/>
        </w:rPr>
        <w:t xml:space="preserve">brought post-determination </w:t>
      </w:r>
      <w:r w:rsidR="00D753ED">
        <w:rPr>
          <w:rFonts w:cstheme="minorHAnsi"/>
        </w:rPr>
        <w:t xml:space="preserve">for the same compensable acts </w:t>
      </w:r>
      <w:r w:rsidR="00B17568">
        <w:rPr>
          <w:rFonts w:cstheme="minorHAnsi"/>
        </w:rPr>
        <w:t xml:space="preserve">could be brought by </w:t>
      </w:r>
      <w:r w:rsidR="009625CC">
        <w:rPr>
          <w:rFonts w:cstheme="minorHAnsi"/>
        </w:rPr>
        <w:t>different parties (</w:t>
      </w:r>
      <w:r w:rsidR="00B17568">
        <w:rPr>
          <w:rFonts w:cstheme="minorHAnsi"/>
        </w:rPr>
        <w:t xml:space="preserve">either a </w:t>
      </w:r>
      <w:r w:rsidR="001C5343">
        <w:rPr>
          <w:rFonts w:cstheme="minorHAnsi"/>
        </w:rPr>
        <w:t xml:space="preserve">Registered Native Title Body Corporate </w:t>
      </w:r>
      <w:r w:rsidR="00B17568">
        <w:rPr>
          <w:rFonts w:cstheme="minorHAnsi"/>
        </w:rPr>
        <w:t>or compensation claim group</w:t>
      </w:r>
      <w:r w:rsidR="00D753ED">
        <w:rPr>
          <w:rFonts w:cstheme="minorHAnsi"/>
        </w:rPr>
        <w:t xml:space="preserve"> or sub-group</w:t>
      </w:r>
      <w:r w:rsidR="009625CC">
        <w:rPr>
          <w:rFonts w:cstheme="minorHAnsi"/>
        </w:rPr>
        <w:t>)</w:t>
      </w:r>
      <w:r w:rsidR="00B17568">
        <w:rPr>
          <w:rFonts w:cstheme="minorHAnsi"/>
        </w:rPr>
        <w:t>.</w:t>
      </w:r>
      <w:r w:rsidR="009625CC">
        <w:rPr>
          <w:rFonts w:cstheme="minorHAnsi"/>
        </w:rPr>
        <w:t xml:space="preserve"> </w:t>
      </w:r>
      <w:r w:rsidR="00405B5B">
        <w:rPr>
          <w:rFonts w:cstheme="minorHAnsi"/>
        </w:rPr>
        <w:t>Stakeholders have noted that this could result in conflicting approaches between different parties across similar compensation claims.</w:t>
      </w:r>
    </w:p>
    <w:p w14:paraId="16916880" w14:textId="105899E4" w:rsidR="00E4698E" w:rsidRDefault="00E4698E" w:rsidP="00580C0E">
      <w:pPr>
        <w:keepNext/>
        <w:spacing w:after="120"/>
        <w:rPr>
          <w:rFonts w:cstheme="minorHAnsi"/>
          <w:b/>
        </w:rPr>
      </w:pPr>
      <w:r>
        <w:rPr>
          <w:rFonts w:cstheme="minorHAnsi"/>
          <w:b/>
        </w:rPr>
        <w:lastRenderedPageBreak/>
        <w:t>P</w:t>
      </w:r>
      <w:r w:rsidR="0050315B">
        <w:rPr>
          <w:rFonts w:cstheme="minorHAnsi"/>
          <w:b/>
        </w:rPr>
        <w:t>ossible</w:t>
      </w:r>
      <w:r>
        <w:rPr>
          <w:rFonts w:cstheme="minorHAnsi"/>
          <w:b/>
        </w:rPr>
        <w:t xml:space="preserve"> reform</w:t>
      </w:r>
    </w:p>
    <w:p w14:paraId="48DD4B74" w14:textId="08438060" w:rsidR="00E4698E" w:rsidRDefault="00405B5B" w:rsidP="00580C0E">
      <w:pPr>
        <w:keepNext/>
        <w:spacing w:after="120"/>
        <w:rPr>
          <w:rFonts w:cstheme="minorHAnsi"/>
        </w:rPr>
      </w:pPr>
      <w:r>
        <w:rPr>
          <w:rFonts w:cstheme="minorHAnsi"/>
        </w:rPr>
        <w:t>The department is considering developing a</w:t>
      </w:r>
      <w:r w:rsidRPr="0002464C">
        <w:rPr>
          <w:rFonts w:cstheme="minorHAnsi"/>
        </w:rPr>
        <w:t xml:space="preserve"> mechanism to </w:t>
      </w:r>
      <w:r w:rsidR="00C004D4">
        <w:rPr>
          <w:rFonts w:cstheme="minorHAnsi"/>
        </w:rPr>
        <w:t xml:space="preserve">help </w:t>
      </w:r>
      <w:r w:rsidR="00650AD1">
        <w:rPr>
          <w:rFonts w:cstheme="minorHAnsi"/>
        </w:rPr>
        <w:t>A</w:t>
      </w:r>
      <w:r w:rsidR="00C004D4">
        <w:rPr>
          <w:rFonts w:cstheme="minorHAnsi"/>
        </w:rPr>
        <w:t xml:space="preserve">pplicants </w:t>
      </w:r>
      <w:r w:rsidRPr="0002464C">
        <w:rPr>
          <w:rFonts w:cstheme="minorHAnsi"/>
        </w:rPr>
        <w:t>minimise conflicting approaches</w:t>
      </w:r>
      <w:r>
        <w:rPr>
          <w:rFonts w:cstheme="minorHAnsi"/>
        </w:rPr>
        <w:t xml:space="preserve"> to compensation applications </w:t>
      </w:r>
      <w:r w:rsidRPr="0002464C">
        <w:rPr>
          <w:rFonts w:cstheme="minorHAnsi"/>
        </w:rPr>
        <w:t xml:space="preserve">prior to </w:t>
      </w:r>
      <w:r w:rsidR="00C004D4">
        <w:rPr>
          <w:rFonts w:cstheme="minorHAnsi"/>
        </w:rPr>
        <w:t>lodgement</w:t>
      </w:r>
      <w:r>
        <w:rPr>
          <w:rFonts w:cstheme="minorHAnsi"/>
        </w:rPr>
        <w:t xml:space="preserve">. </w:t>
      </w:r>
      <w:r w:rsidR="00E4698E" w:rsidRPr="0002464C">
        <w:rPr>
          <w:rFonts w:cstheme="minorHAnsi"/>
        </w:rPr>
        <w:t xml:space="preserve">Possible </w:t>
      </w:r>
      <w:r>
        <w:rPr>
          <w:rFonts w:cstheme="minorHAnsi"/>
        </w:rPr>
        <w:t xml:space="preserve">mechanisms could </w:t>
      </w:r>
      <w:r w:rsidR="00E4698E" w:rsidRPr="0002464C">
        <w:rPr>
          <w:rFonts w:cstheme="minorHAnsi"/>
        </w:rPr>
        <w:t>include:</w:t>
      </w:r>
    </w:p>
    <w:p w14:paraId="6CA485FE" w14:textId="768F6A99" w:rsidR="00E4698E" w:rsidRDefault="00405B5B" w:rsidP="00C96DAE">
      <w:pPr>
        <w:pStyle w:val="ListParagraph"/>
        <w:numPr>
          <w:ilvl w:val="0"/>
          <w:numId w:val="43"/>
        </w:numPr>
        <w:spacing w:after="120"/>
        <w:contextualSpacing w:val="0"/>
        <w:rPr>
          <w:rFonts w:cstheme="minorHAnsi"/>
        </w:rPr>
      </w:pPr>
      <w:r w:rsidRPr="00405B5B">
        <w:rPr>
          <w:rFonts w:cstheme="minorHAnsi"/>
        </w:rPr>
        <w:t>Requiring e</w:t>
      </w:r>
      <w:r w:rsidR="00E4698E" w:rsidRPr="00405B5B">
        <w:rPr>
          <w:rFonts w:cstheme="minorHAnsi"/>
        </w:rPr>
        <w:t xml:space="preserve">ndorsement by the relevant </w:t>
      </w:r>
      <w:r w:rsidR="001C5343">
        <w:rPr>
          <w:rFonts w:cstheme="minorHAnsi"/>
        </w:rPr>
        <w:t xml:space="preserve">Registered Native Title Body Corporate </w:t>
      </w:r>
      <w:r>
        <w:rPr>
          <w:rFonts w:cstheme="minorHAnsi"/>
        </w:rPr>
        <w:t>of a compensat</w:t>
      </w:r>
      <w:r w:rsidR="00CB44B4">
        <w:rPr>
          <w:rFonts w:cstheme="minorHAnsi"/>
        </w:rPr>
        <w:t>ion application prior to lodgement</w:t>
      </w:r>
      <w:r w:rsidR="0053570B">
        <w:rPr>
          <w:rFonts w:cstheme="minorHAnsi"/>
        </w:rPr>
        <w:t>.</w:t>
      </w:r>
    </w:p>
    <w:p w14:paraId="7EB54DD7" w14:textId="497E85D8" w:rsidR="00E4698E" w:rsidRDefault="00405B5B" w:rsidP="00C96DAE">
      <w:pPr>
        <w:pStyle w:val="ListParagraph"/>
        <w:numPr>
          <w:ilvl w:val="0"/>
          <w:numId w:val="43"/>
        </w:numPr>
        <w:spacing w:after="120"/>
        <w:contextualSpacing w:val="0"/>
        <w:rPr>
          <w:rFonts w:cstheme="minorHAnsi"/>
        </w:rPr>
      </w:pPr>
      <w:r>
        <w:rPr>
          <w:rFonts w:cstheme="minorHAnsi"/>
        </w:rPr>
        <w:t xml:space="preserve">Requiring </w:t>
      </w:r>
      <w:r w:rsidR="00650AD1">
        <w:rPr>
          <w:rFonts w:cstheme="minorHAnsi"/>
        </w:rPr>
        <w:t>A</w:t>
      </w:r>
      <w:r>
        <w:rPr>
          <w:rFonts w:cstheme="minorHAnsi"/>
        </w:rPr>
        <w:t xml:space="preserve">pplicants to </w:t>
      </w:r>
      <w:r w:rsidR="00E4698E" w:rsidRPr="00405B5B">
        <w:rPr>
          <w:rFonts w:cstheme="minorHAnsi"/>
        </w:rPr>
        <w:t xml:space="preserve">consult with </w:t>
      </w:r>
      <w:r>
        <w:rPr>
          <w:rFonts w:cstheme="minorHAnsi"/>
        </w:rPr>
        <w:t>the relevant Native Title Representative Body</w:t>
      </w:r>
      <w:r w:rsidR="00770DBB">
        <w:rPr>
          <w:rFonts w:cstheme="minorHAnsi"/>
        </w:rPr>
        <w:t xml:space="preserve"> or Service Provider</w:t>
      </w:r>
      <w:r w:rsidR="00E4698E" w:rsidRPr="00405B5B">
        <w:rPr>
          <w:rFonts w:cstheme="minorHAnsi"/>
        </w:rPr>
        <w:t xml:space="preserve"> prior to bring</w:t>
      </w:r>
      <w:r w:rsidR="00CB44B4">
        <w:rPr>
          <w:rFonts w:cstheme="minorHAnsi"/>
        </w:rPr>
        <w:t>ing a compensation application</w:t>
      </w:r>
      <w:r w:rsidR="0053570B">
        <w:rPr>
          <w:rFonts w:cstheme="minorHAnsi"/>
        </w:rPr>
        <w:t>.</w:t>
      </w:r>
    </w:p>
    <w:p w14:paraId="19EAB001" w14:textId="19EBB1D6" w:rsidR="00E4698E" w:rsidRDefault="00CB44B4" w:rsidP="00C96DAE">
      <w:pPr>
        <w:pStyle w:val="ListParagraph"/>
        <w:numPr>
          <w:ilvl w:val="0"/>
          <w:numId w:val="43"/>
        </w:numPr>
        <w:spacing w:after="120"/>
        <w:contextualSpacing w:val="0"/>
        <w:rPr>
          <w:rFonts w:cstheme="minorHAnsi"/>
        </w:rPr>
      </w:pPr>
      <w:r>
        <w:rPr>
          <w:rFonts w:cstheme="minorHAnsi"/>
        </w:rPr>
        <w:t xml:space="preserve">Amending Form 4 to allow for cross-referencing of </w:t>
      </w:r>
      <w:r w:rsidR="00C004D4">
        <w:rPr>
          <w:rFonts w:cstheme="minorHAnsi"/>
        </w:rPr>
        <w:t>related</w:t>
      </w:r>
      <w:r>
        <w:rPr>
          <w:rFonts w:cstheme="minorHAnsi"/>
        </w:rPr>
        <w:t xml:space="preserve"> compensation claims.</w:t>
      </w:r>
    </w:p>
    <w:p w14:paraId="02121CB6" w14:textId="37BBE59D" w:rsidR="006A1CF0" w:rsidRDefault="006A1CF0" w:rsidP="006F4054">
      <w:pPr>
        <w:pStyle w:val="ListParagraph"/>
        <w:spacing w:after="120"/>
        <w:ind w:left="0"/>
        <w:contextualSpacing w:val="0"/>
        <w:rPr>
          <w:rFonts w:cstheme="minorHAnsi"/>
          <w:i/>
        </w:rPr>
      </w:pPr>
      <w:r>
        <w:rPr>
          <w:rFonts w:cstheme="minorHAnsi"/>
          <w:i/>
        </w:rPr>
        <w:t>Intended effect</w:t>
      </w:r>
    </w:p>
    <w:p w14:paraId="55B7AC54" w14:textId="17873017" w:rsidR="00E86F85" w:rsidRPr="00E86F85" w:rsidRDefault="00E86F85" w:rsidP="006F4054">
      <w:pPr>
        <w:spacing w:after="120"/>
        <w:rPr>
          <w:rFonts w:cstheme="minorHAnsi"/>
        </w:rPr>
      </w:pPr>
      <w:r>
        <w:rPr>
          <w:rFonts w:cstheme="minorHAnsi"/>
        </w:rPr>
        <w:t xml:space="preserve">The intended practical effect </w:t>
      </w:r>
      <w:r w:rsidR="006A1CF0">
        <w:rPr>
          <w:rFonts w:cstheme="minorHAnsi"/>
        </w:rPr>
        <w:t xml:space="preserve">is to minimise </w:t>
      </w:r>
      <w:r w:rsidR="005668AC">
        <w:rPr>
          <w:rFonts w:cstheme="minorHAnsi"/>
        </w:rPr>
        <w:t>conflicting approaches</w:t>
      </w:r>
      <w:r>
        <w:rPr>
          <w:rFonts w:cstheme="minorHAnsi"/>
        </w:rPr>
        <w:t xml:space="preserve"> between related compensation claims.  </w:t>
      </w:r>
    </w:p>
    <w:p w14:paraId="2D9459E5" w14:textId="2F498474" w:rsidR="00E4698E" w:rsidRDefault="00E4698E" w:rsidP="00C96DAE">
      <w:pPr>
        <w:spacing w:after="120"/>
        <w:rPr>
          <w:rFonts w:cstheme="minorHAnsi"/>
          <w:b/>
        </w:rPr>
      </w:pPr>
      <w:r>
        <w:rPr>
          <w:rFonts w:cstheme="minorHAnsi"/>
          <w:b/>
        </w:rPr>
        <w:t>Questions</w:t>
      </w:r>
    </w:p>
    <w:p w14:paraId="36D22928" w14:textId="4E7E186F" w:rsidR="00E4698E" w:rsidRPr="00353087" w:rsidRDefault="00353087" w:rsidP="007B3C23">
      <w:pPr>
        <w:pStyle w:val="ListParagraph"/>
        <w:numPr>
          <w:ilvl w:val="0"/>
          <w:numId w:val="106"/>
        </w:numPr>
        <w:spacing w:after="120"/>
        <w:contextualSpacing w:val="0"/>
        <w:rPr>
          <w:rFonts w:cstheme="minorHAnsi"/>
          <w:b/>
        </w:rPr>
      </w:pPr>
      <w:bookmarkStart w:id="18" w:name="_Hlk119668710"/>
      <w:r>
        <w:rPr>
          <w:rFonts w:cstheme="minorHAnsi"/>
        </w:rPr>
        <w:t xml:space="preserve">Which of the mechanisms </w:t>
      </w:r>
      <w:r w:rsidR="008C6ED3">
        <w:rPr>
          <w:rFonts w:cstheme="minorHAnsi"/>
        </w:rPr>
        <w:t xml:space="preserve">detailed </w:t>
      </w:r>
      <w:r w:rsidR="00781266">
        <w:rPr>
          <w:rFonts w:cstheme="minorHAnsi"/>
        </w:rPr>
        <w:t>above</w:t>
      </w:r>
      <w:r w:rsidR="008C6ED3">
        <w:rPr>
          <w:rFonts w:cstheme="minorHAnsi"/>
        </w:rPr>
        <w:t xml:space="preserve"> </w:t>
      </w:r>
      <w:r>
        <w:rPr>
          <w:rFonts w:cstheme="minorHAnsi"/>
        </w:rPr>
        <w:t xml:space="preserve">would be most effective in ensuring consistency between </w:t>
      </w:r>
      <w:r w:rsidR="00C004D4">
        <w:rPr>
          <w:rFonts w:cstheme="minorHAnsi"/>
        </w:rPr>
        <w:t>related</w:t>
      </w:r>
      <w:r>
        <w:rPr>
          <w:rFonts w:cstheme="minorHAnsi"/>
        </w:rPr>
        <w:t xml:space="preserve"> compensation claims?</w:t>
      </w:r>
    </w:p>
    <w:p w14:paraId="1F6DC42D" w14:textId="1A03CE74" w:rsidR="00D44F1A" w:rsidRPr="00C96DAE" w:rsidRDefault="00353087" w:rsidP="007B3C23">
      <w:pPr>
        <w:pStyle w:val="ListParagraph"/>
        <w:numPr>
          <w:ilvl w:val="0"/>
          <w:numId w:val="106"/>
        </w:numPr>
        <w:spacing w:after="120"/>
        <w:contextualSpacing w:val="0"/>
        <w:rPr>
          <w:rFonts w:cstheme="minorHAnsi"/>
          <w:b/>
        </w:rPr>
      </w:pPr>
      <w:r>
        <w:rPr>
          <w:rFonts w:cstheme="minorHAnsi"/>
        </w:rPr>
        <w:t xml:space="preserve">Are there any other mechanisms to address this issue which the department should consider? </w:t>
      </w:r>
    </w:p>
    <w:p w14:paraId="0A7BF6F7" w14:textId="57EFCAE7" w:rsidR="00606C1B" w:rsidRDefault="00606C1B" w:rsidP="00C96DAE">
      <w:pPr>
        <w:spacing w:after="120"/>
        <w:rPr>
          <w:rStyle w:val="Heading4Char"/>
        </w:rPr>
      </w:pPr>
      <w:bookmarkStart w:id="19" w:name="_Hlk121320358"/>
      <w:bookmarkEnd w:id="18"/>
      <w:r w:rsidRPr="00CA19BA">
        <w:rPr>
          <w:rStyle w:val="Heading4Char"/>
        </w:rPr>
        <w:t>Notification of a compensation applicatio</w:t>
      </w:r>
      <w:r>
        <w:rPr>
          <w:rStyle w:val="Heading4Char"/>
        </w:rPr>
        <w:t>n</w:t>
      </w:r>
    </w:p>
    <w:bookmarkEnd w:id="19"/>
    <w:p w14:paraId="50BE0DB6" w14:textId="7444F03D" w:rsidR="00606C1B" w:rsidRPr="009E7637" w:rsidRDefault="00606C1B" w:rsidP="00C96DAE">
      <w:pPr>
        <w:spacing w:after="120"/>
      </w:pPr>
      <w:r>
        <w:t>C</w:t>
      </w:r>
      <w:r w:rsidRPr="00070ABA">
        <w:t>urrent</w:t>
      </w:r>
      <w:r>
        <w:t xml:space="preserve">ly, </w:t>
      </w:r>
      <w:r w:rsidR="009E7637">
        <w:t xml:space="preserve">notice of </w:t>
      </w:r>
      <w:r>
        <w:t xml:space="preserve">a compensation application must be provided </w:t>
      </w:r>
      <w:r w:rsidR="007E370D">
        <w:t xml:space="preserve">by the Native Title Registrar </w:t>
      </w:r>
      <w:r>
        <w:t>to a wide range of parties</w:t>
      </w:r>
      <w:r w:rsidR="002E1F67">
        <w:t xml:space="preserve"> (s</w:t>
      </w:r>
      <w:r w:rsidR="00F50566">
        <w:t xml:space="preserve"> </w:t>
      </w:r>
      <w:r w:rsidR="002E1F67">
        <w:t>66 of the NT Act)</w:t>
      </w:r>
      <w:r>
        <w:t>, including ‘any person who holds a proprietary interest in relation to any or part an area covered by an application for native title’</w:t>
      </w:r>
      <w:r w:rsidR="001B3DED">
        <w:t xml:space="preserve"> (s</w:t>
      </w:r>
      <w:r w:rsidR="00F50566">
        <w:t xml:space="preserve"> </w:t>
      </w:r>
      <w:r w:rsidR="001B3DED">
        <w:t>66(3)(a)(iv))</w:t>
      </w:r>
      <w:r>
        <w:t xml:space="preserve">. </w:t>
      </w:r>
      <w:r w:rsidR="009E7637">
        <w:t>Stakeholders have</w:t>
      </w:r>
      <w:r>
        <w:t xml:space="preserve"> suggested that this requirement </w:t>
      </w:r>
      <w:r w:rsidR="009E7637">
        <w:t>is unnecessary and unhelpful i</w:t>
      </w:r>
      <w:r w:rsidR="00D00DAF">
        <w:t>n</w:t>
      </w:r>
      <w:r w:rsidR="009E7637">
        <w:t xml:space="preserve"> circumstances</w:t>
      </w:r>
      <w:r>
        <w:t xml:space="preserve"> where </w:t>
      </w:r>
      <w:r w:rsidR="00270503">
        <w:t>the</w:t>
      </w:r>
      <w:r>
        <w:t xml:space="preserve"> government is the only </w:t>
      </w:r>
      <w:r w:rsidR="009E7637">
        <w:t xml:space="preserve">respondent </w:t>
      </w:r>
      <w:r>
        <w:t xml:space="preserve">party </w:t>
      </w:r>
      <w:r w:rsidR="009E7637">
        <w:t xml:space="preserve">named as being </w:t>
      </w:r>
      <w:r>
        <w:t xml:space="preserve">liable for compensation. </w:t>
      </w:r>
      <w:r w:rsidR="009E7637">
        <w:t xml:space="preserve">For example, stakeholders have indicated that widespread notification </w:t>
      </w:r>
      <w:r w:rsidR="00D753ED">
        <w:t xml:space="preserve">to </w:t>
      </w:r>
      <w:r w:rsidR="009E7637">
        <w:t>land owners in a claim area (against who</w:t>
      </w:r>
      <w:r w:rsidR="00D753ED">
        <w:t>m</w:t>
      </w:r>
      <w:r w:rsidR="009E7637">
        <w:t xml:space="preserve"> compensation </w:t>
      </w:r>
      <w:r w:rsidR="009E7637">
        <w:rPr>
          <w:i/>
        </w:rPr>
        <w:t xml:space="preserve">is not </w:t>
      </w:r>
      <w:r w:rsidR="009E7637">
        <w:t>claimed) creates uncertainty and concern.</w:t>
      </w:r>
      <w:r w:rsidR="00D00DAF">
        <w:t xml:space="preserve"> The department notes that any changes to the notification requirements would require legislative amendments. </w:t>
      </w:r>
    </w:p>
    <w:p w14:paraId="14133947" w14:textId="40637EB3" w:rsidR="00182D33" w:rsidRPr="002E1F67" w:rsidRDefault="002E1F67" w:rsidP="00C96DAE">
      <w:pPr>
        <w:spacing w:after="120"/>
        <w:rPr>
          <w:b/>
        </w:rPr>
      </w:pPr>
      <w:r w:rsidRPr="002E1F67">
        <w:rPr>
          <w:b/>
        </w:rPr>
        <w:t>Question</w:t>
      </w:r>
    </w:p>
    <w:p w14:paraId="44006CA6" w14:textId="24037B2B" w:rsidR="002E1F67" w:rsidRPr="00C05E2C" w:rsidRDefault="009E7637" w:rsidP="007B3C23">
      <w:pPr>
        <w:pStyle w:val="ListParagraph"/>
        <w:numPr>
          <w:ilvl w:val="0"/>
          <w:numId w:val="106"/>
        </w:numPr>
        <w:spacing w:after="120"/>
        <w:rPr>
          <w:rFonts w:cstheme="minorHAnsi"/>
        </w:rPr>
      </w:pPr>
      <w:bookmarkStart w:id="20" w:name="_Hlk119668735"/>
      <w:r w:rsidRPr="00C05E2C">
        <w:rPr>
          <w:rFonts w:cstheme="minorHAnsi"/>
        </w:rPr>
        <w:t>How could</w:t>
      </w:r>
      <w:r w:rsidR="002E1F67" w:rsidRPr="00C05E2C">
        <w:rPr>
          <w:rFonts w:cstheme="minorHAnsi"/>
        </w:rPr>
        <w:t xml:space="preserve"> the current notification requirement</w:t>
      </w:r>
      <w:r w:rsidRPr="00C05E2C">
        <w:rPr>
          <w:rFonts w:cstheme="minorHAnsi"/>
        </w:rPr>
        <w:t>s</w:t>
      </w:r>
      <w:r w:rsidR="002E1F67" w:rsidRPr="00C05E2C">
        <w:rPr>
          <w:rFonts w:cstheme="minorHAnsi"/>
        </w:rPr>
        <w:t xml:space="preserve"> for compensation application</w:t>
      </w:r>
      <w:r w:rsidRPr="00C05E2C">
        <w:rPr>
          <w:rFonts w:cstheme="minorHAnsi"/>
        </w:rPr>
        <w:t>s be im</w:t>
      </w:r>
      <w:r w:rsidR="00417482" w:rsidRPr="00C05E2C">
        <w:rPr>
          <w:rFonts w:cstheme="minorHAnsi"/>
        </w:rPr>
        <w:t>p</w:t>
      </w:r>
      <w:r w:rsidRPr="00C05E2C">
        <w:rPr>
          <w:rFonts w:cstheme="minorHAnsi"/>
        </w:rPr>
        <w:t>roved</w:t>
      </w:r>
      <w:r w:rsidR="002E1F67" w:rsidRPr="00C05E2C">
        <w:rPr>
          <w:rFonts w:cstheme="minorHAnsi"/>
        </w:rPr>
        <w:t>?</w:t>
      </w:r>
    </w:p>
    <w:p w14:paraId="5E7A0FDF" w14:textId="77777777" w:rsidR="00FD4BC6" w:rsidRDefault="00FD4BC6" w:rsidP="00FD4BC6">
      <w:pPr>
        <w:spacing w:after="120"/>
      </w:pPr>
      <w:bookmarkStart w:id="21" w:name="_Hlk119668844"/>
      <w:bookmarkEnd w:id="20"/>
    </w:p>
    <w:p w14:paraId="73851729" w14:textId="77777777" w:rsidR="0019272C" w:rsidRDefault="0019272C" w:rsidP="00C96DAE">
      <w:pPr>
        <w:pStyle w:val="Heading3"/>
        <w:spacing w:after="120" w:line="276" w:lineRule="auto"/>
        <w:rPr>
          <w:i/>
        </w:rPr>
        <w:sectPr w:rsidR="0019272C" w:rsidSect="00CC4C50">
          <w:pgSz w:w="12240" w:h="15840"/>
          <w:pgMar w:top="532" w:right="964" w:bottom="964" w:left="964" w:header="142" w:footer="709" w:gutter="0"/>
          <w:cols w:space="708"/>
          <w:docGrid w:linePitch="360"/>
        </w:sectPr>
      </w:pPr>
      <w:bookmarkStart w:id="22" w:name="_Hlk119668969"/>
      <w:bookmarkEnd w:id="21"/>
    </w:p>
    <w:p w14:paraId="76A1B7B2" w14:textId="3BA9934F" w:rsidR="005E2D5F" w:rsidRPr="001560F1" w:rsidRDefault="005E2D5F" w:rsidP="00C96DAE">
      <w:pPr>
        <w:pStyle w:val="Heading3"/>
        <w:spacing w:after="120" w:line="276" w:lineRule="auto"/>
        <w:rPr>
          <w:i/>
        </w:rPr>
      </w:pPr>
      <w:r w:rsidRPr="001560F1">
        <w:rPr>
          <w:i/>
        </w:rPr>
        <w:lastRenderedPageBreak/>
        <w:t>Native Title (Tribunal) Regulations 1993</w:t>
      </w:r>
    </w:p>
    <w:bookmarkEnd w:id="22"/>
    <w:p w14:paraId="351122FF" w14:textId="58825E17" w:rsidR="005E2D5F" w:rsidRDefault="005E2D5F" w:rsidP="00C96DAE">
      <w:pPr>
        <w:spacing w:after="120"/>
      </w:pPr>
      <w:r w:rsidRPr="001560F1">
        <w:rPr>
          <w:i/>
        </w:rPr>
        <w:t>The Native Title (Tribunal) Regulations 1993</w:t>
      </w:r>
      <w:r w:rsidRPr="00712E41">
        <w:t xml:space="preserve"> (the </w:t>
      </w:r>
      <w:r>
        <w:t>Tribunal Regulations</w:t>
      </w:r>
      <w:r w:rsidRPr="00712E41">
        <w:t>)</w:t>
      </w:r>
      <w:r>
        <w:t xml:space="preserve"> specifies requirements for </w:t>
      </w:r>
      <w:r w:rsidR="00781266">
        <w:t>f</w:t>
      </w:r>
      <w:r>
        <w:t xml:space="preserve">orms in relation to right to negotiate applications including: an objection to inclusion in an expedited procedure application (Form 4); future act determination application (Form 5); notice of intention to become a party to an application (Form 6); </w:t>
      </w:r>
      <w:r w:rsidR="00781266">
        <w:t xml:space="preserve">and </w:t>
      </w:r>
      <w:r>
        <w:t xml:space="preserve">summons to give evidence (Form 7). The Tribunal Regulations also </w:t>
      </w:r>
      <w:r w:rsidR="00715985">
        <w:t xml:space="preserve">specify </w:t>
      </w:r>
      <w:r>
        <w:t>related procedures in relation to the payment, waiver and refund of fees, identification of parties in relation to applications, and procedural requirements for summons and service.</w:t>
      </w:r>
    </w:p>
    <w:p w14:paraId="519F6D7E" w14:textId="2DE444E1" w:rsidR="005A459B" w:rsidRDefault="005A459B" w:rsidP="005A459B">
      <w:pPr>
        <w:spacing w:after="120"/>
      </w:pPr>
      <w:r w:rsidRPr="00BA30C5">
        <w:t>Regu</w:t>
      </w:r>
      <w:r>
        <w:t>lation 7 prescribes the applicable fees for applications and Regulation</w:t>
      </w:r>
      <w:r w:rsidR="00C07C67">
        <w:t>s</w:t>
      </w:r>
      <w:r>
        <w:t xml:space="preserve"> 8 and 8A of the Tribunal Regulations provide the criteria for exemptions and fee waivers. </w:t>
      </w:r>
    </w:p>
    <w:p w14:paraId="1722CF81" w14:textId="3683C5B7" w:rsidR="0019272C" w:rsidRDefault="005E2D5F" w:rsidP="0019272C">
      <w:pPr>
        <w:spacing w:after="120"/>
        <w:rPr>
          <w:rStyle w:val="Heading2Char"/>
          <w:b w:val="0"/>
          <w:bCs w:val="0"/>
          <w:iCs w:val="0"/>
          <w:color w:val="595959" w:themeColor="text1" w:themeTint="A6"/>
          <w:sz w:val="26"/>
          <w:szCs w:val="26"/>
        </w:rPr>
      </w:pPr>
      <w:r>
        <w:t xml:space="preserve">A number of stakeholders expressed concern about the fee structure contained in the Tribunal Regulations, and suggested removal of application fees and/ or alteration of the available exemption criteria. Applicable sections of the NT Act are </w:t>
      </w:r>
      <w:r w:rsidR="00BC2E6B">
        <w:t xml:space="preserve">s </w:t>
      </w:r>
      <w:r w:rsidRPr="00E11676">
        <w:t xml:space="preserve">76(d) and </w:t>
      </w:r>
      <w:r w:rsidR="00BC2E6B">
        <w:t xml:space="preserve">s </w:t>
      </w:r>
      <w:r w:rsidRPr="00E11676">
        <w:t>215(c)</w:t>
      </w:r>
      <w:r>
        <w:t>.</w:t>
      </w:r>
      <w:bookmarkStart w:id="23" w:name="_Toc116313240"/>
      <w:bookmarkStart w:id="24" w:name="_Toc117863146"/>
      <w:bookmarkStart w:id="25" w:name="_Toc118734606"/>
      <w:bookmarkStart w:id="26" w:name="_Hlk121320458"/>
    </w:p>
    <w:p w14:paraId="3F829D07" w14:textId="475EB3C1" w:rsidR="005E2D5F" w:rsidRPr="001560F1" w:rsidRDefault="005E2D5F" w:rsidP="00C96DAE">
      <w:pPr>
        <w:pStyle w:val="Heading4"/>
        <w:spacing w:after="120" w:line="276" w:lineRule="auto"/>
        <w:rPr>
          <w:rStyle w:val="Heading2Char"/>
          <w:b/>
          <w:bCs/>
          <w:iCs w:val="0"/>
          <w:color w:val="595959" w:themeColor="text1" w:themeTint="A6"/>
          <w:sz w:val="26"/>
          <w:szCs w:val="26"/>
        </w:rPr>
      </w:pPr>
      <w:r w:rsidRPr="001560F1">
        <w:rPr>
          <w:rStyle w:val="Heading2Char"/>
          <w:b/>
          <w:bCs/>
          <w:iCs w:val="0"/>
          <w:color w:val="595959" w:themeColor="text1" w:themeTint="A6"/>
          <w:sz w:val="26"/>
          <w:szCs w:val="26"/>
        </w:rPr>
        <w:t>Fee reform</w:t>
      </w:r>
      <w:bookmarkEnd w:id="23"/>
      <w:bookmarkEnd w:id="24"/>
      <w:bookmarkEnd w:id="25"/>
    </w:p>
    <w:bookmarkEnd w:id="26"/>
    <w:p w14:paraId="10CEE9B1" w14:textId="77777777" w:rsidR="005E2D5F" w:rsidRPr="001560F1" w:rsidRDefault="005E2D5F" w:rsidP="00C96DAE">
      <w:pPr>
        <w:spacing w:after="120"/>
        <w:rPr>
          <w:b/>
        </w:rPr>
      </w:pPr>
      <w:r w:rsidRPr="001560F1">
        <w:rPr>
          <w:b/>
        </w:rPr>
        <w:t>Overview</w:t>
      </w:r>
    </w:p>
    <w:p w14:paraId="32B3D8DB" w14:textId="212EFBB0" w:rsidR="005A459B" w:rsidRDefault="005A459B" w:rsidP="005A459B">
      <w:pPr>
        <w:spacing w:after="120"/>
      </w:pPr>
      <w:r>
        <w:t>Expedited procedure objection applications typically arise in the context of mineral exploration. Where a government party asserts that a proposed exploration tenement is subject to the expedited procedure (which does not require good faith negotiation), a native title party may object and the National Native Title Tribunal is required to determine whether the expedited procedure applies. Native title parties who are assisted by representative bodies or service providers are exempt from paying an application fee when lodging an objection.</w:t>
      </w:r>
    </w:p>
    <w:p w14:paraId="3FE608E2" w14:textId="77777777" w:rsidR="005A459B" w:rsidRDefault="005A459B" w:rsidP="005A459B">
      <w:pPr>
        <w:spacing w:after="120"/>
      </w:pPr>
      <w:r>
        <w:t xml:space="preserve">Feedback from stakeholders is that the </w:t>
      </w:r>
      <w:r w:rsidRPr="001D130A">
        <w:t>fee for right to negotiate applications</w:t>
      </w:r>
      <w:r>
        <w:t xml:space="preserve"> and e</w:t>
      </w:r>
      <w:r w:rsidRPr="001D130A">
        <w:t xml:space="preserve">xpedited </w:t>
      </w:r>
      <w:r>
        <w:t>p</w:t>
      </w:r>
      <w:r w:rsidRPr="001D130A">
        <w:t xml:space="preserve">rocedure </w:t>
      </w:r>
      <w:r>
        <w:t>o</w:t>
      </w:r>
      <w:r w:rsidRPr="001D130A">
        <w:t xml:space="preserve">bjections under </w:t>
      </w:r>
      <w:r>
        <w:t>the NT Act</w:t>
      </w:r>
      <w:r w:rsidRPr="001D130A">
        <w:t xml:space="preserve"> is not achieving the intended purpose and is hindering the proper administration of </w:t>
      </w:r>
      <w:r>
        <w:t xml:space="preserve">the future act regime. </w:t>
      </w:r>
    </w:p>
    <w:p w14:paraId="38930F3E" w14:textId="7164C33B" w:rsidR="005A459B" w:rsidRDefault="005A459B" w:rsidP="005A459B">
      <w:pPr>
        <w:spacing w:after="120"/>
      </w:pPr>
      <w:r>
        <w:t xml:space="preserve">The National Native Title Tribunal has raised concerns that the current system is adversely affecting the participation of </w:t>
      </w:r>
      <w:r w:rsidR="001C5343">
        <w:t xml:space="preserve">Registered Native Title </w:t>
      </w:r>
      <w:r w:rsidR="000442D3">
        <w:t>Bodies Corporate</w:t>
      </w:r>
      <w:r w:rsidR="001C5343">
        <w:t xml:space="preserve"> </w:t>
      </w:r>
      <w:r>
        <w:t xml:space="preserve">in the expedited procedure process as many of those bodies choose to represent themselves or seek independent representation. Fee waivers may be available in some, but not all, cases. Further, the current refund provisions extend only to circumstances where the </w:t>
      </w:r>
      <w:r w:rsidR="007F61E2">
        <w:t xml:space="preserve">National Native Title </w:t>
      </w:r>
      <w:r>
        <w:t xml:space="preserve">Tribunal </w:t>
      </w:r>
      <w:proofErr w:type="gramStart"/>
      <w:r>
        <w:t>makes a determination</w:t>
      </w:r>
      <w:proofErr w:type="gramEnd"/>
      <w:r w:rsidR="00DD1DAB">
        <w:t>. The refund provisions</w:t>
      </w:r>
      <w:r>
        <w:t xml:space="preserve"> do not contemplate resolution by agreement, which occurs in the majority of cases.</w:t>
      </w:r>
    </w:p>
    <w:p w14:paraId="68932E7D" w14:textId="2534A291" w:rsidR="005A459B" w:rsidRDefault="005A459B" w:rsidP="00C96DAE">
      <w:pPr>
        <w:spacing w:after="120"/>
      </w:pPr>
      <w:r>
        <w:t xml:space="preserve">Overall, the </w:t>
      </w:r>
      <w:r w:rsidR="007F61E2">
        <w:t xml:space="preserve">National Native Title </w:t>
      </w:r>
      <w:r>
        <w:t xml:space="preserve">Tribunal considers the payment of fees for expedited procedure objection applications is leading to inequity in the participation of </w:t>
      </w:r>
      <w:r w:rsidR="00781266">
        <w:t>R</w:t>
      </w:r>
      <w:r>
        <w:t xml:space="preserve">egistered </w:t>
      </w:r>
      <w:r w:rsidR="00781266">
        <w:t>N</w:t>
      </w:r>
      <w:r>
        <w:t xml:space="preserve">ative </w:t>
      </w:r>
      <w:r w:rsidR="00781266">
        <w:t>T</w:t>
      </w:r>
      <w:r>
        <w:t xml:space="preserve">itle </w:t>
      </w:r>
      <w:r w:rsidR="000442D3">
        <w:t>Bodies Corporate</w:t>
      </w:r>
      <w:r>
        <w:t xml:space="preserve"> in the expedited procedure process and is administratively burdensome.</w:t>
      </w:r>
    </w:p>
    <w:p w14:paraId="68DD8B77" w14:textId="77777777" w:rsidR="0019272C" w:rsidRDefault="0019272C" w:rsidP="00C96DAE">
      <w:pPr>
        <w:spacing w:after="120"/>
        <w:rPr>
          <w:b/>
        </w:rPr>
        <w:sectPr w:rsidR="0019272C" w:rsidSect="00CC4C50">
          <w:pgSz w:w="12240" w:h="15840"/>
          <w:pgMar w:top="532" w:right="964" w:bottom="964" w:left="964" w:header="142" w:footer="709" w:gutter="0"/>
          <w:cols w:space="708"/>
          <w:docGrid w:linePitch="360"/>
        </w:sectPr>
      </w:pPr>
    </w:p>
    <w:p w14:paraId="16406B22" w14:textId="2FF5196F" w:rsidR="005E2D5F" w:rsidRDefault="005E2D5F" w:rsidP="00C96DAE">
      <w:pPr>
        <w:spacing w:after="120"/>
        <w:rPr>
          <w:b/>
        </w:rPr>
      </w:pPr>
      <w:r w:rsidRPr="005C759B">
        <w:rPr>
          <w:b/>
        </w:rPr>
        <w:lastRenderedPageBreak/>
        <w:t>P</w:t>
      </w:r>
      <w:r w:rsidR="00B070AD">
        <w:rPr>
          <w:b/>
        </w:rPr>
        <w:t>ossible</w:t>
      </w:r>
      <w:r w:rsidRPr="005C759B">
        <w:rPr>
          <w:b/>
        </w:rPr>
        <w:t xml:space="preserve"> reforms </w:t>
      </w:r>
    </w:p>
    <w:p w14:paraId="79C9CD5E" w14:textId="4BB1A024" w:rsidR="00827643" w:rsidRDefault="00781266" w:rsidP="00C96DAE">
      <w:pPr>
        <w:pStyle w:val="ListParagraph"/>
        <w:numPr>
          <w:ilvl w:val="0"/>
          <w:numId w:val="73"/>
        </w:numPr>
        <w:spacing w:after="120"/>
        <w:contextualSpacing w:val="0"/>
      </w:pPr>
      <w:r>
        <w:t>R</w:t>
      </w:r>
      <w:r w:rsidR="00827643">
        <w:t>emoving fees for expedited procedure objection applications.</w:t>
      </w:r>
    </w:p>
    <w:p w14:paraId="405AA92E" w14:textId="3188C94D" w:rsidR="005E2D5F" w:rsidRDefault="00781266" w:rsidP="00C96DAE">
      <w:pPr>
        <w:pStyle w:val="ListParagraph"/>
        <w:numPr>
          <w:ilvl w:val="0"/>
          <w:numId w:val="73"/>
        </w:numPr>
        <w:spacing w:after="120"/>
        <w:contextualSpacing w:val="0"/>
      </w:pPr>
      <w:r>
        <w:t>E</w:t>
      </w:r>
      <w:r w:rsidR="005E2D5F">
        <w:t>xpanding the grounds for refunding the fee by removing the requirement under reg 9(c) that there be a ‘favourable’ determination under s</w:t>
      </w:r>
      <w:r>
        <w:t xml:space="preserve"> </w:t>
      </w:r>
      <w:r w:rsidR="005E2D5F">
        <w:t xml:space="preserve">162 of the NT </w:t>
      </w:r>
      <w:r w:rsidR="00715985">
        <w:t>Act</w:t>
      </w:r>
      <w:r w:rsidR="00692A5B">
        <w:t>.</w:t>
      </w:r>
    </w:p>
    <w:p w14:paraId="6B4217BB" w14:textId="0650E9C1" w:rsidR="005E2D5F" w:rsidRDefault="00781266" w:rsidP="005C42A0">
      <w:pPr>
        <w:pStyle w:val="ListParagraph"/>
        <w:numPr>
          <w:ilvl w:val="0"/>
          <w:numId w:val="73"/>
        </w:numPr>
        <w:spacing w:after="120"/>
        <w:contextualSpacing w:val="0"/>
      </w:pPr>
      <w:r>
        <w:t>E</w:t>
      </w:r>
      <w:r w:rsidR="005E2D5F">
        <w:t xml:space="preserve">xtending the fee waiver to </w:t>
      </w:r>
      <w:r>
        <w:t>R</w:t>
      </w:r>
      <w:r w:rsidR="00845911">
        <w:t xml:space="preserve">egistered </w:t>
      </w:r>
      <w:r>
        <w:t>N</w:t>
      </w:r>
      <w:r w:rsidR="00845911">
        <w:t xml:space="preserve">ative </w:t>
      </w:r>
      <w:r>
        <w:t>T</w:t>
      </w:r>
      <w:r w:rsidR="00845911">
        <w:t xml:space="preserve">itle </w:t>
      </w:r>
      <w:r w:rsidR="000442D3">
        <w:t>Bodies Corporate</w:t>
      </w:r>
      <w:r w:rsidR="00845911">
        <w:t xml:space="preserve"> </w:t>
      </w:r>
      <w:r w:rsidR="005E2D5F">
        <w:t xml:space="preserve">and </w:t>
      </w:r>
      <w:r w:rsidR="00C11BB4">
        <w:t xml:space="preserve">registered native title </w:t>
      </w:r>
      <w:r w:rsidR="005E2D5F">
        <w:t>claimants who are not assisted by a native title representative body</w:t>
      </w:r>
      <w:r w:rsidR="00692A5B">
        <w:t>.</w:t>
      </w:r>
      <w:r w:rsidR="005E2D5F">
        <w:t xml:space="preserve"> </w:t>
      </w:r>
    </w:p>
    <w:p w14:paraId="5BCC54E0" w14:textId="7AF2E6E0" w:rsidR="007E0FD2" w:rsidRPr="006F4054" w:rsidRDefault="007E0FD2" w:rsidP="00C96DAE">
      <w:pPr>
        <w:pStyle w:val="Heading4"/>
        <w:spacing w:after="120" w:line="276" w:lineRule="auto"/>
        <w:rPr>
          <w:b w:val="0"/>
          <w:i/>
          <w:color w:val="auto"/>
          <w:sz w:val="22"/>
          <w:szCs w:val="22"/>
        </w:rPr>
      </w:pPr>
      <w:r w:rsidRPr="006F4054">
        <w:rPr>
          <w:b w:val="0"/>
          <w:i/>
          <w:color w:val="auto"/>
          <w:sz w:val="22"/>
          <w:szCs w:val="22"/>
        </w:rPr>
        <w:t>Intended effect</w:t>
      </w:r>
    </w:p>
    <w:p w14:paraId="1E1E8975" w14:textId="2D9C3B39" w:rsidR="005A459B" w:rsidRPr="006F4054" w:rsidRDefault="005A459B" w:rsidP="00C96DAE">
      <w:pPr>
        <w:pStyle w:val="Heading4"/>
        <w:spacing w:after="120" w:line="276" w:lineRule="auto"/>
        <w:rPr>
          <w:b w:val="0"/>
          <w:color w:val="auto"/>
          <w:sz w:val="22"/>
          <w:szCs w:val="22"/>
        </w:rPr>
      </w:pPr>
      <w:r>
        <w:rPr>
          <w:b w:val="0"/>
          <w:color w:val="auto"/>
          <w:sz w:val="22"/>
          <w:szCs w:val="22"/>
        </w:rPr>
        <w:t xml:space="preserve">The intended practical effect is to improve the fairness of the fee structure, including so that </w:t>
      </w:r>
      <w:r w:rsidR="00781266">
        <w:rPr>
          <w:b w:val="0"/>
          <w:color w:val="auto"/>
          <w:sz w:val="22"/>
          <w:szCs w:val="22"/>
        </w:rPr>
        <w:t>R</w:t>
      </w:r>
      <w:r>
        <w:rPr>
          <w:b w:val="0"/>
          <w:color w:val="auto"/>
          <w:sz w:val="22"/>
          <w:szCs w:val="22"/>
        </w:rPr>
        <w:t xml:space="preserve">egistered </w:t>
      </w:r>
      <w:r w:rsidR="00781266">
        <w:rPr>
          <w:b w:val="0"/>
          <w:color w:val="auto"/>
          <w:sz w:val="22"/>
          <w:szCs w:val="22"/>
        </w:rPr>
        <w:t>N</w:t>
      </w:r>
      <w:r>
        <w:rPr>
          <w:b w:val="0"/>
          <w:color w:val="auto"/>
          <w:sz w:val="22"/>
          <w:szCs w:val="22"/>
        </w:rPr>
        <w:t xml:space="preserve">ative </w:t>
      </w:r>
      <w:r w:rsidR="00781266">
        <w:rPr>
          <w:b w:val="0"/>
          <w:color w:val="auto"/>
          <w:sz w:val="22"/>
          <w:szCs w:val="22"/>
        </w:rPr>
        <w:t>T</w:t>
      </w:r>
      <w:r>
        <w:rPr>
          <w:b w:val="0"/>
          <w:color w:val="auto"/>
          <w:sz w:val="22"/>
          <w:szCs w:val="22"/>
        </w:rPr>
        <w:t xml:space="preserve">itle </w:t>
      </w:r>
      <w:r w:rsidR="000442D3">
        <w:rPr>
          <w:b w:val="0"/>
          <w:color w:val="auto"/>
          <w:sz w:val="22"/>
          <w:szCs w:val="22"/>
        </w:rPr>
        <w:t>Bodies Corporate</w:t>
      </w:r>
      <w:r>
        <w:rPr>
          <w:b w:val="0"/>
          <w:color w:val="auto"/>
          <w:sz w:val="22"/>
          <w:szCs w:val="22"/>
        </w:rPr>
        <w:t xml:space="preserve"> who represent themselves or seek representation independent of representative bodies or service providers can file an expedited procedure objection without paying a fee in all cases.</w:t>
      </w:r>
    </w:p>
    <w:p w14:paraId="61954D5A" w14:textId="00B796BD" w:rsidR="005E2D5F" w:rsidRPr="00E326ED" w:rsidRDefault="005E2D5F" w:rsidP="00C96DAE">
      <w:pPr>
        <w:pStyle w:val="Heading4"/>
        <w:spacing w:after="120" w:line="276" w:lineRule="auto"/>
        <w:rPr>
          <w:color w:val="auto"/>
        </w:rPr>
      </w:pPr>
      <w:r w:rsidRPr="00E326ED">
        <w:rPr>
          <w:color w:val="auto"/>
          <w:sz w:val="22"/>
          <w:szCs w:val="22"/>
        </w:rPr>
        <w:t>Question</w:t>
      </w:r>
    </w:p>
    <w:p w14:paraId="698729A5" w14:textId="2F5D8C3C" w:rsidR="00FD4BC6" w:rsidRPr="00190300" w:rsidRDefault="005E2D5F" w:rsidP="007B3C23">
      <w:pPr>
        <w:pStyle w:val="ListParagraph"/>
        <w:widowControl w:val="0"/>
        <w:numPr>
          <w:ilvl w:val="0"/>
          <w:numId w:val="106"/>
        </w:numPr>
        <w:spacing w:after="120"/>
        <w:contextualSpacing w:val="0"/>
      </w:pPr>
      <w:bookmarkStart w:id="27" w:name="_Hlk119668910"/>
      <w:bookmarkStart w:id="28" w:name="_Hlk122522240"/>
      <w:r>
        <w:t>Should the fee structure be revised</w:t>
      </w:r>
      <w:r w:rsidR="00B070AD">
        <w:t xml:space="preserve"> consistent with the approach outlined</w:t>
      </w:r>
      <w:r w:rsidR="00715985">
        <w:t xml:space="preserve"> </w:t>
      </w:r>
      <w:r w:rsidR="00781266">
        <w:t>above</w:t>
      </w:r>
      <w:r>
        <w:t>?</w:t>
      </w:r>
      <w:r w:rsidR="001471DC">
        <w:t xml:space="preserve"> Are there other ways in which the approach to fees could be modified</w:t>
      </w:r>
      <w:r w:rsidR="00A446DF">
        <w:t>?</w:t>
      </w:r>
      <w:bookmarkStart w:id="29" w:name="_Hlk119669039"/>
      <w:bookmarkEnd w:id="27"/>
    </w:p>
    <w:p w14:paraId="14928939" w14:textId="77777777" w:rsidR="0019272C" w:rsidRDefault="0019272C" w:rsidP="00960198">
      <w:bookmarkStart w:id="30" w:name="_Hlk121320480"/>
      <w:bookmarkEnd w:id="28"/>
    </w:p>
    <w:p w14:paraId="474C96CD" w14:textId="77777777" w:rsidR="0019272C" w:rsidRDefault="0019272C" w:rsidP="00C96DAE">
      <w:pPr>
        <w:pStyle w:val="Heading3"/>
        <w:spacing w:after="120" w:line="276" w:lineRule="auto"/>
        <w:rPr>
          <w:i/>
        </w:rPr>
        <w:sectPr w:rsidR="0019272C" w:rsidSect="00CC4C50">
          <w:pgSz w:w="12240" w:h="15840"/>
          <w:pgMar w:top="532" w:right="964" w:bottom="964" w:left="964" w:header="142" w:footer="709" w:gutter="0"/>
          <w:cols w:space="708"/>
          <w:docGrid w:linePitch="360"/>
        </w:sectPr>
      </w:pPr>
    </w:p>
    <w:p w14:paraId="5CA989EB" w14:textId="2FD2DBF2" w:rsidR="000D02AD" w:rsidRPr="001560F1" w:rsidRDefault="000D02AD" w:rsidP="00C96DAE">
      <w:pPr>
        <w:pStyle w:val="Heading3"/>
        <w:spacing w:after="120" w:line="276" w:lineRule="auto"/>
        <w:rPr>
          <w:i/>
        </w:rPr>
      </w:pPr>
      <w:r w:rsidRPr="001560F1">
        <w:rPr>
          <w:i/>
        </w:rPr>
        <w:lastRenderedPageBreak/>
        <w:t>Native Title (Indigenous Land Use Agreements) Regulations 1999</w:t>
      </w:r>
    </w:p>
    <w:bookmarkEnd w:id="29"/>
    <w:bookmarkEnd w:id="30"/>
    <w:p w14:paraId="6F1CD2E9" w14:textId="35368DA6" w:rsidR="000D02AD" w:rsidRPr="006B2F0B" w:rsidRDefault="000D02AD" w:rsidP="00C96DAE">
      <w:pPr>
        <w:spacing w:after="120"/>
        <w:rPr>
          <w:lang w:eastAsia="en-AU"/>
        </w:rPr>
      </w:pPr>
      <w:r>
        <w:rPr>
          <w:lang w:eastAsia="en-AU"/>
        </w:rPr>
        <w:t xml:space="preserve">Indigenous Land Use Agreements (ILUAs) are described in </w:t>
      </w:r>
      <w:r w:rsidR="001471DC">
        <w:rPr>
          <w:lang w:eastAsia="en-AU"/>
        </w:rPr>
        <w:t xml:space="preserve">Part 2, </w:t>
      </w:r>
      <w:r>
        <w:rPr>
          <w:lang w:eastAsia="en-AU"/>
        </w:rPr>
        <w:t xml:space="preserve">Division 3 </w:t>
      </w:r>
      <w:r w:rsidRPr="006B2F0B">
        <w:rPr>
          <w:lang w:eastAsia="en-AU"/>
        </w:rPr>
        <w:t>of the</w:t>
      </w:r>
      <w:r w:rsidR="00822100">
        <w:rPr>
          <w:lang w:eastAsia="en-AU"/>
        </w:rPr>
        <w:t xml:space="preserve"> NT Act</w:t>
      </w:r>
      <w:r>
        <w:rPr>
          <w:i/>
          <w:lang w:eastAsia="en-AU"/>
        </w:rPr>
        <w:t>.</w:t>
      </w:r>
      <w:r w:rsidRPr="006B2F0B">
        <w:t xml:space="preserve"> </w:t>
      </w:r>
      <w:r>
        <w:t>T</w:t>
      </w:r>
      <w:r w:rsidRPr="0053150C">
        <w:t xml:space="preserve">he </w:t>
      </w:r>
      <w:r w:rsidRPr="00822100">
        <w:rPr>
          <w:i/>
        </w:rPr>
        <w:t>Native Title (Indigenous Land Use Agreements) Regulations 1999</w:t>
      </w:r>
      <w:r w:rsidRPr="0053150C">
        <w:t xml:space="preserve"> (‘ILUA Regulations’)</w:t>
      </w:r>
      <w:r w:rsidR="008E7DBF">
        <w:t xml:space="preserve"> </w:t>
      </w:r>
      <w:r>
        <w:t>s</w:t>
      </w:r>
      <w:r w:rsidRPr="006B2F0B">
        <w:rPr>
          <w:lang w:eastAsia="en-AU"/>
        </w:rPr>
        <w:t>pecif</w:t>
      </w:r>
      <w:r w:rsidR="00DD1DAB">
        <w:rPr>
          <w:lang w:eastAsia="en-AU"/>
        </w:rPr>
        <w:t>y</w:t>
      </w:r>
      <w:r w:rsidRPr="006B2F0B">
        <w:rPr>
          <w:lang w:eastAsia="en-AU"/>
        </w:rPr>
        <w:t xml:space="preserve"> requirements for applications for registration of ILUAs, </w:t>
      </w:r>
      <w:r>
        <w:rPr>
          <w:lang w:eastAsia="en-AU"/>
        </w:rPr>
        <w:t>the reg</w:t>
      </w:r>
      <w:r w:rsidRPr="006B2F0B">
        <w:rPr>
          <w:lang w:eastAsia="en-AU"/>
        </w:rPr>
        <w:t>istration of alternative procedure agreements</w:t>
      </w:r>
      <w:r>
        <w:rPr>
          <w:lang w:eastAsia="en-AU"/>
        </w:rPr>
        <w:t xml:space="preserve">, and </w:t>
      </w:r>
      <w:r w:rsidRPr="006B2F0B">
        <w:rPr>
          <w:lang w:eastAsia="en-AU"/>
        </w:rPr>
        <w:t>the requirements for</w:t>
      </w:r>
      <w:r>
        <w:rPr>
          <w:lang w:eastAsia="en-AU"/>
        </w:rPr>
        <w:t xml:space="preserve"> an a</w:t>
      </w:r>
      <w:r w:rsidRPr="006B2F0B">
        <w:rPr>
          <w:lang w:eastAsia="en-AU"/>
        </w:rPr>
        <w:t>pplication objecting against registration of alternative procedure agreement</w:t>
      </w:r>
      <w:r>
        <w:rPr>
          <w:lang w:eastAsia="en-AU"/>
        </w:rPr>
        <w:t xml:space="preserve"> (Form 1).</w:t>
      </w:r>
    </w:p>
    <w:p w14:paraId="49CE683C" w14:textId="015583CD" w:rsidR="000D02AD" w:rsidRDefault="000D02AD" w:rsidP="00C96DAE">
      <w:pPr>
        <w:pStyle w:val="Heading4"/>
        <w:spacing w:after="120" w:line="276" w:lineRule="auto"/>
        <w:rPr>
          <w:lang w:eastAsia="en-AU"/>
        </w:rPr>
      </w:pPr>
      <w:bookmarkStart w:id="31" w:name="_Toc116313234"/>
      <w:bookmarkStart w:id="32" w:name="_Toc117863140"/>
      <w:bookmarkStart w:id="33" w:name="_Toc118734599"/>
      <w:bookmarkStart w:id="34" w:name="_Hlk121320485"/>
      <w:r>
        <w:rPr>
          <w:lang w:eastAsia="en-AU"/>
        </w:rPr>
        <w:t xml:space="preserve">Provision </w:t>
      </w:r>
      <w:r w:rsidRPr="001560F1">
        <w:t>for</w:t>
      </w:r>
      <w:r>
        <w:rPr>
          <w:lang w:eastAsia="en-AU"/>
        </w:rPr>
        <w:t xml:space="preserve"> the use of an extract of a determination</w:t>
      </w:r>
      <w:bookmarkEnd w:id="31"/>
      <w:bookmarkEnd w:id="32"/>
      <w:bookmarkEnd w:id="33"/>
    </w:p>
    <w:bookmarkEnd w:id="34"/>
    <w:p w14:paraId="5F9B9EDE" w14:textId="2A12821E" w:rsidR="0000465D" w:rsidRPr="00417879" w:rsidRDefault="0000465D" w:rsidP="00C96DAE">
      <w:pPr>
        <w:spacing w:after="120"/>
        <w:rPr>
          <w:b/>
          <w:lang w:eastAsia="en-AU"/>
        </w:rPr>
      </w:pPr>
      <w:r w:rsidRPr="00417879">
        <w:rPr>
          <w:b/>
          <w:lang w:eastAsia="en-AU"/>
        </w:rPr>
        <w:t>Overview</w:t>
      </w:r>
    </w:p>
    <w:p w14:paraId="7A2F45E2" w14:textId="59654BE0" w:rsidR="0000465D" w:rsidRDefault="000D02AD" w:rsidP="00C96DAE">
      <w:pPr>
        <w:spacing w:after="120"/>
      </w:pPr>
      <w:r>
        <w:rPr>
          <w:lang w:eastAsia="en-AU"/>
        </w:rPr>
        <w:t xml:space="preserve">Currently, </w:t>
      </w:r>
      <w:r w:rsidR="00422F6B" w:rsidRPr="00855B18">
        <w:rPr>
          <w:lang w:eastAsia="en-AU"/>
        </w:rPr>
        <w:t>regulations 6(2)</w:t>
      </w:r>
      <w:r w:rsidR="00422F6B">
        <w:rPr>
          <w:lang w:eastAsia="en-AU"/>
        </w:rPr>
        <w:t>(</w:t>
      </w:r>
      <w:r w:rsidR="00422F6B" w:rsidRPr="00855B18">
        <w:rPr>
          <w:lang w:eastAsia="en-AU"/>
        </w:rPr>
        <w:t>a</w:t>
      </w:r>
      <w:r w:rsidR="00422F6B">
        <w:rPr>
          <w:lang w:eastAsia="en-AU"/>
        </w:rPr>
        <w:t>)</w:t>
      </w:r>
      <w:r w:rsidR="00422F6B" w:rsidRPr="00855B18">
        <w:rPr>
          <w:lang w:eastAsia="en-AU"/>
        </w:rPr>
        <w:t>, 7(2)</w:t>
      </w:r>
      <w:r w:rsidR="00422F6B">
        <w:rPr>
          <w:lang w:eastAsia="en-AU"/>
        </w:rPr>
        <w:t>(a)</w:t>
      </w:r>
      <w:r w:rsidR="00422F6B" w:rsidRPr="00855B18">
        <w:rPr>
          <w:lang w:eastAsia="en-AU"/>
        </w:rPr>
        <w:t xml:space="preserve"> and 8(2)</w:t>
      </w:r>
      <w:r w:rsidR="00422F6B">
        <w:rPr>
          <w:lang w:eastAsia="en-AU"/>
        </w:rPr>
        <w:t>(</w:t>
      </w:r>
      <w:r w:rsidR="00422F6B" w:rsidRPr="00855B18">
        <w:rPr>
          <w:lang w:eastAsia="en-AU"/>
        </w:rPr>
        <w:t>a</w:t>
      </w:r>
      <w:r w:rsidR="00422F6B">
        <w:rPr>
          <w:lang w:eastAsia="en-AU"/>
        </w:rPr>
        <w:t>)</w:t>
      </w:r>
      <w:r w:rsidR="00422F6B" w:rsidRPr="0084569B">
        <w:t xml:space="preserve"> </w:t>
      </w:r>
      <w:r w:rsidR="00422F6B">
        <w:t xml:space="preserve">of </w:t>
      </w:r>
      <w:r w:rsidR="00422F6B" w:rsidRPr="0084569B">
        <w:t>the</w:t>
      </w:r>
      <w:r w:rsidR="00422F6B">
        <w:rPr>
          <w:i/>
        </w:rPr>
        <w:t xml:space="preserve"> </w:t>
      </w:r>
      <w:r w:rsidR="00422F6B">
        <w:t>ILUA Regulations</w:t>
      </w:r>
      <w:r w:rsidR="00422F6B">
        <w:rPr>
          <w:lang w:eastAsia="en-AU"/>
        </w:rPr>
        <w:t xml:space="preserve"> require </w:t>
      </w:r>
      <w:r>
        <w:rPr>
          <w:lang w:eastAsia="en-AU"/>
        </w:rPr>
        <w:t xml:space="preserve">a full copy of a </w:t>
      </w:r>
      <w:r>
        <w:t xml:space="preserve">native title determination </w:t>
      </w:r>
      <w:r w:rsidR="00422F6B">
        <w:t xml:space="preserve">for each party that is a </w:t>
      </w:r>
      <w:r w:rsidR="006E0A79">
        <w:t>Registered Native Title Body Corporate</w:t>
      </w:r>
      <w:r w:rsidR="00422F6B">
        <w:t xml:space="preserve"> to accompany applications for</w:t>
      </w:r>
      <w:r w:rsidR="00CC180E">
        <w:t xml:space="preserve"> registration of</w:t>
      </w:r>
      <w:r w:rsidR="00422F6B">
        <w:t xml:space="preserve"> body corporate agreements, area agreements and alternative procedure agreements</w:t>
      </w:r>
      <w:bookmarkStart w:id="35" w:name="_Hlk118731329"/>
      <w:r>
        <w:t>.</w:t>
      </w:r>
      <w:r w:rsidR="0000465D">
        <w:t xml:space="preserve"> </w:t>
      </w:r>
      <w:r>
        <w:t xml:space="preserve">Feedback suggests that some parties have difficulty </w:t>
      </w:r>
      <w:r w:rsidR="00422F6B">
        <w:t xml:space="preserve">providing </w:t>
      </w:r>
      <w:r>
        <w:t xml:space="preserve">a </w:t>
      </w:r>
      <w:r w:rsidR="00422F6B">
        <w:t xml:space="preserve">full </w:t>
      </w:r>
      <w:r>
        <w:t>copy of the determination</w:t>
      </w:r>
      <w:r w:rsidR="00422F6B">
        <w:t>, for example as a result of size limitations with email attachments</w:t>
      </w:r>
      <w:r w:rsidR="0000465D">
        <w:t>.</w:t>
      </w:r>
    </w:p>
    <w:p w14:paraId="00774271" w14:textId="77777777" w:rsidR="0000465D" w:rsidRPr="00355CB2" w:rsidRDefault="0000465D" w:rsidP="00C96DAE">
      <w:pPr>
        <w:spacing w:after="120"/>
        <w:rPr>
          <w:b/>
        </w:rPr>
      </w:pPr>
      <w:r w:rsidRPr="00355CB2">
        <w:rPr>
          <w:b/>
        </w:rPr>
        <w:t>Possible reform</w:t>
      </w:r>
    </w:p>
    <w:p w14:paraId="1435CB6F" w14:textId="1CF69C9D" w:rsidR="007E0FD2" w:rsidRDefault="0000465D" w:rsidP="00C96DAE">
      <w:pPr>
        <w:spacing w:after="120"/>
      </w:pPr>
      <w:r>
        <w:t xml:space="preserve">Revise </w:t>
      </w:r>
      <w:r w:rsidR="000D02AD">
        <w:t xml:space="preserve">each </w:t>
      </w:r>
      <w:proofErr w:type="spellStart"/>
      <w:r w:rsidR="000D02AD">
        <w:t>subregulation</w:t>
      </w:r>
      <w:proofErr w:type="spellEnd"/>
      <w:r w:rsidR="000D02AD">
        <w:t xml:space="preserve"> </w:t>
      </w:r>
      <w:r>
        <w:t xml:space="preserve">to </w:t>
      </w:r>
      <w:r w:rsidR="000D02AD">
        <w:t>allow the submission of a copy of an extract from the National Native Title Register.</w:t>
      </w:r>
      <w:r w:rsidR="004E0023">
        <w:t xml:space="preserve"> </w:t>
      </w:r>
    </w:p>
    <w:p w14:paraId="5A41E5FF" w14:textId="3895F695" w:rsidR="007E0FD2" w:rsidRPr="006F4054" w:rsidRDefault="007E0FD2" w:rsidP="00C96DAE">
      <w:pPr>
        <w:spacing w:after="120"/>
        <w:rPr>
          <w:i/>
        </w:rPr>
      </w:pPr>
      <w:r>
        <w:rPr>
          <w:i/>
        </w:rPr>
        <w:t>Intended effect</w:t>
      </w:r>
    </w:p>
    <w:p w14:paraId="1BB6BA55" w14:textId="1F927992" w:rsidR="000D02AD" w:rsidRDefault="007E0FD2" w:rsidP="00C96DAE">
      <w:pPr>
        <w:spacing w:after="120"/>
      </w:pPr>
      <w:r>
        <w:t>To</w:t>
      </w:r>
      <w:r w:rsidR="00BC28F8">
        <w:t xml:space="preserve"> </w:t>
      </w:r>
      <w:r>
        <w:t>reduce the administrative burden o</w:t>
      </w:r>
      <w:r w:rsidR="00D753ED">
        <w:t>n</w:t>
      </w:r>
      <w:r>
        <w:t xml:space="preserve"> </w:t>
      </w:r>
      <w:r w:rsidR="00DD1DAB">
        <w:t>parties seeking to register body corporate agreements, area agreements and alternative procedure agreements</w:t>
      </w:r>
      <w:r w:rsidR="001C3005">
        <w:t>, as</w:t>
      </w:r>
      <w:r w:rsidR="00DD1DAB">
        <w:t xml:space="preserve"> </w:t>
      </w:r>
      <w:r w:rsidR="001C3005">
        <w:t>a</w:t>
      </w:r>
      <w:r w:rsidR="00DD1DAB">
        <w:t xml:space="preserve"> full copy of the determination is not necessary. </w:t>
      </w:r>
    </w:p>
    <w:p w14:paraId="75FB4805" w14:textId="7A919679" w:rsidR="005E5B22" w:rsidRDefault="005E5B22" w:rsidP="00C96DAE">
      <w:pPr>
        <w:spacing w:after="120"/>
        <w:rPr>
          <w:b/>
        </w:rPr>
      </w:pPr>
      <w:r w:rsidRPr="00580C0E">
        <w:rPr>
          <w:b/>
        </w:rPr>
        <w:t>Question</w:t>
      </w:r>
    </w:p>
    <w:p w14:paraId="3E468F00" w14:textId="5F27BF44" w:rsidR="005E5B22" w:rsidRPr="005E5B22" w:rsidRDefault="005E5B22" w:rsidP="007B3C23">
      <w:pPr>
        <w:pStyle w:val="ListParagraph"/>
        <w:numPr>
          <w:ilvl w:val="0"/>
          <w:numId w:val="106"/>
        </w:numPr>
        <w:spacing w:after="120"/>
        <w:contextualSpacing w:val="0"/>
      </w:pPr>
      <w:bookmarkStart w:id="36" w:name="_Hlk121831172"/>
      <w:r>
        <w:t xml:space="preserve">Should the ILUA Regulations be amended so that instead of requiring a full copy of a native title determination for applications made under </w:t>
      </w:r>
      <w:r w:rsidRPr="00855B18">
        <w:rPr>
          <w:lang w:eastAsia="en-AU"/>
        </w:rPr>
        <w:t>regulations 6(2)</w:t>
      </w:r>
      <w:r>
        <w:rPr>
          <w:lang w:eastAsia="en-AU"/>
        </w:rPr>
        <w:t>(</w:t>
      </w:r>
      <w:r w:rsidRPr="00855B18">
        <w:rPr>
          <w:lang w:eastAsia="en-AU"/>
        </w:rPr>
        <w:t>a</w:t>
      </w:r>
      <w:r>
        <w:rPr>
          <w:lang w:eastAsia="en-AU"/>
        </w:rPr>
        <w:t>)</w:t>
      </w:r>
      <w:r w:rsidRPr="00855B18">
        <w:rPr>
          <w:lang w:eastAsia="en-AU"/>
        </w:rPr>
        <w:t>, 7(2)</w:t>
      </w:r>
      <w:r w:rsidR="00422F6B">
        <w:rPr>
          <w:lang w:eastAsia="en-AU"/>
        </w:rPr>
        <w:t>(a)</w:t>
      </w:r>
      <w:r w:rsidRPr="00855B18">
        <w:rPr>
          <w:lang w:eastAsia="en-AU"/>
        </w:rPr>
        <w:t xml:space="preserve"> and 8(2)</w:t>
      </w:r>
      <w:r>
        <w:rPr>
          <w:lang w:eastAsia="en-AU"/>
        </w:rPr>
        <w:t>(</w:t>
      </w:r>
      <w:r w:rsidRPr="00855B18">
        <w:rPr>
          <w:lang w:eastAsia="en-AU"/>
        </w:rPr>
        <w:t>a</w:t>
      </w:r>
      <w:r>
        <w:rPr>
          <w:lang w:eastAsia="en-AU"/>
        </w:rPr>
        <w:t>)</w:t>
      </w:r>
      <w:r w:rsidRPr="0084569B">
        <w:t xml:space="preserve"> </w:t>
      </w:r>
      <w:r>
        <w:t xml:space="preserve">of </w:t>
      </w:r>
      <w:r w:rsidRPr="0084569B">
        <w:t>the</w:t>
      </w:r>
      <w:r>
        <w:rPr>
          <w:i/>
        </w:rPr>
        <w:t xml:space="preserve"> </w:t>
      </w:r>
      <w:r>
        <w:t xml:space="preserve">ILUA Regulations, a copy of an extract from the National </w:t>
      </w:r>
      <w:r w:rsidR="00321F8F">
        <w:t>N</w:t>
      </w:r>
      <w:r>
        <w:t>ative Title Register is acceptable?</w:t>
      </w:r>
    </w:p>
    <w:p w14:paraId="4C170D85" w14:textId="3B4F752D" w:rsidR="000D02AD" w:rsidRPr="001560F1" w:rsidRDefault="000D02AD" w:rsidP="00C96DAE">
      <w:pPr>
        <w:pStyle w:val="Heading4"/>
        <w:spacing w:after="120" w:line="276" w:lineRule="auto"/>
        <w:rPr>
          <w:rStyle w:val="Heading3Char"/>
          <w:color w:val="595959" w:themeColor="text1" w:themeTint="A6"/>
          <w:sz w:val="26"/>
          <w:szCs w:val="26"/>
        </w:rPr>
      </w:pPr>
      <w:bookmarkStart w:id="37" w:name="_Toc116313235"/>
      <w:bookmarkStart w:id="38" w:name="_Toc117863141"/>
      <w:bookmarkStart w:id="39" w:name="_Toc118734600"/>
      <w:bookmarkStart w:id="40" w:name="_Hlk121320496"/>
      <w:bookmarkEnd w:id="35"/>
      <w:bookmarkEnd w:id="36"/>
      <w:r w:rsidRPr="001560F1">
        <w:rPr>
          <w:rStyle w:val="Heading3Char"/>
          <w:b/>
          <w:bCs/>
          <w:color w:val="595959" w:themeColor="text1" w:themeTint="A6"/>
          <w:sz w:val="26"/>
          <w:szCs w:val="26"/>
        </w:rPr>
        <w:t xml:space="preserve">Replacement of a Regulation 9 Certificate with a </w:t>
      </w:r>
      <w:r w:rsidR="001C5343">
        <w:rPr>
          <w:rStyle w:val="Heading3Char"/>
          <w:b/>
          <w:bCs/>
          <w:color w:val="595959" w:themeColor="text1" w:themeTint="A6"/>
          <w:sz w:val="26"/>
          <w:szCs w:val="26"/>
        </w:rPr>
        <w:t>Registered Native Title Body Corporate</w:t>
      </w:r>
      <w:r w:rsidRPr="001560F1">
        <w:rPr>
          <w:rStyle w:val="Heading3Char"/>
          <w:b/>
          <w:bCs/>
          <w:color w:val="595959" w:themeColor="text1" w:themeTint="A6"/>
          <w:sz w:val="26"/>
          <w:szCs w:val="26"/>
        </w:rPr>
        <w:t xml:space="preserve"> statement</w:t>
      </w:r>
      <w:bookmarkEnd w:id="37"/>
      <w:bookmarkEnd w:id="38"/>
      <w:bookmarkEnd w:id="39"/>
      <w:r w:rsidRPr="001560F1">
        <w:rPr>
          <w:rStyle w:val="Heading3Char"/>
          <w:b/>
          <w:bCs/>
          <w:color w:val="595959" w:themeColor="text1" w:themeTint="A6"/>
          <w:sz w:val="26"/>
          <w:szCs w:val="26"/>
        </w:rPr>
        <w:t xml:space="preserve"> </w:t>
      </w:r>
    </w:p>
    <w:bookmarkEnd w:id="40"/>
    <w:p w14:paraId="58754911" w14:textId="77777777" w:rsidR="0000465D" w:rsidRPr="00417879" w:rsidRDefault="0000465D" w:rsidP="00C96DAE">
      <w:pPr>
        <w:spacing w:after="120"/>
        <w:rPr>
          <w:b/>
        </w:rPr>
      </w:pPr>
      <w:r w:rsidRPr="00417879">
        <w:rPr>
          <w:b/>
        </w:rPr>
        <w:t>Overview</w:t>
      </w:r>
    </w:p>
    <w:p w14:paraId="5B616530" w14:textId="2A1D27F9" w:rsidR="001F1B9B" w:rsidRDefault="0000465D" w:rsidP="00C96DAE">
      <w:pPr>
        <w:spacing w:after="120"/>
      </w:pPr>
      <w:r>
        <w:t xml:space="preserve">Currently, </w:t>
      </w:r>
      <w:r w:rsidR="001F1B9B" w:rsidRPr="00855B18">
        <w:rPr>
          <w:lang w:eastAsia="en-AU"/>
        </w:rPr>
        <w:t>regulations 6(2)</w:t>
      </w:r>
      <w:r w:rsidR="001F1B9B">
        <w:rPr>
          <w:lang w:eastAsia="en-AU"/>
        </w:rPr>
        <w:t>(e)</w:t>
      </w:r>
      <w:r w:rsidR="001F1B9B" w:rsidRPr="00855B18">
        <w:rPr>
          <w:lang w:eastAsia="en-AU"/>
        </w:rPr>
        <w:t>, 7(2)</w:t>
      </w:r>
      <w:r w:rsidR="001F1B9B">
        <w:rPr>
          <w:lang w:eastAsia="en-AU"/>
        </w:rPr>
        <w:t>(g)</w:t>
      </w:r>
      <w:r w:rsidR="001F1B9B" w:rsidRPr="00855B18">
        <w:rPr>
          <w:lang w:eastAsia="en-AU"/>
        </w:rPr>
        <w:t xml:space="preserve"> and 8(2)</w:t>
      </w:r>
      <w:r w:rsidR="001F1B9B">
        <w:rPr>
          <w:lang w:eastAsia="en-AU"/>
        </w:rPr>
        <w:t>(e)</w:t>
      </w:r>
      <w:r w:rsidR="001F1B9B" w:rsidRPr="0084569B">
        <w:t xml:space="preserve"> </w:t>
      </w:r>
      <w:r w:rsidR="001F1B9B">
        <w:t xml:space="preserve">of </w:t>
      </w:r>
      <w:r w:rsidR="001F1B9B" w:rsidRPr="0084569B">
        <w:t>the</w:t>
      </w:r>
      <w:r w:rsidR="001F1B9B">
        <w:rPr>
          <w:i/>
        </w:rPr>
        <w:t xml:space="preserve"> </w:t>
      </w:r>
      <w:r w:rsidR="001F1B9B">
        <w:t xml:space="preserve">ILUA Regulations </w:t>
      </w:r>
      <w:r w:rsidR="0081734B">
        <w:t xml:space="preserve">require a </w:t>
      </w:r>
      <w:r w:rsidR="000D02AD">
        <w:t xml:space="preserve">full copy of a </w:t>
      </w:r>
      <w:r w:rsidR="0081734B">
        <w:t xml:space="preserve">certificate (PBC Regulation 9 certificate) certifying that a </w:t>
      </w:r>
      <w:r w:rsidR="006E0A79">
        <w:t>Registered Native Title Body Corporate</w:t>
      </w:r>
      <w:r w:rsidR="0081734B">
        <w:t xml:space="preserve"> consulted with and obtained consent from </w:t>
      </w:r>
      <w:r w:rsidR="00D930F1">
        <w:t xml:space="preserve">the </w:t>
      </w:r>
      <w:r w:rsidR="0081734B">
        <w:t>relevant common law holders in relation</w:t>
      </w:r>
      <w:r w:rsidR="00671C6A">
        <w:t xml:space="preserve"> to</w:t>
      </w:r>
      <w:r w:rsidR="0081734B">
        <w:t xml:space="preserve"> </w:t>
      </w:r>
      <w:r w:rsidR="001F1B9B">
        <w:t xml:space="preserve">an application to register a body corporate agreement (r 9 of the </w:t>
      </w:r>
      <w:r w:rsidR="001F1B9B">
        <w:rPr>
          <w:i/>
        </w:rPr>
        <w:t xml:space="preserve">Native Title (Prescribed Bodies Corporate) Regulations 1999 </w:t>
      </w:r>
      <w:r w:rsidR="001F1B9B">
        <w:t>(</w:t>
      </w:r>
      <w:proofErr w:type="spellStart"/>
      <w:r w:rsidR="001F1B9B">
        <w:t>Cth</w:t>
      </w:r>
      <w:proofErr w:type="spellEnd"/>
      <w:r w:rsidR="001F1B9B">
        <w:t>)).</w:t>
      </w:r>
    </w:p>
    <w:p w14:paraId="26BD9070" w14:textId="0C392304" w:rsidR="0000465D" w:rsidRDefault="000D02AD" w:rsidP="00C96DAE">
      <w:pPr>
        <w:spacing w:after="120"/>
      </w:pPr>
      <w:r>
        <w:t xml:space="preserve">It is not uncommon for applications for registration to not include a PBC Regulation 9 certificate, and this results in significant delays to the ILUA registration process. </w:t>
      </w:r>
    </w:p>
    <w:p w14:paraId="760DC7C4" w14:textId="4DF3B5EE" w:rsidR="0000465D" w:rsidRPr="00417879" w:rsidRDefault="0000465D" w:rsidP="00C96DAE">
      <w:pPr>
        <w:spacing w:after="120"/>
        <w:rPr>
          <w:b/>
        </w:rPr>
      </w:pPr>
      <w:r w:rsidRPr="00417879">
        <w:rPr>
          <w:b/>
        </w:rPr>
        <w:t>Possible reform</w:t>
      </w:r>
    </w:p>
    <w:p w14:paraId="1DD0D0E2" w14:textId="53CA7C0B" w:rsidR="007E0FD2" w:rsidRDefault="0000465D" w:rsidP="00C96DAE">
      <w:pPr>
        <w:spacing w:after="120"/>
      </w:pPr>
      <w:r>
        <w:t>R</w:t>
      </w:r>
      <w:r w:rsidR="000D02AD">
        <w:t>emove th</w:t>
      </w:r>
      <w:r>
        <w:t>e</w:t>
      </w:r>
      <w:r w:rsidR="000D02AD">
        <w:t xml:space="preserve"> requirement </w:t>
      </w:r>
      <w:r>
        <w:t xml:space="preserve">for a full copy of a </w:t>
      </w:r>
      <w:r w:rsidR="00322459">
        <w:t>PBC R</w:t>
      </w:r>
      <w:r w:rsidR="001F1B9B">
        <w:t xml:space="preserve">egulation 9 certificate </w:t>
      </w:r>
      <w:r w:rsidR="000D02AD">
        <w:t xml:space="preserve">and instead allow for a written statement from the relevant </w:t>
      </w:r>
      <w:r w:rsidR="006E0A79">
        <w:t>Registered Native Title Body Corporate</w:t>
      </w:r>
      <w:r w:rsidR="000D02AD">
        <w:t xml:space="preserve"> that the certificate has been prepared.</w:t>
      </w:r>
      <w:r w:rsidR="004E0023">
        <w:t xml:space="preserve"> </w:t>
      </w:r>
    </w:p>
    <w:p w14:paraId="0EE47A34" w14:textId="77777777" w:rsidR="0019272C" w:rsidRDefault="0019272C" w:rsidP="00C96DAE">
      <w:pPr>
        <w:spacing w:after="120"/>
        <w:rPr>
          <w:i/>
        </w:rPr>
        <w:sectPr w:rsidR="0019272C" w:rsidSect="00CC4C50">
          <w:pgSz w:w="12240" w:h="15840"/>
          <w:pgMar w:top="532" w:right="964" w:bottom="964" w:left="964" w:header="142" w:footer="709" w:gutter="0"/>
          <w:cols w:space="708"/>
          <w:docGrid w:linePitch="360"/>
        </w:sectPr>
      </w:pPr>
    </w:p>
    <w:p w14:paraId="27A0F63B" w14:textId="709B3F9E" w:rsidR="007E0FD2" w:rsidRPr="006F4054" w:rsidRDefault="007E0FD2" w:rsidP="00C96DAE">
      <w:pPr>
        <w:spacing w:after="120"/>
        <w:rPr>
          <w:i/>
        </w:rPr>
      </w:pPr>
      <w:r w:rsidRPr="006F4054">
        <w:rPr>
          <w:i/>
        </w:rPr>
        <w:lastRenderedPageBreak/>
        <w:t>Intended effect</w:t>
      </w:r>
    </w:p>
    <w:p w14:paraId="2B6E7B76" w14:textId="501E09BB" w:rsidR="000D02AD" w:rsidRDefault="007E0FD2" w:rsidP="00C96DAE">
      <w:pPr>
        <w:spacing w:after="120"/>
      </w:pPr>
      <w:r>
        <w:t>To</w:t>
      </w:r>
      <w:r w:rsidR="004E0023">
        <w:t xml:space="preserve"> improve the efficiency of the application process for registration of a body corporate agreement.</w:t>
      </w:r>
    </w:p>
    <w:p w14:paraId="21890B36" w14:textId="2200DC0D" w:rsidR="005E5B22" w:rsidRDefault="005E5B22" w:rsidP="00580C0E">
      <w:pPr>
        <w:keepNext/>
        <w:spacing w:after="120"/>
        <w:rPr>
          <w:b/>
        </w:rPr>
      </w:pPr>
      <w:r w:rsidRPr="00580C0E">
        <w:rPr>
          <w:b/>
        </w:rPr>
        <w:t>Question</w:t>
      </w:r>
    </w:p>
    <w:p w14:paraId="1606AC93" w14:textId="3554EED8" w:rsidR="005E5B22" w:rsidRPr="005E5B22" w:rsidRDefault="005E5B22" w:rsidP="007B3C23">
      <w:pPr>
        <w:pStyle w:val="ListParagraph"/>
        <w:keepNext/>
        <w:numPr>
          <w:ilvl w:val="0"/>
          <w:numId w:val="106"/>
        </w:numPr>
        <w:spacing w:after="120"/>
        <w:contextualSpacing w:val="0"/>
      </w:pPr>
      <w:bookmarkStart w:id="41" w:name="_Hlk121831180"/>
      <w:r>
        <w:t xml:space="preserve">Should the ILUA Regulations be amended so that </w:t>
      </w:r>
      <w:r w:rsidR="008A6373">
        <w:t xml:space="preserve">the requirement to provide </w:t>
      </w:r>
      <w:r>
        <w:t xml:space="preserve">a full copy of a </w:t>
      </w:r>
      <w:r w:rsidR="00322459">
        <w:t>PBC R</w:t>
      </w:r>
      <w:r>
        <w:t>egulation 9 certificate</w:t>
      </w:r>
      <w:r w:rsidR="008A6373">
        <w:t xml:space="preserve"> is removed, and a written statement from the relevant </w:t>
      </w:r>
      <w:r w:rsidR="006E0A79">
        <w:t>Registered Native Title Body Corporate</w:t>
      </w:r>
      <w:r w:rsidR="008A6373">
        <w:t>, confirming that the certificate has been prepared, is instead required?</w:t>
      </w:r>
      <w:r>
        <w:t xml:space="preserve"> </w:t>
      </w:r>
    </w:p>
    <w:p w14:paraId="48833708" w14:textId="55C4CCB0" w:rsidR="000D02AD" w:rsidRDefault="000D02AD" w:rsidP="00C96DAE">
      <w:pPr>
        <w:pStyle w:val="Heading4"/>
        <w:spacing w:after="120" w:line="276" w:lineRule="auto"/>
      </w:pPr>
      <w:bookmarkStart w:id="42" w:name="_Toc116313236"/>
      <w:bookmarkStart w:id="43" w:name="_Toc117863142"/>
      <w:bookmarkStart w:id="44" w:name="_Toc118734601"/>
      <w:bookmarkStart w:id="45" w:name="_Hlk121320541"/>
      <w:bookmarkEnd w:id="41"/>
      <w:r>
        <w:t>Remove requirement for ILUA area geographic coordinates</w:t>
      </w:r>
      <w:bookmarkEnd w:id="42"/>
      <w:bookmarkEnd w:id="43"/>
      <w:bookmarkEnd w:id="44"/>
    </w:p>
    <w:p w14:paraId="76B79CDD" w14:textId="77777777" w:rsidR="0000465D" w:rsidRPr="00355CB2" w:rsidRDefault="0000465D" w:rsidP="00C96DAE">
      <w:pPr>
        <w:spacing w:after="120"/>
        <w:rPr>
          <w:b/>
        </w:rPr>
      </w:pPr>
      <w:bookmarkStart w:id="46" w:name="_Hlk118731591"/>
      <w:bookmarkEnd w:id="45"/>
      <w:r w:rsidRPr="00355CB2">
        <w:rPr>
          <w:b/>
        </w:rPr>
        <w:t>Overview</w:t>
      </w:r>
    </w:p>
    <w:p w14:paraId="14E917E1" w14:textId="533242C4" w:rsidR="0000465D" w:rsidRDefault="000D02AD" w:rsidP="00C96DAE">
      <w:pPr>
        <w:spacing w:after="120"/>
      </w:pPr>
      <w:r>
        <w:t>Regulation 5 of the ILUA Regulations defines ‘complete description’ in relation to an area to include ‘a map of the area that shows geographic coordinates’. However, key stakeholders identify there is no requirement for s</w:t>
      </w:r>
      <w:r w:rsidR="007E0FD2">
        <w:t> </w:t>
      </w:r>
      <w:r>
        <w:t xml:space="preserve">61 applications to have a map including coordinates under s 62(2)(b) of </w:t>
      </w:r>
      <w:r w:rsidR="00F47929">
        <w:t>the NT Act</w:t>
      </w:r>
      <w:r>
        <w:t>, and an absence of geographic coordinates in</w:t>
      </w:r>
      <w:r w:rsidR="00422F6B" w:rsidRPr="00422F6B">
        <w:t xml:space="preserve"> </w:t>
      </w:r>
      <w:r w:rsidR="00422F6B">
        <w:t xml:space="preserve">those applications has not created any compliance issues. </w:t>
      </w:r>
      <w:r w:rsidR="00DD1DAB">
        <w:t>It is suggested that a</w:t>
      </w:r>
      <w:r w:rsidR="00422F6B">
        <w:t xml:space="preserve"> similar approach for ILUAs w</w:t>
      </w:r>
      <w:r w:rsidR="00DD1DAB">
        <w:t>ould</w:t>
      </w:r>
      <w:r w:rsidR="00422F6B">
        <w:t xml:space="preserve"> achieve comparable results.</w:t>
      </w:r>
      <w:r>
        <w:t xml:space="preserve"> </w:t>
      </w:r>
    </w:p>
    <w:p w14:paraId="71D66440" w14:textId="77777777" w:rsidR="0000465D" w:rsidRPr="00355CB2" w:rsidRDefault="0000465D" w:rsidP="00C96DAE">
      <w:pPr>
        <w:spacing w:after="120"/>
        <w:rPr>
          <w:b/>
        </w:rPr>
      </w:pPr>
      <w:r w:rsidRPr="00355CB2">
        <w:rPr>
          <w:b/>
        </w:rPr>
        <w:t>Possible reform</w:t>
      </w:r>
    </w:p>
    <w:p w14:paraId="3D7CAA60" w14:textId="619A55CB" w:rsidR="007E0FD2" w:rsidRDefault="0000465D" w:rsidP="00C96DAE">
      <w:pPr>
        <w:spacing w:after="120"/>
      </w:pPr>
      <w:r>
        <w:t>R</w:t>
      </w:r>
      <w:r w:rsidR="000D02AD">
        <w:t xml:space="preserve">emove </w:t>
      </w:r>
      <w:r>
        <w:t xml:space="preserve">requirement for geographic coordinates </w:t>
      </w:r>
      <w:r w:rsidR="000D02AD">
        <w:t>from the ILUA Regulations.</w:t>
      </w:r>
      <w:r w:rsidR="004E0023">
        <w:t xml:space="preserve"> </w:t>
      </w:r>
    </w:p>
    <w:p w14:paraId="2666B7FF" w14:textId="55C11B94" w:rsidR="007E0FD2" w:rsidRPr="006F4054" w:rsidRDefault="007E0FD2" w:rsidP="00C96DAE">
      <w:pPr>
        <w:spacing w:after="120"/>
        <w:rPr>
          <w:i/>
        </w:rPr>
      </w:pPr>
      <w:r>
        <w:rPr>
          <w:i/>
        </w:rPr>
        <w:t>Intended effect</w:t>
      </w:r>
    </w:p>
    <w:p w14:paraId="6CE30D96" w14:textId="72A105C1" w:rsidR="000D02AD" w:rsidRDefault="004E0023" w:rsidP="00C96DAE">
      <w:pPr>
        <w:spacing w:after="120"/>
      </w:pPr>
      <w:r>
        <w:t>This reform would remove what appears to be a redundant requirement.</w:t>
      </w:r>
    </w:p>
    <w:p w14:paraId="54CD40BF" w14:textId="5B2E36E0" w:rsidR="008A6373" w:rsidRDefault="008A6373" w:rsidP="00C96DAE">
      <w:pPr>
        <w:spacing w:after="120"/>
        <w:rPr>
          <w:b/>
        </w:rPr>
      </w:pPr>
      <w:r w:rsidRPr="00580C0E">
        <w:rPr>
          <w:b/>
        </w:rPr>
        <w:t>Question</w:t>
      </w:r>
    </w:p>
    <w:p w14:paraId="1E286192" w14:textId="1AC3AB8F" w:rsidR="008A6373" w:rsidRPr="00632989" w:rsidRDefault="008A6373" w:rsidP="007B3C23">
      <w:pPr>
        <w:pStyle w:val="ListParagraph"/>
        <w:numPr>
          <w:ilvl w:val="0"/>
          <w:numId w:val="106"/>
        </w:numPr>
        <w:spacing w:after="120"/>
        <w:contextualSpacing w:val="0"/>
      </w:pPr>
      <w:bookmarkStart w:id="47" w:name="_Hlk121831188"/>
      <w:r w:rsidRPr="00632989">
        <w:t xml:space="preserve">Would </w:t>
      </w:r>
      <w:r>
        <w:t xml:space="preserve">removing the requirement to provide geographic coordinates improve the ILUA application process?  </w:t>
      </w:r>
    </w:p>
    <w:p w14:paraId="5D8D31F8" w14:textId="66411E0C" w:rsidR="000D02AD" w:rsidRDefault="000D02AD" w:rsidP="006F4054">
      <w:pPr>
        <w:pStyle w:val="Heading4"/>
        <w:keepLines/>
        <w:spacing w:after="120" w:line="276" w:lineRule="auto"/>
      </w:pPr>
      <w:bookmarkStart w:id="48" w:name="_Toc116313237"/>
      <w:bookmarkStart w:id="49" w:name="_Toc117863143"/>
      <w:bookmarkStart w:id="50" w:name="_Toc118734602"/>
      <w:bookmarkStart w:id="51" w:name="_Hlk121320559"/>
      <w:bookmarkEnd w:id="46"/>
      <w:bookmarkEnd w:id="47"/>
      <w:r>
        <w:t>Guidance for Registrars in the ILUA Regulations</w:t>
      </w:r>
      <w:bookmarkEnd w:id="48"/>
      <w:bookmarkEnd w:id="49"/>
      <w:bookmarkEnd w:id="50"/>
    </w:p>
    <w:p w14:paraId="563CF157" w14:textId="77777777" w:rsidR="0000465D" w:rsidRPr="00355CB2" w:rsidRDefault="0000465D" w:rsidP="006F4054">
      <w:pPr>
        <w:keepNext/>
        <w:keepLines/>
        <w:spacing w:after="120"/>
        <w:rPr>
          <w:b/>
        </w:rPr>
      </w:pPr>
      <w:bookmarkStart w:id="52" w:name="_Hlk118731728"/>
      <w:bookmarkEnd w:id="51"/>
      <w:r w:rsidRPr="00355CB2">
        <w:rPr>
          <w:b/>
        </w:rPr>
        <w:t>Overview</w:t>
      </w:r>
    </w:p>
    <w:p w14:paraId="739C5C68" w14:textId="1FC4364E" w:rsidR="0000465D" w:rsidRDefault="0000465D" w:rsidP="006F4054">
      <w:pPr>
        <w:keepNext/>
        <w:keepLines/>
        <w:spacing w:after="120"/>
      </w:pPr>
      <w:r>
        <w:t>Section</w:t>
      </w:r>
      <w:r w:rsidR="000D02AD">
        <w:t xml:space="preserve"> 199</w:t>
      </w:r>
      <w:proofErr w:type="gramStart"/>
      <w:r w:rsidR="000D02AD">
        <w:t>C(</w:t>
      </w:r>
      <w:proofErr w:type="gramEnd"/>
      <w:r w:rsidR="000D02AD">
        <w:t xml:space="preserve">1) of </w:t>
      </w:r>
      <w:r w:rsidR="00F47929">
        <w:t>the NT Act</w:t>
      </w:r>
      <w:r w:rsidR="000D02AD">
        <w:t xml:space="preserve"> imposes a positive duty on the Registrar to remove certain details of an ILUA from the Register of ILUAs unless the Federal Court has made an order to the contrary. </w:t>
      </w:r>
      <w:r w:rsidR="00102188">
        <w:t xml:space="preserve">However, </w:t>
      </w:r>
      <w:r>
        <w:t xml:space="preserve">feedback has indicated that </w:t>
      </w:r>
      <w:r w:rsidR="00102188">
        <w:t>in practice it will rarely be apparent to the Registrar when s 199</w:t>
      </w:r>
      <w:proofErr w:type="gramStart"/>
      <w:r w:rsidR="00102188">
        <w:t>C(</w:t>
      </w:r>
      <w:proofErr w:type="gramEnd"/>
      <w:r w:rsidR="00102188">
        <w:t>1) is applicable and</w:t>
      </w:r>
      <w:r w:rsidR="000D02AD">
        <w:t xml:space="preserve"> the Registrar </w:t>
      </w:r>
      <w:r w:rsidR="00102188">
        <w:t xml:space="preserve">will </w:t>
      </w:r>
      <w:r w:rsidR="000D02AD">
        <w:t>rel</w:t>
      </w:r>
      <w:r w:rsidR="00102188">
        <w:t>y</w:t>
      </w:r>
      <w:r w:rsidR="000D02AD">
        <w:t xml:space="preserve"> on parties to an ILUA to advise when this duty arises. </w:t>
      </w:r>
      <w:r w:rsidR="00102188">
        <w:t>While no concern has been raised about this practice, feedback has suggested</w:t>
      </w:r>
      <w:r w:rsidR="000D02AD">
        <w:t xml:space="preserve"> that c</w:t>
      </w:r>
      <w:r w:rsidR="000D02AD" w:rsidRPr="00996276">
        <w:t>onsideration</w:t>
      </w:r>
      <w:r w:rsidR="00355CB2">
        <w:t xml:space="preserve"> could be </w:t>
      </w:r>
      <w:r w:rsidR="00A446DF">
        <w:t>given</w:t>
      </w:r>
      <w:r w:rsidR="000D02AD" w:rsidRPr="00996276">
        <w:t xml:space="preserve"> </w:t>
      </w:r>
      <w:r w:rsidR="000D02AD">
        <w:t xml:space="preserve">as to </w:t>
      </w:r>
      <w:r w:rsidR="000D02AD" w:rsidRPr="00996276">
        <w:t>whether the ILUA Regulations should contain information providing guidance as to how the Registrar can consider this subsection and what information parties will need to provide to the Registrar.</w:t>
      </w:r>
      <w:bookmarkEnd w:id="52"/>
    </w:p>
    <w:p w14:paraId="32DF9325" w14:textId="77777777" w:rsidR="0000465D" w:rsidRPr="00355CB2" w:rsidRDefault="0000465D" w:rsidP="00C96DAE">
      <w:pPr>
        <w:spacing w:after="120"/>
        <w:rPr>
          <w:b/>
        </w:rPr>
      </w:pPr>
      <w:r w:rsidRPr="00355CB2">
        <w:rPr>
          <w:b/>
        </w:rPr>
        <w:t>Possible reform</w:t>
      </w:r>
    </w:p>
    <w:p w14:paraId="262A5DE3" w14:textId="18918692" w:rsidR="00190300" w:rsidRDefault="0000465D" w:rsidP="00C96DAE">
      <w:pPr>
        <w:spacing w:after="120"/>
      </w:pPr>
      <w:r>
        <w:t>Revise s</w:t>
      </w:r>
      <w:r w:rsidR="004E0023">
        <w:t xml:space="preserve"> </w:t>
      </w:r>
      <w:r>
        <w:t>199</w:t>
      </w:r>
      <w:proofErr w:type="gramStart"/>
      <w:r>
        <w:t>C(</w:t>
      </w:r>
      <w:proofErr w:type="gramEnd"/>
      <w:r>
        <w:t xml:space="preserve">1) to include guidance for </w:t>
      </w:r>
      <w:r w:rsidR="004E0023">
        <w:t xml:space="preserve">the </w:t>
      </w:r>
      <w:r>
        <w:t>Registrar in discharging their duty to remove details of an ILUA from the Register.</w:t>
      </w:r>
      <w:r w:rsidR="004E0023">
        <w:t xml:space="preserve"> </w:t>
      </w:r>
      <w:r w:rsidR="00323327">
        <w:t xml:space="preserve">This would require legislative amendment of the NT Act. </w:t>
      </w:r>
    </w:p>
    <w:p w14:paraId="0E0EB870" w14:textId="77777777" w:rsidR="0019272C" w:rsidRDefault="0019272C" w:rsidP="00C96DAE">
      <w:pPr>
        <w:spacing w:after="120"/>
        <w:rPr>
          <w:i/>
        </w:rPr>
        <w:sectPr w:rsidR="0019272C" w:rsidSect="00CC4C50">
          <w:pgSz w:w="12240" w:h="15840"/>
          <w:pgMar w:top="532" w:right="964" w:bottom="964" w:left="964" w:header="142" w:footer="709" w:gutter="0"/>
          <w:cols w:space="708"/>
          <w:docGrid w:linePitch="360"/>
        </w:sectPr>
      </w:pPr>
    </w:p>
    <w:p w14:paraId="0E478C4F" w14:textId="2A72B822" w:rsidR="00190300" w:rsidRPr="006F4054" w:rsidRDefault="00190300" w:rsidP="00C96DAE">
      <w:pPr>
        <w:spacing w:after="120"/>
        <w:rPr>
          <w:i/>
        </w:rPr>
      </w:pPr>
      <w:r>
        <w:rPr>
          <w:i/>
        </w:rPr>
        <w:lastRenderedPageBreak/>
        <w:t>Intended effect</w:t>
      </w:r>
    </w:p>
    <w:p w14:paraId="3C52C7AD" w14:textId="648B5FAD" w:rsidR="00293AC3" w:rsidRPr="00293AC3" w:rsidRDefault="004E0023" w:rsidP="006F4054">
      <w:r w:rsidRPr="00D753ED">
        <w:t xml:space="preserve">This would allow the Registrar to better perform their functions in relation to </w:t>
      </w:r>
      <w:r w:rsidR="00190300" w:rsidRPr="00D753ED">
        <w:t xml:space="preserve">maintaining the </w:t>
      </w:r>
      <w:r w:rsidR="00190300" w:rsidRPr="00927FA2">
        <w:t xml:space="preserve">Register of </w:t>
      </w:r>
      <w:r w:rsidRPr="00927FA2">
        <w:t>ILUAs.</w:t>
      </w:r>
    </w:p>
    <w:p w14:paraId="2C570A26" w14:textId="31B5C2D6" w:rsidR="000D02AD" w:rsidRDefault="000D02AD" w:rsidP="00C96DAE">
      <w:pPr>
        <w:pStyle w:val="Heading4"/>
        <w:spacing w:after="120" w:line="276" w:lineRule="auto"/>
      </w:pPr>
      <w:bookmarkStart w:id="53" w:name="_Toc116313238"/>
      <w:bookmarkStart w:id="54" w:name="_Toc117863144"/>
      <w:bookmarkStart w:id="55" w:name="_Toc118734603"/>
      <w:bookmarkStart w:id="56" w:name="_Hlk121320569"/>
      <w:r>
        <w:t>Other regulations that may warrant clarification</w:t>
      </w:r>
      <w:bookmarkEnd w:id="53"/>
      <w:bookmarkEnd w:id="54"/>
      <w:bookmarkEnd w:id="55"/>
    </w:p>
    <w:p w14:paraId="38C4D19B" w14:textId="77777777" w:rsidR="001C3005" w:rsidRDefault="000D02AD" w:rsidP="00C96DAE">
      <w:pPr>
        <w:spacing w:after="120"/>
      </w:pPr>
      <w:bookmarkStart w:id="57" w:name="_Hlk118731936"/>
      <w:bookmarkEnd w:id="56"/>
      <w:r>
        <w:t>Regulations 6(3)(e), 7(3)(f) and 8(3)(f) in the ILUA Regulations require information to be provided as to ‘</w:t>
      </w:r>
      <w:r w:rsidRPr="001C3005">
        <w:rPr>
          <w:i/>
        </w:rPr>
        <w:t xml:space="preserve">whether or not there is any other written agreement made between some or all of the parties to the agreement in connection with the doing of an act </w:t>
      </w:r>
      <w:r w:rsidR="00671C6A" w:rsidRPr="001C3005">
        <w:rPr>
          <w:i/>
        </w:rPr>
        <w:t xml:space="preserve">to </w:t>
      </w:r>
      <w:r w:rsidRPr="001C3005">
        <w:rPr>
          <w:i/>
        </w:rPr>
        <w:t>which the agreement relates</w:t>
      </w:r>
      <w:r>
        <w:t>’</w:t>
      </w:r>
      <w:r w:rsidR="00487EEC">
        <w:t xml:space="preserve">. </w:t>
      </w:r>
    </w:p>
    <w:p w14:paraId="222D196A" w14:textId="221FCB3E" w:rsidR="000D02AD" w:rsidRDefault="00487EEC" w:rsidP="00C96DAE">
      <w:pPr>
        <w:spacing w:after="120"/>
      </w:pPr>
      <w:r>
        <w:t>Feedback has question</w:t>
      </w:r>
      <w:r w:rsidR="002F2582">
        <w:t>ed</w:t>
      </w:r>
      <w:r>
        <w:t xml:space="preserve"> whether the inclusion of this requirement </w:t>
      </w:r>
      <w:r w:rsidR="002F2582">
        <w:t>is necessary</w:t>
      </w:r>
      <w:r w:rsidR="00030FA3">
        <w:t xml:space="preserve"> and </w:t>
      </w:r>
      <w:r w:rsidR="00500C8A">
        <w:t xml:space="preserve">what </w:t>
      </w:r>
      <w:r w:rsidR="00030FA3">
        <w:t xml:space="preserve">its </w:t>
      </w:r>
      <w:r w:rsidR="00500C8A">
        <w:t xml:space="preserve">intended </w:t>
      </w:r>
      <w:r w:rsidR="00030FA3">
        <w:t>purpose</w:t>
      </w:r>
      <w:r w:rsidR="00422F6B">
        <w:t xml:space="preserve"> </w:t>
      </w:r>
      <w:r w:rsidR="00500C8A">
        <w:t xml:space="preserve">is </w:t>
      </w:r>
      <w:r w:rsidR="00422F6B">
        <w:t>given the provision of this information will not affect whether an application for registration of an agreement can proceed to notification and be considered for registration</w:t>
      </w:r>
      <w:r w:rsidR="002F2582">
        <w:t>.</w:t>
      </w:r>
      <w:r w:rsidR="000D02AD">
        <w:t xml:space="preserve"> </w:t>
      </w:r>
    </w:p>
    <w:p w14:paraId="3EF75046" w14:textId="7CA1B966" w:rsidR="00052E7A" w:rsidRDefault="002F2582" w:rsidP="00C96DAE">
      <w:pPr>
        <w:spacing w:after="120"/>
      </w:pPr>
      <w:r>
        <w:t>Other</w:t>
      </w:r>
      <w:r w:rsidR="00A01FEC">
        <w:t xml:space="preserve"> feedback</w:t>
      </w:r>
      <w:r w:rsidR="00B47387">
        <w:t xml:space="preserve"> suggested that requiring greater transparency around the content of other agreements made between parties that are relevant to a registered ILUA</w:t>
      </w:r>
      <w:r w:rsidR="00500C8A">
        <w:t xml:space="preserve"> would be helpful,</w:t>
      </w:r>
      <w:r w:rsidR="00B47387">
        <w:t xml:space="preserve"> so that the full context of </w:t>
      </w:r>
      <w:r w:rsidR="00500C8A">
        <w:t xml:space="preserve">the relevant </w:t>
      </w:r>
      <w:r w:rsidR="00B47387">
        <w:t xml:space="preserve">ILUA is more easily able to be understood by all traditional owners and native title holders. </w:t>
      </w:r>
    </w:p>
    <w:p w14:paraId="45FA4ACA" w14:textId="14A318B7" w:rsidR="00D76E81" w:rsidRDefault="00D76E81" w:rsidP="00C96DAE">
      <w:pPr>
        <w:spacing w:after="120"/>
        <w:rPr>
          <w:b/>
        </w:rPr>
      </w:pPr>
      <w:r>
        <w:rPr>
          <w:b/>
        </w:rPr>
        <w:t>Questions</w:t>
      </w:r>
    </w:p>
    <w:p w14:paraId="53FACACB" w14:textId="7E7FC35B" w:rsidR="00632989" w:rsidRPr="00417879" w:rsidRDefault="00632989" w:rsidP="007B3C23">
      <w:pPr>
        <w:pStyle w:val="ListParagraph"/>
        <w:numPr>
          <w:ilvl w:val="0"/>
          <w:numId w:val="106"/>
        </w:numPr>
        <w:spacing w:after="120"/>
        <w:contextualSpacing w:val="0"/>
        <w:rPr>
          <w:b/>
        </w:rPr>
      </w:pPr>
      <w:bookmarkStart w:id="58" w:name="_Hlk121831200"/>
      <w:bookmarkStart w:id="59" w:name="_Hlk119669066"/>
      <w:r>
        <w:t xml:space="preserve">Are the requirements under the </w:t>
      </w:r>
      <w:r w:rsidR="00A01FEC">
        <w:t>ILUA</w:t>
      </w:r>
      <w:r>
        <w:t xml:space="preserve"> Regulations adequately clear?</w:t>
      </w:r>
    </w:p>
    <w:p w14:paraId="05F3BD40" w14:textId="76BEA934" w:rsidR="00487EEC" w:rsidRPr="006F4054" w:rsidRDefault="002F2582" w:rsidP="007B3C23">
      <w:pPr>
        <w:pStyle w:val="ListParagraph"/>
        <w:numPr>
          <w:ilvl w:val="0"/>
          <w:numId w:val="106"/>
        </w:numPr>
        <w:spacing w:after="120"/>
        <w:contextualSpacing w:val="0"/>
        <w:rPr>
          <w:b/>
        </w:rPr>
      </w:pPr>
      <w:r>
        <w:t xml:space="preserve">How should other agreements </w:t>
      </w:r>
      <w:r w:rsidR="00487EEC">
        <w:t>made between some or all of the parties to the agreement in connection with the doing of an act which the agreement relates</w:t>
      </w:r>
      <w:r>
        <w:t xml:space="preserve"> be treated?</w:t>
      </w:r>
    </w:p>
    <w:bookmarkEnd w:id="58"/>
    <w:p w14:paraId="0B6E2EAC" w14:textId="77777777" w:rsidR="00E17985" w:rsidRPr="00417879" w:rsidRDefault="00E17985" w:rsidP="006F4054">
      <w:pPr>
        <w:pStyle w:val="ListParagraph"/>
        <w:spacing w:after="120"/>
        <w:contextualSpacing w:val="0"/>
        <w:rPr>
          <w:b/>
        </w:rPr>
      </w:pPr>
    </w:p>
    <w:p w14:paraId="34709A51" w14:textId="77777777" w:rsidR="00FF0A92" w:rsidRDefault="00FF0A92" w:rsidP="00C96DAE">
      <w:pPr>
        <w:pStyle w:val="Heading3"/>
        <w:spacing w:after="120" w:line="276" w:lineRule="auto"/>
        <w:sectPr w:rsidR="00FF0A92" w:rsidSect="00CC4C50">
          <w:pgSz w:w="12240" w:h="15840"/>
          <w:pgMar w:top="532" w:right="964" w:bottom="964" w:left="964" w:header="142" w:footer="709" w:gutter="0"/>
          <w:cols w:space="708"/>
          <w:docGrid w:linePitch="360"/>
        </w:sectPr>
      </w:pPr>
      <w:bookmarkStart w:id="60" w:name="_Hlk121320578"/>
      <w:bookmarkEnd w:id="57"/>
      <w:bookmarkEnd w:id="59"/>
    </w:p>
    <w:p w14:paraId="5E782638" w14:textId="63527CFB" w:rsidR="002033D8" w:rsidRPr="00500C8A" w:rsidRDefault="002033D8" w:rsidP="00C96DAE">
      <w:pPr>
        <w:pStyle w:val="Heading3"/>
        <w:spacing w:after="120" w:line="276" w:lineRule="auto"/>
        <w:rPr>
          <w:i/>
        </w:rPr>
      </w:pPr>
      <w:r w:rsidRPr="00500C8A">
        <w:rPr>
          <w:i/>
        </w:rPr>
        <w:lastRenderedPageBreak/>
        <w:t>Native Title (Notices) Determination 2011 (No. 1)</w:t>
      </w:r>
      <w:r w:rsidRPr="00500C8A">
        <w:rPr>
          <w:i/>
        </w:rPr>
        <w:tab/>
      </w:r>
    </w:p>
    <w:p w14:paraId="425F1DF1" w14:textId="77777777" w:rsidR="002033D8" w:rsidRDefault="002033D8" w:rsidP="00C96DAE">
      <w:pPr>
        <w:pStyle w:val="Heading4"/>
        <w:spacing w:after="120" w:line="276" w:lineRule="auto"/>
      </w:pPr>
      <w:r>
        <w:t>Allowing for electronic transmission of notices</w:t>
      </w:r>
    </w:p>
    <w:bookmarkEnd w:id="60"/>
    <w:p w14:paraId="560C7A18" w14:textId="789997E4" w:rsidR="002033D8" w:rsidRDefault="002033D8" w:rsidP="00C96DAE">
      <w:pPr>
        <w:spacing w:after="120"/>
        <w:rPr>
          <w:b/>
        </w:rPr>
      </w:pPr>
      <w:r w:rsidRPr="00D728FB">
        <w:rPr>
          <w:b/>
        </w:rPr>
        <w:t>O</w:t>
      </w:r>
      <w:r w:rsidR="005C42A0">
        <w:rPr>
          <w:b/>
        </w:rPr>
        <w:t>verview</w:t>
      </w:r>
    </w:p>
    <w:p w14:paraId="37B4D8DD" w14:textId="68D75EE1" w:rsidR="002033D8" w:rsidRDefault="002033D8" w:rsidP="00C96DAE">
      <w:pPr>
        <w:spacing w:after="120"/>
      </w:pPr>
      <w:r w:rsidRPr="00BD1322">
        <w:t xml:space="preserve">The </w:t>
      </w:r>
      <w:r w:rsidR="00500C8A">
        <w:rPr>
          <w:i/>
        </w:rPr>
        <w:t xml:space="preserve">Native Title (Notices) Determination 2011 (No. 1) </w:t>
      </w:r>
      <w:r w:rsidR="00500C8A">
        <w:t>(‘</w:t>
      </w:r>
      <w:r w:rsidRPr="00BD1322">
        <w:t>Notices Determination</w:t>
      </w:r>
      <w:r w:rsidR="00500C8A">
        <w:t>’)</w:t>
      </w:r>
      <w:r w:rsidRPr="00BD1322">
        <w:t xml:space="preserve"> governs the provision of notices under </w:t>
      </w:r>
      <w:r>
        <w:t>the NT Act. This includes notices:</w:t>
      </w:r>
    </w:p>
    <w:p w14:paraId="2FF07093" w14:textId="70094534" w:rsidR="002033D8" w:rsidRDefault="002033D8" w:rsidP="00C96DAE">
      <w:pPr>
        <w:pStyle w:val="ListParagraph"/>
        <w:numPr>
          <w:ilvl w:val="0"/>
          <w:numId w:val="46"/>
        </w:numPr>
        <w:spacing w:after="120"/>
        <w:contextualSpacing w:val="0"/>
      </w:pPr>
      <w:r w:rsidRPr="00BD1322">
        <w:t xml:space="preserve">specifically directed to </w:t>
      </w:r>
      <w:r>
        <w:t xml:space="preserve">parties </w:t>
      </w:r>
      <w:r w:rsidRPr="00BD1322">
        <w:t xml:space="preserve">e.g. of acts to be done under the future </w:t>
      </w:r>
      <w:proofErr w:type="gramStart"/>
      <w:r w:rsidRPr="00BD1322">
        <w:t>acts</w:t>
      </w:r>
      <w:proofErr w:type="gramEnd"/>
      <w:r w:rsidRPr="00BD1322">
        <w:t xml:space="preserve"> regime</w:t>
      </w:r>
      <w:r w:rsidR="00322459">
        <w:t>; and</w:t>
      </w:r>
    </w:p>
    <w:p w14:paraId="361B8C86" w14:textId="77777777" w:rsidR="002033D8" w:rsidRPr="00BD1322" w:rsidRDefault="002033D8" w:rsidP="00C96DAE">
      <w:pPr>
        <w:pStyle w:val="ListParagraph"/>
        <w:numPr>
          <w:ilvl w:val="0"/>
          <w:numId w:val="46"/>
        </w:numPr>
        <w:spacing w:after="120"/>
        <w:contextualSpacing w:val="0"/>
      </w:pPr>
      <w:r w:rsidRPr="00BD1322">
        <w:t xml:space="preserve">published and circulated more generally to notify the public of issues arising under </w:t>
      </w:r>
      <w:r>
        <w:t>the NT Act</w:t>
      </w:r>
      <w:r w:rsidRPr="00BD1322">
        <w:t>.</w:t>
      </w:r>
    </w:p>
    <w:p w14:paraId="45132D21" w14:textId="39847B29" w:rsidR="00084021" w:rsidRPr="00770DBB" w:rsidRDefault="002033D8" w:rsidP="00C96DAE">
      <w:pPr>
        <w:spacing w:after="120"/>
        <w:rPr>
          <w:rFonts w:cstheme="minorHAnsi"/>
        </w:rPr>
      </w:pPr>
      <w:r>
        <w:rPr>
          <w:rFonts w:cstheme="minorHAnsi"/>
        </w:rPr>
        <w:t>Currently, s</w:t>
      </w:r>
      <w:r w:rsidRPr="00770DBB">
        <w:rPr>
          <w:rFonts w:cstheme="minorHAnsi"/>
        </w:rPr>
        <w:t xml:space="preserve">pecific notices must be sent via mail. </w:t>
      </w:r>
      <w:r>
        <w:rPr>
          <w:color w:val="000000"/>
          <w:shd w:val="clear" w:color="auto" w:fill="FFFFFF"/>
        </w:rPr>
        <w:t xml:space="preserve">However, notice may be given by a different means if the party to be notified agrees. </w:t>
      </w:r>
      <w:r w:rsidRPr="00770DBB">
        <w:rPr>
          <w:rFonts w:cstheme="minorHAnsi"/>
        </w:rPr>
        <w:t>General notices must be published in a newspaper and can also appear on radio and television.</w:t>
      </w:r>
    </w:p>
    <w:p w14:paraId="1BA24D72" w14:textId="51A52036" w:rsidR="002033D8" w:rsidRDefault="005C42A0" w:rsidP="00C96DAE">
      <w:pPr>
        <w:spacing w:after="120"/>
        <w:rPr>
          <w:b/>
        </w:rPr>
      </w:pPr>
      <w:r>
        <w:rPr>
          <w:b/>
        </w:rPr>
        <w:t>Possible</w:t>
      </w:r>
      <w:r w:rsidRPr="00D728FB">
        <w:rPr>
          <w:b/>
        </w:rPr>
        <w:t xml:space="preserve"> </w:t>
      </w:r>
      <w:r w:rsidR="002033D8" w:rsidRPr="00D728FB">
        <w:rPr>
          <w:b/>
        </w:rPr>
        <w:t>reform</w:t>
      </w:r>
      <w:r>
        <w:rPr>
          <w:b/>
        </w:rPr>
        <w:t>s</w:t>
      </w:r>
    </w:p>
    <w:p w14:paraId="4AA54AE8" w14:textId="71A9F71B" w:rsidR="00481EC2" w:rsidRPr="00500C8A" w:rsidRDefault="002033D8" w:rsidP="00C96DAE">
      <w:pPr>
        <w:spacing w:after="120"/>
      </w:pPr>
      <w:r w:rsidRPr="00500C8A">
        <w:t xml:space="preserve">Noting that the availability of electronic means of notification has increased substantially since the future </w:t>
      </w:r>
      <w:proofErr w:type="gramStart"/>
      <w:r w:rsidRPr="00500C8A">
        <w:t>act</w:t>
      </w:r>
      <w:r w:rsidR="001C3005">
        <w:t>s</w:t>
      </w:r>
      <w:proofErr w:type="gramEnd"/>
      <w:r w:rsidRPr="00500C8A">
        <w:t xml:space="preserve"> regime was first enacted, some stakeholders have suggested that notices should be provided electronically, rather than through print </w:t>
      </w:r>
      <w:r w:rsidRPr="00500C8A">
        <w:rPr>
          <w:rFonts w:cstheme="minorHAnsi"/>
        </w:rPr>
        <w:t>media</w:t>
      </w:r>
      <w:r w:rsidRPr="00500C8A">
        <w:t xml:space="preserve"> or TV/radio. Electronic notification such as online </w:t>
      </w:r>
      <w:r w:rsidR="00422F6B" w:rsidRPr="00500C8A">
        <w:t xml:space="preserve">through digital newspapers, </w:t>
      </w:r>
      <w:r w:rsidRPr="00500C8A">
        <w:t xml:space="preserve">or emailed notices could be substantially cheaper, faster and potentially more accessible than public notices in </w:t>
      </w:r>
      <w:r w:rsidR="00422F6B" w:rsidRPr="00500C8A">
        <w:t xml:space="preserve">print editions of </w:t>
      </w:r>
      <w:r w:rsidRPr="00500C8A">
        <w:t>newspapers and postal notification. However</w:t>
      </w:r>
      <w:r w:rsidR="007F1954" w:rsidRPr="00500C8A">
        <w:t>,</w:t>
      </w:r>
      <w:r w:rsidRPr="00500C8A">
        <w:t xml:space="preserve"> stakeholders have also raised concerns that electronic notice would place too much of an onus on</w:t>
      </w:r>
      <w:r w:rsidRPr="00500C8A">
        <w:rPr>
          <w:rFonts w:asciiTheme="minorHAnsi" w:eastAsiaTheme="minorHAnsi" w:hAnsiTheme="minorHAnsi" w:cstheme="minorBidi"/>
          <w:i/>
          <w:w w:val="100"/>
          <w:kern w:val="0"/>
          <w:sz w:val="20"/>
          <w:szCs w:val="20"/>
        </w:rPr>
        <w:t xml:space="preserve"> </w:t>
      </w:r>
      <w:r w:rsidRPr="00500C8A">
        <w:t>the</w:t>
      </w:r>
      <w:r w:rsidRPr="00500C8A">
        <w:rPr>
          <w:i/>
        </w:rPr>
        <w:t xml:space="preserve"> </w:t>
      </w:r>
      <w:r w:rsidRPr="00500C8A">
        <w:t xml:space="preserve">public and </w:t>
      </w:r>
      <w:r w:rsidR="00500C8A" w:rsidRPr="00500C8A">
        <w:t xml:space="preserve">the relevant </w:t>
      </w:r>
      <w:r w:rsidR="0093318A" w:rsidRPr="00500C8A">
        <w:rPr>
          <w:rFonts w:cstheme="minorHAnsi"/>
        </w:rPr>
        <w:t xml:space="preserve">Native Title Representative Body or Service Provider </w:t>
      </w:r>
      <w:r w:rsidRPr="00500C8A">
        <w:t>to notify native title groups of proposed development on their country.</w:t>
      </w:r>
      <w:r w:rsidR="00B207AD" w:rsidRPr="00500C8A">
        <w:t xml:space="preserve"> Concerns have also been raised that </w:t>
      </w:r>
      <w:r w:rsidR="00CC180E" w:rsidRPr="00500C8A">
        <w:t xml:space="preserve">for onshore places, </w:t>
      </w:r>
      <w:r w:rsidR="00B207AD" w:rsidRPr="00500C8A">
        <w:t xml:space="preserve">the requirement </w:t>
      </w:r>
      <w:r w:rsidR="00CC180E" w:rsidRPr="00500C8A">
        <w:t>that</w:t>
      </w:r>
      <w:r w:rsidR="00B207AD" w:rsidRPr="00500C8A">
        <w:t xml:space="preserve"> newspapers circulate generally throughout the area to which the notice relates</w:t>
      </w:r>
      <w:r w:rsidR="00CC180E" w:rsidRPr="00500C8A">
        <w:t>,</w:t>
      </w:r>
      <w:r w:rsidR="00B207AD" w:rsidRPr="00500C8A">
        <w:t xml:space="preserve"> creates issues where no newspapers circulate in the </w:t>
      </w:r>
      <w:r w:rsidR="00CC180E" w:rsidRPr="00500C8A">
        <w:t xml:space="preserve">relevant </w:t>
      </w:r>
      <w:r w:rsidR="00B207AD" w:rsidRPr="00500C8A">
        <w:t>area</w:t>
      </w:r>
      <w:r w:rsidR="00CC180E" w:rsidRPr="00500C8A">
        <w:t>. S</w:t>
      </w:r>
      <w:r w:rsidR="00B207AD" w:rsidRPr="00500C8A">
        <w:t xml:space="preserve">uggestions have been made </w:t>
      </w:r>
      <w:r w:rsidR="00CC180E" w:rsidRPr="00500C8A">
        <w:t>that consideration should be given to amending this requirement to a</w:t>
      </w:r>
      <w:r w:rsidR="00B207AD" w:rsidRPr="00500C8A">
        <w:t xml:space="preserve"> geographical</w:t>
      </w:r>
      <w:r w:rsidR="00CC180E" w:rsidRPr="00500C8A">
        <w:t xml:space="preserve"> area</w:t>
      </w:r>
      <w:r w:rsidR="00B207AD" w:rsidRPr="00500C8A">
        <w:t xml:space="preserve"> closest</w:t>
      </w:r>
      <w:r w:rsidR="00CC180E" w:rsidRPr="00500C8A">
        <w:t xml:space="preserve"> to the relevant area, like for offshore places.</w:t>
      </w:r>
    </w:p>
    <w:p w14:paraId="5970D411" w14:textId="739C1EA5" w:rsidR="002033D8" w:rsidRPr="00500C8A" w:rsidRDefault="002033D8" w:rsidP="00C96DAE">
      <w:pPr>
        <w:spacing w:after="120"/>
      </w:pPr>
      <w:r w:rsidRPr="00500C8A">
        <w:t>The department is considering options to amend the Notices Determination to allow for electronic communication, including amendments</w:t>
      </w:r>
      <w:r w:rsidR="00ED6C9C">
        <w:t xml:space="preserve"> to</w:t>
      </w:r>
      <w:r w:rsidRPr="00500C8A">
        <w:t>:</w:t>
      </w:r>
    </w:p>
    <w:p w14:paraId="58847C4C" w14:textId="5C596472" w:rsidR="002033D8" w:rsidRPr="00500C8A" w:rsidRDefault="002033D8" w:rsidP="00C96DAE">
      <w:pPr>
        <w:pStyle w:val="ListParagraph"/>
        <w:numPr>
          <w:ilvl w:val="0"/>
          <w:numId w:val="45"/>
        </w:numPr>
        <w:spacing w:after="120"/>
        <w:contextualSpacing w:val="0"/>
      </w:pPr>
      <w:r w:rsidRPr="00500C8A">
        <w:t>make electronic communication</w:t>
      </w:r>
      <w:r w:rsidR="00500C8A" w:rsidRPr="00500C8A">
        <w:t xml:space="preserve"> the</w:t>
      </w:r>
      <w:r w:rsidRPr="00500C8A">
        <w:t xml:space="preserve"> default method for notices under the NT Act</w:t>
      </w:r>
      <w:r w:rsidR="00422F6B" w:rsidRPr="00500C8A">
        <w:t xml:space="preserve"> where email addresses are available</w:t>
      </w:r>
      <w:r w:rsidR="00ED6C9C">
        <w:t>;</w:t>
      </w:r>
    </w:p>
    <w:p w14:paraId="6DA14D91" w14:textId="5221D213" w:rsidR="002033D8" w:rsidRPr="00500C8A" w:rsidRDefault="002033D8" w:rsidP="00C96DAE">
      <w:pPr>
        <w:pStyle w:val="ListParagraph"/>
        <w:numPr>
          <w:ilvl w:val="0"/>
          <w:numId w:val="45"/>
        </w:numPr>
        <w:spacing w:after="120"/>
        <w:contextualSpacing w:val="0"/>
      </w:pPr>
      <w:r w:rsidRPr="00500C8A">
        <w:t xml:space="preserve">allow registered native title claimants or </w:t>
      </w:r>
      <w:r w:rsidR="001C5343" w:rsidRPr="00500C8A">
        <w:t xml:space="preserve">Registered Native Title </w:t>
      </w:r>
      <w:r w:rsidR="000442D3" w:rsidRPr="00500C8A">
        <w:t>Bodies Corporate</w:t>
      </w:r>
      <w:r w:rsidR="001C5343" w:rsidRPr="00500C8A">
        <w:t xml:space="preserve"> </w:t>
      </w:r>
      <w:r w:rsidRPr="00500C8A">
        <w:t>to elect to receive notices electronically</w:t>
      </w:r>
      <w:r w:rsidR="00ED6C9C">
        <w:t>; and</w:t>
      </w:r>
    </w:p>
    <w:p w14:paraId="2ADB68F8" w14:textId="33584FB5" w:rsidR="00422F6B" w:rsidRPr="00500C8A" w:rsidRDefault="00422F6B" w:rsidP="00C96DAE">
      <w:pPr>
        <w:pStyle w:val="ListParagraph"/>
        <w:numPr>
          <w:ilvl w:val="0"/>
          <w:numId w:val="45"/>
        </w:numPr>
        <w:spacing w:after="120"/>
        <w:contextualSpacing w:val="0"/>
      </w:pPr>
      <w:r w:rsidRPr="00500C8A">
        <w:t>allow notices to be circulated in areas that are geogr</w:t>
      </w:r>
      <w:r w:rsidR="00030FA3" w:rsidRPr="00500C8A">
        <w:t>aphically close to the area to which the notice relates</w:t>
      </w:r>
      <w:r w:rsidRPr="00500C8A">
        <w:t xml:space="preserve">. </w:t>
      </w:r>
    </w:p>
    <w:p w14:paraId="3D60D451" w14:textId="4F0AB348" w:rsidR="00190300" w:rsidRPr="00190300" w:rsidRDefault="00190300" w:rsidP="00190300">
      <w:pPr>
        <w:spacing w:after="120"/>
        <w:rPr>
          <w:i/>
        </w:rPr>
      </w:pPr>
      <w:r>
        <w:rPr>
          <w:i/>
        </w:rPr>
        <w:t>Intended effect</w:t>
      </w:r>
    </w:p>
    <w:p w14:paraId="159A97EB" w14:textId="42BCB70F" w:rsidR="005C42A0" w:rsidRPr="00BD1322" w:rsidRDefault="00A51CAA" w:rsidP="006F4054">
      <w:pPr>
        <w:spacing w:after="120"/>
      </w:pPr>
      <w:r>
        <w:t>I</w:t>
      </w:r>
      <w:r w:rsidR="005C42A0">
        <w:t xml:space="preserve">mplementing these reforms would be </w:t>
      </w:r>
      <w:r>
        <w:t>to ensure notifications are effective to achieve public notification, especially in remote areas, and reach relevant persons.</w:t>
      </w:r>
    </w:p>
    <w:p w14:paraId="6029AB56" w14:textId="10828B9B" w:rsidR="002033D8" w:rsidRPr="00500C8A" w:rsidRDefault="002033D8" w:rsidP="006F4054">
      <w:pPr>
        <w:keepNext/>
        <w:keepLines/>
        <w:spacing w:after="120"/>
        <w:rPr>
          <w:b/>
        </w:rPr>
      </w:pPr>
      <w:r w:rsidRPr="00500C8A">
        <w:rPr>
          <w:b/>
        </w:rPr>
        <w:lastRenderedPageBreak/>
        <w:t>Question</w:t>
      </w:r>
      <w:r w:rsidR="005C42A0" w:rsidRPr="00500C8A">
        <w:rPr>
          <w:b/>
        </w:rPr>
        <w:t>s</w:t>
      </w:r>
    </w:p>
    <w:p w14:paraId="399EDF3B" w14:textId="1A88E851" w:rsidR="002033D8" w:rsidRPr="00500C8A" w:rsidRDefault="002033D8" w:rsidP="007B3C23">
      <w:pPr>
        <w:pStyle w:val="ListParagraph"/>
        <w:keepNext/>
        <w:keepLines/>
        <w:numPr>
          <w:ilvl w:val="0"/>
          <w:numId w:val="106"/>
        </w:numPr>
        <w:spacing w:after="120"/>
        <w:contextualSpacing w:val="0"/>
        <w:rPr>
          <w:b/>
        </w:rPr>
      </w:pPr>
      <w:bookmarkStart w:id="61" w:name="_Hlk119669093"/>
      <w:bookmarkStart w:id="62" w:name="_Hlk121831209"/>
      <w:r w:rsidRPr="00500C8A">
        <w:t>In what circumstances should electronic transmission of notices be permitted?</w:t>
      </w:r>
      <w:bookmarkEnd w:id="61"/>
    </w:p>
    <w:p w14:paraId="1145377B" w14:textId="48F16564" w:rsidR="00CC180E" w:rsidRPr="00500C8A" w:rsidRDefault="00CC180E" w:rsidP="007B3C23">
      <w:pPr>
        <w:pStyle w:val="ListParagraph"/>
        <w:keepNext/>
        <w:keepLines/>
        <w:numPr>
          <w:ilvl w:val="0"/>
          <w:numId w:val="106"/>
        </w:numPr>
        <w:spacing w:after="120"/>
        <w:contextualSpacing w:val="0"/>
        <w:rPr>
          <w:b/>
        </w:rPr>
      </w:pPr>
      <w:r w:rsidRPr="00500C8A">
        <w:t>In relation to public notification, would notification in digital newspapers be sufficient where there are no print editions of newspapers?</w:t>
      </w:r>
      <w:r w:rsidR="00322459" w:rsidRPr="00500C8A">
        <w:t xml:space="preserve"> </w:t>
      </w:r>
      <w:bookmarkStart w:id="63" w:name="_Hlk122522973"/>
      <w:r w:rsidR="00322459" w:rsidRPr="00500C8A">
        <w:t xml:space="preserve">Are there other communication methods that could be employed to ensure </w:t>
      </w:r>
      <w:r w:rsidR="009D1FBB" w:rsidRPr="00500C8A">
        <w:t xml:space="preserve">effective </w:t>
      </w:r>
      <w:r w:rsidR="00322459" w:rsidRPr="00500C8A">
        <w:t>public notification?</w:t>
      </w:r>
      <w:bookmarkEnd w:id="63"/>
      <w:r w:rsidR="00500C8A" w:rsidRPr="00500C8A">
        <w:t xml:space="preserve"> </w:t>
      </w:r>
    </w:p>
    <w:p w14:paraId="1E53372E" w14:textId="02559A4B" w:rsidR="00422F6B" w:rsidRPr="00500C8A" w:rsidRDefault="00422F6B" w:rsidP="007B3C23">
      <w:pPr>
        <w:pStyle w:val="ListParagraph"/>
        <w:numPr>
          <w:ilvl w:val="0"/>
          <w:numId w:val="106"/>
        </w:numPr>
        <w:spacing w:after="120"/>
        <w:contextualSpacing w:val="0"/>
        <w:rPr>
          <w:b/>
        </w:rPr>
      </w:pPr>
      <w:r w:rsidRPr="00500C8A">
        <w:t>Should the circulation requirement be changed to be geographically close to the area</w:t>
      </w:r>
      <w:r w:rsidR="00030FA3" w:rsidRPr="00500C8A">
        <w:t xml:space="preserve"> to which the notice relates</w:t>
      </w:r>
      <w:r w:rsidRPr="00500C8A">
        <w:t>?</w:t>
      </w:r>
    </w:p>
    <w:bookmarkEnd w:id="62"/>
    <w:p w14:paraId="7AB9F1C3" w14:textId="77777777" w:rsidR="001B13CC" w:rsidRDefault="001B13CC" w:rsidP="00C96DAE">
      <w:pPr>
        <w:spacing w:after="120"/>
      </w:pPr>
    </w:p>
    <w:p w14:paraId="313E7A9F" w14:textId="624E6BA1" w:rsidR="0058562C" w:rsidRPr="001560F1" w:rsidRDefault="0058562C" w:rsidP="00C96DAE">
      <w:pPr>
        <w:spacing w:after="120"/>
        <w:rPr>
          <w:b/>
        </w:rPr>
      </w:pPr>
      <w:r>
        <w:br w:type="page"/>
      </w:r>
    </w:p>
    <w:p w14:paraId="25B29DA6" w14:textId="7DF699E0" w:rsidR="009B43B1" w:rsidRDefault="006E6D94" w:rsidP="00077FBF">
      <w:pPr>
        <w:pStyle w:val="Heading2"/>
        <w:spacing w:before="0" w:after="120"/>
      </w:pPr>
      <w:r>
        <w:lastRenderedPageBreak/>
        <w:t xml:space="preserve">Attachment A – Details of </w:t>
      </w:r>
      <w:r w:rsidR="00292149">
        <w:t>I</w:t>
      </w:r>
      <w:r>
        <w:t>nstruments</w:t>
      </w:r>
      <w:r w:rsidR="00FC0A5B">
        <w:t xml:space="preserve"> under review</w:t>
      </w:r>
      <w:r>
        <w:t xml:space="preserve"> </w:t>
      </w:r>
    </w:p>
    <w:tbl>
      <w:tblPr>
        <w:tblW w:w="5000" w:type="pct"/>
        <w:tblBorders>
          <w:top w:val="single" w:sz="12" w:space="0" w:color="auto"/>
          <w:bottom w:val="single" w:sz="12" w:space="0" w:color="auto"/>
          <w:insideH w:val="dotted" w:sz="8" w:space="0" w:color="auto"/>
        </w:tblBorders>
        <w:tblCellMar>
          <w:left w:w="107" w:type="dxa"/>
          <w:right w:w="107" w:type="dxa"/>
        </w:tblCellMar>
        <w:tblLook w:val="0000" w:firstRow="0" w:lastRow="0" w:firstColumn="0" w:lastColumn="0" w:noHBand="0" w:noVBand="0"/>
      </w:tblPr>
      <w:tblGrid>
        <w:gridCol w:w="3741"/>
        <w:gridCol w:w="6571"/>
      </w:tblGrid>
      <w:tr w:rsidR="006E6D94" w:rsidRPr="00135151" w14:paraId="1D73E0DF" w14:textId="77777777" w:rsidTr="00D6163D">
        <w:tc>
          <w:tcPr>
            <w:tcW w:w="1814" w:type="pct"/>
            <w:tcBorders>
              <w:top w:val="single" w:sz="12" w:space="0" w:color="auto"/>
              <w:bottom w:val="single" w:sz="12" w:space="0" w:color="auto"/>
              <w:right w:val="single" w:sz="12" w:space="0" w:color="auto"/>
            </w:tcBorders>
            <w:shd w:val="clear" w:color="auto" w:fill="1F497D" w:themeFill="text2"/>
          </w:tcPr>
          <w:p w14:paraId="38B25656" w14:textId="77777777" w:rsidR="006E6D94" w:rsidRPr="00D12DB3" w:rsidRDefault="006E6D94" w:rsidP="00077FBF">
            <w:pPr>
              <w:spacing w:after="0" w:line="240" w:lineRule="auto"/>
              <w:rPr>
                <w:rFonts w:asciiTheme="minorHAnsi" w:eastAsiaTheme="minorHAnsi" w:hAnsiTheme="minorHAnsi" w:cstheme="minorHAnsi"/>
                <w:b/>
                <w:color w:val="FFFFFF" w:themeColor="background1"/>
                <w:sz w:val="20"/>
              </w:rPr>
            </w:pPr>
            <w:r w:rsidRPr="00D12DB3">
              <w:rPr>
                <w:rFonts w:asciiTheme="minorHAnsi" w:eastAsiaTheme="minorHAnsi" w:hAnsiTheme="minorHAnsi" w:cstheme="minorHAnsi"/>
                <w:b/>
                <w:color w:val="FFFFFF" w:themeColor="background1"/>
                <w:sz w:val="20"/>
              </w:rPr>
              <w:t>LEGISLATION TITLE</w:t>
            </w:r>
          </w:p>
        </w:tc>
        <w:tc>
          <w:tcPr>
            <w:tcW w:w="3186" w:type="pct"/>
            <w:tcBorders>
              <w:top w:val="single" w:sz="12" w:space="0" w:color="auto"/>
              <w:left w:val="single" w:sz="12" w:space="0" w:color="auto"/>
              <w:bottom w:val="single" w:sz="12" w:space="0" w:color="auto"/>
            </w:tcBorders>
            <w:shd w:val="clear" w:color="auto" w:fill="1F497D" w:themeFill="text2"/>
          </w:tcPr>
          <w:p w14:paraId="2CA6FE3B" w14:textId="77777777" w:rsidR="006E6D94" w:rsidRPr="00D12DB3" w:rsidRDefault="006E6D94" w:rsidP="00077FBF">
            <w:pPr>
              <w:spacing w:after="0" w:line="240" w:lineRule="auto"/>
              <w:rPr>
                <w:rFonts w:asciiTheme="minorHAnsi" w:eastAsiaTheme="minorHAnsi" w:hAnsiTheme="minorHAnsi" w:cstheme="minorHAnsi"/>
                <w:b/>
                <w:color w:val="FFFFFF" w:themeColor="background1"/>
                <w:sz w:val="20"/>
              </w:rPr>
            </w:pPr>
            <w:r w:rsidRPr="00D12DB3">
              <w:rPr>
                <w:rFonts w:asciiTheme="minorHAnsi" w:eastAsiaTheme="minorHAnsi" w:hAnsiTheme="minorHAnsi" w:cstheme="minorHAnsi"/>
                <w:b/>
                <w:color w:val="FFFFFF" w:themeColor="background1"/>
                <w:sz w:val="20"/>
              </w:rPr>
              <w:t>PURPOSE</w:t>
            </w:r>
          </w:p>
        </w:tc>
      </w:tr>
      <w:tr w:rsidR="006E6D94" w:rsidRPr="00135151" w14:paraId="2CED31A7" w14:textId="77777777" w:rsidTr="00D6163D">
        <w:tc>
          <w:tcPr>
            <w:tcW w:w="1814" w:type="pct"/>
            <w:tcBorders>
              <w:right w:val="dotted" w:sz="8" w:space="0" w:color="auto"/>
            </w:tcBorders>
          </w:tcPr>
          <w:p w14:paraId="4BD5F480" w14:textId="77777777" w:rsidR="006E6D94" w:rsidRPr="00D12DB3" w:rsidRDefault="006E6D94" w:rsidP="00ED6C9C">
            <w:pPr>
              <w:spacing w:before="240" w:after="0"/>
              <w:rPr>
                <w:rFonts w:asciiTheme="minorHAnsi" w:eastAsiaTheme="minorHAnsi" w:hAnsiTheme="minorHAnsi" w:cstheme="minorHAnsi"/>
                <w:sz w:val="20"/>
              </w:rPr>
            </w:pPr>
            <w:r w:rsidRPr="00D12DB3">
              <w:rPr>
                <w:rFonts w:asciiTheme="minorHAnsi" w:hAnsiTheme="minorHAnsi" w:cstheme="minorHAnsi"/>
                <w:sz w:val="20"/>
              </w:rPr>
              <w:t>Native Title (Federal Court) Regulations 1998</w:t>
            </w:r>
          </w:p>
        </w:tc>
        <w:tc>
          <w:tcPr>
            <w:tcW w:w="3186" w:type="pct"/>
            <w:tcBorders>
              <w:left w:val="dotted" w:sz="8" w:space="0" w:color="auto"/>
            </w:tcBorders>
          </w:tcPr>
          <w:p w14:paraId="6A11C1EB" w14:textId="77777777" w:rsidR="006E6D94" w:rsidRPr="00D12DB3" w:rsidRDefault="006E6D94" w:rsidP="00ED6C9C">
            <w:pPr>
              <w:spacing w:before="240" w:after="0"/>
              <w:rPr>
                <w:rFonts w:asciiTheme="minorHAnsi" w:hAnsiTheme="minorHAnsi" w:cstheme="minorHAnsi"/>
                <w:color w:val="000000"/>
                <w:sz w:val="20"/>
                <w:shd w:val="clear" w:color="auto" w:fill="FFFFFF"/>
              </w:rPr>
            </w:pPr>
            <w:r w:rsidRPr="00D12DB3">
              <w:rPr>
                <w:rFonts w:asciiTheme="minorHAnsi" w:hAnsiTheme="minorHAnsi" w:cstheme="minorHAnsi"/>
                <w:sz w:val="20"/>
              </w:rPr>
              <w:t xml:space="preserve">Specifies </w:t>
            </w:r>
            <w:r w:rsidRPr="00D12DB3">
              <w:rPr>
                <w:rFonts w:asciiTheme="minorHAnsi" w:hAnsiTheme="minorHAnsi" w:cstheme="minorHAnsi"/>
                <w:b/>
                <w:sz w:val="20"/>
              </w:rPr>
              <w:t xml:space="preserve">requirements for </w:t>
            </w:r>
            <w:bookmarkStart w:id="64" w:name="_Toc175989587"/>
            <w:r w:rsidRPr="00D12DB3">
              <w:rPr>
                <w:rFonts w:asciiTheme="minorHAnsi" w:hAnsiTheme="minorHAnsi" w:cstheme="minorHAnsi"/>
                <w:b/>
                <w:color w:val="000000"/>
                <w:sz w:val="20"/>
                <w:shd w:val="clear" w:color="auto" w:fill="FFFFFF"/>
              </w:rPr>
              <w:t xml:space="preserve">native title and compensation </w:t>
            </w:r>
            <w:r w:rsidRPr="00D12DB3">
              <w:rPr>
                <w:rFonts w:asciiTheme="minorHAnsi" w:hAnsiTheme="minorHAnsi" w:cstheme="minorHAnsi"/>
                <w:b/>
                <w:sz w:val="20"/>
                <w:shd w:val="clear" w:color="auto" w:fill="FFFFFF"/>
              </w:rPr>
              <w:t>application Forms</w:t>
            </w:r>
            <w:bookmarkEnd w:id="64"/>
            <w:r w:rsidRPr="00D12DB3">
              <w:rPr>
                <w:rFonts w:asciiTheme="minorHAnsi" w:hAnsiTheme="minorHAnsi" w:cstheme="minorHAnsi"/>
                <w:color w:val="000000"/>
                <w:sz w:val="20"/>
                <w:shd w:val="clear" w:color="auto" w:fill="FFFFFF"/>
              </w:rPr>
              <w:t>:</w:t>
            </w:r>
          </w:p>
          <w:p w14:paraId="46493208" w14:textId="77777777" w:rsidR="006E6D94" w:rsidRPr="00D12DB3" w:rsidRDefault="006E6D94" w:rsidP="00077FBF">
            <w:pPr>
              <w:pStyle w:val="ListParagraph"/>
              <w:numPr>
                <w:ilvl w:val="0"/>
                <w:numId w:val="32"/>
              </w:numPr>
              <w:spacing w:after="0"/>
              <w:contextualSpacing w:val="0"/>
              <w:rPr>
                <w:rFonts w:asciiTheme="minorHAnsi" w:hAnsiTheme="minorHAnsi" w:cstheme="minorHAnsi"/>
                <w:sz w:val="20"/>
              </w:rPr>
            </w:pPr>
            <w:r w:rsidRPr="00D12DB3">
              <w:rPr>
                <w:rFonts w:asciiTheme="minorHAnsi" w:hAnsiTheme="minorHAnsi" w:cstheme="minorHAnsi"/>
                <w:sz w:val="20"/>
              </w:rPr>
              <w:t xml:space="preserve">Form 1 - Native title determination application — claimant application </w:t>
            </w:r>
          </w:p>
          <w:p w14:paraId="011138B3" w14:textId="3E2170D5" w:rsidR="006E6D94" w:rsidRPr="00D12DB3" w:rsidRDefault="006E6D94" w:rsidP="00077FBF">
            <w:pPr>
              <w:pStyle w:val="ListParagraph"/>
              <w:numPr>
                <w:ilvl w:val="0"/>
                <w:numId w:val="34"/>
              </w:numPr>
              <w:spacing w:after="0"/>
              <w:contextualSpacing w:val="0"/>
              <w:rPr>
                <w:rFonts w:asciiTheme="minorHAnsi" w:hAnsiTheme="minorHAnsi" w:cstheme="minorHAnsi"/>
                <w:sz w:val="20"/>
              </w:rPr>
            </w:pPr>
            <w:r w:rsidRPr="00D12DB3">
              <w:rPr>
                <w:rFonts w:asciiTheme="minorHAnsi" w:hAnsiTheme="minorHAnsi" w:cstheme="minorHAnsi"/>
                <w:sz w:val="20"/>
              </w:rPr>
              <w:t>Form 2 - Native title determination application — non</w:t>
            </w:r>
            <w:r w:rsidRPr="00D12DB3">
              <w:rPr>
                <w:rFonts w:asciiTheme="minorHAnsi" w:hAnsiTheme="minorHAnsi" w:cstheme="minorHAnsi"/>
                <w:sz w:val="20"/>
              </w:rPr>
              <w:noBreakHyphen/>
              <w:t xml:space="preserve">claimant application </w:t>
            </w:r>
          </w:p>
          <w:p w14:paraId="0CB8CBB3" w14:textId="23F28062" w:rsidR="006E6D94" w:rsidRPr="00D12DB3" w:rsidRDefault="006E6D94" w:rsidP="00077FBF">
            <w:pPr>
              <w:pStyle w:val="ListParagraph"/>
              <w:numPr>
                <w:ilvl w:val="0"/>
                <w:numId w:val="34"/>
              </w:numPr>
              <w:spacing w:after="0"/>
              <w:contextualSpacing w:val="0"/>
              <w:rPr>
                <w:rFonts w:asciiTheme="minorHAnsi" w:hAnsiTheme="minorHAnsi" w:cstheme="minorHAnsi"/>
                <w:sz w:val="20"/>
              </w:rPr>
            </w:pPr>
            <w:r w:rsidRPr="00D12DB3">
              <w:rPr>
                <w:rFonts w:asciiTheme="minorHAnsi" w:hAnsiTheme="minorHAnsi" w:cstheme="minorHAnsi"/>
                <w:sz w:val="20"/>
              </w:rPr>
              <w:t>Form 3 - Revised native title determination application</w:t>
            </w:r>
          </w:p>
          <w:p w14:paraId="286B4D00" w14:textId="77777777" w:rsidR="006E6D94" w:rsidRPr="00D12DB3" w:rsidRDefault="006E6D94" w:rsidP="00077FBF">
            <w:pPr>
              <w:pStyle w:val="ListParagraph"/>
              <w:numPr>
                <w:ilvl w:val="0"/>
                <w:numId w:val="34"/>
              </w:numPr>
              <w:spacing w:after="0"/>
              <w:contextualSpacing w:val="0"/>
              <w:rPr>
                <w:rFonts w:asciiTheme="minorHAnsi" w:hAnsiTheme="minorHAnsi" w:cstheme="minorHAnsi"/>
                <w:sz w:val="20"/>
              </w:rPr>
            </w:pPr>
            <w:r w:rsidRPr="00D12DB3">
              <w:rPr>
                <w:rFonts w:asciiTheme="minorHAnsi" w:hAnsiTheme="minorHAnsi" w:cstheme="minorHAnsi"/>
                <w:sz w:val="20"/>
              </w:rPr>
              <w:t xml:space="preserve">Form 4 – Compensation application </w:t>
            </w:r>
          </w:p>
          <w:p w14:paraId="3775B61B" w14:textId="56E9D1BA" w:rsidR="006E6D94" w:rsidRPr="00D12DB3" w:rsidRDefault="006E6D94" w:rsidP="00077FBF">
            <w:pPr>
              <w:pStyle w:val="ListParagraph"/>
              <w:numPr>
                <w:ilvl w:val="0"/>
                <w:numId w:val="34"/>
              </w:numPr>
              <w:spacing w:after="0"/>
              <w:contextualSpacing w:val="0"/>
              <w:rPr>
                <w:rFonts w:asciiTheme="minorHAnsi" w:hAnsiTheme="minorHAnsi" w:cstheme="minorHAnsi"/>
                <w:sz w:val="20"/>
              </w:rPr>
            </w:pPr>
            <w:r w:rsidRPr="00D12DB3">
              <w:rPr>
                <w:rFonts w:asciiTheme="minorHAnsi" w:hAnsiTheme="minorHAnsi" w:cstheme="minorHAnsi"/>
                <w:sz w:val="20"/>
              </w:rPr>
              <w:t>Form 5 -Notice of intention to become a party to an application</w:t>
            </w:r>
          </w:p>
          <w:p w14:paraId="39D7F560" w14:textId="6329488A" w:rsidR="006E6D94" w:rsidRPr="00D12DB3" w:rsidRDefault="006E6D94" w:rsidP="00ED6C9C">
            <w:pPr>
              <w:spacing w:after="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 xml:space="preserve">It also specifies that notice under </w:t>
            </w:r>
            <w:r w:rsidR="00ED6C9C">
              <w:rPr>
                <w:rFonts w:asciiTheme="minorHAnsi" w:hAnsiTheme="minorHAnsi" w:cstheme="minorHAnsi"/>
                <w:color w:val="000000"/>
                <w:sz w:val="20"/>
                <w:shd w:val="clear" w:color="auto" w:fill="FFFFFF"/>
              </w:rPr>
              <w:t xml:space="preserve">section </w:t>
            </w:r>
            <w:r w:rsidRPr="00D12DB3">
              <w:rPr>
                <w:rFonts w:asciiTheme="minorHAnsi" w:hAnsiTheme="minorHAnsi" w:cstheme="minorHAnsi"/>
                <w:color w:val="000000"/>
                <w:sz w:val="20"/>
                <w:shd w:val="clear" w:color="auto" w:fill="FFFFFF"/>
              </w:rPr>
              <w:t xml:space="preserve">84(3)(b) of </w:t>
            </w:r>
            <w:r w:rsidR="00F47929">
              <w:rPr>
                <w:rFonts w:asciiTheme="minorHAnsi" w:hAnsiTheme="minorHAnsi" w:cstheme="minorHAnsi"/>
                <w:color w:val="000000"/>
                <w:sz w:val="20"/>
                <w:shd w:val="clear" w:color="auto" w:fill="FFFFFF"/>
              </w:rPr>
              <w:t>the NT Act</w:t>
            </w:r>
            <w:r w:rsidRPr="00D12DB3">
              <w:rPr>
                <w:rFonts w:asciiTheme="minorHAnsi" w:hAnsiTheme="minorHAnsi" w:cstheme="minorHAnsi"/>
                <w:color w:val="000000"/>
                <w:sz w:val="20"/>
                <w:shd w:val="clear" w:color="auto" w:fill="FFFFFF"/>
              </w:rPr>
              <w:t xml:space="preserve"> may be given in accordance with Form 5.</w:t>
            </w:r>
          </w:p>
        </w:tc>
      </w:tr>
      <w:tr w:rsidR="003919BD" w:rsidRPr="00135151" w14:paraId="5D0A0B93" w14:textId="77777777" w:rsidTr="00D6163D">
        <w:tc>
          <w:tcPr>
            <w:tcW w:w="1814" w:type="pct"/>
            <w:tcBorders>
              <w:right w:val="dotted" w:sz="8" w:space="0" w:color="auto"/>
            </w:tcBorders>
          </w:tcPr>
          <w:p w14:paraId="155EEE74" w14:textId="39DD3822" w:rsidR="003919BD" w:rsidRPr="00D12DB3" w:rsidRDefault="003919BD" w:rsidP="00ED6C9C">
            <w:pPr>
              <w:spacing w:before="240" w:after="0"/>
              <w:rPr>
                <w:rFonts w:asciiTheme="minorHAnsi" w:hAnsiTheme="minorHAnsi" w:cstheme="minorHAnsi"/>
                <w:sz w:val="20"/>
              </w:rPr>
            </w:pPr>
            <w:r w:rsidRPr="00D12DB3">
              <w:rPr>
                <w:rFonts w:asciiTheme="minorHAnsi" w:hAnsiTheme="minorHAnsi" w:cstheme="minorHAnsi"/>
                <w:sz w:val="20"/>
              </w:rPr>
              <w:t>Native Title (Tribunal) Regulations 1993</w:t>
            </w:r>
          </w:p>
        </w:tc>
        <w:tc>
          <w:tcPr>
            <w:tcW w:w="3186" w:type="pct"/>
            <w:tcBorders>
              <w:left w:val="dotted" w:sz="8" w:space="0" w:color="auto"/>
            </w:tcBorders>
          </w:tcPr>
          <w:p w14:paraId="76BF3E46" w14:textId="77777777" w:rsidR="003919BD" w:rsidRPr="00D12DB3" w:rsidRDefault="003919BD" w:rsidP="007F3CA4">
            <w:pPr>
              <w:spacing w:before="240" w:after="0"/>
              <w:rPr>
                <w:rFonts w:asciiTheme="minorHAnsi" w:hAnsiTheme="minorHAnsi" w:cstheme="minorHAnsi"/>
                <w:sz w:val="20"/>
              </w:rPr>
            </w:pPr>
            <w:r w:rsidRPr="00D12DB3">
              <w:rPr>
                <w:rFonts w:asciiTheme="minorHAnsi" w:hAnsiTheme="minorHAnsi" w:cstheme="minorHAnsi"/>
                <w:sz w:val="20"/>
              </w:rPr>
              <w:t xml:space="preserve">Specifies requirements for </w:t>
            </w:r>
            <w:r w:rsidRPr="00D12DB3">
              <w:rPr>
                <w:rFonts w:asciiTheme="minorHAnsi" w:hAnsiTheme="minorHAnsi" w:cstheme="minorHAnsi"/>
                <w:b/>
                <w:sz w:val="20"/>
              </w:rPr>
              <w:t>Forms in relation to right to negotiate applications</w:t>
            </w:r>
            <w:r w:rsidRPr="00D12DB3">
              <w:rPr>
                <w:rFonts w:asciiTheme="minorHAnsi" w:hAnsiTheme="minorHAnsi" w:cstheme="minorHAnsi"/>
                <w:sz w:val="20"/>
              </w:rPr>
              <w:t>:</w:t>
            </w:r>
          </w:p>
          <w:p w14:paraId="21C5000A" w14:textId="77777777" w:rsidR="003919BD" w:rsidRPr="00D12DB3" w:rsidRDefault="003919BD" w:rsidP="00077FBF">
            <w:pPr>
              <w:pStyle w:val="ListParagraph"/>
              <w:numPr>
                <w:ilvl w:val="0"/>
                <w:numId w:val="32"/>
              </w:numPr>
              <w:spacing w:after="0"/>
              <w:contextualSpacing w:val="0"/>
              <w:rPr>
                <w:rFonts w:asciiTheme="minorHAnsi" w:hAnsiTheme="minorHAnsi" w:cstheme="minorHAnsi"/>
                <w:color w:val="000000"/>
                <w:sz w:val="20"/>
                <w:shd w:val="clear" w:color="auto" w:fill="FFFFFF"/>
              </w:rPr>
            </w:pPr>
            <w:r w:rsidRPr="00D12DB3">
              <w:rPr>
                <w:rFonts w:asciiTheme="minorHAnsi" w:hAnsiTheme="minorHAnsi" w:cstheme="minorHAnsi"/>
                <w:sz w:val="20"/>
              </w:rPr>
              <w:t xml:space="preserve">Form 4- </w:t>
            </w:r>
            <w:r w:rsidRPr="00D12DB3">
              <w:rPr>
                <w:rFonts w:asciiTheme="minorHAnsi" w:hAnsiTheme="minorHAnsi" w:cstheme="minorHAnsi"/>
                <w:color w:val="000000"/>
                <w:sz w:val="20"/>
                <w:shd w:val="clear" w:color="auto" w:fill="FFFFFF"/>
              </w:rPr>
              <w:t>Objection to inclusion in an expedited procedure application</w:t>
            </w:r>
          </w:p>
          <w:p w14:paraId="1D9F35CF" w14:textId="77777777" w:rsidR="003919BD" w:rsidRPr="00D12DB3" w:rsidRDefault="003919BD" w:rsidP="00077FBF">
            <w:pPr>
              <w:pStyle w:val="ListParagraph"/>
              <w:numPr>
                <w:ilvl w:val="0"/>
                <w:numId w:val="32"/>
              </w:numPr>
              <w:spacing w:after="0"/>
              <w:contextualSpacing w:val="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Form 5 - Future act determination application  </w:t>
            </w:r>
          </w:p>
          <w:p w14:paraId="7FE0062F" w14:textId="77777777" w:rsidR="003919BD" w:rsidRPr="00D12DB3" w:rsidRDefault="003919BD" w:rsidP="00077FBF">
            <w:pPr>
              <w:pStyle w:val="ListParagraph"/>
              <w:numPr>
                <w:ilvl w:val="0"/>
                <w:numId w:val="32"/>
              </w:numPr>
              <w:spacing w:after="0"/>
              <w:contextualSpacing w:val="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Form 6- Notice of intention to become a party to an application </w:t>
            </w:r>
          </w:p>
          <w:p w14:paraId="505A3DEC" w14:textId="2C37BECF" w:rsidR="003919BD" w:rsidRPr="00D12DB3" w:rsidRDefault="003919BD" w:rsidP="00077FBF">
            <w:pPr>
              <w:pStyle w:val="ListParagraph"/>
              <w:numPr>
                <w:ilvl w:val="0"/>
                <w:numId w:val="32"/>
              </w:numPr>
              <w:spacing w:after="0"/>
              <w:contextualSpacing w:val="0"/>
              <w:rPr>
                <w:rFonts w:asciiTheme="minorHAnsi" w:eastAsiaTheme="minorHAnsi" w:hAnsiTheme="minorHAnsi" w:cstheme="minorHAnsi"/>
                <w:color w:val="0070C0"/>
                <w:sz w:val="20"/>
              </w:rPr>
            </w:pPr>
            <w:r w:rsidRPr="00D12DB3">
              <w:rPr>
                <w:rFonts w:asciiTheme="minorHAnsi" w:hAnsiTheme="minorHAnsi" w:cstheme="minorHAnsi"/>
                <w:color w:val="000000"/>
                <w:sz w:val="20"/>
                <w:shd w:val="clear" w:color="auto" w:fill="FFFFFF"/>
              </w:rPr>
              <w:t>Form 7 - Summons to give evidence</w:t>
            </w:r>
          </w:p>
          <w:p w14:paraId="31066286" w14:textId="77777777" w:rsidR="003919BD" w:rsidRPr="00D12DB3" w:rsidRDefault="003919BD" w:rsidP="00077FBF">
            <w:pPr>
              <w:spacing w:after="0"/>
              <w:rPr>
                <w:rFonts w:asciiTheme="minorHAnsi" w:hAnsiTheme="minorHAnsi" w:cstheme="minorHAnsi"/>
                <w:sz w:val="20"/>
              </w:rPr>
            </w:pPr>
            <w:r w:rsidRPr="00D12DB3">
              <w:rPr>
                <w:rFonts w:asciiTheme="minorHAnsi" w:hAnsiTheme="minorHAnsi" w:cstheme="minorHAnsi"/>
                <w:sz w:val="20"/>
              </w:rPr>
              <w:t>It also specifies related procedures in relation to:</w:t>
            </w:r>
          </w:p>
          <w:p w14:paraId="5CFE75B6" w14:textId="77777777" w:rsidR="003919BD" w:rsidRPr="00D12DB3" w:rsidRDefault="003919BD" w:rsidP="00077FBF">
            <w:pPr>
              <w:pStyle w:val="ListParagraph"/>
              <w:numPr>
                <w:ilvl w:val="0"/>
                <w:numId w:val="31"/>
              </w:numPr>
              <w:spacing w:after="0"/>
              <w:contextualSpacing w:val="0"/>
              <w:rPr>
                <w:rFonts w:asciiTheme="minorHAnsi" w:hAnsiTheme="minorHAnsi" w:cstheme="minorHAnsi"/>
                <w:sz w:val="20"/>
              </w:rPr>
            </w:pPr>
            <w:r w:rsidRPr="00D12DB3">
              <w:rPr>
                <w:rFonts w:asciiTheme="minorHAnsi" w:hAnsiTheme="minorHAnsi" w:cstheme="minorHAnsi"/>
                <w:sz w:val="20"/>
              </w:rPr>
              <w:t>Payment, waiver and refund of fees</w:t>
            </w:r>
          </w:p>
          <w:p w14:paraId="1568C42F" w14:textId="77777777" w:rsidR="00ED6C9C" w:rsidRDefault="003919BD" w:rsidP="00077FBF">
            <w:pPr>
              <w:pStyle w:val="ListParagraph"/>
              <w:numPr>
                <w:ilvl w:val="0"/>
                <w:numId w:val="31"/>
              </w:numPr>
              <w:spacing w:after="0"/>
              <w:contextualSpacing w:val="0"/>
              <w:rPr>
                <w:rFonts w:asciiTheme="minorHAnsi" w:hAnsiTheme="minorHAnsi" w:cstheme="minorHAnsi"/>
                <w:sz w:val="20"/>
              </w:rPr>
            </w:pPr>
            <w:r w:rsidRPr="00D12DB3">
              <w:rPr>
                <w:rFonts w:asciiTheme="minorHAnsi" w:hAnsiTheme="minorHAnsi" w:cstheme="minorHAnsi"/>
                <w:sz w:val="20"/>
              </w:rPr>
              <w:t>Notification of parties in relation to applications</w:t>
            </w:r>
          </w:p>
          <w:p w14:paraId="75EE9654" w14:textId="6F3B0B59" w:rsidR="003919BD" w:rsidRPr="00ED6C9C" w:rsidRDefault="00ED6C9C" w:rsidP="00ED6C9C">
            <w:pPr>
              <w:pStyle w:val="ListParagraph"/>
              <w:numPr>
                <w:ilvl w:val="0"/>
                <w:numId w:val="31"/>
              </w:numPr>
              <w:spacing w:after="0"/>
              <w:contextualSpacing w:val="0"/>
              <w:rPr>
                <w:rFonts w:asciiTheme="minorHAnsi" w:hAnsiTheme="minorHAnsi" w:cstheme="minorHAnsi"/>
                <w:sz w:val="20"/>
              </w:rPr>
            </w:pPr>
            <w:r>
              <w:rPr>
                <w:rFonts w:asciiTheme="minorHAnsi" w:hAnsiTheme="minorHAnsi" w:cstheme="minorHAnsi"/>
                <w:sz w:val="20"/>
              </w:rPr>
              <w:t>S</w:t>
            </w:r>
            <w:r w:rsidR="003919BD" w:rsidRPr="00ED6C9C">
              <w:rPr>
                <w:rFonts w:asciiTheme="minorHAnsi" w:hAnsiTheme="minorHAnsi" w:cstheme="minorHAnsi"/>
                <w:sz w:val="20"/>
              </w:rPr>
              <w:t xml:space="preserve">ummons and service </w:t>
            </w:r>
          </w:p>
        </w:tc>
      </w:tr>
      <w:tr w:rsidR="003919BD" w:rsidRPr="00135151" w14:paraId="6879D34D" w14:textId="77777777" w:rsidTr="00D6163D">
        <w:tc>
          <w:tcPr>
            <w:tcW w:w="1814" w:type="pct"/>
            <w:tcBorders>
              <w:right w:val="dotted" w:sz="8" w:space="0" w:color="auto"/>
            </w:tcBorders>
          </w:tcPr>
          <w:p w14:paraId="2545FC5F" w14:textId="30FEAFA0" w:rsidR="003919BD" w:rsidRPr="00D12DB3" w:rsidRDefault="003919BD" w:rsidP="00ED6C9C">
            <w:pPr>
              <w:spacing w:before="240" w:after="0"/>
              <w:rPr>
                <w:rFonts w:asciiTheme="minorHAnsi" w:hAnsiTheme="minorHAnsi" w:cstheme="minorHAnsi"/>
                <w:sz w:val="20"/>
              </w:rPr>
            </w:pPr>
            <w:r w:rsidRPr="00D12DB3">
              <w:rPr>
                <w:rFonts w:asciiTheme="minorHAnsi" w:hAnsiTheme="minorHAnsi" w:cstheme="minorHAnsi"/>
                <w:sz w:val="20"/>
              </w:rPr>
              <w:t>Native Title (Indigenous Land Use Agreements) Regulations 1999</w:t>
            </w:r>
          </w:p>
        </w:tc>
        <w:tc>
          <w:tcPr>
            <w:tcW w:w="3186" w:type="pct"/>
            <w:tcBorders>
              <w:left w:val="dotted" w:sz="8" w:space="0" w:color="auto"/>
            </w:tcBorders>
          </w:tcPr>
          <w:p w14:paraId="35A46C5C" w14:textId="77777777" w:rsidR="003919BD" w:rsidRPr="00D12DB3" w:rsidRDefault="003919BD" w:rsidP="007F3CA4">
            <w:pPr>
              <w:spacing w:before="240" w:after="0"/>
              <w:rPr>
                <w:rFonts w:asciiTheme="minorHAnsi" w:hAnsiTheme="minorHAnsi" w:cstheme="minorHAnsi"/>
                <w:sz w:val="20"/>
              </w:rPr>
            </w:pPr>
            <w:r w:rsidRPr="00D12DB3">
              <w:rPr>
                <w:rFonts w:asciiTheme="minorHAnsi" w:hAnsiTheme="minorHAnsi" w:cstheme="minorHAnsi"/>
                <w:sz w:val="20"/>
              </w:rPr>
              <w:t xml:space="preserve">Specifies requirements for </w:t>
            </w:r>
            <w:r w:rsidRPr="00D12DB3">
              <w:rPr>
                <w:rFonts w:asciiTheme="minorHAnsi" w:hAnsiTheme="minorHAnsi" w:cstheme="minorHAnsi"/>
                <w:b/>
                <w:sz w:val="20"/>
              </w:rPr>
              <w:t>applications for registration of Indigenous Land Use Agreements (ILUAs)</w:t>
            </w:r>
            <w:r w:rsidRPr="00D12DB3">
              <w:rPr>
                <w:rFonts w:asciiTheme="minorHAnsi" w:hAnsiTheme="minorHAnsi" w:cstheme="minorHAnsi"/>
                <w:sz w:val="20"/>
              </w:rPr>
              <w:t xml:space="preserve">, being: </w:t>
            </w:r>
          </w:p>
          <w:p w14:paraId="7FDDDA16" w14:textId="77777777" w:rsidR="003919BD" w:rsidRPr="00D12DB3" w:rsidRDefault="003919BD" w:rsidP="00077FBF">
            <w:pPr>
              <w:pStyle w:val="ListParagraph"/>
              <w:numPr>
                <w:ilvl w:val="0"/>
                <w:numId w:val="33"/>
              </w:numPr>
              <w:spacing w:after="0"/>
              <w:contextualSpacing w:val="0"/>
              <w:rPr>
                <w:rFonts w:asciiTheme="minorHAnsi" w:hAnsiTheme="minorHAnsi" w:cstheme="minorHAnsi"/>
                <w:sz w:val="20"/>
              </w:rPr>
            </w:pPr>
            <w:r w:rsidRPr="00D12DB3">
              <w:rPr>
                <w:rFonts w:asciiTheme="minorHAnsi" w:hAnsiTheme="minorHAnsi" w:cstheme="minorHAnsi"/>
                <w:sz w:val="20"/>
              </w:rPr>
              <w:t>body corporate ILUAs</w:t>
            </w:r>
          </w:p>
          <w:p w14:paraId="7D0487EF" w14:textId="77777777" w:rsidR="003919BD" w:rsidRPr="00D12DB3" w:rsidRDefault="003919BD" w:rsidP="00077FBF">
            <w:pPr>
              <w:pStyle w:val="ListParagraph"/>
              <w:numPr>
                <w:ilvl w:val="0"/>
                <w:numId w:val="33"/>
              </w:numPr>
              <w:spacing w:after="0"/>
              <w:contextualSpacing w:val="0"/>
              <w:rPr>
                <w:rFonts w:asciiTheme="minorHAnsi" w:hAnsiTheme="minorHAnsi" w:cstheme="minorHAnsi"/>
                <w:sz w:val="20"/>
              </w:rPr>
            </w:pPr>
            <w:r w:rsidRPr="00D12DB3">
              <w:rPr>
                <w:rFonts w:asciiTheme="minorHAnsi" w:hAnsiTheme="minorHAnsi" w:cstheme="minorHAnsi"/>
                <w:sz w:val="20"/>
              </w:rPr>
              <w:t>area ILUAs</w:t>
            </w:r>
          </w:p>
          <w:p w14:paraId="31DFC51A" w14:textId="09FF130C" w:rsidR="003919BD" w:rsidRPr="00D12DB3" w:rsidRDefault="003919BD" w:rsidP="00077FBF">
            <w:pPr>
              <w:pStyle w:val="ListParagraph"/>
              <w:numPr>
                <w:ilvl w:val="0"/>
                <w:numId w:val="33"/>
              </w:numPr>
              <w:spacing w:after="0"/>
              <w:contextualSpacing w:val="0"/>
              <w:rPr>
                <w:rFonts w:asciiTheme="minorHAnsi" w:hAnsiTheme="minorHAnsi" w:cstheme="minorHAnsi"/>
                <w:sz w:val="20"/>
              </w:rPr>
            </w:pPr>
            <w:r w:rsidRPr="00D12DB3">
              <w:rPr>
                <w:rFonts w:asciiTheme="minorHAnsi" w:hAnsiTheme="minorHAnsi" w:cstheme="minorHAnsi"/>
                <w:sz w:val="20"/>
              </w:rPr>
              <w:t xml:space="preserve">alternative procedure agreements </w:t>
            </w:r>
          </w:p>
          <w:p w14:paraId="08EF897A" w14:textId="4D322B8B" w:rsidR="003919BD" w:rsidRPr="00ED6C9C" w:rsidRDefault="003919BD" w:rsidP="00077FBF">
            <w:pPr>
              <w:spacing w:after="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It also specifies the requirements for Form 1 - Application objecting against registration of alternative procedure agreement</w:t>
            </w:r>
          </w:p>
        </w:tc>
      </w:tr>
      <w:tr w:rsidR="003919BD" w:rsidRPr="00135151" w14:paraId="11A2C995" w14:textId="77777777" w:rsidTr="00D6163D">
        <w:tc>
          <w:tcPr>
            <w:tcW w:w="1814" w:type="pct"/>
            <w:tcBorders>
              <w:right w:val="dotted" w:sz="8" w:space="0" w:color="auto"/>
            </w:tcBorders>
          </w:tcPr>
          <w:p w14:paraId="22969BFA" w14:textId="77777777" w:rsidR="003919BD" w:rsidRPr="00D12DB3" w:rsidRDefault="003919BD" w:rsidP="007F3CA4">
            <w:pPr>
              <w:spacing w:before="240" w:after="0"/>
              <w:rPr>
                <w:rFonts w:asciiTheme="minorHAnsi" w:eastAsiaTheme="minorHAnsi" w:hAnsiTheme="minorHAnsi" w:cstheme="minorHAnsi"/>
                <w:sz w:val="20"/>
              </w:rPr>
            </w:pPr>
            <w:r w:rsidRPr="00D12DB3">
              <w:rPr>
                <w:rFonts w:asciiTheme="minorHAnsi" w:hAnsiTheme="minorHAnsi" w:cstheme="minorHAnsi"/>
                <w:sz w:val="20"/>
              </w:rPr>
              <w:t>Native Title (Notices) Determination 2011 (No.1)</w:t>
            </w:r>
          </w:p>
        </w:tc>
        <w:tc>
          <w:tcPr>
            <w:tcW w:w="3186" w:type="pct"/>
            <w:tcBorders>
              <w:left w:val="dotted" w:sz="8" w:space="0" w:color="auto"/>
            </w:tcBorders>
          </w:tcPr>
          <w:p w14:paraId="06EA842A" w14:textId="0D11F444" w:rsidR="003919BD" w:rsidRPr="00D12DB3" w:rsidRDefault="003919BD" w:rsidP="007F3CA4">
            <w:pPr>
              <w:spacing w:before="240" w:after="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 xml:space="preserve">Specifies </w:t>
            </w:r>
            <w:r w:rsidRPr="00D12DB3">
              <w:rPr>
                <w:rFonts w:asciiTheme="minorHAnsi" w:hAnsiTheme="minorHAnsi" w:cstheme="minorHAnsi"/>
                <w:b/>
                <w:sz w:val="20"/>
                <w:shd w:val="clear" w:color="auto" w:fill="FFFFFF"/>
              </w:rPr>
              <w:t xml:space="preserve">requirements for providing notice </w:t>
            </w:r>
            <w:r w:rsidRPr="00D12DB3">
              <w:rPr>
                <w:rFonts w:asciiTheme="minorHAnsi" w:hAnsiTheme="minorHAnsi" w:cstheme="minorHAnsi"/>
                <w:b/>
                <w:color w:val="000000"/>
                <w:sz w:val="20"/>
                <w:shd w:val="clear" w:color="auto" w:fill="FFFFFF"/>
              </w:rPr>
              <w:t xml:space="preserve">under </w:t>
            </w:r>
            <w:r>
              <w:rPr>
                <w:rFonts w:asciiTheme="minorHAnsi" w:hAnsiTheme="minorHAnsi" w:cstheme="minorHAnsi"/>
                <w:b/>
                <w:color w:val="000000"/>
                <w:sz w:val="20"/>
                <w:shd w:val="clear" w:color="auto" w:fill="FFFFFF"/>
              </w:rPr>
              <w:t>the NT Act</w:t>
            </w:r>
            <w:r w:rsidRPr="00D12DB3">
              <w:rPr>
                <w:rFonts w:asciiTheme="minorHAnsi" w:hAnsiTheme="minorHAnsi" w:cstheme="minorHAnsi"/>
                <w:color w:val="000000"/>
                <w:sz w:val="20"/>
                <w:shd w:val="clear" w:color="auto" w:fill="FFFFFF"/>
              </w:rPr>
              <w:t>, including when and how notice must be provided:</w:t>
            </w:r>
          </w:p>
          <w:p w14:paraId="6DDCF787" w14:textId="437A3C14" w:rsidR="003919BD" w:rsidRPr="00D12DB3" w:rsidRDefault="003919BD" w:rsidP="00077FBF">
            <w:pPr>
              <w:pStyle w:val="ListParagraph"/>
              <w:numPr>
                <w:ilvl w:val="0"/>
                <w:numId w:val="34"/>
              </w:numPr>
              <w:spacing w:after="0"/>
              <w:contextualSpacing w:val="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Under s</w:t>
            </w:r>
            <w:r w:rsidR="007F3CA4">
              <w:rPr>
                <w:rFonts w:asciiTheme="minorHAnsi" w:hAnsiTheme="minorHAnsi" w:cstheme="minorHAnsi"/>
                <w:color w:val="000000"/>
                <w:sz w:val="20"/>
                <w:shd w:val="clear" w:color="auto" w:fill="FFFFFF"/>
              </w:rPr>
              <w:t xml:space="preserve"> </w:t>
            </w:r>
            <w:r w:rsidRPr="00D12DB3">
              <w:rPr>
                <w:rFonts w:asciiTheme="minorHAnsi" w:hAnsiTheme="minorHAnsi" w:cstheme="minorHAnsi"/>
                <w:color w:val="000000"/>
                <w:sz w:val="20"/>
                <w:shd w:val="clear" w:color="auto" w:fill="FFFFFF"/>
              </w:rPr>
              <w:t>22H for validation of acts attributable to a State or Territory</w:t>
            </w:r>
          </w:p>
          <w:p w14:paraId="5110DFB1" w14:textId="77777777" w:rsidR="003919BD" w:rsidRPr="00D12DB3" w:rsidRDefault="003919BD" w:rsidP="00077FBF">
            <w:pPr>
              <w:pStyle w:val="ListParagraph"/>
              <w:numPr>
                <w:ilvl w:val="0"/>
                <w:numId w:val="34"/>
              </w:numPr>
              <w:spacing w:after="0"/>
              <w:contextualSpacing w:val="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 xml:space="preserve">By advertisement (including in newspapers and </w:t>
            </w:r>
            <w:r w:rsidRPr="00D12DB3">
              <w:rPr>
                <w:rFonts w:asciiTheme="minorHAnsi" w:hAnsiTheme="minorHAnsi" w:cstheme="minorHAnsi"/>
                <w:i/>
                <w:color w:val="000000"/>
                <w:sz w:val="20"/>
                <w:shd w:val="clear" w:color="auto" w:fill="FFFFFF"/>
              </w:rPr>
              <w:t>Gazettes</w:t>
            </w:r>
            <w:r w:rsidRPr="00D12DB3">
              <w:rPr>
                <w:rFonts w:asciiTheme="minorHAnsi" w:hAnsiTheme="minorHAnsi" w:cstheme="minorHAnsi"/>
                <w:color w:val="000000"/>
                <w:sz w:val="20"/>
                <w:shd w:val="clear" w:color="auto" w:fill="FFFFFF"/>
              </w:rPr>
              <w:t>)</w:t>
            </w:r>
            <w:r w:rsidRPr="00D12DB3">
              <w:rPr>
                <w:rFonts w:asciiTheme="minorHAnsi" w:hAnsiTheme="minorHAnsi" w:cstheme="minorHAnsi"/>
                <w:i/>
                <w:color w:val="000000"/>
                <w:sz w:val="20"/>
                <w:shd w:val="clear" w:color="auto" w:fill="FFFFFF"/>
              </w:rPr>
              <w:t xml:space="preserve"> </w:t>
            </w:r>
          </w:p>
          <w:p w14:paraId="0F6267A4" w14:textId="77777777" w:rsidR="003919BD" w:rsidRPr="00D12DB3" w:rsidRDefault="003919BD" w:rsidP="00077FBF">
            <w:pPr>
              <w:pStyle w:val="ListParagraph"/>
              <w:numPr>
                <w:ilvl w:val="0"/>
                <w:numId w:val="34"/>
              </w:numPr>
              <w:spacing w:after="0"/>
              <w:contextualSpacing w:val="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By broadcasting (including radio or television)</w:t>
            </w:r>
          </w:p>
          <w:p w14:paraId="4D2EA5FD" w14:textId="77777777" w:rsidR="003919BD" w:rsidRPr="00D12DB3" w:rsidRDefault="003919BD" w:rsidP="00077FBF">
            <w:pPr>
              <w:pStyle w:val="ListParagraph"/>
              <w:numPr>
                <w:ilvl w:val="0"/>
                <w:numId w:val="34"/>
              </w:numPr>
              <w:spacing w:after="0"/>
              <w:contextualSpacing w:val="0"/>
              <w:rPr>
                <w:rFonts w:asciiTheme="minorHAnsi" w:hAnsiTheme="minorHAnsi" w:cstheme="minorHAnsi"/>
                <w:color w:val="000000"/>
                <w:sz w:val="20"/>
                <w:shd w:val="clear" w:color="auto" w:fill="FFFFFF"/>
              </w:rPr>
            </w:pPr>
            <w:r w:rsidRPr="00D12DB3">
              <w:rPr>
                <w:rFonts w:asciiTheme="minorHAnsi" w:hAnsiTheme="minorHAnsi" w:cstheme="minorHAnsi"/>
                <w:color w:val="000000"/>
                <w:sz w:val="20"/>
                <w:shd w:val="clear" w:color="auto" w:fill="FFFFFF"/>
              </w:rPr>
              <w:t>By post</w:t>
            </w:r>
          </w:p>
        </w:tc>
      </w:tr>
    </w:tbl>
    <w:p w14:paraId="6F0BF491" w14:textId="77777777" w:rsidR="006E6D94" w:rsidRPr="006E6D94" w:rsidRDefault="006E6D94" w:rsidP="00C96DAE">
      <w:pPr>
        <w:spacing w:after="120"/>
      </w:pPr>
    </w:p>
    <w:sectPr w:rsidR="006E6D94" w:rsidRPr="006E6D94" w:rsidSect="00CC4C50">
      <w:pgSz w:w="12240" w:h="15840"/>
      <w:pgMar w:top="532" w:right="964" w:bottom="964" w:left="96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5F27" w14:textId="77777777" w:rsidR="00B44345" w:rsidRDefault="00B44345" w:rsidP="006150CB">
      <w:r>
        <w:separator/>
      </w:r>
    </w:p>
  </w:endnote>
  <w:endnote w:type="continuationSeparator" w:id="0">
    <w:p w14:paraId="61A43A0A" w14:textId="77777777" w:rsidR="00B44345" w:rsidRDefault="00B44345" w:rsidP="006150CB">
      <w:r>
        <w:continuationSeparator/>
      </w:r>
    </w:p>
  </w:endnote>
  <w:endnote w:type="continuationNotice" w:id="1">
    <w:p w14:paraId="3FFB4ADF" w14:textId="77777777" w:rsidR="00B44345" w:rsidRDefault="00B44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sdtContent>
      <w:p w14:paraId="18F4A8E4" w14:textId="25D7C880" w:rsidR="00897BF2" w:rsidRDefault="00897BF2" w:rsidP="00C05E2C">
        <w:pPr>
          <w:pStyle w:val="Footer"/>
          <w:jc w:val="center"/>
        </w:pPr>
        <w:r w:rsidRPr="00897B9F">
          <w:t>OFFICIAL</w:t>
        </w:r>
      </w:p>
    </w:sdtContent>
  </w:sdt>
  <w:sdt>
    <w:sdtPr>
      <w:id w:val="-1342466576"/>
      <w:docPartObj>
        <w:docPartGallery w:val="Page Numbers (Bottom of Page)"/>
        <w:docPartUnique/>
      </w:docPartObj>
    </w:sdtPr>
    <w:sdtEndPr>
      <w:rPr>
        <w:noProof/>
      </w:rPr>
    </w:sdtEndPr>
    <w:sdtContent>
      <w:p w14:paraId="2366A4D3" w14:textId="6C109F15" w:rsidR="00897BF2" w:rsidRPr="00453257" w:rsidRDefault="00897BF2" w:rsidP="00C05E2C">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742134"/>
      <w:docPartObj>
        <w:docPartGallery w:val="Page Numbers (Bottom of Page)"/>
        <w:docPartUnique/>
      </w:docPartObj>
    </w:sdtPr>
    <w:sdtEndPr>
      <w:rPr>
        <w:noProof/>
      </w:rPr>
    </w:sdtEndPr>
    <w:sdtContent>
      <w:p w14:paraId="4B104AAD" w14:textId="64083166" w:rsidR="00897BF2" w:rsidRDefault="00897BF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1B0FBBC" w14:textId="7F646F57" w:rsidR="00897BF2" w:rsidRPr="004E1AB7" w:rsidRDefault="00897BF2" w:rsidP="004E1AB7">
    <w:pPr>
      <w:pStyle w:val="Header"/>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76A5" w14:textId="77777777" w:rsidR="00B44345" w:rsidRDefault="00B44345" w:rsidP="006150CB">
      <w:r>
        <w:separator/>
      </w:r>
    </w:p>
  </w:footnote>
  <w:footnote w:type="continuationSeparator" w:id="0">
    <w:p w14:paraId="6C05C4C7" w14:textId="77777777" w:rsidR="00B44345" w:rsidRDefault="00B44345" w:rsidP="006150CB">
      <w:r>
        <w:continuationSeparator/>
      </w:r>
    </w:p>
  </w:footnote>
  <w:footnote w:type="continuationNotice" w:id="1">
    <w:p w14:paraId="21601B8B" w14:textId="77777777" w:rsidR="00B44345" w:rsidRDefault="00B44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9DC" w14:textId="3A9A87F6" w:rsidR="00897BF2" w:rsidRDefault="00897BF2" w:rsidP="004E1AB7">
    <w:pPr>
      <w:pStyle w:val="Header"/>
      <w:jc w:val="center"/>
    </w:pPr>
  </w:p>
  <w:p w14:paraId="3E83D8E4" w14:textId="6F053635" w:rsidR="00897BF2" w:rsidRPr="00897B9F" w:rsidRDefault="00897BF2" w:rsidP="004E1AB7">
    <w:pPr>
      <w:pStyle w:val="Header"/>
      <w:jc w:val="center"/>
    </w:pPr>
    <w:r w:rsidRPr="00897B9F">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6054F"/>
    <w:multiLevelType w:val="hybridMultilevel"/>
    <w:tmpl w:val="FF7AB5C8"/>
    <w:lvl w:ilvl="0" w:tplc="E932CC3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31020"/>
    <w:multiLevelType w:val="hybridMultilevel"/>
    <w:tmpl w:val="BCDCBB76"/>
    <w:lvl w:ilvl="0" w:tplc="2C70242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F2EB0"/>
    <w:multiLevelType w:val="hybridMultilevel"/>
    <w:tmpl w:val="F9028652"/>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0D1F94"/>
    <w:multiLevelType w:val="hybridMultilevel"/>
    <w:tmpl w:val="3514C64A"/>
    <w:lvl w:ilvl="0" w:tplc="BA64FE2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FD19A3"/>
    <w:multiLevelType w:val="hybridMultilevel"/>
    <w:tmpl w:val="967A46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C050B7"/>
    <w:multiLevelType w:val="hybridMultilevel"/>
    <w:tmpl w:val="14E63C28"/>
    <w:lvl w:ilvl="0" w:tplc="612068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4E29B9"/>
    <w:multiLevelType w:val="hybridMultilevel"/>
    <w:tmpl w:val="A142EDD0"/>
    <w:lvl w:ilvl="0" w:tplc="60F89CFE">
      <w:start w:val="1"/>
      <w:numFmt w:val="lowerLetter"/>
      <w:lvlText w:val="(%1)"/>
      <w:lvlJc w:val="left"/>
      <w:pPr>
        <w:ind w:left="3270" w:hanging="360"/>
      </w:pPr>
      <w:rPr>
        <w:rFonts w:hint="default"/>
      </w:rPr>
    </w:lvl>
    <w:lvl w:ilvl="1" w:tplc="0C090019" w:tentative="1">
      <w:start w:val="1"/>
      <w:numFmt w:val="lowerLetter"/>
      <w:lvlText w:val="%2."/>
      <w:lvlJc w:val="left"/>
      <w:pPr>
        <w:ind w:left="2895" w:hanging="360"/>
      </w:pPr>
    </w:lvl>
    <w:lvl w:ilvl="2" w:tplc="0C09001B">
      <w:start w:val="1"/>
      <w:numFmt w:val="lowerRoman"/>
      <w:lvlText w:val="%3."/>
      <w:lvlJc w:val="right"/>
      <w:pPr>
        <w:ind w:left="3615" w:hanging="180"/>
      </w:pPr>
    </w:lvl>
    <w:lvl w:ilvl="3" w:tplc="0C09000F" w:tentative="1">
      <w:start w:val="1"/>
      <w:numFmt w:val="decimal"/>
      <w:lvlText w:val="%4."/>
      <w:lvlJc w:val="left"/>
      <w:pPr>
        <w:ind w:left="4335" w:hanging="360"/>
      </w:pPr>
    </w:lvl>
    <w:lvl w:ilvl="4" w:tplc="0C090019" w:tentative="1">
      <w:start w:val="1"/>
      <w:numFmt w:val="lowerLetter"/>
      <w:lvlText w:val="%5."/>
      <w:lvlJc w:val="left"/>
      <w:pPr>
        <w:ind w:left="5055" w:hanging="360"/>
      </w:pPr>
    </w:lvl>
    <w:lvl w:ilvl="5" w:tplc="0C09001B" w:tentative="1">
      <w:start w:val="1"/>
      <w:numFmt w:val="lowerRoman"/>
      <w:lvlText w:val="%6."/>
      <w:lvlJc w:val="right"/>
      <w:pPr>
        <w:ind w:left="5775" w:hanging="180"/>
      </w:pPr>
    </w:lvl>
    <w:lvl w:ilvl="6" w:tplc="0C09000F" w:tentative="1">
      <w:start w:val="1"/>
      <w:numFmt w:val="decimal"/>
      <w:lvlText w:val="%7."/>
      <w:lvlJc w:val="left"/>
      <w:pPr>
        <w:ind w:left="6495" w:hanging="360"/>
      </w:pPr>
    </w:lvl>
    <w:lvl w:ilvl="7" w:tplc="0C090019" w:tentative="1">
      <w:start w:val="1"/>
      <w:numFmt w:val="lowerLetter"/>
      <w:lvlText w:val="%8."/>
      <w:lvlJc w:val="left"/>
      <w:pPr>
        <w:ind w:left="7215" w:hanging="360"/>
      </w:pPr>
    </w:lvl>
    <w:lvl w:ilvl="8" w:tplc="0C09001B" w:tentative="1">
      <w:start w:val="1"/>
      <w:numFmt w:val="lowerRoman"/>
      <w:lvlText w:val="%9."/>
      <w:lvlJc w:val="right"/>
      <w:pPr>
        <w:ind w:left="7935" w:hanging="180"/>
      </w:pPr>
    </w:lvl>
  </w:abstractNum>
  <w:abstractNum w:abstractNumId="9" w15:restartNumberingAfterBreak="0">
    <w:nsid w:val="09D2721E"/>
    <w:multiLevelType w:val="multilevel"/>
    <w:tmpl w:val="EFDC8A06"/>
    <w:numStyleLink w:val="Bullet2"/>
  </w:abstractNum>
  <w:abstractNum w:abstractNumId="10" w15:restartNumberingAfterBreak="0">
    <w:nsid w:val="0B3B0EBE"/>
    <w:multiLevelType w:val="hybridMultilevel"/>
    <w:tmpl w:val="9F145F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835F1F"/>
    <w:multiLevelType w:val="hybridMultilevel"/>
    <w:tmpl w:val="F98E4778"/>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AA0DFB"/>
    <w:multiLevelType w:val="hybridMultilevel"/>
    <w:tmpl w:val="AC663D32"/>
    <w:lvl w:ilvl="0" w:tplc="E548BB8E">
      <w:start w:val="7"/>
      <w:numFmt w:val="bullet"/>
      <w:lvlText w:val=""/>
      <w:lvlJc w:val="left"/>
      <w:pPr>
        <w:ind w:left="720" w:hanging="360"/>
      </w:pPr>
      <w:rPr>
        <w:rFonts w:ascii="Symbol" w:eastAsia="SimSu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8676F5"/>
    <w:multiLevelType w:val="hybridMultilevel"/>
    <w:tmpl w:val="E426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B219A0"/>
    <w:multiLevelType w:val="hybridMultilevel"/>
    <w:tmpl w:val="05887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D145F6"/>
    <w:multiLevelType w:val="hybridMultilevel"/>
    <w:tmpl w:val="47E2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F11060"/>
    <w:multiLevelType w:val="hybridMultilevel"/>
    <w:tmpl w:val="E842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6B5F68"/>
    <w:multiLevelType w:val="hybridMultilevel"/>
    <w:tmpl w:val="CED091F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9C1582"/>
    <w:multiLevelType w:val="hybridMultilevel"/>
    <w:tmpl w:val="212856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B96CB8"/>
    <w:multiLevelType w:val="hybridMultilevel"/>
    <w:tmpl w:val="31027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525521"/>
    <w:multiLevelType w:val="hybridMultilevel"/>
    <w:tmpl w:val="DF88E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AB45B0"/>
    <w:multiLevelType w:val="hybridMultilevel"/>
    <w:tmpl w:val="0C0EE7AA"/>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49D0577"/>
    <w:multiLevelType w:val="hybridMultilevel"/>
    <w:tmpl w:val="870C6132"/>
    <w:lvl w:ilvl="0" w:tplc="7EE495AE">
      <w:start w:val="1"/>
      <w:numFmt w:val="bullet"/>
      <w:lvlText w:val="-"/>
      <w:lvlJc w:val="left"/>
      <w:pPr>
        <w:ind w:left="720"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5E51E8B"/>
    <w:multiLevelType w:val="hybridMultilevel"/>
    <w:tmpl w:val="809C6208"/>
    <w:lvl w:ilvl="0" w:tplc="906A94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6FA24BB"/>
    <w:multiLevelType w:val="hybridMultilevel"/>
    <w:tmpl w:val="B4026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A305216"/>
    <w:multiLevelType w:val="hybridMultilevel"/>
    <w:tmpl w:val="3A3EC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A9D387D"/>
    <w:multiLevelType w:val="hybridMultilevel"/>
    <w:tmpl w:val="73DE913C"/>
    <w:lvl w:ilvl="0" w:tplc="3F46CD42">
      <w:start w:val="1"/>
      <w:numFmt w:val="decimal"/>
      <w:lvlText w:val="%1."/>
      <w:lvlJc w:val="left"/>
      <w:pPr>
        <w:ind w:left="1080" w:hanging="360"/>
      </w:pPr>
      <w:rPr>
        <w:rFonts w:hint="default"/>
        <w:b w:val="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BAB36AB"/>
    <w:multiLevelType w:val="hybridMultilevel"/>
    <w:tmpl w:val="1418243A"/>
    <w:lvl w:ilvl="0" w:tplc="219EF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D057259"/>
    <w:multiLevelType w:val="hybridMultilevel"/>
    <w:tmpl w:val="36EE8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DB3243D"/>
    <w:multiLevelType w:val="hybridMultilevel"/>
    <w:tmpl w:val="0330B1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EA271AF"/>
    <w:multiLevelType w:val="hybridMultilevel"/>
    <w:tmpl w:val="ED7676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F302934"/>
    <w:multiLevelType w:val="hybridMultilevel"/>
    <w:tmpl w:val="2C38DE86"/>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FD7457A"/>
    <w:multiLevelType w:val="hybridMultilevel"/>
    <w:tmpl w:val="43E4E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258468A"/>
    <w:multiLevelType w:val="hybridMultilevel"/>
    <w:tmpl w:val="4AE25656"/>
    <w:lvl w:ilvl="0" w:tplc="78A6FA7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35478EE"/>
    <w:multiLevelType w:val="hybridMultilevel"/>
    <w:tmpl w:val="25FA4ED4"/>
    <w:lvl w:ilvl="0" w:tplc="7988EC9C">
      <w:start w:val="3"/>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3F93FB1"/>
    <w:multiLevelType w:val="hybridMultilevel"/>
    <w:tmpl w:val="7014156A"/>
    <w:lvl w:ilvl="0" w:tplc="0C090017">
      <w:start w:val="1"/>
      <w:numFmt w:val="lowerLetter"/>
      <w:lvlText w:val="%1)"/>
      <w:lvlJc w:val="left"/>
      <w:pPr>
        <w:ind w:left="770" w:hanging="360"/>
      </w:p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7" w15:restartNumberingAfterBreak="0">
    <w:nsid w:val="28CE2835"/>
    <w:multiLevelType w:val="hybridMultilevel"/>
    <w:tmpl w:val="2BC0F2FC"/>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15:restartNumberingAfterBreak="0">
    <w:nsid w:val="2A3E5554"/>
    <w:multiLevelType w:val="hybridMultilevel"/>
    <w:tmpl w:val="77C4356C"/>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B2E418F"/>
    <w:multiLevelType w:val="hybridMultilevel"/>
    <w:tmpl w:val="3D28B2A0"/>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F366AAD"/>
    <w:multiLevelType w:val="hybridMultilevel"/>
    <w:tmpl w:val="0DE0BDAC"/>
    <w:lvl w:ilvl="0" w:tplc="FE4EA118">
      <w:start w:val="14"/>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481842"/>
    <w:multiLevelType w:val="hybridMultilevel"/>
    <w:tmpl w:val="EF96024A"/>
    <w:lvl w:ilvl="0" w:tplc="AA3C36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2F644323"/>
    <w:multiLevelType w:val="hybridMultilevel"/>
    <w:tmpl w:val="0572588E"/>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F6E543C"/>
    <w:multiLevelType w:val="hybridMultilevel"/>
    <w:tmpl w:val="88FE11C4"/>
    <w:lvl w:ilvl="0" w:tplc="7EE495AE">
      <w:start w:val="1"/>
      <w:numFmt w:val="bullet"/>
      <w:lvlText w:val="-"/>
      <w:lvlJc w:val="left"/>
      <w:pPr>
        <w:ind w:left="720"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FF34AEC"/>
    <w:multiLevelType w:val="hybridMultilevel"/>
    <w:tmpl w:val="EA16EAE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37FD29B8"/>
    <w:multiLevelType w:val="hybridMultilevel"/>
    <w:tmpl w:val="A5E6FC92"/>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8502187"/>
    <w:multiLevelType w:val="hybridMultilevel"/>
    <w:tmpl w:val="1CD0A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8CE0861"/>
    <w:multiLevelType w:val="hybridMultilevel"/>
    <w:tmpl w:val="3064D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505527"/>
    <w:multiLevelType w:val="hybridMultilevel"/>
    <w:tmpl w:val="EA182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C3C09F1"/>
    <w:multiLevelType w:val="hybridMultilevel"/>
    <w:tmpl w:val="6262D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C9737A4"/>
    <w:multiLevelType w:val="hybridMultilevel"/>
    <w:tmpl w:val="93FA868A"/>
    <w:lvl w:ilvl="0" w:tplc="90768A6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E2427FA"/>
    <w:multiLevelType w:val="hybridMultilevel"/>
    <w:tmpl w:val="9526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EE80149"/>
    <w:multiLevelType w:val="hybridMultilevel"/>
    <w:tmpl w:val="EF2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0C344AD"/>
    <w:multiLevelType w:val="hybridMultilevel"/>
    <w:tmpl w:val="B694C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0EA0F22"/>
    <w:multiLevelType w:val="hybridMultilevel"/>
    <w:tmpl w:val="46C2E402"/>
    <w:lvl w:ilvl="0" w:tplc="60F89CFE">
      <w:start w:val="1"/>
      <w:numFmt w:val="lowerLetter"/>
      <w:lvlText w:val="(%1)"/>
      <w:lvlJc w:val="left"/>
      <w:pPr>
        <w:ind w:left="1815" w:hanging="360"/>
      </w:pPr>
      <w:rPr>
        <w:rFonts w:hint="default"/>
      </w:rPr>
    </w:lvl>
    <w:lvl w:ilvl="1" w:tplc="0C090019" w:tentative="1">
      <w:start w:val="1"/>
      <w:numFmt w:val="lowerLetter"/>
      <w:lvlText w:val="%2."/>
      <w:lvlJc w:val="left"/>
      <w:pPr>
        <w:ind w:left="2535" w:hanging="360"/>
      </w:pPr>
    </w:lvl>
    <w:lvl w:ilvl="2" w:tplc="0C09001B" w:tentative="1">
      <w:start w:val="1"/>
      <w:numFmt w:val="lowerRoman"/>
      <w:lvlText w:val="%3."/>
      <w:lvlJc w:val="right"/>
      <w:pPr>
        <w:ind w:left="3255" w:hanging="180"/>
      </w:pPr>
    </w:lvl>
    <w:lvl w:ilvl="3" w:tplc="0C09000F" w:tentative="1">
      <w:start w:val="1"/>
      <w:numFmt w:val="decimal"/>
      <w:lvlText w:val="%4."/>
      <w:lvlJc w:val="left"/>
      <w:pPr>
        <w:ind w:left="3975" w:hanging="360"/>
      </w:pPr>
    </w:lvl>
    <w:lvl w:ilvl="4" w:tplc="0C090019" w:tentative="1">
      <w:start w:val="1"/>
      <w:numFmt w:val="lowerLetter"/>
      <w:lvlText w:val="%5."/>
      <w:lvlJc w:val="left"/>
      <w:pPr>
        <w:ind w:left="4695" w:hanging="360"/>
      </w:pPr>
    </w:lvl>
    <w:lvl w:ilvl="5" w:tplc="0C09001B" w:tentative="1">
      <w:start w:val="1"/>
      <w:numFmt w:val="lowerRoman"/>
      <w:lvlText w:val="%6."/>
      <w:lvlJc w:val="right"/>
      <w:pPr>
        <w:ind w:left="5415" w:hanging="180"/>
      </w:pPr>
    </w:lvl>
    <w:lvl w:ilvl="6" w:tplc="0C09000F" w:tentative="1">
      <w:start w:val="1"/>
      <w:numFmt w:val="decimal"/>
      <w:lvlText w:val="%7."/>
      <w:lvlJc w:val="left"/>
      <w:pPr>
        <w:ind w:left="6135" w:hanging="360"/>
      </w:pPr>
    </w:lvl>
    <w:lvl w:ilvl="7" w:tplc="0C090019" w:tentative="1">
      <w:start w:val="1"/>
      <w:numFmt w:val="lowerLetter"/>
      <w:lvlText w:val="%8."/>
      <w:lvlJc w:val="left"/>
      <w:pPr>
        <w:ind w:left="6855" w:hanging="360"/>
      </w:pPr>
    </w:lvl>
    <w:lvl w:ilvl="8" w:tplc="0C09001B" w:tentative="1">
      <w:start w:val="1"/>
      <w:numFmt w:val="lowerRoman"/>
      <w:lvlText w:val="%9."/>
      <w:lvlJc w:val="right"/>
      <w:pPr>
        <w:ind w:left="7575" w:hanging="180"/>
      </w:pPr>
    </w:lvl>
  </w:abstractNum>
  <w:abstractNum w:abstractNumId="56" w15:restartNumberingAfterBreak="0">
    <w:nsid w:val="41A75472"/>
    <w:multiLevelType w:val="hybridMultilevel"/>
    <w:tmpl w:val="E4A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1E41029"/>
    <w:multiLevelType w:val="hybridMultilevel"/>
    <w:tmpl w:val="826AC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5D12DF3"/>
    <w:multiLevelType w:val="hybridMultilevel"/>
    <w:tmpl w:val="826AC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C22888"/>
    <w:multiLevelType w:val="hybridMultilevel"/>
    <w:tmpl w:val="0DE0BDAC"/>
    <w:lvl w:ilvl="0" w:tplc="FE4EA118">
      <w:start w:val="14"/>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AF13789"/>
    <w:multiLevelType w:val="hybridMultilevel"/>
    <w:tmpl w:val="D9D44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B16523C"/>
    <w:multiLevelType w:val="hybridMultilevel"/>
    <w:tmpl w:val="5A9EB12A"/>
    <w:lvl w:ilvl="0" w:tplc="7EE495AE">
      <w:start w:val="1"/>
      <w:numFmt w:val="bullet"/>
      <w:lvlText w:val="-"/>
      <w:lvlJc w:val="left"/>
      <w:pPr>
        <w:ind w:left="720"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B787103"/>
    <w:multiLevelType w:val="hybridMultilevel"/>
    <w:tmpl w:val="D7C08EBA"/>
    <w:lvl w:ilvl="0" w:tplc="71FC65E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BE60D5A"/>
    <w:multiLevelType w:val="hybridMultilevel"/>
    <w:tmpl w:val="FD6CC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CC43307"/>
    <w:multiLevelType w:val="hybridMultilevel"/>
    <w:tmpl w:val="0C0EE7AA"/>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D503E21"/>
    <w:multiLevelType w:val="hybridMultilevel"/>
    <w:tmpl w:val="97C84988"/>
    <w:lvl w:ilvl="0" w:tplc="531262EC">
      <w:start w:val="6"/>
      <w:numFmt w:val="decimal"/>
      <w:lvlText w:val="%1."/>
      <w:lvlJc w:val="left"/>
      <w:pPr>
        <w:ind w:left="644"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DF86698"/>
    <w:multiLevelType w:val="hybridMultilevel"/>
    <w:tmpl w:val="B4026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E6426A3"/>
    <w:multiLevelType w:val="hybridMultilevel"/>
    <w:tmpl w:val="066A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F716FF7"/>
    <w:multiLevelType w:val="hybridMultilevel"/>
    <w:tmpl w:val="73DE913C"/>
    <w:lvl w:ilvl="0" w:tplc="3F46CD42">
      <w:start w:val="1"/>
      <w:numFmt w:val="decimal"/>
      <w:lvlText w:val="%1."/>
      <w:lvlJc w:val="left"/>
      <w:pPr>
        <w:ind w:left="1080" w:hanging="360"/>
      </w:pPr>
      <w:rPr>
        <w:rFonts w:hint="default"/>
        <w:b w:val="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FC04FE9"/>
    <w:multiLevelType w:val="multilevel"/>
    <w:tmpl w:val="B1A4841E"/>
    <w:lvl w:ilvl="0">
      <w:start w:val="1"/>
      <w:numFmt w:val="lowerLetter"/>
      <w:lvlText w:val="%1."/>
      <w:lvlJc w:val="left"/>
      <w:pPr>
        <w:ind w:left="720" w:firstLine="0"/>
      </w:pPr>
    </w:lvl>
    <w:lvl w:ilvl="1">
      <w:start w:val="1"/>
      <w:numFmt w:val="decimal"/>
      <w:lvlText w:val="%2."/>
      <w:lvlJc w:val="left"/>
      <w:pPr>
        <w:tabs>
          <w:tab w:val="num" w:pos="1080"/>
        </w:tabs>
        <w:ind w:left="1077" w:hanging="357"/>
      </w:pPr>
    </w:lvl>
    <w:lvl w:ilvl="2">
      <w:start w:val="1"/>
      <w:numFmt w:val="decimal"/>
      <w:lvlText w:val="%2.%3"/>
      <w:lvlJc w:val="left"/>
      <w:pPr>
        <w:tabs>
          <w:tab w:val="num" w:pos="1627"/>
        </w:tabs>
        <w:ind w:left="1627" w:hanging="550"/>
      </w:pPr>
    </w:lvl>
    <w:lvl w:ilvl="3">
      <w:start w:val="1"/>
      <w:numFmt w:val="decimal"/>
      <w:lvlText w:val="%2.%3.%4"/>
      <w:lvlJc w:val="left"/>
      <w:pPr>
        <w:tabs>
          <w:tab w:val="num" w:pos="2421"/>
        </w:tabs>
        <w:ind w:left="2421" w:hanging="794"/>
      </w:pPr>
    </w:lvl>
    <w:lvl w:ilvl="4">
      <w:start w:val="1"/>
      <w:numFmt w:val="none"/>
      <w:lvlText w:val=""/>
      <w:lvlJc w:val="left"/>
      <w:pPr>
        <w:tabs>
          <w:tab w:val="num" w:pos="1080"/>
        </w:tabs>
        <w:ind w:left="720" w:firstLine="0"/>
      </w:pPr>
    </w:lvl>
    <w:lvl w:ilvl="5">
      <w:start w:val="1"/>
      <w:numFmt w:val="none"/>
      <w:lvlText w:val=""/>
      <w:lvlJc w:val="left"/>
      <w:pPr>
        <w:tabs>
          <w:tab w:val="num" w:pos="1080"/>
        </w:tabs>
        <w:ind w:left="720" w:firstLine="0"/>
      </w:pPr>
    </w:lvl>
    <w:lvl w:ilvl="6">
      <w:start w:val="1"/>
      <w:numFmt w:val="none"/>
      <w:lvlText w:val=""/>
      <w:lvlJc w:val="left"/>
      <w:pPr>
        <w:tabs>
          <w:tab w:val="num" w:pos="1080"/>
        </w:tabs>
        <w:ind w:left="720" w:firstLine="0"/>
      </w:pPr>
    </w:lvl>
    <w:lvl w:ilvl="7">
      <w:start w:val="1"/>
      <w:numFmt w:val="none"/>
      <w:lvlText w:val=""/>
      <w:lvlJc w:val="left"/>
      <w:pPr>
        <w:tabs>
          <w:tab w:val="num" w:pos="1080"/>
        </w:tabs>
        <w:ind w:left="720" w:firstLine="0"/>
      </w:pPr>
    </w:lvl>
    <w:lvl w:ilvl="8">
      <w:start w:val="1"/>
      <w:numFmt w:val="none"/>
      <w:lvlText w:val=""/>
      <w:lvlJc w:val="left"/>
      <w:pPr>
        <w:tabs>
          <w:tab w:val="num" w:pos="1080"/>
        </w:tabs>
        <w:ind w:left="720" w:firstLine="0"/>
      </w:pPr>
    </w:lvl>
  </w:abstractNum>
  <w:abstractNum w:abstractNumId="70" w15:restartNumberingAfterBreak="0">
    <w:nsid w:val="53C274DE"/>
    <w:multiLevelType w:val="hybridMultilevel"/>
    <w:tmpl w:val="4AC6F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3E77934"/>
    <w:multiLevelType w:val="hybridMultilevel"/>
    <w:tmpl w:val="0C0EE7AA"/>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4994669"/>
    <w:multiLevelType w:val="hybridMultilevel"/>
    <w:tmpl w:val="B4EAFE4C"/>
    <w:lvl w:ilvl="0" w:tplc="E6E43D94">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4BC78E4"/>
    <w:multiLevelType w:val="hybridMultilevel"/>
    <w:tmpl w:val="78B2BC56"/>
    <w:lvl w:ilvl="0" w:tplc="4A8EC000">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74" w15:restartNumberingAfterBreak="0">
    <w:nsid w:val="54C005F6"/>
    <w:multiLevelType w:val="hybridMultilevel"/>
    <w:tmpl w:val="D8387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2D5D18"/>
    <w:multiLevelType w:val="hybridMultilevel"/>
    <w:tmpl w:val="621A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54F72C7"/>
    <w:multiLevelType w:val="hybridMultilevel"/>
    <w:tmpl w:val="B0346C8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5CE7AB3"/>
    <w:multiLevelType w:val="hybridMultilevel"/>
    <w:tmpl w:val="C7E2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7A35CB5"/>
    <w:multiLevelType w:val="hybridMultilevel"/>
    <w:tmpl w:val="EB1E8594"/>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7E53ECC"/>
    <w:multiLevelType w:val="hybridMultilevel"/>
    <w:tmpl w:val="D73C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7FB7631"/>
    <w:multiLevelType w:val="hybridMultilevel"/>
    <w:tmpl w:val="1F348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94F02C1"/>
    <w:multiLevelType w:val="hybridMultilevel"/>
    <w:tmpl w:val="F98E4778"/>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B7569C5"/>
    <w:multiLevelType w:val="hybridMultilevel"/>
    <w:tmpl w:val="158A9C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CA72BD5"/>
    <w:multiLevelType w:val="hybridMultilevel"/>
    <w:tmpl w:val="0C0EE7AA"/>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D8F076C"/>
    <w:multiLevelType w:val="hybridMultilevel"/>
    <w:tmpl w:val="BD3A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E762FE9"/>
    <w:multiLevelType w:val="hybridMultilevel"/>
    <w:tmpl w:val="5994EE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ECA32FD"/>
    <w:multiLevelType w:val="hybridMultilevel"/>
    <w:tmpl w:val="5F4419CE"/>
    <w:lvl w:ilvl="0" w:tplc="3F46CD42">
      <w:start w:val="1"/>
      <w:numFmt w:val="decimal"/>
      <w:lvlText w:val="%1."/>
      <w:lvlJc w:val="left"/>
      <w:pPr>
        <w:ind w:left="1080" w:hanging="360"/>
      </w:pPr>
      <w:rPr>
        <w:rFonts w:hint="default"/>
        <w:b w:val="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60E91FC5"/>
    <w:multiLevelType w:val="hybridMultilevel"/>
    <w:tmpl w:val="C31A51F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1147DFD"/>
    <w:multiLevelType w:val="hybridMultilevel"/>
    <w:tmpl w:val="3514C64A"/>
    <w:lvl w:ilvl="0" w:tplc="BA64FE2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1567D8F"/>
    <w:multiLevelType w:val="hybridMultilevel"/>
    <w:tmpl w:val="61345B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1DA3713"/>
    <w:multiLevelType w:val="hybridMultilevel"/>
    <w:tmpl w:val="29527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3A15FB9"/>
    <w:multiLevelType w:val="hybridMultilevel"/>
    <w:tmpl w:val="BF3AA932"/>
    <w:lvl w:ilvl="0" w:tplc="3484F224">
      <w:start w:val="1"/>
      <w:numFmt w:val="bullet"/>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3E04FE0"/>
    <w:multiLevelType w:val="hybridMultilevel"/>
    <w:tmpl w:val="7A78AF5A"/>
    <w:lvl w:ilvl="0" w:tplc="97FC3744">
      <w:start w:val="1"/>
      <w:numFmt w:val="lowerRoman"/>
      <w:lvlText w:val="(%1)"/>
      <w:lvlJc w:val="left"/>
      <w:pPr>
        <w:ind w:left="2330" w:hanging="720"/>
      </w:pPr>
      <w:rPr>
        <w:rFonts w:hint="default"/>
      </w:rPr>
    </w:lvl>
    <w:lvl w:ilvl="1" w:tplc="0C090019" w:tentative="1">
      <w:start w:val="1"/>
      <w:numFmt w:val="lowerLetter"/>
      <w:lvlText w:val="%2."/>
      <w:lvlJc w:val="left"/>
      <w:pPr>
        <w:ind w:left="2690" w:hanging="360"/>
      </w:pPr>
    </w:lvl>
    <w:lvl w:ilvl="2" w:tplc="0C09001B" w:tentative="1">
      <w:start w:val="1"/>
      <w:numFmt w:val="lowerRoman"/>
      <w:lvlText w:val="%3."/>
      <w:lvlJc w:val="right"/>
      <w:pPr>
        <w:ind w:left="3410" w:hanging="180"/>
      </w:pPr>
    </w:lvl>
    <w:lvl w:ilvl="3" w:tplc="0C09000F" w:tentative="1">
      <w:start w:val="1"/>
      <w:numFmt w:val="decimal"/>
      <w:lvlText w:val="%4."/>
      <w:lvlJc w:val="left"/>
      <w:pPr>
        <w:ind w:left="4130" w:hanging="360"/>
      </w:pPr>
    </w:lvl>
    <w:lvl w:ilvl="4" w:tplc="0C090019" w:tentative="1">
      <w:start w:val="1"/>
      <w:numFmt w:val="lowerLetter"/>
      <w:lvlText w:val="%5."/>
      <w:lvlJc w:val="left"/>
      <w:pPr>
        <w:ind w:left="4850" w:hanging="360"/>
      </w:pPr>
    </w:lvl>
    <w:lvl w:ilvl="5" w:tplc="0C09001B" w:tentative="1">
      <w:start w:val="1"/>
      <w:numFmt w:val="lowerRoman"/>
      <w:lvlText w:val="%6."/>
      <w:lvlJc w:val="right"/>
      <w:pPr>
        <w:ind w:left="5570" w:hanging="180"/>
      </w:pPr>
    </w:lvl>
    <w:lvl w:ilvl="6" w:tplc="0C09000F" w:tentative="1">
      <w:start w:val="1"/>
      <w:numFmt w:val="decimal"/>
      <w:lvlText w:val="%7."/>
      <w:lvlJc w:val="left"/>
      <w:pPr>
        <w:ind w:left="6290" w:hanging="360"/>
      </w:pPr>
    </w:lvl>
    <w:lvl w:ilvl="7" w:tplc="0C090019" w:tentative="1">
      <w:start w:val="1"/>
      <w:numFmt w:val="lowerLetter"/>
      <w:lvlText w:val="%8."/>
      <w:lvlJc w:val="left"/>
      <w:pPr>
        <w:ind w:left="7010" w:hanging="360"/>
      </w:pPr>
    </w:lvl>
    <w:lvl w:ilvl="8" w:tplc="0C09001B" w:tentative="1">
      <w:start w:val="1"/>
      <w:numFmt w:val="lowerRoman"/>
      <w:lvlText w:val="%9."/>
      <w:lvlJc w:val="right"/>
      <w:pPr>
        <w:ind w:left="7730" w:hanging="180"/>
      </w:pPr>
    </w:lvl>
  </w:abstractNum>
  <w:abstractNum w:abstractNumId="93" w15:restartNumberingAfterBreak="0">
    <w:nsid w:val="6C29339A"/>
    <w:multiLevelType w:val="hybridMultilevel"/>
    <w:tmpl w:val="6824B08A"/>
    <w:lvl w:ilvl="0" w:tplc="9BE2CBF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EF33CC1"/>
    <w:multiLevelType w:val="hybridMultilevel"/>
    <w:tmpl w:val="22046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07E55F7"/>
    <w:multiLevelType w:val="hybridMultilevel"/>
    <w:tmpl w:val="02445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2EB5EED"/>
    <w:multiLevelType w:val="hybridMultilevel"/>
    <w:tmpl w:val="99EC5AE4"/>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EC0E49"/>
    <w:multiLevelType w:val="hybridMultilevel"/>
    <w:tmpl w:val="88084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4565057"/>
    <w:multiLevelType w:val="hybridMultilevel"/>
    <w:tmpl w:val="19285BC6"/>
    <w:lvl w:ilvl="0" w:tplc="11F68282">
      <w:start w:val="1"/>
      <w:numFmt w:val="bullet"/>
      <w:pStyle w:val="Bullet1"/>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9" w15:restartNumberingAfterBreak="0">
    <w:nsid w:val="750C212E"/>
    <w:multiLevelType w:val="hybridMultilevel"/>
    <w:tmpl w:val="73DE913C"/>
    <w:lvl w:ilvl="0" w:tplc="3F46CD42">
      <w:start w:val="1"/>
      <w:numFmt w:val="decimal"/>
      <w:lvlText w:val="%1."/>
      <w:lvlJc w:val="left"/>
      <w:pPr>
        <w:ind w:left="1080" w:hanging="360"/>
      </w:pPr>
      <w:rPr>
        <w:rFonts w:hint="default"/>
        <w:b w:val="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781502AA"/>
    <w:multiLevelType w:val="hybridMultilevel"/>
    <w:tmpl w:val="EAAEC880"/>
    <w:lvl w:ilvl="0" w:tplc="60F89CFE">
      <w:start w:val="1"/>
      <w:numFmt w:val="lowerLetter"/>
      <w:lvlText w:val="(%1)"/>
      <w:lvlJc w:val="left"/>
      <w:pPr>
        <w:ind w:left="3795" w:hanging="360"/>
      </w:pPr>
      <w:rPr>
        <w:rFonts w:hint="default"/>
      </w:rPr>
    </w:lvl>
    <w:lvl w:ilvl="1" w:tplc="0C090019" w:tentative="1">
      <w:start w:val="1"/>
      <w:numFmt w:val="lowerLetter"/>
      <w:lvlText w:val="%2."/>
      <w:lvlJc w:val="left"/>
      <w:pPr>
        <w:ind w:left="3420" w:hanging="360"/>
      </w:pPr>
    </w:lvl>
    <w:lvl w:ilvl="2" w:tplc="0C09001B">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01" w15:restartNumberingAfterBreak="0">
    <w:nsid w:val="796B61F3"/>
    <w:multiLevelType w:val="hybridMultilevel"/>
    <w:tmpl w:val="87F2F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A183F3A"/>
    <w:multiLevelType w:val="hybridMultilevel"/>
    <w:tmpl w:val="FED49A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C9E1A53"/>
    <w:multiLevelType w:val="hybridMultilevel"/>
    <w:tmpl w:val="4AEE1F04"/>
    <w:lvl w:ilvl="0" w:tplc="53BEFADA">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1"/>
  </w:num>
  <w:num w:numId="2">
    <w:abstractNumId w:val="25"/>
  </w:num>
  <w:num w:numId="3">
    <w:abstractNumId w:val="9"/>
  </w:num>
  <w:num w:numId="4">
    <w:abstractNumId w:val="0"/>
  </w:num>
  <w:num w:numId="5">
    <w:abstractNumId w:val="1"/>
  </w:num>
  <w:num w:numId="6">
    <w:abstractNumId w:val="16"/>
  </w:num>
  <w:num w:numId="7">
    <w:abstractNumId w:val="2"/>
  </w:num>
  <w:num w:numId="8">
    <w:abstractNumId w:val="91"/>
  </w:num>
  <w:num w:numId="9">
    <w:abstractNumId w:val="91"/>
  </w:num>
  <w:num w:numId="10">
    <w:abstractNumId w:val="77"/>
  </w:num>
  <w:num w:numId="11">
    <w:abstractNumId w:val="98"/>
  </w:num>
  <w:num w:numId="12">
    <w:abstractNumId w:val="73"/>
  </w:num>
  <w:num w:numId="13">
    <w:abstractNumId w:val="92"/>
  </w:num>
  <w:num w:numId="14">
    <w:abstractNumId w:val="36"/>
  </w:num>
  <w:num w:numId="15">
    <w:abstractNumId w:val="89"/>
  </w:num>
  <w:num w:numId="16">
    <w:abstractNumId w:val="85"/>
  </w:num>
  <w:num w:numId="17">
    <w:abstractNumId w:val="55"/>
  </w:num>
  <w:num w:numId="18">
    <w:abstractNumId w:val="8"/>
  </w:num>
  <w:num w:numId="19">
    <w:abstractNumId w:val="100"/>
  </w:num>
  <w:num w:numId="20">
    <w:abstractNumId w:val="6"/>
  </w:num>
  <w:num w:numId="21">
    <w:abstractNumId w:val="82"/>
  </w:num>
  <w:num w:numId="22">
    <w:abstractNumId w:val="35"/>
  </w:num>
  <w:num w:numId="23">
    <w:abstractNumId w:val="63"/>
  </w:num>
  <w:num w:numId="24">
    <w:abstractNumId w:val="3"/>
  </w:num>
  <w:num w:numId="25">
    <w:abstractNumId w:val="79"/>
  </w:num>
  <w:num w:numId="26">
    <w:abstractNumId w:val="33"/>
  </w:num>
  <w:num w:numId="27">
    <w:abstractNumId w:val="38"/>
  </w:num>
  <w:num w:numId="28">
    <w:abstractNumId w:val="69"/>
  </w:num>
  <w:num w:numId="29">
    <w:abstractNumId w:val="56"/>
  </w:num>
  <w:num w:numId="30">
    <w:abstractNumId w:val="44"/>
  </w:num>
  <w:num w:numId="31">
    <w:abstractNumId w:val="62"/>
  </w:num>
  <w:num w:numId="32">
    <w:abstractNumId w:val="61"/>
  </w:num>
  <w:num w:numId="33">
    <w:abstractNumId w:val="10"/>
  </w:num>
  <w:num w:numId="34">
    <w:abstractNumId w:val="22"/>
  </w:num>
  <w:num w:numId="35">
    <w:abstractNumId w:val="19"/>
  </w:num>
  <w:num w:numId="36">
    <w:abstractNumId w:val="64"/>
  </w:num>
  <w:num w:numId="37">
    <w:abstractNumId w:val="49"/>
  </w:num>
  <w:num w:numId="38">
    <w:abstractNumId w:val="97"/>
  </w:num>
  <w:num w:numId="39">
    <w:abstractNumId w:val="75"/>
  </w:num>
  <w:num w:numId="40">
    <w:abstractNumId w:val="15"/>
  </w:num>
  <w:num w:numId="41">
    <w:abstractNumId w:val="93"/>
  </w:num>
  <w:num w:numId="42">
    <w:abstractNumId w:val="84"/>
  </w:num>
  <w:num w:numId="43">
    <w:abstractNumId w:val="52"/>
  </w:num>
  <w:num w:numId="44">
    <w:abstractNumId w:val="54"/>
  </w:num>
  <w:num w:numId="45">
    <w:abstractNumId w:val="67"/>
  </w:num>
  <w:num w:numId="46">
    <w:abstractNumId w:val="13"/>
  </w:num>
  <w:num w:numId="47">
    <w:abstractNumId w:val="7"/>
  </w:num>
  <w:num w:numId="48">
    <w:abstractNumId w:val="18"/>
  </w:num>
  <w:num w:numId="49">
    <w:abstractNumId w:val="28"/>
  </w:num>
  <w:num w:numId="50">
    <w:abstractNumId w:val="53"/>
  </w:num>
  <w:num w:numId="51">
    <w:abstractNumId w:val="76"/>
  </w:num>
  <w:num w:numId="52">
    <w:abstractNumId w:val="20"/>
  </w:num>
  <w:num w:numId="53">
    <w:abstractNumId w:val="80"/>
  </w:num>
  <w:num w:numId="54">
    <w:abstractNumId w:val="102"/>
  </w:num>
  <w:num w:numId="55">
    <w:abstractNumId w:val="23"/>
  </w:num>
  <w:num w:numId="56">
    <w:abstractNumId w:val="74"/>
  </w:num>
  <w:num w:numId="57">
    <w:abstractNumId w:val="57"/>
  </w:num>
  <w:num w:numId="58">
    <w:abstractNumId w:val="31"/>
  </w:num>
  <w:num w:numId="59">
    <w:abstractNumId w:val="58"/>
  </w:num>
  <w:num w:numId="60">
    <w:abstractNumId w:val="51"/>
  </w:num>
  <w:num w:numId="61">
    <w:abstractNumId w:val="65"/>
  </w:num>
  <w:num w:numId="62">
    <w:abstractNumId w:val="72"/>
  </w:num>
  <w:num w:numId="63">
    <w:abstractNumId w:val="50"/>
  </w:num>
  <w:num w:numId="64">
    <w:abstractNumId w:val="95"/>
  </w:num>
  <w:num w:numId="65">
    <w:abstractNumId w:val="47"/>
  </w:num>
  <w:num w:numId="66">
    <w:abstractNumId w:val="42"/>
  </w:num>
  <w:num w:numId="67">
    <w:abstractNumId w:val="59"/>
  </w:num>
  <w:num w:numId="68">
    <w:abstractNumId w:val="14"/>
  </w:num>
  <w:num w:numId="69">
    <w:abstractNumId w:val="17"/>
  </w:num>
  <w:num w:numId="70">
    <w:abstractNumId w:val="30"/>
  </w:num>
  <w:num w:numId="71">
    <w:abstractNumId w:val="29"/>
  </w:num>
  <w:num w:numId="72">
    <w:abstractNumId w:val="90"/>
  </w:num>
  <w:num w:numId="73">
    <w:abstractNumId w:val="45"/>
  </w:num>
  <w:num w:numId="74">
    <w:abstractNumId w:val="86"/>
  </w:num>
  <w:num w:numId="75">
    <w:abstractNumId w:val="32"/>
  </w:num>
  <w:num w:numId="76">
    <w:abstractNumId w:val="41"/>
  </w:num>
  <w:num w:numId="77">
    <w:abstractNumId w:val="99"/>
  </w:num>
  <w:num w:numId="78">
    <w:abstractNumId w:val="27"/>
  </w:num>
  <w:num w:numId="79">
    <w:abstractNumId w:val="68"/>
  </w:num>
  <w:num w:numId="80">
    <w:abstractNumId w:val="48"/>
  </w:num>
  <w:num w:numId="81">
    <w:abstractNumId w:val="26"/>
  </w:num>
  <w:num w:numId="82">
    <w:abstractNumId w:val="34"/>
  </w:num>
  <w:num w:numId="83">
    <w:abstractNumId w:val="101"/>
  </w:num>
  <w:num w:numId="84">
    <w:abstractNumId w:val="60"/>
  </w:num>
  <w:num w:numId="85">
    <w:abstractNumId w:val="24"/>
  </w:num>
  <w:num w:numId="86">
    <w:abstractNumId w:val="70"/>
  </w:num>
  <w:num w:numId="87">
    <w:abstractNumId w:val="66"/>
  </w:num>
  <w:num w:numId="88">
    <w:abstractNumId w:val="5"/>
  </w:num>
  <w:num w:numId="89">
    <w:abstractNumId w:val="88"/>
  </w:num>
  <w:num w:numId="90">
    <w:abstractNumId w:val="87"/>
  </w:num>
  <w:num w:numId="91">
    <w:abstractNumId w:val="43"/>
  </w:num>
  <w:num w:numId="92">
    <w:abstractNumId w:val="12"/>
  </w:num>
  <w:num w:numId="93">
    <w:abstractNumId w:val="11"/>
  </w:num>
  <w:num w:numId="94">
    <w:abstractNumId w:val="71"/>
  </w:num>
  <w:num w:numId="95">
    <w:abstractNumId w:val="103"/>
  </w:num>
  <w:num w:numId="96">
    <w:abstractNumId w:val="37"/>
  </w:num>
  <w:num w:numId="97">
    <w:abstractNumId w:val="39"/>
  </w:num>
  <w:num w:numId="98">
    <w:abstractNumId w:val="96"/>
  </w:num>
  <w:num w:numId="99">
    <w:abstractNumId w:val="94"/>
  </w:num>
  <w:num w:numId="100">
    <w:abstractNumId w:val="83"/>
  </w:num>
  <w:num w:numId="101">
    <w:abstractNumId w:val="21"/>
  </w:num>
  <w:num w:numId="102">
    <w:abstractNumId w:val="78"/>
  </w:num>
  <w:num w:numId="103">
    <w:abstractNumId w:val="40"/>
  </w:num>
  <w:num w:numId="104">
    <w:abstractNumId w:val="4"/>
  </w:num>
  <w:num w:numId="105">
    <w:abstractNumId w:val="46"/>
  </w:num>
  <w:num w:numId="106">
    <w:abstractNumId w:val="8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B8"/>
    <w:rsid w:val="0000465D"/>
    <w:rsid w:val="0000603D"/>
    <w:rsid w:val="00006063"/>
    <w:rsid w:val="000105B2"/>
    <w:rsid w:val="00014816"/>
    <w:rsid w:val="00017117"/>
    <w:rsid w:val="000215B7"/>
    <w:rsid w:val="00022ADD"/>
    <w:rsid w:val="0002464C"/>
    <w:rsid w:val="00026D8D"/>
    <w:rsid w:val="000271B9"/>
    <w:rsid w:val="00027C4B"/>
    <w:rsid w:val="000303EF"/>
    <w:rsid w:val="00030FA3"/>
    <w:rsid w:val="00031C21"/>
    <w:rsid w:val="000355DA"/>
    <w:rsid w:val="00043CC0"/>
    <w:rsid w:val="000442D3"/>
    <w:rsid w:val="000445C7"/>
    <w:rsid w:val="00050377"/>
    <w:rsid w:val="00050DD0"/>
    <w:rsid w:val="000522A6"/>
    <w:rsid w:val="00052E7A"/>
    <w:rsid w:val="00053E47"/>
    <w:rsid w:val="0005542C"/>
    <w:rsid w:val="000653EA"/>
    <w:rsid w:val="00070E2A"/>
    <w:rsid w:val="000710AD"/>
    <w:rsid w:val="0007334D"/>
    <w:rsid w:val="000741D2"/>
    <w:rsid w:val="00074925"/>
    <w:rsid w:val="000779BE"/>
    <w:rsid w:val="00077FBF"/>
    <w:rsid w:val="00084021"/>
    <w:rsid w:val="00086778"/>
    <w:rsid w:val="00090975"/>
    <w:rsid w:val="00090A52"/>
    <w:rsid w:val="00091062"/>
    <w:rsid w:val="0009177F"/>
    <w:rsid w:val="00095B88"/>
    <w:rsid w:val="00096B7A"/>
    <w:rsid w:val="000A271C"/>
    <w:rsid w:val="000A772C"/>
    <w:rsid w:val="000A7D55"/>
    <w:rsid w:val="000B013E"/>
    <w:rsid w:val="000B2FF0"/>
    <w:rsid w:val="000B602A"/>
    <w:rsid w:val="000B6B5C"/>
    <w:rsid w:val="000B6DFA"/>
    <w:rsid w:val="000C080E"/>
    <w:rsid w:val="000C53DE"/>
    <w:rsid w:val="000C5EEF"/>
    <w:rsid w:val="000C60B6"/>
    <w:rsid w:val="000C61F2"/>
    <w:rsid w:val="000D02AD"/>
    <w:rsid w:val="000E2EB6"/>
    <w:rsid w:val="000E38B0"/>
    <w:rsid w:val="000F2CBC"/>
    <w:rsid w:val="000F3D72"/>
    <w:rsid w:val="000F43D3"/>
    <w:rsid w:val="000F4EA0"/>
    <w:rsid w:val="000F6DF2"/>
    <w:rsid w:val="00102188"/>
    <w:rsid w:val="00104D2A"/>
    <w:rsid w:val="00112E9B"/>
    <w:rsid w:val="001131FD"/>
    <w:rsid w:val="00113A7B"/>
    <w:rsid w:val="0011430B"/>
    <w:rsid w:val="00116C12"/>
    <w:rsid w:val="00122746"/>
    <w:rsid w:val="0012333A"/>
    <w:rsid w:val="00127076"/>
    <w:rsid w:val="00134B77"/>
    <w:rsid w:val="00137CC7"/>
    <w:rsid w:val="001444F5"/>
    <w:rsid w:val="00144D45"/>
    <w:rsid w:val="001471DC"/>
    <w:rsid w:val="00151A0A"/>
    <w:rsid w:val="001532CE"/>
    <w:rsid w:val="00154FB2"/>
    <w:rsid w:val="001560F1"/>
    <w:rsid w:val="0017258D"/>
    <w:rsid w:val="00177467"/>
    <w:rsid w:val="001824A7"/>
    <w:rsid w:val="00182D33"/>
    <w:rsid w:val="00190300"/>
    <w:rsid w:val="0019272C"/>
    <w:rsid w:val="00192F33"/>
    <w:rsid w:val="0019462F"/>
    <w:rsid w:val="0019507C"/>
    <w:rsid w:val="001A0DA8"/>
    <w:rsid w:val="001A78CF"/>
    <w:rsid w:val="001B13CC"/>
    <w:rsid w:val="001B37C9"/>
    <w:rsid w:val="001B386E"/>
    <w:rsid w:val="001B3DED"/>
    <w:rsid w:val="001C0E33"/>
    <w:rsid w:val="001C2C59"/>
    <w:rsid w:val="001C3005"/>
    <w:rsid w:val="001C356E"/>
    <w:rsid w:val="001C3584"/>
    <w:rsid w:val="001C5343"/>
    <w:rsid w:val="001D0DB7"/>
    <w:rsid w:val="001D1496"/>
    <w:rsid w:val="001D41DC"/>
    <w:rsid w:val="001D722A"/>
    <w:rsid w:val="001D7F7C"/>
    <w:rsid w:val="001E44C7"/>
    <w:rsid w:val="001E4702"/>
    <w:rsid w:val="001F1854"/>
    <w:rsid w:val="001F1B9B"/>
    <w:rsid w:val="001F35CB"/>
    <w:rsid w:val="001F5E7D"/>
    <w:rsid w:val="002033D8"/>
    <w:rsid w:val="00205AB4"/>
    <w:rsid w:val="002100FF"/>
    <w:rsid w:val="002108CE"/>
    <w:rsid w:val="00221345"/>
    <w:rsid w:val="00221F85"/>
    <w:rsid w:val="0022435C"/>
    <w:rsid w:val="00226F47"/>
    <w:rsid w:val="00230B26"/>
    <w:rsid w:val="00234D17"/>
    <w:rsid w:val="00244190"/>
    <w:rsid w:val="002456E9"/>
    <w:rsid w:val="002469B5"/>
    <w:rsid w:val="00253442"/>
    <w:rsid w:val="00260B2A"/>
    <w:rsid w:val="00263A31"/>
    <w:rsid w:val="002645BB"/>
    <w:rsid w:val="00264D28"/>
    <w:rsid w:val="0026636E"/>
    <w:rsid w:val="002702CF"/>
    <w:rsid w:val="00270503"/>
    <w:rsid w:val="0027241F"/>
    <w:rsid w:val="00274BFB"/>
    <w:rsid w:val="0027587A"/>
    <w:rsid w:val="0028791B"/>
    <w:rsid w:val="00287DDD"/>
    <w:rsid w:val="00292149"/>
    <w:rsid w:val="002932CD"/>
    <w:rsid w:val="00293AC3"/>
    <w:rsid w:val="002A0620"/>
    <w:rsid w:val="002A084E"/>
    <w:rsid w:val="002A0994"/>
    <w:rsid w:val="002A1194"/>
    <w:rsid w:val="002A2EE8"/>
    <w:rsid w:val="002A5CDC"/>
    <w:rsid w:val="002B2621"/>
    <w:rsid w:val="002B67EF"/>
    <w:rsid w:val="002C36D2"/>
    <w:rsid w:val="002C489D"/>
    <w:rsid w:val="002C4DD7"/>
    <w:rsid w:val="002D2381"/>
    <w:rsid w:val="002D72BA"/>
    <w:rsid w:val="002E1F67"/>
    <w:rsid w:val="002E2D05"/>
    <w:rsid w:val="002E5F7C"/>
    <w:rsid w:val="002F2582"/>
    <w:rsid w:val="002F7E44"/>
    <w:rsid w:val="00301043"/>
    <w:rsid w:val="00302D41"/>
    <w:rsid w:val="00303596"/>
    <w:rsid w:val="003067A5"/>
    <w:rsid w:val="00320CB2"/>
    <w:rsid w:val="00321F8F"/>
    <w:rsid w:val="00322459"/>
    <w:rsid w:val="00322903"/>
    <w:rsid w:val="00323327"/>
    <w:rsid w:val="003279D8"/>
    <w:rsid w:val="00337586"/>
    <w:rsid w:val="003442C7"/>
    <w:rsid w:val="0034473F"/>
    <w:rsid w:val="003524B0"/>
    <w:rsid w:val="00353087"/>
    <w:rsid w:val="00355CB2"/>
    <w:rsid w:val="0035600B"/>
    <w:rsid w:val="00361BF5"/>
    <w:rsid w:val="0036477E"/>
    <w:rsid w:val="00365FE7"/>
    <w:rsid w:val="003711A9"/>
    <w:rsid w:val="00372C25"/>
    <w:rsid w:val="003763AF"/>
    <w:rsid w:val="003839B5"/>
    <w:rsid w:val="00383A31"/>
    <w:rsid w:val="00384246"/>
    <w:rsid w:val="00390DD3"/>
    <w:rsid w:val="003913E1"/>
    <w:rsid w:val="003919BD"/>
    <w:rsid w:val="00391D3B"/>
    <w:rsid w:val="00392E6C"/>
    <w:rsid w:val="0039407A"/>
    <w:rsid w:val="00394664"/>
    <w:rsid w:val="00395615"/>
    <w:rsid w:val="003979E1"/>
    <w:rsid w:val="003A29B7"/>
    <w:rsid w:val="003A7E4A"/>
    <w:rsid w:val="003B0B66"/>
    <w:rsid w:val="003B28B8"/>
    <w:rsid w:val="003B40C4"/>
    <w:rsid w:val="003B4A3D"/>
    <w:rsid w:val="003B5E75"/>
    <w:rsid w:val="003C037A"/>
    <w:rsid w:val="003D061A"/>
    <w:rsid w:val="003D1DCE"/>
    <w:rsid w:val="003D2323"/>
    <w:rsid w:val="003D295F"/>
    <w:rsid w:val="003E0B0E"/>
    <w:rsid w:val="003E0E82"/>
    <w:rsid w:val="003E264F"/>
    <w:rsid w:val="003E56AF"/>
    <w:rsid w:val="003E56FB"/>
    <w:rsid w:val="003E611C"/>
    <w:rsid w:val="003E78FD"/>
    <w:rsid w:val="003F1476"/>
    <w:rsid w:val="003F78DE"/>
    <w:rsid w:val="004001B8"/>
    <w:rsid w:val="00401E62"/>
    <w:rsid w:val="00405B5B"/>
    <w:rsid w:val="00410C55"/>
    <w:rsid w:val="00412B66"/>
    <w:rsid w:val="00412D2E"/>
    <w:rsid w:val="00414256"/>
    <w:rsid w:val="00417482"/>
    <w:rsid w:val="00417879"/>
    <w:rsid w:val="00422572"/>
    <w:rsid w:val="00422F6B"/>
    <w:rsid w:val="004252FD"/>
    <w:rsid w:val="00427129"/>
    <w:rsid w:val="0042757B"/>
    <w:rsid w:val="00431141"/>
    <w:rsid w:val="00432F14"/>
    <w:rsid w:val="00435092"/>
    <w:rsid w:val="0043572F"/>
    <w:rsid w:val="004450A3"/>
    <w:rsid w:val="004450E0"/>
    <w:rsid w:val="00446974"/>
    <w:rsid w:val="00453257"/>
    <w:rsid w:val="004564A3"/>
    <w:rsid w:val="004670E2"/>
    <w:rsid w:val="00470D85"/>
    <w:rsid w:val="00473E7F"/>
    <w:rsid w:val="00476038"/>
    <w:rsid w:val="00481EC2"/>
    <w:rsid w:val="004839CD"/>
    <w:rsid w:val="00485053"/>
    <w:rsid w:val="00487EEC"/>
    <w:rsid w:val="004907DE"/>
    <w:rsid w:val="00493D99"/>
    <w:rsid w:val="00494982"/>
    <w:rsid w:val="0049759D"/>
    <w:rsid w:val="004977F1"/>
    <w:rsid w:val="004A05C5"/>
    <w:rsid w:val="004A290F"/>
    <w:rsid w:val="004A472A"/>
    <w:rsid w:val="004B1208"/>
    <w:rsid w:val="004B3148"/>
    <w:rsid w:val="004B6033"/>
    <w:rsid w:val="004C0ACC"/>
    <w:rsid w:val="004C2776"/>
    <w:rsid w:val="004D1D40"/>
    <w:rsid w:val="004D34C4"/>
    <w:rsid w:val="004D397E"/>
    <w:rsid w:val="004E0023"/>
    <w:rsid w:val="004E1AB7"/>
    <w:rsid w:val="004E2E33"/>
    <w:rsid w:val="004F03AC"/>
    <w:rsid w:val="004F183D"/>
    <w:rsid w:val="004F5C1C"/>
    <w:rsid w:val="00500C8A"/>
    <w:rsid w:val="0050315B"/>
    <w:rsid w:val="00507636"/>
    <w:rsid w:val="0051406C"/>
    <w:rsid w:val="005217EA"/>
    <w:rsid w:val="0052255D"/>
    <w:rsid w:val="00526D6B"/>
    <w:rsid w:val="00527A7B"/>
    <w:rsid w:val="0053137A"/>
    <w:rsid w:val="00532A6E"/>
    <w:rsid w:val="00533997"/>
    <w:rsid w:val="0053570B"/>
    <w:rsid w:val="005421D5"/>
    <w:rsid w:val="00543271"/>
    <w:rsid w:val="00554B16"/>
    <w:rsid w:val="00561DEE"/>
    <w:rsid w:val="005668AC"/>
    <w:rsid w:val="00566E1F"/>
    <w:rsid w:val="00580C0E"/>
    <w:rsid w:val="00582A74"/>
    <w:rsid w:val="0058562C"/>
    <w:rsid w:val="00590652"/>
    <w:rsid w:val="00592E03"/>
    <w:rsid w:val="00593A79"/>
    <w:rsid w:val="005A09C8"/>
    <w:rsid w:val="005A11B4"/>
    <w:rsid w:val="005A1746"/>
    <w:rsid w:val="005A459B"/>
    <w:rsid w:val="005B5182"/>
    <w:rsid w:val="005C1BB3"/>
    <w:rsid w:val="005C2EE6"/>
    <w:rsid w:val="005C42A0"/>
    <w:rsid w:val="005C759B"/>
    <w:rsid w:val="005C7B1D"/>
    <w:rsid w:val="005D3FEF"/>
    <w:rsid w:val="005D3FFC"/>
    <w:rsid w:val="005D4D14"/>
    <w:rsid w:val="005D5878"/>
    <w:rsid w:val="005E04E6"/>
    <w:rsid w:val="005E21DB"/>
    <w:rsid w:val="005E2D5F"/>
    <w:rsid w:val="005E5B22"/>
    <w:rsid w:val="005F48A7"/>
    <w:rsid w:val="005F754A"/>
    <w:rsid w:val="005F7F9B"/>
    <w:rsid w:val="00602E5D"/>
    <w:rsid w:val="006057D0"/>
    <w:rsid w:val="0060680C"/>
    <w:rsid w:val="00606C1B"/>
    <w:rsid w:val="006077EE"/>
    <w:rsid w:val="006103E0"/>
    <w:rsid w:val="00610932"/>
    <w:rsid w:val="006139F2"/>
    <w:rsid w:val="006150CB"/>
    <w:rsid w:val="00632989"/>
    <w:rsid w:val="00640150"/>
    <w:rsid w:val="00641EB8"/>
    <w:rsid w:val="00642413"/>
    <w:rsid w:val="0065023A"/>
    <w:rsid w:val="00650AD1"/>
    <w:rsid w:val="00651657"/>
    <w:rsid w:val="006520A1"/>
    <w:rsid w:val="00656280"/>
    <w:rsid w:val="006572B2"/>
    <w:rsid w:val="00660D63"/>
    <w:rsid w:val="00661CA4"/>
    <w:rsid w:val="00662736"/>
    <w:rsid w:val="00663315"/>
    <w:rsid w:val="00671C6A"/>
    <w:rsid w:val="0067399E"/>
    <w:rsid w:val="006754EB"/>
    <w:rsid w:val="00677C3E"/>
    <w:rsid w:val="00685A69"/>
    <w:rsid w:val="006873DF"/>
    <w:rsid w:val="0069263C"/>
    <w:rsid w:val="00692A5B"/>
    <w:rsid w:val="00695B26"/>
    <w:rsid w:val="006A19C8"/>
    <w:rsid w:val="006A1CF0"/>
    <w:rsid w:val="006A2667"/>
    <w:rsid w:val="006A30CA"/>
    <w:rsid w:val="006A456F"/>
    <w:rsid w:val="006A6E2A"/>
    <w:rsid w:val="006A7E0A"/>
    <w:rsid w:val="006B44DE"/>
    <w:rsid w:val="006B55C3"/>
    <w:rsid w:val="006B754F"/>
    <w:rsid w:val="006B7C8B"/>
    <w:rsid w:val="006C0591"/>
    <w:rsid w:val="006C13DF"/>
    <w:rsid w:val="006D196F"/>
    <w:rsid w:val="006D45A5"/>
    <w:rsid w:val="006D6019"/>
    <w:rsid w:val="006D684A"/>
    <w:rsid w:val="006E0A79"/>
    <w:rsid w:val="006E1947"/>
    <w:rsid w:val="006E1D31"/>
    <w:rsid w:val="006E6D94"/>
    <w:rsid w:val="006E75C7"/>
    <w:rsid w:val="006E7D05"/>
    <w:rsid w:val="006F2A84"/>
    <w:rsid w:val="006F4054"/>
    <w:rsid w:val="006F4B91"/>
    <w:rsid w:val="00707696"/>
    <w:rsid w:val="00707788"/>
    <w:rsid w:val="007143E6"/>
    <w:rsid w:val="00715985"/>
    <w:rsid w:val="00716081"/>
    <w:rsid w:val="00725AA7"/>
    <w:rsid w:val="00732842"/>
    <w:rsid w:val="00741AB3"/>
    <w:rsid w:val="00743E6E"/>
    <w:rsid w:val="00745227"/>
    <w:rsid w:val="00753F9B"/>
    <w:rsid w:val="00755216"/>
    <w:rsid w:val="0075783E"/>
    <w:rsid w:val="007704E3"/>
    <w:rsid w:val="007706B2"/>
    <w:rsid w:val="00770DBB"/>
    <w:rsid w:val="00771925"/>
    <w:rsid w:val="0077744B"/>
    <w:rsid w:val="00781266"/>
    <w:rsid w:val="00787232"/>
    <w:rsid w:val="0078776B"/>
    <w:rsid w:val="00795162"/>
    <w:rsid w:val="007A08FA"/>
    <w:rsid w:val="007B0031"/>
    <w:rsid w:val="007B06C9"/>
    <w:rsid w:val="007B3C23"/>
    <w:rsid w:val="007B635B"/>
    <w:rsid w:val="007C0131"/>
    <w:rsid w:val="007C2E14"/>
    <w:rsid w:val="007C396C"/>
    <w:rsid w:val="007D1163"/>
    <w:rsid w:val="007E0FD2"/>
    <w:rsid w:val="007E370D"/>
    <w:rsid w:val="007E64E3"/>
    <w:rsid w:val="007F1954"/>
    <w:rsid w:val="007F3CA4"/>
    <w:rsid w:val="007F61E2"/>
    <w:rsid w:val="008055EA"/>
    <w:rsid w:val="00805AD8"/>
    <w:rsid w:val="008139FD"/>
    <w:rsid w:val="00815A90"/>
    <w:rsid w:val="008162AD"/>
    <w:rsid w:val="008172BC"/>
    <w:rsid w:val="0081734B"/>
    <w:rsid w:val="00820924"/>
    <w:rsid w:val="00820DFB"/>
    <w:rsid w:val="00822100"/>
    <w:rsid w:val="008246E9"/>
    <w:rsid w:val="008248DF"/>
    <w:rsid w:val="008249A1"/>
    <w:rsid w:val="00824C86"/>
    <w:rsid w:val="00827643"/>
    <w:rsid w:val="00830422"/>
    <w:rsid w:val="00834455"/>
    <w:rsid w:val="00845911"/>
    <w:rsid w:val="008476D3"/>
    <w:rsid w:val="00854C8A"/>
    <w:rsid w:val="00856ECA"/>
    <w:rsid w:val="00862B20"/>
    <w:rsid w:val="00865312"/>
    <w:rsid w:val="008703D8"/>
    <w:rsid w:val="0087106C"/>
    <w:rsid w:val="00874A7C"/>
    <w:rsid w:val="00877886"/>
    <w:rsid w:val="00881434"/>
    <w:rsid w:val="00883DA2"/>
    <w:rsid w:val="00887092"/>
    <w:rsid w:val="00890A9B"/>
    <w:rsid w:val="00893200"/>
    <w:rsid w:val="008934DA"/>
    <w:rsid w:val="00897B9F"/>
    <w:rsid w:val="00897BF2"/>
    <w:rsid w:val="008A3B85"/>
    <w:rsid w:val="008A6373"/>
    <w:rsid w:val="008B5820"/>
    <w:rsid w:val="008C477C"/>
    <w:rsid w:val="008C5974"/>
    <w:rsid w:val="008C6ED3"/>
    <w:rsid w:val="008D2EF7"/>
    <w:rsid w:val="008D6C51"/>
    <w:rsid w:val="008D7CA0"/>
    <w:rsid w:val="008E192E"/>
    <w:rsid w:val="008E284B"/>
    <w:rsid w:val="008E32C0"/>
    <w:rsid w:val="008E7D0D"/>
    <w:rsid w:val="008E7DBF"/>
    <w:rsid w:val="008F28DD"/>
    <w:rsid w:val="008F4223"/>
    <w:rsid w:val="008F4747"/>
    <w:rsid w:val="008F57B7"/>
    <w:rsid w:val="008F67C0"/>
    <w:rsid w:val="008F7128"/>
    <w:rsid w:val="008F71FC"/>
    <w:rsid w:val="00901A93"/>
    <w:rsid w:val="009041A5"/>
    <w:rsid w:val="009153C3"/>
    <w:rsid w:val="00915E3A"/>
    <w:rsid w:val="0091786E"/>
    <w:rsid w:val="00920343"/>
    <w:rsid w:val="00923058"/>
    <w:rsid w:val="00927FA2"/>
    <w:rsid w:val="00930558"/>
    <w:rsid w:val="0093306C"/>
    <w:rsid w:val="0093318A"/>
    <w:rsid w:val="009415A5"/>
    <w:rsid w:val="00942ACC"/>
    <w:rsid w:val="00944D84"/>
    <w:rsid w:val="00946EAF"/>
    <w:rsid w:val="00947C8A"/>
    <w:rsid w:val="0095012A"/>
    <w:rsid w:val="00954447"/>
    <w:rsid w:val="009549D0"/>
    <w:rsid w:val="009560F5"/>
    <w:rsid w:val="009575EA"/>
    <w:rsid w:val="00960198"/>
    <w:rsid w:val="009625CC"/>
    <w:rsid w:val="009639E9"/>
    <w:rsid w:val="009654B6"/>
    <w:rsid w:val="009678D5"/>
    <w:rsid w:val="00967D9A"/>
    <w:rsid w:val="00970610"/>
    <w:rsid w:val="0097305C"/>
    <w:rsid w:val="009731C4"/>
    <w:rsid w:val="00974E42"/>
    <w:rsid w:val="0098671E"/>
    <w:rsid w:val="00986D70"/>
    <w:rsid w:val="00991939"/>
    <w:rsid w:val="00997CA8"/>
    <w:rsid w:val="009A1E65"/>
    <w:rsid w:val="009A31EF"/>
    <w:rsid w:val="009B0412"/>
    <w:rsid w:val="009B1045"/>
    <w:rsid w:val="009B1395"/>
    <w:rsid w:val="009B3245"/>
    <w:rsid w:val="009B43B1"/>
    <w:rsid w:val="009B7959"/>
    <w:rsid w:val="009C1A15"/>
    <w:rsid w:val="009D1FBB"/>
    <w:rsid w:val="009E541A"/>
    <w:rsid w:val="009E5908"/>
    <w:rsid w:val="009E7637"/>
    <w:rsid w:val="009F0C39"/>
    <w:rsid w:val="009F27B0"/>
    <w:rsid w:val="009F43B5"/>
    <w:rsid w:val="00A005C5"/>
    <w:rsid w:val="00A01FEC"/>
    <w:rsid w:val="00A04377"/>
    <w:rsid w:val="00A158D1"/>
    <w:rsid w:val="00A22AE6"/>
    <w:rsid w:val="00A334FE"/>
    <w:rsid w:val="00A34104"/>
    <w:rsid w:val="00A34E3A"/>
    <w:rsid w:val="00A3595D"/>
    <w:rsid w:val="00A36685"/>
    <w:rsid w:val="00A371B1"/>
    <w:rsid w:val="00A40CFE"/>
    <w:rsid w:val="00A446DF"/>
    <w:rsid w:val="00A4615C"/>
    <w:rsid w:val="00A51CAA"/>
    <w:rsid w:val="00A53AA4"/>
    <w:rsid w:val="00A54E91"/>
    <w:rsid w:val="00A57063"/>
    <w:rsid w:val="00A62D91"/>
    <w:rsid w:val="00A64B0F"/>
    <w:rsid w:val="00A670C2"/>
    <w:rsid w:val="00A81D11"/>
    <w:rsid w:val="00A91C75"/>
    <w:rsid w:val="00A94EDA"/>
    <w:rsid w:val="00AA055C"/>
    <w:rsid w:val="00AA25B7"/>
    <w:rsid w:val="00AA443D"/>
    <w:rsid w:val="00AB2125"/>
    <w:rsid w:val="00AB3DD2"/>
    <w:rsid w:val="00AC3552"/>
    <w:rsid w:val="00AC5FBD"/>
    <w:rsid w:val="00AE0E82"/>
    <w:rsid w:val="00AE2D12"/>
    <w:rsid w:val="00AE51B0"/>
    <w:rsid w:val="00AF4C5E"/>
    <w:rsid w:val="00AF7191"/>
    <w:rsid w:val="00AF7B51"/>
    <w:rsid w:val="00B001F9"/>
    <w:rsid w:val="00B070AD"/>
    <w:rsid w:val="00B17568"/>
    <w:rsid w:val="00B2012D"/>
    <w:rsid w:val="00B2078B"/>
    <w:rsid w:val="00B207AD"/>
    <w:rsid w:val="00B21A09"/>
    <w:rsid w:val="00B24720"/>
    <w:rsid w:val="00B252E2"/>
    <w:rsid w:val="00B25607"/>
    <w:rsid w:val="00B278F7"/>
    <w:rsid w:val="00B35CF2"/>
    <w:rsid w:val="00B44345"/>
    <w:rsid w:val="00B47387"/>
    <w:rsid w:val="00B54DB1"/>
    <w:rsid w:val="00B571D2"/>
    <w:rsid w:val="00B5746C"/>
    <w:rsid w:val="00B67104"/>
    <w:rsid w:val="00B708DE"/>
    <w:rsid w:val="00B73772"/>
    <w:rsid w:val="00B74535"/>
    <w:rsid w:val="00B927A8"/>
    <w:rsid w:val="00B9391C"/>
    <w:rsid w:val="00B9639B"/>
    <w:rsid w:val="00B97BAE"/>
    <w:rsid w:val="00BA3DB1"/>
    <w:rsid w:val="00BA72A6"/>
    <w:rsid w:val="00BB145B"/>
    <w:rsid w:val="00BC28F8"/>
    <w:rsid w:val="00BC2E6B"/>
    <w:rsid w:val="00BC4905"/>
    <w:rsid w:val="00BD1322"/>
    <w:rsid w:val="00BD7E79"/>
    <w:rsid w:val="00BE5A1D"/>
    <w:rsid w:val="00BF004D"/>
    <w:rsid w:val="00BF088F"/>
    <w:rsid w:val="00BF445E"/>
    <w:rsid w:val="00C004D4"/>
    <w:rsid w:val="00C05E2C"/>
    <w:rsid w:val="00C06CF4"/>
    <w:rsid w:val="00C07C67"/>
    <w:rsid w:val="00C11553"/>
    <w:rsid w:val="00C11BB4"/>
    <w:rsid w:val="00C12866"/>
    <w:rsid w:val="00C17949"/>
    <w:rsid w:val="00C17D30"/>
    <w:rsid w:val="00C20CB5"/>
    <w:rsid w:val="00C20FE8"/>
    <w:rsid w:val="00C24D43"/>
    <w:rsid w:val="00C25EB3"/>
    <w:rsid w:val="00C26509"/>
    <w:rsid w:val="00C279C1"/>
    <w:rsid w:val="00C35106"/>
    <w:rsid w:val="00C376AF"/>
    <w:rsid w:val="00C410D0"/>
    <w:rsid w:val="00C46E58"/>
    <w:rsid w:val="00C532D0"/>
    <w:rsid w:val="00C61581"/>
    <w:rsid w:val="00C6266B"/>
    <w:rsid w:val="00C66500"/>
    <w:rsid w:val="00C75870"/>
    <w:rsid w:val="00C76231"/>
    <w:rsid w:val="00C81BDC"/>
    <w:rsid w:val="00C82DAA"/>
    <w:rsid w:val="00C847A5"/>
    <w:rsid w:val="00C85B80"/>
    <w:rsid w:val="00C9065B"/>
    <w:rsid w:val="00C93D84"/>
    <w:rsid w:val="00C95047"/>
    <w:rsid w:val="00C95BE8"/>
    <w:rsid w:val="00C96DAE"/>
    <w:rsid w:val="00CA29CF"/>
    <w:rsid w:val="00CA5651"/>
    <w:rsid w:val="00CB44B4"/>
    <w:rsid w:val="00CB68B9"/>
    <w:rsid w:val="00CC180E"/>
    <w:rsid w:val="00CC2500"/>
    <w:rsid w:val="00CC3B32"/>
    <w:rsid w:val="00CC4C50"/>
    <w:rsid w:val="00CC4DBE"/>
    <w:rsid w:val="00CC7254"/>
    <w:rsid w:val="00CD1AAC"/>
    <w:rsid w:val="00CD33DF"/>
    <w:rsid w:val="00CD63A0"/>
    <w:rsid w:val="00D00DAF"/>
    <w:rsid w:val="00D07AFA"/>
    <w:rsid w:val="00D12DB3"/>
    <w:rsid w:val="00D138A3"/>
    <w:rsid w:val="00D14572"/>
    <w:rsid w:val="00D14FD0"/>
    <w:rsid w:val="00D15CFA"/>
    <w:rsid w:val="00D203AB"/>
    <w:rsid w:val="00D22BD6"/>
    <w:rsid w:val="00D24462"/>
    <w:rsid w:val="00D300DE"/>
    <w:rsid w:val="00D35795"/>
    <w:rsid w:val="00D4207C"/>
    <w:rsid w:val="00D44F1A"/>
    <w:rsid w:val="00D505C0"/>
    <w:rsid w:val="00D5674F"/>
    <w:rsid w:val="00D567D9"/>
    <w:rsid w:val="00D6163D"/>
    <w:rsid w:val="00D646E5"/>
    <w:rsid w:val="00D66671"/>
    <w:rsid w:val="00D728FB"/>
    <w:rsid w:val="00D749B9"/>
    <w:rsid w:val="00D753ED"/>
    <w:rsid w:val="00D76E81"/>
    <w:rsid w:val="00D8783E"/>
    <w:rsid w:val="00D90262"/>
    <w:rsid w:val="00D930F1"/>
    <w:rsid w:val="00D96B32"/>
    <w:rsid w:val="00DA004E"/>
    <w:rsid w:val="00DA0D0E"/>
    <w:rsid w:val="00DA40C1"/>
    <w:rsid w:val="00DA467C"/>
    <w:rsid w:val="00DA4BFC"/>
    <w:rsid w:val="00DB02C9"/>
    <w:rsid w:val="00DB02CB"/>
    <w:rsid w:val="00DB1442"/>
    <w:rsid w:val="00DB386B"/>
    <w:rsid w:val="00DB3DAF"/>
    <w:rsid w:val="00DC2765"/>
    <w:rsid w:val="00DC437E"/>
    <w:rsid w:val="00DC467B"/>
    <w:rsid w:val="00DD1CA9"/>
    <w:rsid w:val="00DD1DAB"/>
    <w:rsid w:val="00DD7249"/>
    <w:rsid w:val="00DD771C"/>
    <w:rsid w:val="00DD7DF9"/>
    <w:rsid w:val="00DE1B84"/>
    <w:rsid w:val="00DE2CE7"/>
    <w:rsid w:val="00DE4811"/>
    <w:rsid w:val="00DE5C04"/>
    <w:rsid w:val="00DF137E"/>
    <w:rsid w:val="00DF6708"/>
    <w:rsid w:val="00E126F0"/>
    <w:rsid w:val="00E1580D"/>
    <w:rsid w:val="00E17645"/>
    <w:rsid w:val="00E17985"/>
    <w:rsid w:val="00E2219D"/>
    <w:rsid w:val="00E27A59"/>
    <w:rsid w:val="00E326ED"/>
    <w:rsid w:val="00E32C3B"/>
    <w:rsid w:val="00E33F83"/>
    <w:rsid w:val="00E34811"/>
    <w:rsid w:val="00E41046"/>
    <w:rsid w:val="00E42AD5"/>
    <w:rsid w:val="00E45B98"/>
    <w:rsid w:val="00E4698E"/>
    <w:rsid w:val="00E4726D"/>
    <w:rsid w:val="00E52AC1"/>
    <w:rsid w:val="00E5584D"/>
    <w:rsid w:val="00E605BE"/>
    <w:rsid w:val="00E701B5"/>
    <w:rsid w:val="00E71881"/>
    <w:rsid w:val="00E77B46"/>
    <w:rsid w:val="00E828A2"/>
    <w:rsid w:val="00E8646B"/>
    <w:rsid w:val="00E86854"/>
    <w:rsid w:val="00E86F85"/>
    <w:rsid w:val="00E915FE"/>
    <w:rsid w:val="00E95B9B"/>
    <w:rsid w:val="00EA46D5"/>
    <w:rsid w:val="00EA637D"/>
    <w:rsid w:val="00EA74AC"/>
    <w:rsid w:val="00EB1193"/>
    <w:rsid w:val="00EB6118"/>
    <w:rsid w:val="00EC0D08"/>
    <w:rsid w:val="00EC0F54"/>
    <w:rsid w:val="00EC4742"/>
    <w:rsid w:val="00ED340D"/>
    <w:rsid w:val="00ED6C9C"/>
    <w:rsid w:val="00EE0435"/>
    <w:rsid w:val="00EE271F"/>
    <w:rsid w:val="00EE37F1"/>
    <w:rsid w:val="00EF3CEB"/>
    <w:rsid w:val="00F05E94"/>
    <w:rsid w:val="00F143AB"/>
    <w:rsid w:val="00F157AB"/>
    <w:rsid w:val="00F22787"/>
    <w:rsid w:val="00F23544"/>
    <w:rsid w:val="00F24D0A"/>
    <w:rsid w:val="00F271A5"/>
    <w:rsid w:val="00F27C4B"/>
    <w:rsid w:val="00F30D1E"/>
    <w:rsid w:val="00F338E5"/>
    <w:rsid w:val="00F34F4D"/>
    <w:rsid w:val="00F3796C"/>
    <w:rsid w:val="00F41185"/>
    <w:rsid w:val="00F4424E"/>
    <w:rsid w:val="00F45946"/>
    <w:rsid w:val="00F47929"/>
    <w:rsid w:val="00F50566"/>
    <w:rsid w:val="00F52302"/>
    <w:rsid w:val="00F5780E"/>
    <w:rsid w:val="00F64DD6"/>
    <w:rsid w:val="00F728B5"/>
    <w:rsid w:val="00F760C3"/>
    <w:rsid w:val="00F825AC"/>
    <w:rsid w:val="00F83E76"/>
    <w:rsid w:val="00F91390"/>
    <w:rsid w:val="00F9793D"/>
    <w:rsid w:val="00F97995"/>
    <w:rsid w:val="00FA17D2"/>
    <w:rsid w:val="00FA2E3E"/>
    <w:rsid w:val="00FB20BD"/>
    <w:rsid w:val="00FB3E5F"/>
    <w:rsid w:val="00FB64AE"/>
    <w:rsid w:val="00FC0674"/>
    <w:rsid w:val="00FC0A5B"/>
    <w:rsid w:val="00FC5868"/>
    <w:rsid w:val="00FC5C91"/>
    <w:rsid w:val="00FC670E"/>
    <w:rsid w:val="00FD14FA"/>
    <w:rsid w:val="00FD1AD9"/>
    <w:rsid w:val="00FD4A52"/>
    <w:rsid w:val="00FD4BC6"/>
    <w:rsid w:val="00FE5E0D"/>
    <w:rsid w:val="00FF0A92"/>
    <w:rsid w:val="00FF3D04"/>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6E6D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401E62"/>
    <w:pPr>
      <w:numPr>
        <w:ilvl w:val="0"/>
        <w:numId w:val="11"/>
      </w:numPr>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styleId="BodyText">
    <w:name w:val="Body Text"/>
    <w:basedOn w:val="Normal"/>
    <w:link w:val="BodyTextChar"/>
    <w:uiPriority w:val="1"/>
    <w:qFormat/>
    <w:rsid w:val="00C12866"/>
    <w:pPr>
      <w:widowControl w:val="0"/>
      <w:spacing w:before="121" w:after="0" w:line="240" w:lineRule="auto"/>
      <w:ind w:left="119" w:firstLine="720"/>
    </w:pPr>
    <w:rPr>
      <w:rFonts w:ascii="Times New Roman" w:eastAsia="Times New Roman" w:hAnsi="Times New Roman" w:cstheme="minorBidi"/>
      <w:w w:val="100"/>
      <w:kern w:val="0"/>
      <w:lang w:val="en-US"/>
    </w:rPr>
  </w:style>
  <w:style w:type="character" w:customStyle="1" w:styleId="BodyTextChar">
    <w:name w:val="Body Text Char"/>
    <w:basedOn w:val="DefaultParagraphFont"/>
    <w:link w:val="BodyText"/>
    <w:uiPriority w:val="1"/>
    <w:rsid w:val="00C12866"/>
    <w:rPr>
      <w:rFonts w:ascii="Times New Roman" w:eastAsia="Times New Roman" w:hAnsi="Times New Roman" w:cstheme="minorBidi"/>
      <w:sz w:val="22"/>
      <w:szCs w:val="22"/>
      <w:lang w:val="en-US" w:eastAsia="en-US"/>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432F14"/>
    <w:pPr>
      <w:ind w:left="720"/>
      <w:contextualSpacing/>
    </w:pPr>
  </w:style>
  <w:style w:type="table" w:styleId="TableGrid">
    <w:name w:val="Table Grid"/>
    <w:basedOn w:val="TableNormal"/>
    <w:uiPriority w:val="59"/>
    <w:rsid w:val="00A005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5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6AF"/>
    <w:rPr>
      <w:rFonts w:cs="Calibri"/>
      <w:w w:val="105"/>
      <w:kern w:val="40"/>
      <w:lang w:eastAsia="en-US"/>
    </w:rPr>
  </w:style>
  <w:style w:type="character" w:styleId="FootnoteReference">
    <w:name w:val="footnote reference"/>
    <w:basedOn w:val="DefaultParagraphFont"/>
    <w:uiPriority w:val="99"/>
    <w:semiHidden/>
    <w:unhideWhenUsed/>
    <w:rsid w:val="003E56AF"/>
    <w:rPr>
      <w:vertAlign w:val="superscript"/>
    </w:rPr>
  </w:style>
  <w:style w:type="character" w:styleId="CommentReference">
    <w:name w:val="annotation reference"/>
    <w:basedOn w:val="DefaultParagraphFont"/>
    <w:uiPriority w:val="99"/>
    <w:semiHidden/>
    <w:unhideWhenUsed/>
    <w:rsid w:val="00391D3B"/>
    <w:rPr>
      <w:sz w:val="16"/>
      <w:szCs w:val="16"/>
    </w:rPr>
  </w:style>
  <w:style w:type="paragraph" w:styleId="CommentText">
    <w:name w:val="annotation text"/>
    <w:basedOn w:val="Normal"/>
    <w:link w:val="CommentTextChar"/>
    <w:uiPriority w:val="99"/>
    <w:unhideWhenUsed/>
    <w:rsid w:val="00391D3B"/>
    <w:pPr>
      <w:spacing w:line="240" w:lineRule="auto"/>
    </w:pPr>
    <w:rPr>
      <w:sz w:val="20"/>
      <w:szCs w:val="20"/>
    </w:rPr>
  </w:style>
  <w:style w:type="character" w:customStyle="1" w:styleId="CommentTextChar">
    <w:name w:val="Comment Text Char"/>
    <w:basedOn w:val="DefaultParagraphFont"/>
    <w:link w:val="CommentText"/>
    <w:uiPriority w:val="99"/>
    <w:rsid w:val="00391D3B"/>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391D3B"/>
    <w:rPr>
      <w:b/>
      <w:bCs/>
    </w:rPr>
  </w:style>
  <w:style w:type="character" w:customStyle="1" w:styleId="CommentSubjectChar">
    <w:name w:val="Comment Subject Char"/>
    <w:basedOn w:val="CommentTextChar"/>
    <w:link w:val="CommentSubject"/>
    <w:uiPriority w:val="99"/>
    <w:semiHidden/>
    <w:rsid w:val="00391D3B"/>
    <w:rPr>
      <w:rFonts w:cs="Calibri"/>
      <w:b/>
      <w:bCs/>
      <w:w w:val="105"/>
      <w:kern w:val="40"/>
      <w:lang w:eastAsia="en-US"/>
    </w:rPr>
  </w:style>
  <w:style w:type="paragraph" w:customStyle="1" w:styleId="paragraph">
    <w:name w:val="paragraph"/>
    <w:aliases w:val="a"/>
    <w:basedOn w:val="Normal"/>
    <w:rsid w:val="000C5EEF"/>
    <w:pPr>
      <w:spacing w:before="40" w:after="0" w:line="240" w:lineRule="auto"/>
      <w:ind w:left="1644" w:hanging="1644"/>
    </w:pPr>
    <w:rPr>
      <w:rFonts w:ascii="Times New Roman" w:eastAsia="Times New Roman" w:hAnsi="Times New Roman" w:cs="Times New Roman"/>
      <w:w w:val="100"/>
      <w:kern w:val="0"/>
      <w:lang w:val="en-GB" w:eastAsia="en-GB"/>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qFormat/>
    <w:locked/>
    <w:rsid w:val="009B43B1"/>
    <w:rPr>
      <w:rFonts w:cs="Calibri"/>
      <w:w w:val="105"/>
      <w:kern w:val="40"/>
      <w:sz w:val="22"/>
      <w:szCs w:val="22"/>
      <w:lang w:eastAsia="en-US"/>
    </w:rPr>
  </w:style>
  <w:style w:type="character" w:customStyle="1" w:styleId="Heading5Char">
    <w:name w:val="Heading 5 Char"/>
    <w:basedOn w:val="DefaultParagraphFont"/>
    <w:link w:val="Heading5"/>
    <w:uiPriority w:val="9"/>
    <w:rsid w:val="006E6D94"/>
    <w:rPr>
      <w:rFonts w:asciiTheme="majorHAnsi" w:eastAsiaTheme="majorEastAsia" w:hAnsiTheme="majorHAnsi" w:cstheme="majorBidi"/>
      <w:color w:val="365F91" w:themeColor="accent1" w:themeShade="BF"/>
      <w:w w:val="105"/>
      <w:kern w:val="40"/>
      <w:sz w:val="22"/>
      <w:szCs w:val="22"/>
      <w:lang w:eastAsia="en-US"/>
    </w:rPr>
  </w:style>
  <w:style w:type="paragraph" w:customStyle="1" w:styleId="subsection">
    <w:name w:val="subsection"/>
    <w:basedOn w:val="Normal"/>
    <w:rsid w:val="001E4702"/>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subsection2">
    <w:name w:val="subsection2"/>
    <w:basedOn w:val="Normal"/>
    <w:rsid w:val="001E4702"/>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styleId="Hyperlink">
    <w:name w:val="Hyperlink"/>
    <w:basedOn w:val="DefaultParagraphFont"/>
    <w:uiPriority w:val="99"/>
    <w:unhideWhenUsed/>
    <w:rsid w:val="00353087"/>
    <w:rPr>
      <w:color w:val="0000FF" w:themeColor="hyperlink"/>
      <w:u w:val="single"/>
    </w:rPr>
  </w:style>
  <w:style w:type="paragraph" w:styleId="EndnoteText">
    <w:name w:val="endnote text"/>
    <w:basedOn w:val="Normal"/>
    <w:link w:val="EndnoteTextChar"/>
    <w:uiPriority w:val="99"/>
    <w:semiHidden/>
    <w:unhideWhenUsed/>
    <w:rsid w:val="00AF4C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C5E"/>
    <w:rPr>
      <w:rFonts w:cs="Calibri"/>
      <w:w w:val="105"/>
      <w:kern w:val="40"/>
      <w:lang w:eastAsia="en-US"/>
    </w:rPr>
  </w:style>
  <w:style w:type="character" w:styleId="EndnoteReference">
    <w:name w:val="endnote reference"/>
    <w:basedOn w:val="DefaultParagraphFont"/>
    <w:uiPriority w:val="99"/>
    <w:semiHidden/>
    <w:unhideWhenUsed/>
    <w:rsid w:val="00AF4C5E"/>
    <w:rPr>
      <w:vertAlign w:val="superscript"/>
    </w:rPr>
  </w:style>
  <w:style w:type="paragraph" w:styleId="Revision">
    <w:name w:val="Revision"/>
    <w:hidden/>
    <w:uiPriority w:val="99"/>
    <w:semiHidden/>
    <w:rsid w:val="002469B5"/>
    <w:rPr>
      <w:rFonts w:cs="Calibri"/>
      <w:w w:val="105"/>
      <w:kern w:val="40"/>
      <w:sz w:val="22"/>
      <w:szCs w:val="22"/>
      <w:lang w:eastAsia="en-US"/>
    </w:rPr>
  </w:style>
  <w:style w:type="paragraph" w:styleId="NormalWeb">
    <w:name w:val="Normal (Web)"/>
    <w:basedOn w:val="Normal"/>
    <w:uiPriority w:val="99"/>
    <w:unhideWhenUsed/>
    <w:rsid w:val="00137CC7"/>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styleId="UnresolvedMention">
    <w:name w:val="Unresolved Mention"/>
    <w:basedOn w:val="DefaultParagraphFont"/>
    <w:uiPriority w:val="99"/>
    <w:semiHidden/>
    <w:unhideWhenUsed/>
    <w:rsid w:val="0013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4826">
      <w:bodyDiv w:val="1"/>
      <w:marLeft w:val="0"/>
      <w:marRight w:val="0"/>
      <w:marTop w:val="0"/>
      <w:marBottom w:val="0"/>
      <w:divBdr>
        <w:top w:val="none" w:sz="0" w:space="0" w:color="auto"/>
        <w:left w:val="none" w:sz="0" w:space="0" w:color="auto"/>
        <w:bottom w:val="none" w:sz="0" w:space="0" w:color="auto"/>
        <w:right w:val="none" w:sz="0" w:space="0" w:color="auto"/>
      </w:divBdr>
    </w:div>
    <w:div w:id="125201522">
      <w:bodyDiv w:val="1"/>
      <w:marLeft w:val="0"/>
      <w:marRight w:val="0"/>
      <w:marTop w:val="0"/>
      <w:marBottom w:val="0"/>
      <w:divBdr>
        <w:top w:val="none" w:sz="0" w:space="0" w:color="auto"/>
        <w:left w:val="none" w:sz="0" w:space="0" w:color="auto"/>
        <w:bottom w:val="none" w:sz="0" w:space="0" w:color="auto"/>
        <w:right w:val="none" w:sz="0" w:space="0" w:color="auto"/>
      </w:divBdr>
    </w:div>
    <w:div w:id="172108963">
      <w:bodyDiv w:val="1"/>
      <w:marLeft w:val="0"/>
      <w:marRight w:val="0"/>
      <w:marTop w:val="0"/>
      <w:marBottom w:val="0"/>
      <w:divBdr>
        <w:top w:val="none" w:sz="0" w:space="0" w:color="auto"/>
        <w:left w:val="none" w:sz="0" w:space="0" w:color="auto"/>
        <w:bottom w:val="none" w:sz="0" w:space="0" w:color="auto"/>
        <w:right w:val="none" w:sz="0" w:space="0" w:color="auto"/>
      </w:divBdr>
    </w:div>
    <w:div w:id="186338515">
      <w:bodyDiv w:val="1"/>
      <w:marLeft w:val="0"/>
      <w:marRight w:val="0"/>
      <w:marTop w:val="0"/>
      <w:marBottom w:val="0"/>
      <w:divBdr>
        <w:top w:val="none" w:sz="0" w:space="0" w:color="auto"/>
        <w:left w:val="none" w:sz="0" w:space="0" w:color="auto"/>
        <w:bottom w:val="none" w:sz="0" w:space="0" w:color="auto"/>
        <w:right w:val="none" w:sz="0" w:space="0" w:color="auto"/>
      </w:divBdr>
    </w:div>
    <w:div w:id="202980847">
      <w:bodyDiv w:val="1"/>
      <w:marLeft w:val="0"/>
      <w:marRight w:val="0"/>
      <w:marTop w:val="0"/>
      <w:marBottom w:val="0"/>
      <w:divBdr>
        <w:top w:val="none" w:sz="0" w:space="0" w:color="auto"/>
        <w:left w:val="none" w:sz="0" w:space="0" w:color="auto"/>
        <w:bottom w:val="none" w:sz="0" w:space="0" w:color="auto"/>
        <w:right w:val="none" w:sz="0" w:space="0" w:color="auto"/>
      </w:divBdr>
    </w:div>
    <w:div w:id="297417983">
      <w:bodyDiv w:val="1"/>
      <w:marLeft w:val="0"/>
      <w:marRight w:val="0"/>
      <w:marTop w:val="0"/>
      <w:marBottom w:val="0"/>
      <w:divBdr>
        <w:top w:val="none" w:sz="0" w:space="0" w:color="auto"/>
        <w:left w:val="none" w:sz="0" w:space="0" w:color="auto"/>
        <w:bottom w:val="none" w:sz="0" w:space="0" w:color="auto"/>
        <w:right w:val="none" w:sz="0" w:space="0" w:color="auto"/>
      </w:divBdr>
    </w:div>
    <w:div w:id="365298082">
      <w:bodyDiv w:val="1"/>
      <w:marLeft w:val="0"/>
      <w:marRight w:val="0"/>
      <w:marTop w:val="0"/>
      <w:marBottom w:val="0"/>
      <w:divBdr>
        <w:top w:val="none" w:sz="0" w:space="0" w:color="auto"/>
        <w:left w:val="none" w:sz="0" w:space="0" w:color="auto"/>
        <w:bottom w:val="none" w:sz="0" w:space="0" w:color="auto"/>
        <w:right w:val="none" w:sz="0" w:space="0" w:color="auto"/>
      </w:divBdr>
    </w:div>
    <w:div w:id="408429123">
      <w:bodyDiv w:val="1"/>
      <w:marLeft w:val="0"/>
      <w:marRight w:val="0"/>
      <w:marTop w:val="0"/>
      <w:marBottom w:val="0"/>
      <w:divBdr>
        <w:top w:val="none" w:sz="0" w:space="0" w:color="auto"/>
        <w:left w:val="none" w:sz="0" w:space="0" w:color="auto"/>
        <w:bottom w:val="none" w:sz="0" w:space="0" w:color="auto"/>
        <w:right w:val="none" w:sz="0" w:space="0" w:color="auto"/>
      </w:divBdr>
    </w:div>
    <w:div w:id="761216844">
      <w:bodyDiv w:val="1"/>
      <w:marLeft w:val="0"/>
      <w:marRight w:val="0"/>
      <w:marTop w:val="0"/>
      <w:marBottom w:val="0"/>
      <w:divBdr>
        <w:top w:val="none" w:sz="0" w:space="0" w:color="auto"/>
        <w:left w:val="none" w:sz="0" w:space="0" w:color="auto"/>
        <w:bottom w:val="none" w:sz="0" w:space="0" w:color="auto"/>
        <w:right w:val="none" w:sz="0" w:space="0" w:color="auto"/>
      </w:divBdr>
    </w:div>
    <w:div w:id="1024751256">
      <w:bodyDiv w:val="1"/>
      <w:marLeft w:val="0"/>
      <w:marRight w:val="0"/>
      <w:marTop w:val="0"/>
      <w:marBottom w:val="0"/>
      <w:divBdr>
        <w:top w:val="none" w:sz="0" w:space="0" w:color="auto"/>
        <w:left w:val="none" w:sz="0" w:space="0" w:color="auto"/>
        <w:bottom w:val="none" w:sz="0" w:space="0" w:color="auto"/>
        <w:right w:val="none" w:sz="0" w:space="0" w:color="auto"/>
      </w:divBdr>
    </w:div>
    <w:div w:id="1069692786">
      <w:bodyDiv w:val="1"/>
      <w:marLeft w:val="0"/>
      <w:marRight w:val="0"/>
      <w:marTop w:val="0"/>
      <w:marBottom w:val="0"/>
      <w:divBdr>
        <w:top w:val="none" w:sz="0" w:space="0" w:color="auto"/>
        <w:left w:val="none" w:sz="0" w:space="0" w:color="auto"/>
        <w:bottom w:val="none" w:sz="0" w:space="0" w:color="auto"/>
        <w:right w:val="none" w:sz="0" w:space="0" w:color="auto"/>
      </w:divBdr>
    </w:div>
    <w:div w:id="1160579386">
      <w:bodyDiv w:val="1"/>
      <w:marLeft w:val="0"/>
      <w:marRight w:val="0"/>
      <w:marTop w:val="0"/>
      <w:marBottom w:val="0"/>
      <w:divBdr>
        <w:top w:val="none" w:sz="0" w:space="0" w:color="auto"/>
        <w:left w:val="none" w:sz="0" w:space="0" w:color="auto"/>
        <w:bottom w:val="none" w:sz="0" w:space="0" w:color="auto"/>
        <w:right w:val="none" w:sz="0" w:space="0" w:color="auto"/>
      </w:divBdr>
    </w:div>
    <w:div w:id="1230068197">
      <w:bodyDiv w:val="1"/>
      <w:marLeft w:val="0"/>
      <w:marRight w:val="0"/>
      <w:marTop w:val="0"/>
      <w:marBottom w:val="0"/>
      <w:divBdr>
        <w:top w:val="none" w:sz="0" w:space="0" w:color="auto"/>
        <w:left w:val="none" w:sz="0" w:space="0" w:color="auto"/>
        <w:bottom w:val="none" w:sz="0" w:space="0" w:color="auto"/>
        <w:right w:val="none" w:sz="0" w:space="0" w:color="auto"/>
      </w:divBdr>
    </w:div>
    <w:div w:id="1240288478">
      <w:bodyDiv w:val="1"/>
      <w:marLeft w:val="0"/>
      <w:marRight w:val="0"/>
      <w:marTop w:val="0"/>
      <w:marBottom w:val="0"/>
      <w:divBdr>
        <w:top w:val="none" w:sz="0" w:space="0" w:color="auto"/>
        <w:left w:val="none" w:sz="0" w:space="0" w:color="auto"/>
        <w:bottom w:val="none" w:sz="0" w:space="0" w:color="auto"/>
        <w:right w:val="none" w:sz="0" w:space="0" w:color="auto"/>
      </w:divBdr>
    </w:div>
    <w:div w:id="1302886136">
      <w:bodyDiv w:val="1"/>
      <w:marLeft w:val="0"/>
      <w:marRight w:val="0"/>
      <w:marTop w:val="0"/>
      <w:marBottom w:val="0"/>
      <w:divBdr>
        <w:top w:val="none" w:sz="0" w:space="0" w:color="auto"/>
        <w:left w:val="none" w:sz="0" w:space="0" w:color="auto"/>
        <w:bottom w:val="none" w:sz="0" w:space="0" w:color="auto"/>
        <w:right w:val="none" w:sz="0" w:space="0" w:color="auto"/>
      </w:divBdr>
    </w:div>
    <w:div w:id="1454788980">
      <w:bodyDiv w:val="1"/>
      <w:marLeft w:val="0"/>
      <w:marRight w:val="0"/>
      <w:marTop w:val="0"/>
      <w:marBottom w:val="0"/>
      <w:divBdr>
        <w:top w:val="none" w:sz="0" w:space="0" w:color="auto"/>
        <w:left w:val="none" w:sz="0" w:space="0" w:color="auto"/>
        <w:bottom w:val="none" w:sz="0" w:space="0" w:color="auto"/>
        <w:right w:val="none" w:sz="0" w:space="0" w:color="auto"/>
      </w:divBdr>
    </w:div>
    <w:div w:id="1614241330">
      <w:bodyDiv w:val="1"/>
      <w:marLeft w:val="0"/>
      <w:marRight w:val="0"/>
      <w:marTop w:val="0"/>
      <w:marBottom w:val="0"/>
      <w:divBdr>
        <w:top w:val="none" w:sz="0" w:space="0" w:color="auto"/>
        <w:left w:val="none" w:sz="0" w:space="0" w:color="auto"/>
        <w:bottom w:val="none" w:sz="0" w:space="0" w:color="auto"/>
        <w:right w:val="none" w:sz="0" w:space="0" w:color="auto"/>
      </w:divBdr>
    </w:div>
    <w:div w:id="1674147115">
      <w:bodyDiv w:val="1"/>
      <w:marLeft w:val="0"/>
      <w:marRight w:val="0"/>
      <w:marTop w:val="0"/>
      <w:marBottom w:val="0"/>
      <w:divBdr>
        <w:top w:val="none" w:sz="0" w:space="0" w:color="auto"/>
        <w:left w:val="none" w:sz="0" w:space="0" w:color="auto"/>
        <w:bottom w:val="none" w:sz="0" w:space="0" w:color="auto"/>
        <w:right w:val="none" w:sz="0" w:space="0" w:color="auto"/>
      </w:divBdr>
    </w:div>
    <w:div w:id="1680228489">
      <w:bodyDiv w:val="1"/>
      <w:marLeft w:val="0"/>
      <w:marRight w:val="0"/>
      <w:marTop w:val="0"/>
      <w:marBottom w:val="0"/>
      <w:divBdr>
        <w:top w:val="none" w:sz="0" w:space="0" w:color="auto"/>
        <w:left w:val="none" w:sz="0" w:space="0" w:color="auto"/>
        <w:bottom w:val="none" w:sz="0" w:space="0" w:color="auto"/>
        <w:right w:val="none" w:sz="0" w:space="0" w:color="auto"/>
      </w:divBdr>
    </w:div>
    <w:div w:id="1799569566">
      <w:bodyDiv w:val="1"/>
      <w:marLeft w:val="0"/>
      <w:marRight w:val="0"/>
      <w:marTop w:val="0"/>
      <w:marBottom w:val="0"/>
      <w:divBdr>
        <w:top w:val="none" w:sz="0" w:space="0" w:color="auto"/>
        <w:left w:val="none" w:sz="0" w:space="0" w:color="auto"/>
        <w:bottom w:val="none" w:sz="0" w:space="0" w:color="auto"/>
        <w:right w:val="none" w:sz="0" w:space="0" w:color="auto"/>
      </w:divBdr>
    </w:div>
    <w:div w:id="1814757770">
      <w:bodyDiv w:val="1"/>
      <w:marLeft w:val="0"/>
      <w:marRight w:val="0"/>
      <w:marTop w:val="0"/>
      <w:marBottom w:val="0"/>
      <w:divBdr>
        <w:top w:val="none" w:sz="0" w:space="0" w:color="auto"/>
        <w:left w:val="none" w:sz="0" w:space="0" w:color="auto"/>
        <w:bottom w:val="none" w:sz="0" w:space="0" w:color="auto"/>
        <w:right w:val="none" w:sz="0" w:space="0" w:color="auto"/>
      </w:divBdr>
    </w:div>
    <w:div w:id="1921060276">
      <w:bodyDiv w:val="1"/>
      <w:marLeft w:val="0"/>
      <w:marRight w:val="0"/>
      <w:marTop w:val="0"/>
      <w:marBottom w:val="0"/>
      <w:divBdr>
        <w:top w:val="none" w:sz="0" w:space="0" w:color="auto"/>
        <w:left w:val="none" w:sz="0" w:space="0" w:color="auto"/>
        <w:bottom w:val="none" w:sz="0" w:space="0" w:color="auto"/>
        <w:right w:val="none" w:sz="0" w:space="0" w:color="auto"/>
      </w:divBdr>
    </w:div>
    <w:div w:id="19885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tive.title@ag.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s.ag.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vacy[at]ag.gov.a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g.gov.au/about-us/accountability-and-reportin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9E82-6A08-4378-B6D8-932B6D0B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7956</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sunsetting instruments under the Native Title Act 1993 (Cth) - Reform options</dc:title>
  <dc:subject/>
  <dc:creator/>
  <cp:keywords/>
  <dc:description/>
  <cp:lastModifiedBy/>
  <cp:revision>1</cp:revision>
  <dcterms:created xsi:type="dcterms:W3CDTF">2023-02-01T00:42:00Z</dcterms:created>
  <dcterms:modified xsi:type="dcterms:W3CDTF">2023-03-03T05:18:00Z</dcterms:modified>
</cp:coreProperties>
</file>