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81DD" w14:textId="0164CE53" w:rsidR="0055343A" w:rsidRDefault="0055343A" w:rsidP="0055343A">
      <w:pPr>
        <w:pStyle w:val="Heading1"/>
        <w:spacing w:beforeLines="100" w:before="240"/>
        <w:jc w:val="right"/>
        <w:rPr>
          <w:sz w:val="24"/>
          <w:szCs w:val="24"/>
        </w:rPr>
      </w:pPr>
      <w:r>
        <w:rPr>
          <w:sz w:val="24"/>
          <w:szCs w:val="24"/>
        </w:rPr>
        <w:t>January 2026</w:t>
      </w:r>
    </w:p>
    <w:p w14:paraId="3C553423" w14:textId="77777777" w:rsidR="0055343A" w:rsidRPr="0055343A" w:rsidRDefault="0055343A" w:rsidP="0055343A"/>
    <w:p w14:paraId="2B8A235F" w14:textId="2BBE04A6" w:rsidR="0055343A" w:rsidRPr="005C331D" w:rsidRDefault="0055343A" w:rsidP="0055343A">
      <w:pPr>
        <w:pStyle w:val="Heading1"/>
        <w:spacing w:beforeLines="100" w:before="240"/>
      </w:pPr>
      <w:r>
        <w:t xml:space="preserve">Statutory Review of the </w:t>
      </w:r>
      <w:r w:rsidRPr="00C6227E">
        <w:rPr>
          <w:i/>
          <w:iCs/>
        </w:rPr>
        <w:t>Statutory Declarations Act 1959</w:t>
      </w:r>
      <w:r>
        <w:t xml:space="preserve"> – Discussion Paper</w:t>
      </w:r>
    </w:p>
    <w:p w14:paraId="6D7BCC99" w14:textId="77777777" w:rsidR="0055343A" w:rsidRDefault="0055343A" w:rsidP="001C0C40">
      <w:pPr>
        <w:pStyle w:val="Heading2"/>
      </w:pPr>
      <w:r>
        <w:t xml:space="preserve">Statutory Review of the Statutory Declarations Act </w:t>
      </w:r>
    </w:p>
    <w:p w14:paraId="416508A9" w14:textId="77777777" w:rsidR="0055343A" w:rsidRDefault="0055343A" w:rsidP="001C0C40">
      <w:pPr>
        <w:pStyle w:val="Heading3"/>
        <w:spacing w:beforeLines="100" w:before="240"/>
      </w:pPr>
      <w:r>
        <w:t>Purpose of the review</w:t>
      </w:r>
    </w:p>
    <w:p w14:paraId="5C0A17A1" w14:textId="77777777" w:rsidR="0055343A" w:rsidRDefault="0055343A" w:rsidP="009B6FB3">
      <w:r>
        <w:t>Section</w:t>
      </w:r>
      <w:r w:rsidRPr="00FA6882">
        <w:t xml:space="preserve"> 16 of the </w:t>
      </w:r>
      <w:hyperlink r:id="rId8" w:history="1">
        <w:r w:rsidRPr="00904415">
          <w:rPr>
            <w:rStyle w:val="Hyperlink"/>
            <w:i/>
            <w:iCs/>
          </w:rPr>
          <w:t>Statutory Declarations Act 1959</w:t>
        </w:r>
      </w:hyperlink>
      <w:r>
        <w:t xml:space="preserve"> (the Act)</w:t>
      </w:r>
      <w:r w:rsidRPr="00FA6882">
        <w:t xml:space="preserve"> </w:t>
      </w:r>
      <w:r>
        <w:t>requires</w:t>
      </w:r>
      <w:r w:rsidRPr="00FA6882">
        <w:t xml:space="preserve"> a review of the </w:t>
      </w:r>
      <w:r>
        <w:t xml:space="preserve">operation of the </w:t>
      </w:r>
      <w:r w:rsidRPr="00FA6882">
        <w:t xml:space="preserve">Act to be conducted as soon as practicable after 1 January 2026 (that is, the second anniversary of the commencement of the </w:t>
      </w:r>
      <w:hyperlink r:id="rId9" w:history="1">
        <w:r w:rsidRPr="00904415">
          <w:rPr>
            <w:rStyle w:val="Hyperlink"/>
            <w:i/>
            <w:iCs/>
          </w:rPr>
          <w:t>Statutory Declarations Amendment Act 2023</w:t>
        </w:r>
      </w:hyperlink>
      <w:r w:rsidRPr="00FA6882">
        <w:t xml:space="preserve"> (the Amendment Act) on 1 January 2024).</w:t>
      </w:r>
      <w:r>
        <w:t xml:space="preserve"> </w:t>
      </w:r>
      <w:r w:rsidRPr="0042357D">
        <w:t xml:space="preserve">Under the Act, the </w:t>
      </w:r>
      <w:r>
        <w:t>r</w:t>
      </w:r>
      <w:r w:rsidRPr="0042357D">
        <w:t>eview must consider whether the operation of the Act is effective, and whether amendments are necessary or desirable to improve its operation.</w:t>
      </w:r>
      <w:r>
        <w:t xml:space="preserve"> </w:t>
      </w:r>
    </w:p>
    <w:p w14:paraId="0A396C55" w14:textId="5B6A1071" w:rsidR="0055343A" w:rsidRDefault="0055343A" w:rsidP="009B6FB3">
      <w:r w:rsidRPr="00B8207F">
        <w:t xml:space="preserve">The Amendment Act provided Australians with more choice and convenience when making a Commonwealth statutory declaration. The principal change was the launch of a digital service that enables people to make a declaration without a witness, using </w:t>
      </w:r>
      <w:proofErr w:type="spellStart"/>
      <w:r>
        <w:t>myID</w:t>
      </w:r>
      <w:proofErr w:type="spellEnd"/>
      <w:r>
        <w:t xml:space="preserve">, the Australian Government’s </w:t>
      </w:r>
      <w:r w:rsidR="001D2C54">
        <w:t xml:space="preserve">digital </w:t>
      </w:r>
      <w:r>
        <w:t xml:space="preserve">ID </w:t>
      </w:r>
      <w:r w:rsidR="001D2C54">
        <w:t>provider</w:t>
      </w:r>
      <w:r>
        <w:t xml:space="preserve">, and </w:t>
      </w:r>
      <w:proofErr w:type="spellStart"/>
      <w:r w:rsidRPr="00B8207F">
        <w:t>myGov</w:t>
      </w:r>
      <w:proofErr w:type="spellEnd"/>
      <w:r>
        <w:t xml:space="preserve">. </w:t>
      </w:r>
      <w:r w:rsidRPr="00B8207F">
        <w:t>The reforms also permanently enabled the use of electronic signatures and video-link witnessing (following temporary changes enacted during COVID-19), while still retaining the traditional paper</w:t>
      </w:r>
      <w:r w:rsidR="00227685">
        <w:t>-</w:t>
      </w:r>
      <w:r w:rsidRPr="00B8207F">
        <w:t>and</w:t>
      </w:r>
      <w:r w:rsidR="00227685">
        <w:t>-</w:t>
      </w:r>
      <w:r w:rsidRPr="00B8207F">
        <w:t>ink method.</w:t>
      </w:r>
    </w:p>
    <w:p w14:paraId="57FDC17C" w14:textId="2B7A4185" w:rsidR="0055343A" w:rsidRDefault="0055343A" w:rsidP="004D5D27">
      <w:r>
        <w:t>A written report of the review must be provided to the Attorney-General</w:t>
      </w:r>
      <w:r w:rsidRPr="00A860F7">
        <w:t xml:space="preserve"> </w:t>
      </w:r>
      <w:r>
        <w:t>within 6 months of the commencement of the review. A copy of the report must also be tabled in Parliament within 15</w:t>
      </w:r>
      <w:r w:rsidR="00677367">
        <w:t> </w:t>
      </w:r>
      <w:r>
        <w:t xml:space="preserve">sitting days after </w:t>
      </w:r>
      <w:r w:rsidR="005426AA">
        <w:t>it is received by t</w:t>
      </w:r>
      <w:r>
        <w:t xml:space="preserve">he Attorney-General. </w:t>
      </w:r>
    </w:p>
    <w:p w14:paraId="041FEE22" w14:textId="77777777" w:rsidR="00677367" w:rsidRPr="001C1FE4" w:rsidRDefault="00677367" w:rsidP="00677367">
      <w:pPr>
        <w:pStyle w:val="Heading3"/>
      </w:pPr>
      <w:r>
        <w:t xml:space="preserve">Background to the review </w:t>
      </w:r>
    </w:p>
    <w:p w14:paraId="57FF3A2F" w14:textId="77777777" w:rsidR="00677367" w:rsidRDefault="00677367" w:rsidP="00677367">
      <w:r w:rsidRPr="005C331D">
        <w:t xml:space="preserve">The </w:t>
      </w:r>
      <w:r>
        <w:t>department</w:t>
      </w:r>
      <w:r w:rsidRPr="005C331D">
        <w:t xml:space="preserve"> is seeking </w:t>
      </w:r>
      <w:r>
        <w:t xml:space="preserve">the views of the public and other </w:t>
      </w:r>
      <w:r w:rsidRPr="005C331D">
        <w:t xml:space="preserve">stakeholders on the operation of the </w:t>
      </w:r>
      <w:r w:rsidRPr="00A5043A">
        <w:t>Act</w:t>
      </w:r>
      <w:r w:rsidRPr="005C331D">
        <w:t xml:space="preserve"> and the Regulations as part of </w:t>
      </w:r>
      <w:r>
        <w:t>the review.</w:t>
      </w:r>
    </w:p>
    <w:p w14:paraId="756800E0" w14:textId="64E2A615" w:rsidR="00677367" w:rsidRDefault="00677367" w:rsidP="00677367">
      <w:r>
        <w:t>The</w:t>
      </w:r>
      <w:r w:rsidRPr="005C331D">
        <w:t xml:space="preserve"> </w:t>
      </w:r>
      <w:r>
        <w:t>review will</w:t>
      </w:r>
      <w:r w:rsidRPr="005C331D">
        <w:t xml:space="preserve"> examine whether the modernised </w:t>
      </w:r>
      <w:r>
        <w:t>statutory</w:t>
      </w:r>
      <w:r w:rsidRPr="005C331D">
        <w:t xml:space="preserve"> </w:t>
      </w:r>
      <w:r>
        <w:t xml:space="preserve">declaration </w:t>
      </w:r>
      <w:r w:rsidRPr="005C331D">
        <w:t xml:space="preserve">framework is working as intended to </w:t>
      </w:r>
      <w:r w:rsidR="00010230">
        <w:t>ensure</w:t>
      </w:r>
      <w:r w:rsidRPr="005C331D">
        <w:t xml:space="preserve"> Commonwealth statutory declarations </w:t>
      </w:r>
      <w:r w:rsidR="00010230">
        <w:t xml:space="preserve">are </w:t>
      </w:r>
      <w:r>
        <w:t xml:space="preserve">accessible, </w:t>
      </w:r>
      <w:r w:rsidRPr="005C331D">
        <w:t xml:space="preserve">safe and secure. </w:t>
      </w:r>
    </w:p>
    <w:p w14:paraId="3CF48C43" w14:textId="77777777" w:rsidR="0055343A" w:rsidRDefault="0055343A" w:rsidP="00060FBD"/>
    <w:p w14:paraId="0CB5B47E" w14:textId="77777777" w:rsidR="0055343A" w:rsidRDefault="0055343A" w:rsidP="00060FBD"/>
    <w:p w14:paraId="31DA0A8F" w14:textId="77777777" w:rsidR="0055343A" w:rsidRPr="00060FBD" w:rsidRDefault="0055343A" w:rsidP="00060FBD">
      <w:r>
        <w:rPr>
          <w:noProof/>
        </w:rPr>
        <w:lastRenderedPageBreak/>
        <mc:AlternateContent>
          <mc:Choice Requires="wps">
            <w:drawing>
              <wp:anchor distT="0" distB="0" distL="114300" distR="114300" simplePos="0" relativeHeight="251660288" behindDoc="0" locked="0" layoutInCell="1" allowOverlap="1" wp14:anchorId="01506936" wp14:editId="04E0FD6F">
                <wp:simplePos x="0" y="0"/>
                <wp:positionH relativeFrom="column">
                  <wp:posOffset>0</wp:posOffset>
                </wp:positionH>
                <wp:positionV relativeFrom="paragraph">
                  <wp:posOffset>0</wp:posOffset>
                </wp:positionV>
                <wp:extent cx="1828800" cy="1828800"/>
                <wp:effectExtent l="0" t="0" r="0" b="5715"/>
                <wp:wrapSquare wrapText="bothSides"/>
                <wp:docPr id="104063119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1">
                            <a:lumMod val="20000"/>
                            <a:lumOff val="80000"/>
                          </a:schemeClr>
                        </a:solidFill>
                        <a:ln w="6350">
                          <a:noFill/>
                        </a:ln>
                      </wps:spPr>
                      <wps:txbx>
                        <w:txbxContent>
                          <w:p w14:paraId="76D8D4D3" w14:textId="77777777" w:rsidR="0055343A" w:rsidRPr="00DB061F" w:rsidRDefault="0055343A" w:rsidP="00DB061F">
                            <w:pPr>
                              <w:pStyle w:val="Heading4"/>
                              <w:spacing w:beforeLines="100" w:before="240"/>
                            </w:pPr>
                            <w:r>
                              <w:t>Terms of Reference</w:t>
                            </w:r>
                          </w:p>
                          <w:p w14:paraId="7769A1A7" w14:textId="77777777" w:rsidR="0055343A" w:rsidRPr="00904415" w:rsidRDefault="0055343A" w:rsidP="00904415">
                            <w:r w:rsidRPr="00904415">
                              <w:t xml:space="preserve">The review will examine the following matters in relation to the Act and the </w:t>
                            </w:r>
                            <w:hyperlink r:id="rId10" w:history="1">
                              <w:r w:rsidRPr="00A546D8">
                                <w:rPr>
                                  <w:rStyle w:val="Hyperlink"/>
                                </w:rPr>
                                <w:t>Statutory Declarations Regulations 2023</w:t>
                              </w:r>
                            </w:hyperlink>
                            <w:r w:rsidRPr="00677367">
                              <w:t xml:space="preserve"> </w:t>
                            </w:r>
                            <w:r w:rsidRPr="00904415">
                              <w:t>(</w:t>
                            </w:r>
                            <w:proofErr w:type="spellStart"/>
                            <w:r w:rsidRPr="00904415">
                              <w:t>Cth</w:t>
                            </w:r>
                            <w:proofErr w:type="spellEnd"/>
                            <w:r w:rsidRPr="00904415">
                              <w:t>) (the Regulations):</w:t>
                            </w:r>
                          </w:p>
                          <w:p w14:paraId="2A6B7F60" w14:textId="4F8756F0" w:rsidR="0055343A" w:rsidRPr="00904415" w:rsidRDefault="0055343A" w:rsidP="0055343A">
                            <w:pPr>
                              <w:numPr>
                                <w:ilvl w:val="0"/>
                                <w:numId w:val="48"/>
                              </w:numPr>
                              <w:spacing w:before="0" w:after="200" w:line="276" w:lineRule="auto"/>
                            </w:pPr>
                            <w:r w:rsidRPr="00904415">
                              <w:t>whether the operation of the Act and Regulations is effective</w:t>
                            </w:r>
                          </w:p>
                          <w:p w14:paraId="79025B84" w14:textId="77777777" w:rsidR="0055343A" w:rsidRPr="00904415" w:rsidRDefault="0055343A" w:rsidP="0055343A">
                            <w:pPr>
                              <w:numPr>
                                <w:ilvl w:val="0"/>
                                <w:numId w:val="48"/>
                              </w:numPr>
                              <w:spacing w:before="0" w:after="200" w:line="276" w:lineRule="auto"/>
                            </w:pPr>
                            <w:r w:rsidRPr="00904415">
                              <w:t>whether amendments to the Act or Regulations are necessary or desirable to improve the</w:t>
                            </w:r>
                            <w:r>
                              <w:t>ir</w:t>
                            </w:r>
                            <w:r w:rsidRPr="00904415">
                              <w:t xml:space="preserve"> operation.</w:t>
                            </w:r>
                          </w:p>
                          <w:p w14:paraId="6A7DC864" w14:textId="77777777" w:rsidR="0055343A" w:rsidRDefault="0055343A" w:rsidP="00060FBD">
                            <w:r w:rsidRPr="00904415">
                              <w:t>In considering these matters, the review will examine the following issues:</w:t>
                            </w:r>
                          </w:p>
                          <w:p w14:paraId="767DA4D4" w14:textId="218FC589" w:rsidR="0055343A" w:rsidRDefault="0055343A" w:rsidP="004778CA">
                            <w:pPr>
                              <w:pStyle w:val="ListParagraph"/>
                              <w:numPr>
                                <w:ilvl w:val="0"/>
                                <w:numId w:val="44"/>
                              </w:numPr>
                              <w:spacing w:before="0" w:after="200" w:line="276" w:lineRule="auto"/>
                              <w:ind w:left="714" w:hanging="357"/>
                            </w:pPr>
                            <w:r>
                              <w:t>To what extent has the expansion of execution options improved efficiency and convenience for Australians when making a Commonwealth statutory declaration?</w:t>
                            </w:r>
                          </w:p>
                          <w:p w14:paraId="1283F6E4" w14:textId="09B79D3D" w:rsidR="006A7FA6" w:rsidRDefault="0055343A" w:rsidP="004778CA">
                            <w:pPr>
                              <w:pStyle w:val="ListParagraph"/>
                              <w:numPr>
                                <w:ilvl w:val="0"/>
                                <w:numId w:val="44"/>
                              </w:numPr>
                              <w:spacing w:before="0" w:after="200" w:line="276" w:lineRule="auto"/>
                              <w:ind w:left="714" w:hanging="357"/>
                            </w:pPr>
                            <w:r>
                              <w:t>Are current safeguards operating effectively?</w:t>
                            </w:r>
                          </w:p>
                          <w:p w14:paraId="4384CB5E" w14:textId="77777777" w:rsidR="0055343A" w:rsidRPr="00577A14" w:rsidRDefault="0055343A" w:rsidP="004778CA">
                            <w:pPr>
                              <w:pStyle w:val="ListParagraph"/>
                              <w:numPr>
                                <w:ilvl w:val="0"/>
                                <w:numId w:val="44"/>
                              </w:numPr>
                              <w:spacing w:before="0" w:after="200" w:line="276" w:lineRule="auto"/>
                              <w:ind w:left="714" w:hanging="357"/>
                            </w:pPr>
                            <w:r>
                              <w:t>Are any changes needed to improve the operation of the Act and Regulations more broadly?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01506936" id="_x0000_t202" coordsize="21600,21600" o:spt="202" path="m,l,21600r21600,l21600,xe">
                <v:stroke joinstyle="miter"/>
                <v:path gradientshapeok="t" o:connecttype="rect"/>
              </v:shapetype>
              <v:shape id="Text Box 1" o:spid="_x0000_s1026" type="#_x0000_t202" style="position:absolute;margin-left:0;margin-top:0;width:2in;height:2in;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" fillcolor="#cbd6e2 [660]" stroked="f" strokeweight=".5pt">
                <v:textbox style="mso-fit-shape-to-text:t">
                  <w:txbxContent>
                    <w:p w14:paraId="76D8D4D3" w14:textId="77777777" w:rsidR="0055343A" w:rsidRPr="00DB061F" w:rsidRDefault="0055343A" w:rsidP="00DB061F">
                      <w:pPr>
                        <w:pStyle w:val="Heading4"/>
                        <w:spacing w:beforeLines="100" w:before="240"/>
                      </w:pPr>
                      <w:r>
                        <w:t>Terms of Reference</w:t>
                      </w:r>
                    </w:p>
                    <w:p w14:paraId="7769A1A7" w14:textId="77777777" w:rsidR="0055343A" w:rsidRPr="00904415" w:rsidRDefault="0055343A" w:rsidP="00904415">
                      <w:r w:rsidRPr="00904415">
                        <w:t xml:space="preserve">The review will examine the following matters in relation to the Act and the </w:t>
                      </w:r>
                      <w:hyperlink r:id="rId11" w:history="1">
                        <w:r w:rsidRPr="00A546D8">
                          <w:rPr>
                            <w:rStyle w:val="Hyperlink"/>
                          </w:rPr>
                          <w:t>Statutory Declarations Regulations 2023</w:t>
                        </w:r>
                      </w:hyperlink>
                      <w:r w:rsidRPr="00677367">
                        <w:t xml:space="preserve"> </w:t>
                      </w:r>
                      <w:r w:rsidRPr="00904415">
                        <w:t>(</w:t>
                      </w:r>
                      <w:proofErr w:type="spellStart"/>
                      <w:r w:rsidRPr="00904415">
                        <w:t>Cth</w:t>
                      </w:r>
                      <w:proofErr w:type="spellEnd"/>
                      <w:r w:rsidRPr="00904415">
                        <w:t>) (the Regulations):</w:t>
                      </w:r>
                    </w:p>
                    <w:p w14:paraId="2A6B7F60" w14:textId="4F8756F0" w:rsidR="0055343A" w:rsidRPr="00904415" w:rsidRDefault="0055343A" w:rsidP="0055343A">
                      <w:pPr>
                        <w:numPr>
                          <w:ilvl w:val="0"/>
                          <w:numId w:val="48"/>
                        </w:numPr>
                        <w:spacing w:before="0" w:after="200" w:line="276" w:lineRule="auto"/>
                      </w:pPr>
                      <w:r w:rsidRPr="00904415">
                        <w:t>whether the operation of the Act and Regulations is effective</w:t>
                      </w:r>
                    </w:p>
                    <w:p w14:paraId="79025B84" w14:textId="77777777" w:rsidR="0055343A" w:rsidRPr="00904415" w:rsidRDefault="0055343A" w:rsidP="0055343A">
                      <w:pPr>
                        <w:numPr>
                          <w:ilvl w:val="0"/>
                          <w:numId w:val="48"/>
                        </w:numPr>
                        <w:spacing w:before="0" w:after="200" w:line="276" w:lineRule="auto"/>
                      </w:pPr>
                      <w:r w:rsidRPr="00904415">
                        <w:t>whether amendments to the Act or Regulations are necessary or desirable to improve the</w:t>
                      </w:r>
                      <w:r>
                        <w:t>ir</w:t>
                      </w:r>
                      <w:r w:rsidRPr="00904415">
                        <w:t xml:space="preserve"> operation.</w:t>
                      </w:r>
                    </w:p>
                    <w:p w14:paraId="6A7DC864" w14:textId="77777777" w:rsidR="0055343A" w:rsidRDefault="0055343A" w:rsidP="00060FBD">
                      <w:r w:rsidRPr="00904415">
                        <w:t>In considering these matters, the review will examine the following issues:</w:t>
                      </w:r>
                    </w:p>
                    <w:p w14:paraId="767DA4D4" w14:textId="218FC589" w:rsidR="0055343A" w:rsidRDefault="0055343A" w:rsidP="004778CA">
                      <w:pPr>
                        <w:pStyle w:val="ListParagraph"/>
                        <w:numPr>
                          <w:ilvl w:val="0"/>
                          <w:numId w:val="44"/>
                        </w:numPr>
                        <w:spacing w:before="0" w:after="200" w:line="276" w:lineRule="auto"/>
                        <w:ind w:left="714" w:hanging="357"/>
                      </w:pPr>
                      <w:r>
                        <w:t>To what extent has the expansion of execution options improved efficiency and convenience for Australians when making a Commonwealth statutory declaration?</w:t>
                      </w:r>
                    </w:p>
                    <w:p w14:paraId="1283F6E4" w14:textId="09B79D3D" w:rsidR="006A7FA6" w:rsidRDefault="0055343A" w:rsidP="004778CA">
                      <w:pPr>
                        <w:pStyle w:val="ListParagraph"/>
                        <w:numPr>
                          <w:ilvl w:val="0"/>
                          <w:numId w:val="44"/>
                        </w:numPr>
                        <w:spacing w:before="0" w:after="200" w:line="276" w:lineRule="auto"/>
                        <w:ind w:left="714" w:hanging="357"/>
                      </w:pPr>
                      <w:r>
                        <w:t>Are current safeguards operating effectively?</w:t>
                      </w:r>
                    </w:p>
                    <w:p w14:paraId="4384CB5E" w14:textId="77777777" w:rsidR="0055343A" w:rsidRPr="00577A14" w:rsidRDefault="0055343A" w:rsidP="004778CA">
                      <w:pPr>
                        <w:pStyle w:val="ListParagraph"/>
                        <w:numPr>
                          <w:ilvl w:val="0"/>
                          <w:numId w:val="44"/>
                        </w:numPr>
                        <w:spacing w:before="0" w:after="200" w:line="276" w:lineRule="auto"/>
                        <w:ind w:left="714" w:hanging="357"/>
                      </w:pPr>
                      <w:r>
                        <w:t>Are any changes needed to improve the operation of the Act and Regulations more broadly?</w:t>
                      </w:r>
                    </w:p>
                  </w:txbxContent>
                </v:textbox>
                <w10:wrap type="square"/>
              </v:shape>
            </w:pict>
          </mc:Fallback>
        </mc:AlternateContent>
      </w:r>
    </w:p>
    <w:p w14:paraId="14D3E00D" w14:textId="77777777" w:rsidR="0055343A" w:rsidRDefault="0055343A" w:rsidP="00AF044D">
      <w:pPr>
        <w:pStyle w:val="Heading3"/>
        <w:spacing w:beforeLines="100" w:before="240"/>
      </w:pPr>
      <w:r>
        <w:t>Having your say</w:t>
      </w:r>
    </w:p>
    <w:p w14:paraId="1F470CDF" w14:textId="569062E0" w:rsidR="0055343A" w:rsidRDefault="0055343A" w:rsidP="00661A0E">
      <w:r>
        <w:t xml:space="preserve">You can provide a submission in response to the </w:t>
      </w:r>
      <w:r w:rsidR="00652718">
        <w:t xml:space="preserve">Discussion </w:t>
      </w:r>
      <w:r>
        <w:t xml:space="preserve">Paper by visiting </w:t>
      </w:r>
      <w:hyperlink r:id="rId12" w:history="1">
        <w:r w:rsidRPr="00880543">
          <w:rPr>
            <w:rStyle w:val="Hyperlink"/>
          </w:rPr>
          <w:t>https://consultations.ag.gov.au/</w:t>
        </w:r>
      </w:hyperlink>
      <w:r>
        <w:t xml:space="preserve"> and clicking ‘Make a submission’ under the heading ‘Have your say’. </w:t>
      </w:r>
    </w:p>
    <w:p w14:paraId="13E67345" w14:textId="6ACB4AF7" w:rsidR="00A97DDD" w:rsidRDefault="0055343A" w:rsidP="00A97DDD">
      <w:r>
        <w:t>We encourage you to provide your responses via the consultation platform</w:t>
      </w:r>
      <w:r w:rsidR="00A97DDD">
        <w:t>.</w:t>
      </w:r>
      <w:r>
        <w:t xml:space="preserve"> </w:t>
      </w:r>
      <w:r w:rsidR="00A97DDD">
        <w:t xml:space="preserve">Submitting your response through the platform helps us publish responses in a way that all users can access. </w:t>
      </w:r>
    </w:p>
    <w:p w14:paraId="03C578B1" w14:textId="51341CB8" w:rsidR="0055343A" w:rsidRDefault="00A97DDD" w:rsidP="00A97DDD">
      <w:r>
        <w:t>You do not need to answer every question. You may respond only to the questions that are relevant to you or your organisation.</w:t>
      </w:r>
    </w:p>
    <w:p w14:paraId="54B96DA3" w14:textId="21AEF295" w:rsidR="00DA39C4" w:rsidRDefault="00DA39C4" w:rsidP="00661A0E">
      <w:r>
        <w:t xml:space="preserve">If you are unable to use the consultation platform, you may provide a written submission responding to the questions in the discussion paper by email to the department’s Modernising Document Execution section at </w:t>
      </w:r>
      <w:hyperlink r:id="rId13" w:history="1">
        <w:r w:rsidRPr="002A5ED0">
          <w:rPr>
            <w:rStyle w:val="Hyperlink"/>
          </w:rPr>
          <w:t>statdec@ag.gov.au</w:t>
        </w:r>
      </w:hyperlink>
      <w:r>
        <w:t>.</w:t>
      </w:r>
    </w:p>
    <w:p w14:paraId="49B3E230" w14:textId="77777777" w:rsidR="0055343A" w:rsidRDefault="0055343A" w:rsidP="00C97BED">
      <w:pPr>
        <w:pStyle w:val="Heading3"/>
      </w:pPr>
      <w:r>
        <w:t>Privacy</w:t>
      </w:r>
    </w:p>
    <w:p w14:paraId="14F914A5" w14:textId="4F7C1F8B" w:rsidR="0055343A" w:rsidRDefault="0055343A" w:rsidP="006F4571">
      <w:r>
        <w:t>You may submit your response under your name or anonymously. Responses will be published at the end of the consultation period. Submissions will not be published without</w:t>
      </w:r>
      <w:r w:rsidR="00677367">
        <w:t xml:space="preserve"> your</w:t>
      </w:r>
      <w:r>
        <w:t xml:space="preserve"> consent, or if publication could raise legal concerns.</w:t>
      </w:r>
    </w:p>
    <w:p w14:paraId="168DF876" w14:textId="2F813943" w:rsidR="00557436" w:rsidRDefault="001352DB" w:rsidP="006F4571">
      <w:r>
        <w:t>We</w:t>
      </w:r>
      <w:r w:rsidR="00557436" w:rsidRPr="00557436">
        <w:t xml:space="preserve"> may use an artificial intelligence</w:t>
      </w:r>
      <w:r w:rsidR="001125DA">
        <w:t xml:space="preserve"> (</w:t>
      </w:r>
      <w:r w:rsidR="002F118C">
        <w:t>AI</w:t>
      </w:r>
      <w:r w:rsidR="001125DA">
        <w:t>)</w:t>
      </w:r>
      <w:r w:rsidR="00557436" w:rsidRPr="00557436">
        <w:t xml:space="preserve"> tool for the purposes of </w:t>
      </w:r>
      <w:r w:rsidR="00557436">
        <w:t>analysing submissions and responses</w:t>
      </w:r>
      <w:r w:rsidR="00557436" w:rsidRPr="00557436">
        <w:t xml:space="preserve">. </w:t>
      </w:r>
      <w:r w:rsidR="00557436">
        <w:t xml:space="preserve">Any AI tool used </w:t>
      </w:r>
      <w:r w:rsidR="002F118C">
        <w:t>for this purpose will be</w:t>
      </w:r>
      <w:r w:rsidR="00557436" w:rsidRPr="00557436">
        <w:t xml:space="preserve"> </w:t>
      </w:r>
      <w:r w:rsidR="006309A8">
        <w:t xml:space="preserve">securely </w:t>
      </w:r>
      <w:r w:rsidR="00557436" w:rsidRPr="00557436">
        <w:t xml:space="preserve">hosted </w:t>
      </w:r>
      <w:r w:rsidR="006309A8" w:rsidRPr="006309A8">
        <w:t>for departmental use</w:t>
      </w:r>
      <w:r w:rsidR="006309A8">
        <w:t xml:space="preserve"> </w:t>
      </w:r>
      <w:r w:rsidR="00557436" w:rsidRPr="00557436">
        <w:t xml:space="preserve">within </w:t>
      </w:r>
      <w:proofErr w:type="gramStart"/>
      <w:r w:rsidR="00557436" w:rsidRPr="00557436">
        <w:t>Australia</w:t>
      </w:r>
      <w:r w:rsidR="006309A8">
        <w:t>, and</w:t>
      </w:r>
      <w:proofErr w:type="gramEnd"/>
      <w:r w:rsidR="006309A8">
        <w:t xml:space="preserve"> will comply with all departmental and government obligations on AI use.</w:t>
      </w:r>
      <w:r w:rsidR="00557436" w:rsidRPr="00557436">
        <w:t xml:space="preserve"> No information used within the </w:t>
      </w:r>
      <w:r w:rsidR="002F118C">
        <w:t>AI tool</w:t>
      </w:r>
      <w:r w:rsidR="00557436" w:rsidRPr="00557436">
        <w:t xml:space="preserve"> </w:t>
      </w:r>
      <w:r w:rsidR="007A3F6B">
        <w:t>will be shared outside of</w:t>
      </w:r>
      <w:r w:rsidR="007A3F6B" w:rsidRPr="00557436">
        <w:t xml:space="preserve"> </w:t>
      </w:r>
      <w:r w:rsidR="00557436" w:rsidRPr="00557436">
        <w:t xml:space="preserve">the department or </w:t>
      </w:r>
      <w:r w:rsidR="007A3F6B">
        <w:t>be</w:t>
      </w:r>
      <w:r w:rsidR="007A3F6B" w:rsidRPr="00557436">
        <w:t xml:space="preserve"> </w:t>
      </w:r>
      <w:r w:rsidR="00557436" w:rsidRPr="00557436">
        <w:t>used for training any AI models. </w:t>
      </w:r>
    </w:p>
    <w:p w14:paraId="3299C32D" w14:textId="51FA14A3" w:rsidR="0055343A" w:rsidRPr="00C97BED" w:rsidRDefault="0055343A" w:rsidP="006F4571">
      <w:r>
        <w:lastRenderedPageBreak/>
        <w:t xml:space="preserve">Submissions may be subject to freedom of information requests, or requests from the parliament. Personal information shared through the consultation will be treated in accordance with the </w:t>
      </w:r>
      <w:r w:rsidRPr="00A66BA9">
        <w:rPr>
          <w:i/>
          <w:iCs/>
        </w:rPr>
        <w:t>Privacy Act 1988</w:t>
      </w:r>
      <w:r>
        <w:rPr>
          <w:i/>
          <w:iCs/>
        </w:rPr>
        <w:t xml:space="preserve"> </w:t>
      </w:r>
      <w:r w:rsidRPr="00606D27">
        <w:t>(The Privacy Act)</w:t>
      </w:r>
      <w:r w:rsidRPr="00626F2D">
        <w:t>.</w:t>
      </w:r>
      <w:r>
        <w:t xml:space="preserve"> For more information on how the </w:t>
      </w:r>
      <w:r w:rsidR="00085323">
        <w:t xml:space="preserve">department </w:t>
      </w:r>
      <w:r>
        <w:t xml:space="preserve">collects, stores and uses personal information, please visit </w:t>
      </w:r>
      <w:r w:rsidR="00085323">
        <w:t>our</w:t>
      </w:r>
      <w:r>
        <w:t xml:space="preserve"> Privacy Policy at </w:t>
      </w:r>
      <w:r>
        <w:br/>
      </w:r>
      <w:hyperlink r:id="rId14" w:history="1">
        <w:r w:rsidRPr="00C27CFF">
          <w:rPr>
            <w:rStyle w:val="Hyperlink"/>
          </w:rPr>
          <w:t>https://www.ag.gov.au/about-us/accountability-and-reporting/privacy-policy</w:t>
        </w:r>
      </w:hyperlink>
      <w:r>
        <w:t>.</w:t>
      </w:r>
    </w:p>
    <w:p w14:paraId="4FE168E4" w14:textId="77777777" w:rsidR="0055343A" w:rsidRDefault="0055343A" w:rsidP="00852A42">
      <w:pPr>
        <w:pStyle w:val="Heading3"/>
      </w:pPr>
      <w:r>
        <w:t xml:space="preserve">Enquiries </w:t>
      </w:r>
    </w:p>
    <w:p w14:paraId="1581E0FA" w14:textId="77777777" w:rsidR="0055343A" w:rsidRPr="00852A42" w:rsidRDefault="0055343A" w:rsidP="00852A42">
      <w:r>
        <w:t xml:space="preserve">Please contact </w:t>
      </w:r>
      <w:hyperlink r:id="rId15" w:history="1">
        <w:r w:rsidRPr="00F84B8A">
          <w:rPr>
            <w:rStyle w:val="Hyperlink"/>
          </w:rPr>
          <w:t>statdec@ag.gov.au</w:t>
        </w:r>
      </w:hyperlink>
      <w:r>
        <w:t xml:space="preserve"> if you have any queries about the review or statutory declarations more generally. </w:t>
      </w:r>
    </w:p>
    <w:p w14:paraId="32A08ABF" w14:textId="77777777" w:rsidR="0055343A" w:rsidRPr="001C1FE4" w:rsidRDefault="0055343A" w:rsidP="009C4704">
      <w:pPr>
        <w:pStyle w:val="Heading2"/>
        <w:jc w:val="both"/>
      </w:pPr>
      <w:r>
        <w:t>Overview of the Statutory Declarations Act</w:t>
      </w:r>
    </w:p>
    <w:p w14:paraId="1F995ECE" w14:textId="77777777" w:rsidR="0055343A" w:rsidRPr="00B36B8A" w:rsidRDefault="0055343A" w:rsidP="00B36B8A">
      <w:r>
        <w:t>A statutory declaration is a type of legal document that sets out facts that the declarant is asserting to be true. Statutory declarations can be used for many purposes and can be requested by a person, organisation or government agency. Some common uses for statutory declarations include visa applications, insurance or superannuation claims, employment and leave applications, and as legal evidence.</w:t>
      </w:r>
    </w:p>
    <w:p w14:paraId="2027072E" w14:textId="7EB1E390" w:rsidR="0055343A" w:rsidRDefault="0055343A" w:rsidP="002A47D6">
      <w:r w:rsidRPr="009E2CB6">
        <w:t xml:space="preserve">Commonwealth statutory declarations are governed by the </w:t>
      </w:r>
      <w:r>
        <w:t xml:space="preserve">Act and the </w:t>
      </w:r>
      <w:r w:rsidRPr="00A607BF">
        <w:rPr>
          <w:i/>
          <w:iCs/>
        </w:rPr>
        <w:t>Statutory Declaration Regulations 2023</w:t>
      </w:r>
      <w:r>
        <w:t xml:space="preserve"> (the Regulations). Together these instruments establish a legal framework that authorises a person to make a statutory declaration on any relevant matter. They also specify requirements such as the approved form and method of execution, identify the persons before whom a declaration can be made, and set out penalties for making false or misleading declarations. </w:t>
      </w:r>
    </w:p>
    <w:p w14:paraId="53192557" w14:textId="426A6FCE" w:rsidR="005426AA" w:rsidRDefault="0055343A" w:rsidP="00A546D8">
      <w:pPr>
        <w:rPr>
          <w:rFonts w:eastAsiaTheme="majorEastAsia" w:cstheme="majorBidi"/>
          <w:b/>
          <w:color w:val="273747" w:themeColor="accent1"/>
          <w:sz w:val="44"/>
          <w:szCs w:val="32"/>
        </w:rPr>
      </w:pPr>
      <w:r w:rsidRPr="009E2CB6">
        <w:t xml:space="preserve">The Commonwealth, states and territories </w:t>
      </w:r>
      <w:r>
        <w:t xml:space="preserve">all </w:t>
      </w:r>
      <w:r w:rsidRPr="009E2CB6">
        <w:t>have different statutory declarations</w:t>
      </w:r>
      <w:r>
        <w:t xml:space="preserve"> requirements</w:t>
      </w:r>
      <w:r w:rsidRPr="009E2CB6">
        <w:t xml:space="preserve"> and there is currently no mechanism for mutual recognition across jurisdictions.</w:t>
      </w:r>
      <w:r>
        <w:rPr>
          <w:rStyle w:val="FootnoteReference"/>
        </w:rPr>
        <w:footnoteReference w:id="1"/>
      </w:r>
    </w:p>
    <w:p w14:paraId="2609C6A4" w14:textId="7AA2D02C" w:rsidR="0055343A" w:rsidRDefault="0055343A" w:rsidP="007403EE">
      <w:pPr>
        <w:pStyle w:val="Heading2"/>
      </w:pPr>
      <w:r>
        <w:t>Key consultation points for consideration</w:t>
      </w:r>
    </w:p>
    <w:p w14:paraId="2C7CC38E" w14:textId="19DC3B11" w:rsidR="007233C6" w:rsidRDefault="007233C6" w:rsidP="007233C6">
      <w:r>
        <w:t xml:space="preserve">The discussion paper covers </w:t>
      </w:r>
      <w:r w:rsidR="006F7342">
        <w:t xml:space="preserve">3 </w:t>
      </w:r>
      <w:r>
        <w:t>key areas for public and stakeholder consideration:</w:t>
      </w:r>
    </w:p>
    <w:p w14:paraId="27716829" w14:textId="377D1449" w:rsidR="007233C6" w:rsidRDefault="007233C6" w:rsidP="00653676">
      <w:pPr>
        <w:pStyle w:val="ListParagraph"/>
        <w:numPr>
          <w:ilvl w:val="0"/>
          <w:numId w:val="44"/>
        </w:numPr>
        <w:spacing w:before="0" w:after="200" w:line="276" w:lineRule="auto"/>
        <w:ind w:left="714" w:hanging="357"/>
      </w:pPr>
      <w:r>
        <w:t>The extent to which the expansion of execution options improved efficiency and convenience for Australians when making a Commonwealth statutory declaration.</w:t>
      </w:r>
    </w:p>
    <w:p w14:paraId="70766154" w14:textId="0B19B229" w:rsidR="007233C6" w:rsidRDefault="007233C6" w:rsidP="00653676">
      <w:pPr>
        <w:pStyle w:val="ListParagraph"/>
        <w:numPr>
          <w:ilvl w:val="0"/>
          <w:numId w:val="44"/>
        </w:numPr>
        <w:spacing w:before="0" w:after="200" w:line="276" w:lineRule="auto"/>
        <w:ind w:left="714" w:hanging="357"/>
      </w:pPr>
      <w:r>
        <w:t>Whether current safeguard</w:t>
      </w:r>
      <w:r w:rsidR="005753CD">
        <w:t xml:space="preserve">s are operating effectively to protect </w:t>
      </w:r>
      <w:r w:rsidR="000A7F58">
        <w:t>individual privacy, maintain security and avoid instances of coercion and fraud.</w:t>
      </w:r>
    </w:p>
    <w:p w14:paraId="5B0B83AB" w14:textId="3187AE39" w:rsidR="007233C6" w:rsidRDefault="000A7F58" w:rsidP="00653676">
      <w:pPr>
        <w:pStyle w:val="ListParagraph"/>
        <w:numPr>
          <w:ilvl w:val="0"/>
          <w:numId w:val="44"/>
        </w:numPr>
        <w:spacing w:before="0" w:after="200" w:line="276" w:lineRule="auto"/>
        <w:ind w:left="714" w:hanging="357"/>
      </w:pPr>
      <w:r>
        <w:t xml:space="preserve">Potential changes to improve </w:t>
      </w:r>
      <w:r w:rsidR="007233C6">
        <w:t>the operation of the Act and Regulations more broadly</w:t>
      </w:r>
      <w:r>
        <w:t>, including:</w:t>
      </w:r>
    </w:p>
    <w:p w14:paraId="3B5BF89D" w14:textId="605FE89F" w:rsidR="000A7F58" w:rsidRDefault="000A7F58" w:rsidP="00653676">
      <w:pPr>
        <w:pStyle w:val="ListParagraph"/>
        <w:numPr>
          <w:ilvl w:val="1"/>
          <w:numId w:val="59"/>
        </w:numPr>
        <w:spacing w:before="0" w:after="200" w:line="276" w:lineRule="auto"/>
      </w:pPr>
      <w:r>
        <w:lastRenderedPageBreak/>
        <w:t xml:space="preserve">a potential closer alignment with the Australian Government Digital ID System (AGDIS) and the </w:t>
      </w:r>
      <w:r w:rsidRPr="00653676">
        <w:t>Digital ID Act</w:t>
      </w:r>
      <w:r w:rsidR="00BC5B0F" w:rsidRPr="00653676">
        <w:t xml:space="preserve"> 2024</w:t>
      </w:r>
      <w:r w:rsidR="00BC5B0F">
        <w:t xml:space="preserve"> (Digital ID Act)</w:t>
      </w:r>
    </w:p>
    <w:p w14:paraId="2827B4B3" w14:textId="05C22A5D" w:rsidR="000A7F58" w:rsidRDefault="000A7F58" w:rsidP="00653676">
      <w:pPr>
        <w:pStyle w:val="ListParagraph"/>
        <w:numPr>
          <w:ilvl w:val="1"/>
          <w:numId w:val="59"/>
        </w:numPr>
        <w:spacing w:before="0" w:after="200" w:line="276" w:lineRule="auto"/>
      </w:pPr>
      <w:r>
        <w:t>consideration of whether the list of approved witnesses remains appropriate</w:t>
      </w:r>
    </w:p>
    <w:p w14:paraId="6EEB2BA3" w14:textId="667A5725" w:rsidR="000A7F58" w:rsidRDefault="000A7F58" w:rsidP="00653676">
      <w:pPr>
        <w:pStyle w:val="ListParagraph"/>
        <w:numPr>
          <w:ilvl w:val="1"/>
          <w:numId w:val="59"/>
        </w:numPr>
        <w:spacing w:before="0" w:after="200" w:line="276" w:lineRule="auto"/>
      </w:pPr>
      <w:r>
        <w:t xml:space="preserve">exploring whether statutory declarations made under state and territory statutory law should be recognised as valid under the Commonwealth statutory declarations framework.   </w:t>
      </w:r>
    </w:p>
    <w:p w14:paraId="50571C3D" w14:textId="77777777" w:rsidR="0055343A" w:rsidRDefault="0055343A" w:rsidP="00342C95">
      <w:pPr>
        <w:pStyle w:val="Heading3"/>
      </w:pPr>
      <w:r w:rsidRPr="00B84D6C">
        <w:t>To what extent has the expansion of execution options improved efficiency and convenience for Australians when making a Commonwealth statutory declaration?</w:t>
      </w:r>
    </w:p>
    <w:p w14:paraId="38E32DBF" w14:textId="3E362225" w:rsidR="0055343A" w:rsidRPr="005C331D" w:rsidRDefault="0055343A" w:rsidP="007615C1">
      <w:r w:rsidRPr="005C7B3F">
        <w:t xml:space="preserve">Historically, </w:t>
      </w:r>
      <w:r>
        <w:t xml:space="preserve">the Act only permitted </w:t>
      </w:r>
      <w:r w:rsidRPr="005C7B3F">
        <w:t xml:space="preserve">paper-based </w:t>
      </w:r>
      <w:r>
        <w:t>statutory declarations,</w:t>
      </w:r>
      <w:r w:rsidRPr="005C7B3F">
        <w:t xml:space="preserve"> requiring wet-ink signatures and in-person witnessing.</w:t>
      </w:r>
      <w:r>
        <w:t xml:space="preserve"> A</w:t>
      </w:r>
      <w:r w:rsidRPr="005C331D">
        <w:t>mendments to modernise the Act came into effect on 1</w:t>
      </w:r>
      <w:r w:rsidR="005426AA">
        <w:t> </w:t>
      </w:r>
      <w:r w:rsidRPr="005C331D">
        <w:t>January 2024</w:t>
      </w:r>
      <w:r>
        <w:t>,</w:t>
      </w:r>
      <w:r w:rsidRPr="005C331D">
        <w:t xml:space="preserve"> allowing statutory declarations to be made in </w:t>
      </w:r>
      <w:r w:rsidR="00CA6CEB">
        <w:t xml:space="preserve">any of </w:t>
      </w:r>
      <w:r w:rsidRPr="005C331D">
        <w:t xml:space="preserve">3 equally valid and legally effective forms: </w:t>
      </w:r>
    </w:p>
    <w:p w14:paraId="7E5ECD34" w14:textId="09E3B6B3" w:rsidR="0055343A" w:rsidRPr="00716B77" w:rsidRDefault="0055343A" w:rsidP="00C42F9A">
      <w:pPr>
        <w:pStyle w:val="ListParagraph"/>
        <w:numPr>
          <w:ilvl w:val="0"/>
          <w:numId w:val="44"/>
        </w:numPr>
        <w:spacing w:before="0" w:after="200" w:line="276" w:lineRule="auto"/>
        <w:ind w:left="714" w:hanging="357"/>
      </w:pPr>
      <w:r w:rsidRPr="00716B77">
        <w:t xml:space="preserve">through an end-to-end digital process using </w:t>
      </w:r>
      <w:proofErr w:type="spellStart"/>
      <w:r w:rsidRPr="00716B77">
        <w:t>myID</w:t>
      </w:r>
      <w:proofErr w:type="spellEnd"/>
      <w:r w:rsidRPr="00716B77">
        <w:t xml:space="preserve"> and </w:t>
      </w:r>
      <w:proofErr w:type="spellStart"/>
      <w:r w:rsidRPr="00716B77">
        <w:t>myGov</w:t>
      </w:r>
      <w:proofErr w:type="spellEnd"/>
      <w:r w:rsidRPr="00716B77">
        <w:t>, with verification of</w:t>
      </w:r>
      <w:r w:rsidR="00314954">
        <w:t xml:space="preserve"> </w:t>
      </w:r>
      <w:r w:rsidRPr="00716B77">
        <w:t xml:space="preserve">identity playing an </w:t>
      </w:r>
      <w:r w:rsidR="004434AB">
        <w:t>equivalent</w:t>
      </w:r>
      <w:r w:rsidR="004434AB" w:rsidRPr="00716B77">
        <w:t xml:space="preserve"> </w:t>
      </w:r>
      <w:r w:rsidRPr="00716B77">
        <w:t xml:space="preserve">role to that of a witness under the other </w:t>
      </w:r>
      <w:r w:rsidR="00AF76B2">
        <w:t>2</w:t>
      </w:r>
      <w:r w:rsidRPr="00716B77">
        <w:t xml:space="preserve"> options</w:t>
      </w:r>
    </w:p>
    <w:p w14:paraId="15F33569" w14:textId="4073F0F4" w:rsidR="0055343A" w:rsidRPr="00716B77" w:rsidRDefault="0055343A" w:rsidP="00C42F9A">
      <w:pPr>
        <w:pStyle w:val="ListParagraph"/>
        <w:numPr>
          <w:ilvl w:val="0"/>
          <w:numId w:val="44"/>
        </w:numPr>
        <w:spacing w:before="0" w:after="200" w:line="276" w:lineRule="auto"/>
        <w:ind w:left="714" w:hanging="357"/>
      </w:pPr>
      <w:r w:rsidRPr="00716B77">
        <w:t>using electronic signatures and video-link witnessing</w:t>
      </w:r>
    </w:p>
    <w:p w14:paraId="2E54B7D1" w14:textId="77777777" w:rsidR="0055343A" w:rsidRPr="00716B77" w:rsidRDefault="0055343A" w:rsidP="00C42F9A">
      <w:pPr>
        <w:pStyle w:val="ListParagraph"/>
        <w:numPr>
          <w:ilvl w:val="0"/>
          <w:numId w:val="44"/>
        </w:numPr>
        <w:spacing w:before="0" w:after="200" w:line="276" w:lineRule="auto"/>
        <w:ind w:left="714" w:hanging="357"/>
      </w:pPr>
      <w:r w:rsidRPr="00716B77">
        <w:t xml:space="preserve">the traditional, paper-based method. </w:t>
      </w:r>
    </w:p>
    <w:p w14:paraId="78C15237" w14:textId="57763292" w:rsidR="0055343A" w:rsidRDefault="0055343A" w:rsidP="00652718">
      <w:r>
        <w:t xml:space="preserve">This section provides information on all methods of executing statutory declarations and outlines what </w:t>
      </w:r>
      <w:r w:rsidR="00D22996">
        <w:t>we know</w:t>
      </w:r>
      <w:r>
        <w:t xml:space="preserve"> about their use. </w:t>
      </w:r>
      <w:r w:rsidR="00E65613">
        <w:t>We</w:t>
      </w:r>
      <w:r>
        <w:t xml:space="preserve"> welcome feedback on your experiences with each type of execution method, particularly where</w:t>
      </w:r>
      <w:r w:rsidR="005426AA">
        <w:t xml:space="preserve"> you have found</w:t>
      </w:r>
      <w:r>
        <w:t xml:space="preserve"> processes are effective or where </w:t>
      </w:r>
      <w:r w:rsidR="005426AA">
        <w:t xml:space="preserve">you have identified </w:t>
      </w:r>
      <w:r>
        <w:t>gaps or challenges.</w:t>
      </w:r>
    </w:p>
    <w:p w14:paraId="2B7BFA2D" w14:textId="77777777" w:rsidR="0055343A" w:rsidRDefault="0055343A" w:rsidP="007F6486">
      <w:pPr>
        <w:pStyle w:val="Heading5"/>
      </w:pPr>
      <w:r>
        <w:t>Digital execution</w:t>
      </w:r>
    </w:p>
    <w:p w14:paraId="4E395402" w14:textId="2CF0A15C" w:rsidR="0055343A" w:rsidRPr="004354BF" w:rsidRDefault="0055343A" w:rsidP="00606D27">
      <w:r w:rsidRPr="004354BF">
        <w:t>Digital execution means making a statutory declaration using an end-to-end digital process</w:t>
      </w:r>
      <w:r w:rsidR="004354BF" w:rsidRPr="004354BF">
        <w:t>.</w:t>
      </w:r>
      <w:r w:rsidRPr="004354BF">
        <w:t xml:space="preserve"> Commonwealth statutory declarations can </w:t>
      </w:r>
      <w:r w:rsidR="004354BF" w:rsidRPr="004354BF">
        <w:t xml:space="preserve">now </w:t>
      </w:r>
      <w:r w:rsidRPr="004354BF">
        <w:t xml:space="preserve">be executed digitally </w:t>
      </w:r>
      <w:r w:rsidR="005426AA">
        <w:t xml:space="preserve">on </w:t>
      </w:r>
      <w:proofErr w:type="spellStart"/>
      <w:r w:rsidR="005426AA">
        <w:t>myGov</w:t>
      </w:r>
      <w:proofErr w:type="spellEnd"/>
      <w:r w:rsidR="005426AA">
        <w:t xml:space="preserve">, </w:t>
      </w:r>
      <w:r w:rsidR="005426AA" w:rsidRPr="004354BF">
        <w:t xml:space="preserve">using </w:t>
      </w:r>
      <w:proofErr w:type="spellStart"/>
      <w:r w:rsidR="005426AA" w:rsidRPr="004354BF">
        <w:t>myID</w:t>
      </w:r>
      <w:proofErr w:type="spellEnd"/>
      <w:r w:rsidR="005426AA" w:rsidRPr="004354BF">
        <w:t xml:space="preserve"> </w:t>
      </w:r>
      <w:r w:rsidRPr="004354BF">
        <w:t xml:space="preserve">to verify the identity of the person making the declaration. </w:t>
      </w:r>
      <w:r w:rsidR="004354BF" w:rsidRPr="004354BF">
        <w:t>In this process, ‘identity verification’ plays an equivalent role to that of an approved witness – who would ordinarily observe the signing and</w:t>
      </w:r>
      <w:r w:rsidR="00314954">
        <w:t>,</w:t>
      </w:r>
      <w:r w:rsidR="004354BF" w:rsidRPr="004354BF">
        <w:t xml:space="preserve"> if later required, attest that the person who signed was in fact the declarant.</w:t>
      </w:r>
    </w:p>
    <w:p w14:paraId="0858AB65" w14:textId="77777777" w:rsidR="0055343A" w:rsidRPr="004354BF" w:rsidRDefault="0055343A" w:rsidP="004354BF">
      <w:r w:rsidRPr="004354BF">
        <w:t xml:space="preserve">Digital execution provides greater flexibility for people who may be unable or unwilling to travel to an approved witness for health, mobility and safety reasons. It may also be particularly beneficial for people who live in remote parts of Australia or overseas who may find it difficult to access witnessing services. </w:t>
      </w:r>
    </w:p>
    <w:p w14:paraId="4CB3ECED" w14:textId="4C5E5933" w:rsidR="0055343A" w:rsidRPr="004354BF" w:rsidRDefault="0055343A" w:rsidP="00606D27">
      <w:r w:rsidRPr="004354BF">
        <w:t xml:space="preserve">Since the digital service was launched in 2024, more than </w:t>
      </w:r>
      <w:r w:rsidR="007664C4">
        <w:t>2</w:t>
      </w:r>
      <w:r w:rsidR="00D513CB">
        <w:t>9</w:t>
      </w:r>
      <w:r w:rsidR="007664C4">
        <w:t>7</w:t>
      </w:r>
      <w:r w:rsidRPr="004354BF">
        <w:t xml:space="preserve">,000 digital statutory declarations have been completed in </w:t>
      </w:r>
      <w:proofErr w:type="spellStart"/>
      <w:r w:rsidRPr="004354BF">
        <w:t>myGov</w:t>
      </w:r>
      <w:proofErr w:type="spellEnd"/>
      <w:r w:rsidR="00677367">
        <w:t xml:space="preserve"> as </w:t>
      </w:r>
      <w:proofErr w:type="gramStart"/>
      <w:r w:rsidR="00677367">
        <w:t>at</w:t>
      </w:r>
      <w:proofErr w:type="gramEnd"/>
      <w:r w:rsidR="00677367">
        <w:t xml:space="preserve"> 3</w:t>
      </w:r>
      <w:r w:rsidR="00D513CB">
        <w:t>1</w:t>
      </w:r>
      <w:r w:rsidR="00677367">
        <w:t xml:space="preserve"> </w:t>
      </w:r>
      <w:r w:rsidR="00D513CB">
        <w:t>Dece</w:t>
      </w:r>
      <w:r w:rsidR="00677367">
        <w:t>mber 2025</w:t>
      </w:r>
      <w:r w:rsidRPr="004354BF">
        <w:t xml:space="preserve">. The completion rates of digital statutory declarations have significantly improved since the commencement of the service, </w:t>
      </w:r>
      <w:r w:rsidR="00D414D1">
        <w:t xml:space="preserve">rising to 66% during 2025 </w:t>
      </w:r>
      <w:r w:rsidRPr="004354BF">
        <w:t>from an initial completion rate of 29% in the first month of the service in February 2024.</w:t>
      </w:r>
    </w:p>
    <w:p w14:paraId="2D951285" w14:textId="44F26DB1" w:rsidR="0055343A" w:rsidRDefault="0055343A" w:rsidP="004354BF">
      <w:r w:rsidRPr="004354BF">
        <w:lastRenderedPageBreak/>
        <w:t>Further data on the number of digital statutory declarations between 9 February 2024</w:t>
      </w:r>
      <w:r w:rsidR="00811462">
        <w:t xml:space="preserve"> (the date the service was made available in </w:t>
      </w:r>
      <w:proofErr w:type="spellStart"/>
      <w:r w:rsidR="00811462">
        <w:t>myGov</w:t>
      </w:r>
      <w:proofErr w:type="spellEnd"/>
      <w:r w:rsidR="00811462">
        <w:t>)</w:t>
      </w:r>
      <w:r w:rsidRPr="004354BF">
        <w:t xml:space="preserve"> and 3</w:t>
      </w:r>
      <w:r w:rsidR="00092AAA">
        <w:t>1</w:t>
      </w:r>
      <w:r w:rsidR="003A4260">
        <w:t> </w:t>
      </w:r>
      <w:r w:rsidR="00092AAA">
        <w:t>December</w:t>
      </w:r>
      <w:r w:rsidRPr="004354BF">
        <w:t xml:space="preserve"> 2025 are as follows:</w:t>
      </w:r>
    </w:p>
    <w:p w14:paraId="2D489511" w14:textId="3189EC80" w:rsidR="0061726C" w:rsidRPr="003A4260" w:rsidRDefault="0061726C" w:rsidP="004354BF">
      <w:pPr>
        <w:rPr>
          <w:b/>
          <w:bCs/>
          <w:sz w:val="20"/>
          <w:szCs w:val="20"/>
          <w:u w:val="single"/>
        </w:rPr>
      </w:pPr>
      <w:r w:rsidRPr="003A4260">
        <w:rPr>
          <w:b/>
          <w:bCs/>
          <w:sz w:val="20"/>
          <w:szCs w:val="20"/>
          <w:u w:val="single"/>
        </w:rPr>
        <w:t>Table 1. Completion rate of digital statutory declarations between 9 February 2024 and 3</w:t>
      </w:r>
      <w:r w:rsidR="00092AAA">
        <w:rPr>
          <w:b/>
          <w:bCs/>
          <w:sz w:val="20"/>
          <w:szCs w:val="20"/>
          <w:u w:val="single"/>
        </w:rPr>
        <w:t>1</w:t>
      </w:r>
      <w:r w:rsidRPr="003A4260">
        <w:rPr>
          <w:b/>
          <w:bCs/>
          <w:sz w:val="20"/>
          <w:szCs w:val="20"/>
          <w:u w:val="single"/>
        </w:rPr>
        <w:t xml:space="preserve"> </w:t>
      </w:r>
      <w:r w:rsidR="00092AAA">
        <w:rPr>
          <w:b/>
          <w:bCs/>
          <w:sz w:val="20"/>
          <w:szCs w:val="20"/>
          <w:u w:val="single"/>
        </w:rPr>
        <w:t>Dece</w:t>
      </w:r>
      <w:r w:rsidR="00D87CF5">
        <w:rPr>
          <w:b/>
          <w:bCs/>
          <w:sz w:val="20"/>
          <w:szCs w:val="20"/>
          <w:u w:val="single"/>
        </w:rPr>
        <w:t>mber</w:t>
      </w:r>
      <w:r w:rsidRPr="003A4260">
        <w:rPr>
          <w:b/>
          <w:bCs/>
          <w:sz w:val="20"/>
          <w:szCs w:val="20"/>
          <w:u w:val="single"/>
        </w:rPr>
        <w:t xml:space="preserve"> 2025</w:t>
      </w:r>
    </w:p>
    <w:tbl>
      <w:tblPr>
        <w:tblStyle w:val="GridTable4-Accent1"/>
        <w:tblW w:w="0" w:type="auto"/>
        <w:tblLook w:val="04A0" w:firstRow="1" w:lastRow="0" w:firstColumn="1" w:lastColumn="0" w:noHBand="0" w:noVBand="1"/>
      </w:tblPr>
      <w:tblGrid>
        <w:gridCol w:w="1833"/>
        <w:gridCol w:w="2385"/>
        <w:gridCol w:w="2336"/>
        <w:gridCol w:w="2506"/>
      </w:tblGrid>
      <w:tr w:rsidR="0055343A" w14:paraId="21055875" w14:textId="77777777" w:rsidTr="003533D6">
        <w:trPr>
          <w:cnfStyle w:val="100000000000" w:firstRow="1" w:lastRow="0" w:firstColumn="0" w:lastColumn="0" w:oddVBand="0" w:evenVBand="0" w:oddHBand="0"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2063" w:type="dxa"/>
            <w:shd w:val="clear" w:color="auto" w:fill="50748A" w:themeFill="text2"/>
          </w:tcPr>
          <w:p w14:paraId="4AF44AAA" w14:textId="77777777" w:rsidR="0055343A" w:rsidRPr="0061726C" w:rsidRDefault="0055343A" w:rsidP="00F07276">
            <w:pPr>
              <w:jc w:val="center"/>
              <w:rPr>
                <w:color w:val="FFFFFF" w:themeColor="background2"/>
              </w:rPr>
            </w:pPr>
            <w:r w:rsidRPr="0061726C">
              <w:rPr>
                <w:color w:val="FFFFFF" w:themeColor="background2"/>
              </w:rPr>
              <w:t>Started</w:t>
            </w:r>
          </w:p>
        </w:tc>
        <w:tc>
          <w:tcPr>
            <w:tcW w:w="2672" w:type="dxa"/>
            <w:shd w:val="clear" w:color="auto" w:fill="50748A" w:themeFill="text2"/>
          </w:tcPr>
          <w:p w14:paraId="18E12723" w14:textId="4B86A894" w:rsidR="0055343A" w:rsidRPr="0061726C" w:rsidRDefault="0055343A" w:rsidP="00F07276">
            <w:pPr>
              <w:jc w:val="center"/>
              <w:cnfStyle w:val="100000000000" w:firstRow="1" w:lastRow="0" w:firstColumn="0" w:lastColumn="0" w:oddVBand="0" w:evenVBand="0" w:oddHBand="0" w:evenHBand="0" w:firstRowFirstColumn="0" w:firstRowLastColumn="0" w:lastRowFirstColumn="0" w:lastRowLastColumn="0"/>
              <w:rPr>
                <w:color w:val="FFFFFF" w:themeColor="background2"/>
              </w:rPr>
            </w:pPr>
            <w:r w:rsidRPr="0061726C">
              <w:rPr>
                <w:color w:val="FFFFFF" w:themeColor="background2"/>
              </w:rPr>
              <w:t>Completed</w:t>
            </w:r>
          </w:p>
        </w:tc>
        <w:tc>
          <w:tcPr>
            <w:tcW w:w="2619" w:type="dxa"/>
            <w:shd w:val="clear" w:color="auto" w:fill="50748A" w:themeFill="text2"/>
          </w:tcPr>
          <w:p w14:paraId="10A73938" w14:textId="77777777" w:rsidR="0055343A" w:rsidRPr="0061726C" w:rsidRDefault="0055343A" w:rsidP="00F07276">
            <w:pPr>
              <w:jc w:val="center"/>
              <w:cnfStyle w:val="100000000000" w:firstRow="1" w:lastRow="0" w:firstColumn="0" w:lastColumn="0" w:oddVBand="0" w:evenVBand="0" w:oddHBand="0" w:evenHBand="0" w:firstRowFirstColumn="0" w:firstRowLastColumn="0" w:lastRowFirstColumn="0" w:lastRowLastColumn="0"/>
              <w:rPr>
                <w:color w:val="FFFFFF" w:themeColor="background2"/>
              </w:rPr>
            </w:pPr>
            <w:r w:rsidRPr="0061726C">
              <w:rPr>
                <w:color w:val="FFFFFF" w:themeColor="background2"/>
              </w:rPr>
              <w:t>Started but not completed</w:t>
            </w:r>
          </w:p>
        </w:tc>
        <w:tc>
          <w:tcPr>
            <w:tcW w:w="2810" w:type="dxa"/>
            <w:shd w:val="clear" w:color="auto" w:fill="50748A" w:themeFill="text2"/>
          </w:tcPr>
          <w:p w14:paraId="7A4AC21A" w14:textId="77777777" w:rsidR="0055343A" w:rsidRPr="0061726C" w:rsidRDefault="0055343A" w:rsidP="00F07276">
            <w:pPr>
              <w:jc w:val="center"/>
              <w:cnfStyle w:val="100000000000" w:firstRow="1" w:lastRow="0" w:firstColumn="0" w:lastColumn="0" w:oddVBand="0" w:evenVBand="0" w:oddHBand="0" w:evenHBand="0" w:firstRowFirstColumn="0" w:firstRowLastColumn="0" w:lastRowFirstColumn="0" w:lastRowLastColumn="0"/>
              <w:rPr>
                <w:color w:val="FFFFFF" w:themeColor="background2"/>
              </w:rPr>
            </w:pPr>
            <w:r w:rsidRPr="0061726C">
              <w:rPr>
                <w:color w:val="FFFFFF" w:themeColor="background2"/>
              </w:rPr>
              <w:t>Completion rate</w:t>
            </w:r>
          </w:p>
        </w:tc>
      </w:tr>
      <w:tr w:rsidR="0055343A" w14:paraId="6AB209FA" w14:textId="77777777" w:rsidTr="000918A6">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063" w:type="dxa"/>
          </w:tcPr>
          <w:p w14:paraId="651F4177" w14:textId="2A52BE5F" w:rsidR="0055343A" w:rsidRPr="00181A0A" w:rsidRDefault="00D87CF5" w:rsidP="00F07276">
            <w:pPr>
              <w:jc w:val="center"/>
              <w:rPr>
                <w:b w:val="0"/>
                <w:bCs w:val="0"/>
              </w:rPr>
            </w:pPr>
            <w:r w:rsidRPr="00D87CF5">
              <w:t>4</w:t>
            </w:r>
            <w:r w:rsidR="00092AAA">
              <w:t>72,348</w:t>
            </w:r>
          </w:p>
        </w:tc>
        <w:tc>
          <w:tcPr>
            <w:tcW w:w="2672" w:type="dxa"/>
          </w:tcPr>
          <w:p w14:paraId="7B1F5E93" w14:textId="3290C1C4" w:rsidR="0055343A" w:rsidRPr="00642E6B" w:rsidRDefault="00D87CF5" w:rsidP="00F07276">
            <w:pPr>
              <w:jc w:val="center"/>
              <w:cnfStyle w:val="000000100000" w:firstRow="0" w:lastRow="0" w:firstColumn="0" w:lastColumn="0" w:oddVBand="0" w:evenVBand="0" w:oddHBand="1" w:evenHBand="0" w:firstRowFirstColumn="0" w:firstRowLastColumn="0" w:lastRowFirstColumn="0" w:lastRowLastColumn="0"/>
            </w:pPr>
            <w:r>
              <w:t>2</w:t>
            </w:r>
            <w:r w:rsidR="00092AAA">
              <w:t>9</w:t>
            </w:r>
            <w:r>
              <w:t>7,</w:t>
            </w:r>
            <w:r w:rsidR="00092AAA">
              <w:t>6</w:t>
            </w:r>
            <w:r>
              <w:t>43</w:t>
            </w:r>
          </w:p>
        </w:tc>
        <w:tc>
          <w:tcPr>
            <w:tcW w:w="2619" w:type="dxa"/>
          </w:tcPr>
          <w:p w14:paraId="7D7C2044" w14:textId="07916C8D" w:rsidR="0055343A" w:rsidRPr="00642E6B" w:rsidRDefault="00D87CF5" w:rsidP="00F07276">
            <w:pPr>
              <w:jc w:val="center"/>
              <w:cnfStyle w:val="000000100000" w:firstRow="0" w:lastRow="0" w:firstColumn="0" w:lastColumn="0" w:oddVBand="0" w:evenVBand="0" w:oddHBand="1" w:evenHBand="0" w:firstRowFirstColumn="0" w:firstRowLastColumn="0" w:lastRowFirstColumn="0" w:lastRowLastColumn="0"/>
            </w:pPr>
            <w:r>
              <w:t>1</w:t>
            </w:r>
            <w:r w:rsidR="00092AAA">
              <w:t>74</w:t>
            </w:r>
            <w:r>
              <w:t>,</w:t>
            </w:r>
            <w:r w:rsidR="00092AAA">
              <w:t>705</w:t>
            </w:r>
          </w:p>
        </w:tc>
        <w:tc>
          <w:tcPr>
            <w:tcW w:w="2810" w:type="dxa"/>
          </w:tcPr>
          <w:p w14:paraId="1DEEBC14" w14:textId="4ABE007F" w:rsidR="0055343A" w:rsidRPr="00642E6B" w:rsidRDefault="0055343A" w:rsidP="00F07276">
            <w:pPr>
              <w:jc w:val="center"/>
              <w:cnfStyle w:val="000000100000" w:firstRow="0" w:lastRow="0" w:firstColumn="0" w:lastColumn="0" w:oddVBand="0" w:evenVBand="0" w:oddHBand="1" w:evenHBand="0" w:firstRowFirstColumn="0" w:firstRowLastColumn="0" w:lastRowFirstColumn="0" w:lastRowLastColumn="0"/>
            </w:pPr>
            <w:r w:rsidRPr="00642E6B">
              <w:t>6</w:t>
            </w:r>
            <w:r w:rsidR="00092AAA">
              <w:t>3</w:t>
            </w:r>
            <w:r w:rsidRPr="00642E6B">
              <w:t>%</w:t>
            </w:r>
          </w:p>
        </w:tc>
      </w:tr>
    </w:tbl>
    <w:p w14:paraId="4B35BD4C" w14:textId="77777777" w:rsidR="0055343A" w:rsidRDefault="0055343A" w:rsidP="004A0CC4">
      <w:pPr>
        <w:pStyle w:val="Bullet1"/>
        <w:numPr>
          <w:ilvl w:val="0"/>
          <w:numId w:val="0"/>
        </w:numPr>
        <w:ind w:left="714"/>
      </w:pPr>
    </w:p>
    <w:p w14:paraId="47FCA3BA" w14:textId="1ABB8B20" w:rsidR="0055343A" w:rsidRDefault="0055343A" w:rsidP="00606D27">
      <w:r>
        <w:t>The usage numbers and a 6</w:t>
      </w:r>
      <w:r w:rsidR="00092AAA">
        <w:t>3</w:t>
      </w:r>
      <w:r>
        <w:t xml:space="preserve">% completion rate suggest that the digital statutory declaration service is performing reasonably well, while also highlighting an opportunity for improvement. </w:t>
      </w:r>
      <w:r w:rsidR="008A7468">
        <w:t>We</w:t>
      </w:r>
      <w:r w:rsidR="00DA0E0A">
        <w:t xml:space="preserve"> understand anecdotally that s</w:t>
      </w:r>
      <w:r>
        <w:t xml:space="preserve">ome users may </w:t>
      </w:r>
      <w:r w:rsidR="00DA0E0A">
        <w:t xml:space="preserve">start but not complete their statutory declaration </w:t>
      </w:r>
      <w:r>
        <w:t xml:space="preserve">for practical reasons, such as needing to gather additional information, noting that </w:t>
      </w:r>
      <w:proofErr w:type="spellStart"/>
      <w:r>
        <w:t>myGov</w:t>
      </w:r>
      <w:proofErr w:type="spellEnd"/>
      <w:r>
        <w:t xml:space="preserve"> does not store incomplete forms for privacy reasons.</w:t>
      </w:r>
      <w:r w:rsidDel="00070F35">
        <w:t xml:space="preserve"> </w:t>
      </w:r>
      <w:r>
        <w:t>However, other</w:t>
      </w:r>
      <w:r w:rsidR="00314954">
        <w:t xml:space="preserve"> users</w:t>
      </w:r>
      <w:r>
        <w:t xml:space="preserve"> may exit due to difficulties with navigating the platform. We would be interested in user feedback on these issues. </w:t>
      </w:r>
    </w:p>
    <w:p w14:paraId="4221EB2A" w14:textId="77777777" w:rsidR="0055343A" w:rsidRDefault="0055343A" w:rsidP="00F07276">
      <w:pPr>
        <w:pStyle w:val="Heading5"/>
        <w:keepNext/>
      </w:pPr>
      <w:r>
        <w:t>Electronic execution</w:t>
      </w:r>
    </w:p>
    <w:p w14:paraId="2A4786DF" w14:textId="77777777" w:rsidR="0055343A" w:rsidRDefault="0055343A" w:rsidP="00606D27">
      <w:r w:rsidRPr="002B0F69">
        <w:rPr>
          <w:bCs/>
        </w:rPr>
        <w:t>Electronic</w:t>
      </w:r>
      <w:r w:rsidRPr="00391486">
        <w:rPr>
          <w:b/>
        </w:rPr>
        <w:t xml:space="preserve"> </w:t>
      </w:r>
      <w:r w:rsidRPr="00391486">
        <w:t xml:space="preserve">execution means making a statutory declaration using electronic signatures and witnessing remotely by </w:t>
      </w:r>
      <w:r>
        <w:t>video link</w:t>
      </w:r>
      <w:r w:rsidRPr="00391486">
        <w:t>.</w:t>
      </w:r>
      <w:r w:rsidRPr="00391486">
        <w:rPr>
          <w:vertAlign w:val="superscript"/>
        </w:rPr>
        <w:footnoteReference w:id="2"/>
      </w:r>
      <w:r w:rsidRPr="001D2310">
        <w:t xml:space="preserve"> </w:t>
      </w:r>
      <w:r>
        <w:t xml:space="preserve">First introduced as a temporary measure to offer an alternative to in-person witnessing during the COVID-19 pandemic, it is now a permanent measure legislated under the Act. </w:t>
      </w:r>
    </w:p>
    <w:p w14:paraId="150DDFF9" w14:textId="77777777" w:rsidR="0055343A" w:rsidRDefault="0055343A" w:rsidP="00F04F23">
      <w:r>
        <w:t>Like digital execution, electronic execution may be beneficial to those unable to travel to a witness or who live in remote parts of Australia or overseas, but who may prefer to have their statutory declarations witnessed by a person rather than through digital identity verification</w:t>
      </w:r>
      <w:r w:rsidRPr="00686609">
        <w:t xml:space="preserve">. </w:t>
      </w:r>
    </w:p>
    <w:p w14:paraId="50560775" w14:textId="035B8D65" w:rsidR="0055343A" w:rsidRDefault="0055343A" w:rsidP="00F04F23">
      <w:r w:rsidRPr="00691175">
        <w:t>A</w:t>
      </w:r>
      <w:r>
        <w:t xml:space="preserve"> report by Accenture</w:t>
      </w:r>
      <w:r w:rsidRPr="00691175">
        <w:t xml:space="preserve"> </w:t>
      </w:r>
      <w:r w:rsidR="00A47DAE">
        <w:t xml:space="preserve">in </w:t>
      </w:r>
      <w:r>
        <w:t xml:space="preserve">2021 also </w:t>
      </w:r>
      <w:r w:rsidRPr="00691175">
        <w:t xml:space="preserve">estimated that </w:t>
      </w:r>
      <w:r>
        <w:t>small to medium enterprises</w:t>
      </w:r>
      <w:r w:rsidRPr="00691175">
        <w:t xml:space="preserve"> could save a</w:t>
      </w:r>
      <w:r>
        <w:t>pproximately</w:t>
      </w:r>
      <w:r w:rsidRPr="00691175">
        <w:t xml:space="preserve"> 15 minutes per statutory declaration if they </w:t>
      </w:r>
      <w:r>
        <w:t xml:space="preserve">were able to </w:t>
      </w:r>
      <w:r w:rsidRPr="00691175">
        <w:t>be signed and witnessed electronically</w:t>
      </w:r>
      <w:r>
        <w:t xml:space="preserve"> rather than in person</w:t>
      </w:r>
      <w:r w:rsidRPr="00691175">
        <w:t>.</w:t>
      </w:r>
      <w:r>
        <w:rPr>
          <w:rStyle w:val="FootnoteReference"/>
        </w:rPr>
        <w:footnoteReference w:id="3"/>
      </w:r>
      <w:r w:rsidRPr="00691175">
        <w:t xml:space="preserve">  </w:t>
      </w:r>
      <w:r>
        <w:t>This finding illustrates the potential efficiency gains from electronic execution, and benefits for businesses and other users who regularly make statutory declarations.</w:t>
      </w:r>
    </w:p>
    <w:p w14:paraId="0F68EF98" w14:textId="77777777" w:rsidR="0055343A" w:rsidRDefault="0055343A" w:rsidP="00F70052">
      <w:r w:rsidRPr="00691175">
        <w:t xml:space="preserve">Public consultation </w:t>
      </w:r>
      <w:r>
        <w:t>conducted</w:t>
      </w:r>
      <w:r w:rsidRPr="00691175">
        <w:t xml:space="preserve"> by the </w:t>
      </w:r>
      <w:r>
        <w:t>department</w:t>
      </w:r>
      <w:r w:rsidRPr="00691175">
        <w:t xml:space="preserve"> in July 2023 found </w:t>
      </w:r>
      <w:r>
        <w:t>broad</w:t>
      </w:r>
      <w:r w:rsidRPr="00691175">
        <w:t xml:space="preserve"> stakeholder support for </w:t>
      </w:r>
      <w:r>
        <w:t xml:space="preserve">the </w:t>
      </w:r>
      <w:r w:rsidRPr="00691175">
        <w:t xml:space="preserve">electronic execution of statutory declarations. Stakeholders </w:t>
      </w:r>
      <w:r>
        <w:t>noted</w:t>
      </w:r>
      <w:r w:rsidRPr="00691175">
        <w:t xml:space="preserve"> that temporary measures introduced during the </w:t>
      </w:r>
      <w:r>
        <w:t xml:space="preserve">COVID-19 </w:t>
      </w:r>
      <w:r w:rsidRPr="00691175">
        <w:t xml:space="preserve">pandemic </w:t>
      </w:r>
      <w:r>
        <w:t>were</w:t>
      </w:r>
      <w:r w:rsidRPr="00691175">
        <w:t xml:space="preserve"> effective and </w:t>
      </w:r>
      <w:r>
        <w:t>recommended that these measures</w:t>
      </w:r>
      <w:r w:rsidRPr="00691175">
        <w:t xml:space="preserve"> be retained on a permanent basis.</w:t>
      </w:r>
    </w:p>
    <w:p w14:paraId="2A8ADE5A" w14:textId="77777777" w:rsidR="00351E87" w:rsidRDefault="00351E87" w:rsidP="00F70052"/>
    <w:p w14:paraId="67A7B081" w14:textId="77777777" w:rsidR="00351E87" w:rsidRDefault="00351E87" w:rsidP="00F70052"/>
    <w:p w14:paraId="47BC56C3" w14:textId="77777777" w:rsidR="0055343A" w:rsidRDefault="0055343A" w:rsidP="00027CF7">
      <w:pPr>
        <w:pStyle w:val="Heading5"/>
      </w:pPr>
      <w:r>
        <w:lastRenderedPageBreak/>
        <w:t>Paper-based execution</w:t>
      </w:r>
    </w:p>
    <w:p w14:paraId="1F5947B1" w14:textId="77777777" w:rsidR="0055343A" w:rsidRDefault="0055343A" w:rsidP="00606D27">
      <w:r>
        <w:rPr>
          <w:bCs/>
        </w:rPr>
        <w:t xml:space="preserve">During the </w:t>
      </w:r>
      <w:r w:rsidRPr="00736867">
        <w:rPr>
          <w:bCs/>
        </w:rPr>
        <w:t xml:space="preserve">2023 </w:t>
      </w:r>
      <w:r>
        <w:rPr>
          <w:bCs/>
        </w:rPr>
        <w:t xml:space="preserve">public </w:t>
      </w:r>
      <w:r w:rsidRPr="00736867">
        <w:rPr>
          <w:bCs/>
        </w:rPr>
        <w:t>consultation</w:t>
      </w:r>
      <w:r>
        <w:rPr>
          <w:bCs/>
        </w:rPr>
        <w:t xml:space="preserve"> referenced above,</w:t>
      </w:r>
      <w:r w:rsidRPr="00736867">
        <w:rPr>
          <w:bCs/>
        </w:rPr>
        <w:t xml:space="preserve"> </w:t>
      </w:r>
      <w:r>
        <w:rPr>
          <w:bCs/>
        </w:rPr>
        <w:t xml:space="preserve">stakeholders also generally </w:t>
      </w:r>
      <w:r w:rsidRPr="005E1407">
        <w:t xml:space="preserve">supported </w:t>
      </w:r>
      <w:r>
        <w:t>retaining</w:t>
      </w:r>
      <w:r w:rsidRPr="005E1407">
        <w:t xml:space="preserve"> paper-based execution as an option</w:t>
      </w:r>
      <w:r>
        <w:t xml:space="preserve">. Stakeholders </w:t>
      </w:r>
      <w:r w:rsidRPr="005E1407">
        <w:t xml:space="preserve">were largely of the view that any new execution methods </w:t>
      </w:r>
      <w:r>
        <w:t>should</w:t>
      </w:r>
      <w:r w:rsidRPr="005E1407">
        <w:t xml:space="preserve"> be optional. Voluntariness was seen as a key </w:t>
      </w:r>
      <w:r>
        <w:t>principle, with stakeholders</w:t>
      </w:r>
      <w:r w:rsidRPr="005E1407">
        <w:t xml:space="preserve"> noting that a requirement to execute statutory declarations electronically </w:t>
      </w:r>
      <w:r>
        <w:t>c</w:t>
      </w:r>
      <w:r w:rsidRPr="005E1407">
        <w:t xml:space="preserve">ould disadvantage </w:t>
      </w:r>
      <w:r>
        <w:t>individuals</w:t>
      </w:r>
      <w:r w:rsidRPr="005E1407">
        <w:t xml:space="preserve"> who either do not </w:t>
      </w:r>
      <w:r>
        <w:t>wish to use</w:t>
      </w:r>
      <w:r w:rsidRPr="005E1407">
        <w:t xml:space="preserve"> technology, </w:t>
      </w:r>
      <w:r>
        <w:t>lack</w:t>
      </w:r>
      <w:r w:rsidRPr="005E1407">
        <w:t xml:space="preserve"> access to </w:t>
      </w:r>
      <w:r>
        <w:t xml:space="preserve">the </w:t>
      </w:r>
      <w:r w:rsidRPr="005E1407">
        <w:t>necessary technology</w:t>
      </w:r>
      <w:r>
        <w:t>,</w:t>
      </w:r>
      <w:r w:rsidRPr="005E1407">
        <w:t xml:space="preserve"> or </w:t>
      </w:r>
      <w:r>
        <w:t>have</w:t>
      </w:r>
      <w:r w:rsidRPr="005E1407">
        <w:t xml:space="preserve"> low digital literacy.</w:t>
      </w:r>
      <w:r>
        <w:t xml:space="preserve"> For this reason, traditional paper-based execution remains a key element of the Commonwealth’s statutory declaration framework.</w:t>
      </w:r>
    </w:p>
    <w:p w14:paraId="3F200467" w14:textId="3F32475F" w:rsidR="0055343A" w:rsidRDefault="0055343A" w:rsidP="003F7A9E">
      <w:pPr>
        <w:pStyle w:val="Heading4"/>
      </w:pPr>
      <w:r>
        <w:t>Questions</w:t>
      </w:r>
    </w:p>
    <w:p w14:paraId="4A55B89C" w14:textId="5CFE9360" w:rsidR="0055343A" w:rsidRDefault="0055343A" w:rsidP="004159FF">
      <w:pPr>
        <w:pStyle w:val="ListParagraph"/>
        <w:numPr>
          <w:ilvl w:val="0"/>
          <w:numId w:val="47"/>
        </w:numPr>
        <w:spacing w:before="0" w:after="200" w:line="276" w:lineRule="auto"/>
        <w:ind w:hanging="357"/>
      </w:pPr>
      <w:r>
        <w:t xml:space="preserve">In your experience, how aware </w:t>
      </w:r>
      <w:r w:rsidR="001E2DD0">
        <w:t xml:space="preserve">is </w:t>
      </w:r>
      <w:r>
        <w:t>the public (including declarants, witnesses and requestors</w:t>
      </w:r>
      <w:r>
        <w:rPr>
          <w:rStyle w:val="FootnoteReference"/>
        </w:rPr>
        <w:footnoteReference w:id="4"/>
      </w:r>
      <w:r>
        <w:t xml:space="preserve">) of the different </w:t>
      </w:r>
      <w:r w:rsidR="00CD7463">
        <w:t>options available under the Act for executing a statutory declaration</w:t>
      </w:r>
      <w:r w:rsidR="00A40B96">
        <w:t xml:space="preserve"> – very aware, somewhat aware, or not at all aware</w:t>
      </w:r>
      <w:r>
        <w:t xml:space="preserve">? </w:t>
      </w:r>
    </w:p>
    <w:p w14:paraId="559826AA" w14:textId="77777777" w:rsidR="0055343A" w:rsidRDefault="0055343A" w:rsidP="004159FF">
      <w:pPr>
        <w:pStyle w:val="ListParagraph"/>
        <w:numPr>
          <w:ilvl w:val="1"/>
          <w:numId w:val="47"/>
        </w:numPr>
        <w:spacing w:before="0" w:after="200" w:line="276" w:lineRule="auto"/>
        <w:ind w:hanging="357"/>
      </w:pPr>
      <w:r>
        <w:t>Please provide further information, including any examples or evidence of awareness or lack of awareness based on your experience.</w:t>
      </w:r>
    </w:p>
    <w:p w14:paraId="49103A79" w14:textId="40E21F11" w:rsidR="0055343A" w:rsidRDefault="0055343A" w:rsidP="004159FF">
      <w:pPr>
        <w:pStyle w:val="ListParagraph"/>
        <w:numPr>
          <w:ilvl w:val="0"/>
          <w:numId w:val="47"/>
        </w:numPr>
        <w:spacing w:before="0" w:after="200" w:line="276" w:lineRule="auto"/>
        <w:ind w:hanging="357"/>
      </w:pPr>
      <w:r>
        <w:t xml:space="preserve">In your experience, do requestors consistently accept statutory declarations as valid, regardless of whether they are executed digitally, electronically or on paper? </w:t>
      </w:r>
    </w:p>
    <w:p w14:paraId="2DC536B4" w14:textId="2799E6C4" w:rsidR="0055343A" w:rsidRDefault="0055343A" w:rsidP="004159FF">
      <w:pPr>
        <w:pStyle w:val="ListParagraph"/>
        <w:numPr>
          <w:ilvl w:val="1"/>
          <w:numId w:val="47"/>
        </w:numPr>
        <w:spacing w:before="0" w:after="200" w:line="276" w:lineRule="auto"/>
        <w:ind w:hanging="357"/>
      </w:pPr>
      <w:r>
        <w:t xml:space="preserve">If you answered ‘no’, please provide examples of instances where statutory declarations were not accepted, including the reasons given. </w:t>
      </w:r>
    </w:p>
    <w:p w14:paraId="01D06EE9" w14:textId="1AC6A834" w:rsidR="0055343A" w:rsidRDefault="0055343A" w:rsidP="004159FF">
      <w:pPr>
        <w:pStyle w:val="ListParagraph"/>
        <w:numPr>
          <w:ilvl w:val="0"/>
          <w:numId w:val="47"/>
        </w:numPr>
        <w:spacing w:before="0" w:after="200" w:line="276" w:lineRule="auto"/>
        <w:ind w:hanging="357"/>
      </w:pPr>
      <w:r>
        <w:t xml:space="preserve">When using </w:t>
      </w:r>
      <w:proofErr w:type="spellStart"/>
      <w:r>
        <w:t>myGov</w:t>
      </w:r>
      <w:proofErr w:type="spellEnd"/>
      <w:r>
        <w:t xml:space="preserve"> to complete a statutory declaration, have you ever started but not completed the process? </w:t>
      </w:r>
      <w:r w:rsidR="00BD0471">
        <w:t xml:space="preserve">(Please indicate if you have not tried using </w:t>
      </w:r>
      <w:proofErr w:type="spellStart"/>
      <w:r w:rsidR="00BD0471">
        <w:t>myGov</w:t>
      </w:r>
      <w:proofErr w:type="spellEnd"/>
      <w:r w:rsidR="00BD0471">
        <w:t xml:space="preserve"> to complete a statutory declaration).</w:t>
      </w:r>
    </w:p>
    <w:p w14:paraId="343B9A1E" w14:textId="77777777" w:rsidR="0055343A" w:rsidRDefault="0055343A" w:rsidP="004159FF">
      <w:pPr>
        <w:pStyle w:val="ListParagraph"/>
        <w:numPr>
          <w:ilvl w:val="1"/>
          <w:numId w:val="47"/>
        </w:numPr>
        <w:spacing w:before="0" w:after="200" w:line="276" w:lineRule="auto"/>
        <w:ind w:hanging="357"/>
      </w:pPr>
      <w:r>
        <w:t>If you answered ‘yes’, please explain the factors or circumstances that led you to discontinue the process, including any difficulties, uncertainties, or barriers encountered.</w:t>
      </w:r>
    </w:p>
    <w:p w14:paraId="6D943096" w14:textId="77777777" w:rsidR="0055343A" w:rsidRPr="00D14CD3" w:rsidRDefault="0055343A" w:rsidP="004159FF">
      <w:pPr>
        <w:pStyle w:val="ListParagraph"/>
        <w:numPr>
          <w:ilvl w:val="0"/>
          <w:numId w:val="47"/>
        </w:numPr>
        <w:spacing w:before="0" w:after="200" w:line="276" w:lineRule="auto"/>
        <w:ind w:hanging="357"/>
      </w:pPr>
      <w:r>
        <w:t xml:space="preserve">Have digital and electronic statutory declarations resulted in measurable time and cost savings for declarants or businesses? Please provide quantitative data or specific </w:t>
      </w:r>
      <w:r w:rsidRPr="00D14CD3">
        <w:t>examples where possible.</w:t>
      </w:r>
    </w:p>
    <w:p w14:paraId="6918EA78" w14:textId="23721935" w:rsidR="0055343A" w:rsidRPr="00D14CD3" w:rsidRDefault="0055343A" w:rsidP="004159FF">
      <w:pPr>
        <w:pStyle w:val="ListParagraph"/>
        <w:numPr>
          <w:ilvl w:val="0"/>
          <w:numId w:val="47"/>
        </w:numPr>
        <w:spacing w:before="0" w:after="200" w:line="276" w:lineRule="auto"/>
        <w:ind w:hanging="357"/>
      </w:pPr>
      <w:r w:rsidRPr="00D14CD3">
        <w:t>To what extent do the expanded statutory declarations options improve accessibility</w:t>
      </w:r>
      <w:r w:rsidR="00044031">
        <w:t xml:space="preserve"> – </w:t>
      </w:r>
      <w:proofErr w:type="gramStart"/>
      <w:r w:rsidR="00044031">
        <w:t>to a great extent,</w:t>
      </w:r>
      <w:proofErr w:type="gramEnd"/>
      <w:r w:rsidR="00044031">
        <w:t xml:space="preserve"> to a moderate extent, or not at all</w:t>
      </w:r>
      <w:r w:rsidRPr="00D14CD3">
        <w:t>?</w:t>
      </w:r>
      <w:r w:rsidRPr="00D14CD3">
        <w:rPr>
          <w:rStyle w:val="FootnoteReference"/>
        </w:rPr>
        <w:footnoteReference w:id="5"/>
      </w:r>
      <w:r w:rsidRPr="00D14CD3">
        <w:t xml:space="preserve"> </w:t>
      </w:r>
    </w:p>
    <w:p w14:paraId="7BE7E0B8" w14:textId="6EE3B113" w:rsidR="0055343A" w:rsidRPr="00D14CD3" w:rsidRDefault="0055343A" w:rsidP="004159FF">
      <w:pPr>
        <w:pStyle w:val="ListParagraph"/>
        <w:numPr>
          <w:ilvl w:val="1"/>
          <w:numId w:val="47"/>
        </w:numPr>
        <w:spacing w:before="0" w:after="200" w:line="276" w:lineRule="auto"/>
        <w:ind w:hanging="357"/>
      </w:pPr>
      <w:r w:rsidRPr="00D14CD3">
        <w:lastRenderedPageBreak/>
        <w:t xml:space="preserve">Please provide examples of barriers or </w:t>
      </w:r>
      <w:r w:rsidR="00011A60">
        <w:t>improvements</w:t>
      </w:r>
      <w:r w:rsidR="00011A60" w:rsidRPr="00D14CD3">
        <w:t xml:space="preserve"> </w:t>
      </w:r>
      <w:r w:rsidRPr="00D14CD3">
        <w:t>you have experienced or observed.</w:t>
      </w:r>
    </w:p>
    <w:p w14:paraId="09A4FEF7" w14:textId="77777777" w:rsidR="0055343A" w:rsidRDefault="0055343A" w:rsidP="004159FF">
      <w:pPr>
        <w:pStyle w:val="ListParagraph"/>
        <w:numPr>
          <w:ilvl w:val="0"/>
          <w:numId w:val="47"/>
        </w:numPr>
        <w:spacing w:before="0" w:after="200" w:line="276" w:lineRule="auto"/>
        <w:ind w:hanging="357"/>
      </w:pPr>
      <w:r w:rsidRPr="00D14CD3">
        <w:t>Have you observed any unintended consequences arising from the legislative amendments</w:t>
      </w:r>
      <w:r>
        <w:t xml:space="preserve">, positive or negative? </w:t>
      </w:r>
    </w:p>
    <w:p w14:paraId="19D5F09F" w14:textId="77777777" w:rsidR="0055343A" w:rsidRDefault="0055343A" w:rsidP="004159FF">
      <w:pPr>
        <w:pStyle w:val="ListParagraph"/>
        <w:numPr>
          <w:ilvl w:val="1"/>
          <w:numId w:val="47"/>
        </w:numPr>
        <w:spacing w:before="0" w:after="200" w:line="276" w:lineRule="auto"/>
        <w:ind w:hanging="357"/>
      </w:pPr>
      <w:r>
        <w:t>If you answered ‘yes’, please provide specific examples or evidence where possible.</w:t>
      </w:r>
    </w:p>
    <w:p w14:paraId="3F7CC1A7" w14:textId="3183745D" w:rsidR="0055343A" w:rsidRDefault="0055343A" w:rsidP="004159FF">
      <w:pPr>
        <w:pStyle w:val="ListParagraph"/>
        <w:numPr>
          <w:ilvl w:val="0"/>
          <w:numId w:val="47"/>
        </w:numPr>
        <w:spacing w:before="0" w:after="200" w:line="276" w:lineRule="auto"/>
        <w:ind w:hanging="357"/>
      </w:pPr>
      <w:r>
        <w:t xml:space="preserve">Are there any aspects </w:t>
      </w:r>
      <w:r w:rsidR="00D1162A">
        <w:t>of</w:t>
      </w:r>
      <w:r>
        <w:t xml:space="preserve"> the Commonwealth statutory declarations framework that could be improved to better meet the needs of declarants, witnesses and requestors? </w:t>
      </w:r>
    </w:p>
    <w:p w14:paraId="301DFEDB" w14:textId="77777777" w:rsidR="0055343A" w:rsidRDefault="0055343A" w:rsidP="004159FF">
      <w:pPr>
        <w:pStyle w:val="ListParagraph"/>
        <w:numPr>
          <w:ilvl w:val="1"/>
          <w:numId w:val="47"/>
        </w:numPr>
        <w:spacing w:before="0" w:after="200" w:line="276" w:lineRule="auto"/>
        <w:ind w:hanging="357"/>
      </w:pPr>
      <w:r>
        <w:t>If you answered ‘yes’, please provide specific suggestions and, if possible, examples of issues encountered.</w:t>
      </w:r>
    </w:p>
    <w:p w14:paraId="09C6F393" w14:textId="1853998A" w:rsidR="0055343A" w:rsidRDefault="0055343A" w:rsidP="00D84F55">
      <w:pPr>
        <w:pStyle w:val="Heading3"/>
      </w:pPr>
      <w:r>
        <w:t>Are current safeguards operating effectively?</w:t>
      </w:r>
    </w:p>
    <w:p w14:paraId="307B03FA" w14:textId="77777777" w:rsidR="0055343A" w:rsidRDefault="0055343A" w:rsidP="009D532D">
      <w:r>
        <w:t xml:space="preserve">This part provides information on the operation of the expanded execution types (digital and electronic) and what we know about how the safeguards are working. </w:t>
      </w:r>
    </w:p>
    <w:p w14:paraId="7A5462C9" w14:textId="36651496" w:rsidR="0055343A" w:rsidRDefault="0055343A" w:rsidP="009D532D">
      <w:r>
        <w:t>Additional safeguards were introduced alongside the expanded execution types under the Amendment Act</w:t>
      </w:r>
      <w:r w:rsidR="00B37B46">
        <w:t>,</w:t>
      </w:r>
      <w:r>
        <w:t xml:space="preserve"> to ensure that the statutory declaration framework continues to protect individual privacy, maintain security and avoid instances of coercion and fraud. </w:t>
      </w:r>
    </w:p>
    <w:p w14:paraId="125EB87A" w14:textId="77777777" w:rsidR="0055343A" w:rsidRPr="00C5369A" w:rsidRDefault="0055343A" w:rsidP="009D532D">
      <w:r>
        <w:rPr>
          <w:bCs/>
        </w:rPr>
        <w:t xml:space="preserve">We are interested in hearing about any experiences, views or knowledge you may have on whether the safeguards are appropriate, or if change is required. </w:t>
      </w:r>
    </w:p>
    <w:p w14:paraId="56D7D2BF" w14:textId="77777777" w:rsidR="0055343A" w:rsidRDefault="0055343A" w:rsidP="007D340C">
      <w:pPr>
        <w:pStyle w:val="Heading5"/>
      </w:pPr>
      <w:r>
        <w:t>Digital execution</w:t>
      </w:r>
    </w:p>
    <w:p w14:paraId="30BCCC98" w14:textId="77777777" w:rsidR="0055343A" w:rsidRDefault="0055343A" w:rsidP="006E41BE">
      <w:r>
        <w:t>A digital statutory declaration needs to be made on an approved online platform (</w:t>
      </w:r>
      <w:proofErr w:type="spellStart"/>
      <w:r>
        <w:t>myGov</w:t>
      </w:r>
      <w:proofErr w:type="spellEnd"/>
      <w:r>
        <w:t>) and the declarant’s identity needs to be verified by an approved identity service (</w:t>
      </w:r>
      <w:proofErr w:type="spellStart"/>
      <w:r>
        <w:t>myID</w:t>
      </w:r>
      <w:proofErr w:type="spellEnd"/>
      <w:r>
        <w:t xml:space="preserve">). </w:t>
      </w:r>
      <w:r w:rsidRPr="00C93D73">
        <w:t xml:space="preserve">At present, </w:t>
      </w:r>
      <w:proofErr w:type="spellStart"/>
      <w:r w:rsidRPr="00C93D73">
        <w:t>myGov</w:t>
      </w:r>
      <w:proofErr w:type="spellEnd"/>
      <w:r w:rsidRPr="00C93D73">
        <w:t xml:space="preserve"> </w:t>
      </w:r>
      <w:r>
        <w:t xml:space="preserve">and </w:t>
      </w:r>
      <w:proofErr w:type="spellStart"/>
      <w:r>
        <w:t>myID</w:t>
      </w:r>
      <w:proofErr w:type="spellEnd"/>
      <w:r>
        <w:t xml:space="preserve"> are</w:t>
      </w:r>
      <w:r w:rsidRPr="00C93D73">
        <w:t xml:space="preserve"> the only </w:t>
      </w:r>
      <w:r>
        <w:t>services</w:t>
      </w:r>
      <w:r w:rsidRPr="00C93D73">
        <w:t xml:space="preserve"> approved </w:t>
      </w:r>
      <w:r>
        <w:t xml:space="preserve">by the Attorney-General </w:t>
      </w:r>
      <w:r w:rsidRPr="00C93D73">
        <w:t>to deliver digital statutory declarations.</w:t>
      </w:r>
    </w:p>
    <w:p w14:paraId="5601A993" w14:textId="75A636C6" w:rsidR="0055343A" w:rsidRDefault="0055343A">
      <w:r>
        <w:t>Given the introduction of digital execution was a significant change for statutory declaration verification</w:t>
      </w:r>
      <w:r w:rsidR="00B37B46">
        <w:t xml:space="preserve"> –</w:t>
      </w:r>
      <w:r>
        <w:t xml:space="preserve"> primarily </w:t>
      </w:r>
      <w:r w:rsidR="00CB2992">
        <w:t>due</w:t>
      </w:r>
      <w:r>
        <w:t xml:space="preserve"> to the replacement of a witness with </w:t>
      </w:r>
      <w:r w:rsidR="00CB2992">
        <w:t xml:space="preserve">the </w:t>
      </w:r>
      <w:r>
        <w:t>digital ID verification processes</w:t>
      </w:r>
      <w:r w:rsidR="00B37B46">
        <w:t xml:space="preserve"> –</w:t>
      </w:r>
      <w:r>
        <w:t xml:space="preserve"> the Act and Regulations contain additional safeguards applying to both approved online platforms and identity services.</w:t>
      </w:r>
    </w:p>
    <w:p w14:paraId="18D35BC0" w14:textId="77777777" w:rsidR="0055343A" w:rsidRPr="00047FE8" w:rsidRDefault="0055343A" w:rsidP="00C63A66">
      <w:pPr>
        <w:spacing w:after="0"/>
        <w:rPr>
          <w:i/>
          <w:iCs/>
        </w:rPr>
      </w:pPr>
      <w:r w:rsidRPr="00047FE8">
        <w:rPr>
          <w:i/>
          <w:iCs/>
        </w:rPr>
        <w:t>Requirements that must be satisfied for the approval of both online platforms and identity services</w:t>
      </w:r>
    </w:p>
    <w:p w14:paraId="7F738513" w14:textId="77777777" w:rsidR="0055343A" w:rsidRDefault="0055343A" w:rsidP="00C63A66">
      <w:pPr>
        <w:spacing w:after="0"/>
      </w:pPr>
      <w:r>
        <w:t>Before either an online platform or identity service can be approved, the Minister must be satisfied that:</w:t>
      </w:r>
    </w:p>
    <w:p w14:paraId="0DC5302D" w14:textId="5EB3989E" w:rsidR="0055343A" w:rsidRDefault="00E16DF1" w:rsidP="004159FF">
      <w:pPr>
        <w:pStyle w:val="ListParagraph"/>
        <w:numPr>
          <w:ilvl w:val="0"/>
          <w:numId w:val="56"/>
        </w:numPr>
        <w:spacing w:before="0" w:after="200" w:line="276" w:lineRule="auto"/>
        <w:ind w:left="714" w:hanging="357"/>
      </w:pPr>
      <w:r>
        <w:t>it</w:t>
      </w:r>
      <w:r w:rsidR="0055343A">
        <w:t xml:space="preserve"> will operate in a way that complies with the </w:t>
      </w:r>
      <w:r w:rsidR="0055343A" w:rsidRPr="004A0CC4">
        <w:rPr>
          <w:i/>
          <w:iCs/>
        </w:rPr>
        <w:t xml:space="preserve">Privacy Act </w:t>
      </w:r>
      <w:r w:rsidR="0027393F" w:rsidRPr="004A0CC4">
        <w:rPr>
          <w:i/>
          <w:iCs/>
        </w:rPr>
        <w:t>1988</w:t>
      </w:r>
      <w:r w:rsidR="0027393F">
        <w:t xml:space="preserve"> (</w:t>
      </w:r>
      <w:proofErr w:type="spellStart"/>
      <w:r w:rsidR="0027393F">
        <w:t>Cth</w:t>
      </w:r>
      <w:proofErr w:type="spellEnd"/>
      <w:r w:rsidR="0027393F">
        <w:t xml:space="preserve">) </w:t>
      </w:r>
      <w:r w:rsidR="0055343A">
        <w:t xml:space="preserve">and any corresponding law of a </w:t>
      </w:r>
      <w:r w:rsidR="001E2DD0">
        <w:t>s</w:t>
      </w:r>
      <w:r w:rsidR="0055343A">
        <w:t xml:space="preserve">tate or </w:t>
      </w:r>
      <w:r w:rsidR="001E2DD0">
        <w:t>t</w:t>
      </w:r>
      <w:r w:rsidR="0055343A">
        <w:t>erritory that the Minister considers is relevant</w:t>
      </w:r>
    </w:p>
    <w:p w14:paraId="60D5F501" w14:textId="2AF2DA37" w:rsidR="0055343A" w:rsidRDefault="00E16DF1" w:rsidP="004159FF">
      <w:pPr>
        <w:pStyle w:val="ListParagraph"/>
        <w:numPr>
          <w:ilvl w:val="0"/>
          <w:numId w:val="56"/>
        </w:numPr>
        <w:spacing w:before="0" w:after="200" w:line="276" w:lineRule="auto"/>
        <w:ind w:left="714" w:hanging="357"/>
      </w:pPr>
      <w:r>
        <w:t>its</w:t>
      </w:r>
      <w:r w:rsidR="0055343A">
        <w:t xml:space="preserve"> protective security (including security governance, information security, personnel security and physical security) and fraud control arrangements are effective</w:t>
      </w:r>
    </w:p>
    <w:p w14:paraId="0B250C38" w14:textId="7CA33B6D" w:rsidR="0055343A" w:rsidRDefault="0055343A" w:rsidP="004159FF">
      <w:pPr>
        <w:pStyle w:val="ListParagraph"/>
        <w:numPr>
          <w:ilvl w:val="0"/>
          <w:numId w:val="56"/>
        </w:numPr>
        <w:spacing w:before="0" w:after="200" w:line="276" w:lineRule="auto"/>
        <w:ind w:left="714" w:hanging="357"/>
      </w:pPr>
      <w:r w:rsidRPr="00047FE8">
        <w:lastRenderedPageBreak/>
        <w:t xml:space="preserve">any </w:t>
      </w:r>
      <w:r w:rsidR="00B37B46">
        <w:t xml:space="preserve">relevant </w:t>
      </w:r>
      <w:r w:rsidRPr="00047FE8">
        <w:t xml:space="preserve">matters prescribed by the Regulations are </w:t>
      </w:r>
      <w:r w:rsidRPr="00C218B8">
        <w:t>considered</w:t>
      </w:r>
      <w:r>
        <w:t xml:space="preserve"> and observed.</w:t>
      </w:r>
      <w:r w:rsidR="007D69C5">
        <w:rPr>
          <w:rStyle w:val="FootnoteReference"/>
        </w:rPr>
        <w:footnoteReference w:id="6"/>
      </w:r>
      <w:r w:rsidRPr="00047FE8">
        <w:t xml:space="preserve">  </w:t>
      </w:r>
    </w:p>
    <w:p w14:paraId="2752868E" w14:textId="77777777" w:rsidR="0055343A" w:rsidRDefault="0055343A" w:rsidP="00606D27">
      <w:pPr>
        <w:spacing w:after="0" w:line="240" w:lineRule="auto"/>
        <w:rPr>
          <w:i/>
          <w:iCs/>
        </w:rPr>
      </w:pPr>
      <w:r w:rsidRPr="00606D27">
        <w:rPr>
          <w:i/>
          <w:iCs/>
        </w:rPr>
        <w:t xml:space="preserve">Special obligations applying to </w:t>
      </w:r>
      <w:r>
        <w:rPr>
          <w:i/>
          <w:iCs/>
        </w:rPr>
        <w:t xml:space="preserve">approved </w:t>
      </w:r>
      <w:r w:rsidRPr="00606D27">
        <w:rPr>
          <w:i/>
          <w:iCs/>
        </w:rPr>
        <w:t>online platforms</w:t>
      </w:r>
    </w:p>
    <w:p w14:paraId="7ECF2797" w14:textId="77777777" w:rsidR="00314954" w:rsidRDefault="0027393F" w:rsidP="00606D27">
      <w:pPr>
        <w:spacing w:after="0" w:line="240" w:lineRule="auto"/>
      </w:pPr>
      <w:r>
        <w:t xml:space="preserve">In addition to the above conditions an approved online platform must satisfy before they are prescribed to provide the digital statutory declaration service, </w:t>
      </w:r>
      <w:r w:rsidR="00314954">
        <w:t xml:space="preserve">further </w:t>
      </w:r>
      <w:r>
        <w:t xml:space="preserve">special obligations apply </w:t>
      </w:r>
      <w:r w:rsidR="00314954">
        <w:t xml:space="preserve">to these approved platforms </w:t>
      </w:r>
      <w:r>
        <w:t xml:space="preserve">to ensure ongoing privacy, security and oversight. </w:t>
      </w:r>
    </w:p>
    <w:p w14:paraId="72DCF784" w14:textId="5D2BC55A" w:rsidR="0027393F" w:rsidRDefault="00314954" w:rsidP="00606D27">
      <w:pPr>
        <w:spacing w:after="0" w:line="240" w:lineRule="auto"/>
      </w:pPr>
      <w:r>
        <w:t>For example</w:t>
      </w:r>
      <w:r w:rsidR="0027393F">
        <w:t>, a</w:t>
      </w:r>
      <w:r w:rsidR="0055343A">
        <w:t>pproved online platforms are prohibited from retaining copies of statutory declarations</w:t>
      </w:r>
      <w:r w:rsidR="0027393F">
        <w:t xml:space="preserve">. This is intended as a privacy and security measure and is consistent </w:t>
      </w:r>
      <w:r w:rsidR="0027393F" w:rsidRPr="00AD1101">
        <w:t>with the process for paper declarations</w:t>
      </w:r>
      <w:r w:rsidR="0027393F">
        <w:t>,</w:t>
      </w:r>
      <w:r w:rsidR="0027393F" w:rsidRPr="00AD1101">
        <w:t xml:space="preserve"> where the witness does not keep a copy of a statutory declaration made before them</w:t>
      </w:r>
      <w:r w:rsidR="0027393F">
        <w:t xml:space="preserve">. </w:t>
      </w:r>
    </w:p>
    <w:p w14:paraId="2400B0A2" w14:textId="42B3A83C" w:rsidR="0055343A" w:rsidRPr="00606D27" w:rsidRDefault="00314954" w:rsidP="00606D27">
      <w:pPr>
        <w:spacing w:after="0" w:line="240" w:lineRule="auto"/>
        <w:rPr>
          <w:i/>
          <w:iCs/>
        </w:rPr>
      </w:pPr>
      <w:r>
        <w:t>Further, t</w:t>
      </w:r>
      <w:r w:rsidR="0027393F">
        <w:t xml:space="preserve">o enable Parliamentary oversight and public transparency, approved online platforms are </w:t>
      </w:r>
      <w:r w:rsidR="0055343A">
        <w:t xml:space="preserve">required to produce an annual report. The report must be prepared and given to the Minister for presentation to the Parliament after the end of each financial year, </w:t>
      </w:r>
      <w:r w:rsidR="0027393F">
        <w:t>and</w:t>
      </w:r>
      <w:r w:rsidR="0055343A">
        <w:t xml:space="preserve"> include:</w:t>
      </w:r>
    </w:p>
    <w:p w14:paraId="4984EF6C" w14:textId="54FDE661" w:rsidR="0055343A" w:rsidRDefault="0055343A" w:rsidP="00150400">
      <w:pPr>
        <w:pStyle w:val="ListParagraph"/>
        <w:numPr>
          <w:ilvl w:val="0"/>
          <w:numId w:val="55"/>
        </w:numPr>
        <w:spacing w:before="0" w:after="200" w:line="276" w:lineRule="auto"/>
        <w:ind w:left="714" w:hanging="357"/>
      </w:pPr>
      <w:r>
        <w:t>the number of statutory declarations made</w:t>
      </w:r>
      <w:r w:rsidR="00AD1101">
        <w:t xml:space="preserve"> – </w:t>
      </w:r>
      <w:r>
        <w:t>and started but not completed</w:t>
      </w:r>
      <w:r w:rsidR="00AD1101">
        <w:t xml:space="preserve"> – </w:t>
      </w:r>
      <w:r>
        <w:t xml:space="preserve">on the platform </w:t>
      </w:r>
    </w:p>
    <w:p w14:paraId="0BE1E166" w14:textId="7339A824" w:rsidR="0055343A" w:rsidRDefault="0055343A" w:rsidP="00150400">
      <w:pPr>
        <w:pStyle w:val="ListParagraph"/>
        <w:numPr>
          <w:ilvl w:val="0"/>
          <w:numId w:val="55"/>
        </w:numPr>
        <w:spacing w:before="0" w:after="200" w:line="276" w:lineRule="auto"/>
        <w:ind w:left="714" w:hanging="357"/>
      </w:pPr>
      <w:r>
        <w:t>information about the provider’s compliance regarding not retaining copies of statutory declarations</w:t>
      </w:r>
    </w:p>
    <w:p w14:paraId="7390AD64" w14:textId="77777777" w:rsidR="0055343A" w:rsidRDefault="0055343A" w:rsidP="00150400">
      <w:pPr>
        <w:pStyle w:val="ListParagraph"/>
        <w:numPr>
          <w:ilvl w:val="0"/>
          <w:numId w:val="55"/>
        </w:numPr>
        <w:spacing w:before="0" w:after="200" w:line="276" w:lineRule="auto"/>
        <w:ind w:left="714" w:hanging="357"/>
      </w:pPr>
      <w:r>
        <w:t xml:space="preserve">information about whether there has been any actual data breach (within the meaning of the </w:t>
      </w:r>
      <w:r w:rsidRPr="00606D27">
        <w:t>Privacy Act</w:t>
      </w:r>
      <w:r>
        <w:t>).</w:t>
      </w:r>
    </w:p>
    <w:p w14:paraId="37589E5E" w14:textId="2C26C13A" w:rsidR="0055343A" w:rsidRDefault="008142EC">
      <w:r>
        <w:t>Since the digital service started, a</w:t>
      </w:r>
      <w:r w:rsidR="0055343A">
        <w:t>nnual report</w:t>
      </w:r>
      <w:r>
        <w:t>s have</w:t>
      </w:r>
      <w:r w:rsidR="0055343A">
        <w:t xml:space="preserve"> confirmed that </w:t>
      </w:r>
      <w:r>
        <w:t xml:space="preserve">there have been </w:t>
      </w:r>
      <w:r w:rsidR="0055343A">
        <w:t xml:space="preserve">no such breaches associated with using the web platform or app for digital statutory declarations. This indicates the security and privacy protections embedded in the </w:t>
      </w:r>
      <w:proofErr w:type="spellStart"/>
      <w:r w:rsidR="002B0A35">
        <w:t>m</w:t>
      </w:r>
      <w:r w:rsidR="0055343A">
        <w:t>yGov</w:t>
      </w:r>
      <w:proofErr w:type="spellEnd"/>
      <w:r w:rsidR="0055343A">
        <w:t xml:space="preserve"> platform are working</w:t>
      </w:r>
      <w:r w:rsidR="0027393F">
        <w:t xml:space="preserve"> as intended</w:t>
      </w:r>
      <w:r w:rsidR="0055343A">
        <w:t xml:space="preserve">. </w:t>
      </w:r>
    </w:p>
    <w:p w14:paraId="5DC05A68" w14:textId="5C2FE0E1" w:rsidR="0055343A" w:rsidRPr="00606D27" w:rsidRDefault="0055343A" w:rsidP="00606D27">
      <w:pPr>
        <w:spacing w:before="240" w:after="0"/>
        <w:rPr>
          <w:i/>
          <w:iCs/>
        </w:rPr>
      </w:pPr>
      <w:r>
        <w:rPr>
          <w:i/>
          <w:iCs/>
        </w:rPr>
        <w:t>Information r</w:t>
      </w:r>
      <w:r w:rsidRPr="00606D27">
        <w:rPr>
          <w:i/>
          <w:iCs/>
        </w:rPr>
        <w:t>equirements applying to approved online platforms</w:t>
      </w:r>
    </w:p>
    <w:p w14:paraId="375934F4" w14:textId="1459380C" w:rsidR="0055343A" w:rsidRPr="004A0CC4" w:rsidRDefault="0027393F" w:rsidP="00CC0221">
      <w:pPr>
        <w:spacing w:after="0"/>
      </w:pPr>
      <w:r>
        <w:t xml:space="preserve">There are also a range of information requirements built into the Act and Regulations that are intended to ensure the veracity of digital statutory declarations and function as anti-fraud measures. </w:t>
      </w:r>
      <w:proofErr w:type="gramStart"/>
      <w:r>
        <w:t>In particular, a</w:t>
      </w:r>
      <w:proofErr w:type="gramEnd"/>
      <w:r w:rsidR="0055343A" w:rsidRPr="004A0CC4">
        <w:t xml:space="preserve"> statutory declaration being executed on a digital platform must include information prescribed by the Regulations</w:t>
      </w:r>
      <w:r w:rsidR="0055343A" w:rsidRPr="004A0CC4">
        <w:rPr>
          <w:rStyle w:val="FootnoteReference"/>
        </w:rPr>
        <w:footnoteReference w:id="7"/>
      </w:r>
      <w:r w:rsidR="0055343A" w:rsidRPr="004A0CC4">
        <w:t>, includ</w:t>
      </w:r>
      <w:r w:rsidR="008142EC" w:rsidRPr="004A0CC4">
        <w:t>ing</w:t>
      </w:r>
      <w:r w:rsidR="0055343A" w:rsidRPr="004A0CC4">
        <w:t xml:space="preserve"> information (which may be in the form of a QR code or </w:t>
      </w:r>
      <w:proofErr w:type="gramStart"/>
      <w:r w:rsidR="0055343A" w:rsidRPr="004A0CC4">
        <w:t>other</w:t>
      </w:r>
      <w:proofErr w:type="gramEnd"/>
      <w:r w:rsidR="0055343A" w:rsidRPr="004A0CC4">
        <w:t xml:space="preserve"> identifier) that can be used</w:t>
      </w:r>
      <w:r w:rsidR="008142EC" w:rsidRPr="004A0CC4">
        <w:t xml:space="preserve"> as a safeguard</w:t>
      </w:r>
      <w:r w:rsidR="0055343A" w:rsidRPr="004A0CC4">
        <w:t xml:space="preserve"> to verify that: </w:t>
      </w:r>
    </w:p>
    <w:p w14:paraId="74514111" w14:textId="4E7F0890" w:rsidR="0055343A" w:rsidRPr="004A0CC4" w:rsidRDefault="0055343A" w:rsidP="0051585E">
      <w:pPr>
        <w:pStyle w:val="ListParagraph"/>
        <w:numPr>
          <w:ilvl w:val="0"/>
          <w:numId w:val="55"/>
        </w:numPr>
        <w:spacing w:before="0" w:after="200" w:line="276" w:lineRule="auto"/>
        <w:ind w:left="714" w:hanging="357"/>
      </w:pPr>
      <w:r w:rsidRPr="004A0CC4">
        <w:t xml:space="preserve">the declaration was completed by the declarant using the approved online platform </w:t>
      </w:r>
    </w:p>
    <w:p w14:paraId="0A24F019" w14:textId="22AF4221" w:rsidR="0055343A" w:rsidRPr="004A0CC4" w:rsidRDefault="0055343A" w:rsidP="0051585E">
      <w:pPr>
        <w:pStyle w:val="ListParagraph"/>
        <w:numPr>
          <w:ilvl w:val="0"/>
          <w:numId w:val="55"/>
        </w:numPr>
        <w:spacing w:before="0" w:after="200" w:line="276" w:lineRule="auto"/>
        <w:ind w:left="714" w:hanging="357"/>
      </w:pPr>
      <w:r w:rsidRPr="004A0CC4">
        <w:t xml:space="preserve">the contents of the statutory declaration were not changed since it was completed. </w:t>
      </w:r>
    </w:p>
    <w:p w14:paraId="26EFE2B8" w14:textId="57F620CF" w:rsidR="0055343A" w:rsidRDefault="0055343A" w:rsidP="006E41BE">
      <w:r>
        <w:t>Each page of the d</w:t>
      </w:r>
      <w:r w:rsidRPr="00752FF2">
        <w:t>igital statutory declaration</w:t>
      </w:r>
      <w:r>
        <w:t xml:space="preserve"> </w:t>
      </w:r>
      <w:r w:rsidR="0027393F">
        <w:t xml:space="preserve">executed through </w:t>
      </w:r>
      <w:proofErr w:type="spellStart"/>
      <w:r w:rsidR="0027393F">
        <w:t>myGov</w:t>
      </w:r>
      <w:proofErr w:type="spellEnd"/>
      <w:r w:rsidR="0027393F">
        <w:t xml:space="preserve"> </w:t>
      </w:r>
      <w:r>
        <w:t>includes</w:t>
      </w:r>
      <w:r w:rsidRPr="00752FF2">
        <w:t xml:space="preserve"> a tamper proof QR code.</w:t>
      </w:r>
      <w:r>
        <w:t xml:space="preserve"> The</w:t>
      </w:r>
      <w:r w:rsidRPr="00752FF2">
        <w:t xml:space="preserve"> QR code </w:t>
      </w:r>
      <w:r>
        <w:t xml:space="preserve">enables the receiving entity </w:t>
      </w:r>
      <w:r w:rsidRPr="00752FF2">
        <w:t>to verify the declaration</w:t>
      </w:r>
      <w:r>
        <w:t xml:space="preserve"> is genuine and unaltered, including in circumstances where</w:t>
      </w:r>
      <w:r w:rsidRPr="00752FF2">
        <w:t xml:space="preserve"> </w:t>
      </w:r>
      <w:r>
        <w:t xml:space="preserve">the receiving entity has any </w:t>
      </w:r>
      <w:r w:rsidRPr="00752FF2">
        <w:t>concerns.</w:t>
      </w:r>
      <w:r>
        <w:t xml:space="preserve"> When scanned, the QR code displays the declarant’s information as </w:t>
      </w:r>
      <w:proofErr w:type="gramStart"/>
      <w:r>
        <w:t>entered into</w:t>
      </w:r>
      <w:proofErr w:type="gramEnd"/>
      <w:r>
        <w:t xml:space="preserve"> </w:t>
      </w:r>
      <w:proofErr w:type="spellStart"/>
      <w:r>
        <w:t>myGov</w:t>
      </w:r>
      <w:proofErr w:type="spellEnd"/>
      <w:r>
        <w:t xml:space="preserve">. </w:t>
      </w:r>
      <w:r w:rsidRPr="00752FF2">
        <w:t xml:space="preserve">To protect the declarant’s privacy, </w:t>
      </w:r>
      <w:r>
        <w:t>the receiving entity</w:t>
      </w:r>
      <w:r w:rsidRPr="00752FF2">
        <w:t xml:space="preserve"> must </w:t>
      </w:r>
      <w:r>
        <w:t>use</w:t>
      </w:r>
      <w:r w:rsidRPr="00752FF2">
        <w:t xml:space="preserve"> the QR code scanner in the </w:t>
      </w:r>
      <w:proofErr w:type="spellStart"/>
      <w:r w:rsidRPr="00752FF2">
        <w:t>myGov</w:t>
      </w:r>
      <w:proofErr w:type="spellEnd"/>
      <w:r w:rsidRPr="00752FF2">
        <w:t xml:space="preserve"> app</w:t>
      </w:r>
      <w:r>
        <w:t xml:space="preserve"> </w:t>
      </w:r>
      <w:r>
        <w:lastRenderedPageBreak/>
        <w:t>itself</w:t>
      </w:r>
      <w:r w:rsidRPr="00752FF2">
        <w:t xml:space="preserve">. The QR scanner does not </w:t>
      </w:r>
      <w:r>
        <w:t>capture an image</w:t>
      </w:r>
      <w:r w:rsidRPr="00752FF2">
        <w:t xml:space="preserve"> of the completed </w:t>
      </w:r>
      <w:proofErr w:type="gramStart"/>
      <w:r w:rsidRPr="00752FF2">
        <w:t>declaration</w:t>
      </w:r>
      <w:r>
        <w:t>,</w:t>
      </w:r>
      <w:r w:rsidRPr="00752FF2">
        <w:t xml:space="preserve"> and</w:t>
      </w:r>
      <w:proofErr w:type="gramEnd"/>
      <w:r w:rsidRPr="00752FF2">
        <w:t xml:space="preserve"> does not store any personal information </w:t>
      </w:r>
      <w:r>
        <w:t>contained within it</w:t>
      </w:r>
      <w:r w:rsidRPr="00752FF2">
        <w:t>.</w:t>
      </w:r>
      <w:r>
        <w:t xml:space="preserve"> </w:t>
      </w:r>
    </w:p>
    <w:p w14:paraId="5BD96E2E" w14:textId="77777777" w:rsidR="0055343A" w:rsidRPr="00047FE8" w:rsidRDefault="0055343A" w:rsidP="00CC0221">
      <w:pPr>
        <w:spacing w:after="0"/>
        <w:rPr>
          <w:i/>
          <w:iCs/>
        </w:rPr>
      </w:pPr>
      <w:r>
        <w:rPr>
          <w:i/>
          <w:iCs/>
        </w:rPr>
        <w:t>Requirement</w:t>
      </w:r>
      <w:r w:rsidRPr="00047FE8">
        <w:rPr>
          <w:i/>
          <w:iCs/>
        </w:rPr>
        <w:t xml:space="preserve">s applying to approved identity services </w:t>
      </w:r>
    </w:p>
    <w:p w14:paraId="3F64C389" w14:textId="3E4819F6" w:rsidR="0055343A" w:rsidRDefault="0055343A" w:rsidP="00CC0221">
      <w:pPr>
        <w:spacing w:after="0"/>
      </w:pPr>
      <w:r>
        <w:t>Approved identity services must verify the identity of the declarant in accordance with the conditions prescribed by the Regulations, includ</w:t>
      </w:r>
      <w:r w:rsidR="00314954">
        <w:t>ing</w:t>
      </w:r>
      <w:r>
        <w:t xml:space="preserve"> the use of at least 2 listed documents</w:t>
      </w:r>
      <w:r>
        <w:rPr>
          <w:rStyle w:val="FootnoteReference"/>
        </w:rPr>
        <w:footnoteReference w:id="8"/>
      </w:r>
      <w:r>
        <w:t xml:space="preserve"> which must be issued by a government of the Commonwealth, state or territory.</w:t>
      </w:r>
    </w:p>
    <w:p w14:paraId="17AE3D08" w14:textId="4CC63001" w:rsidR="0055343A" w:rsidRDefault="0055343A" w:rsidP="00606D27">
      <w:pPr>
        <w:spacing w:before="240"/>
      </w:pPr>
      <w:r w:rsidRPr="00C93D73">
        <w:t xml:space="preserve">To access the digital Commonwealth statutory declaration using </w:t>
      </w:r>
      <w:proofErr w:type="spellStart"/>
      <w:r w:rsidRPr="00C93D73">
        <w:t>myID</w:t>
      </w:r>
      <w:proofErr w:type="spellEnd"/>
      <w:r w:rsidRPr="00C93D73">
        <w:t xml:space="preserve">, the required </w:t>
      </w:r>
      <w:r>
        <w:t>identity strength</w:t>
      </w:r>
      <w:r w:rsidRPr="00C93D73">
        <w:t xml:space="preserve"> is </w:t>
      </w:r>
      <w:r>
        <w:t>‘Standard’</w:t>
      </w:r>
      <w:r w:rsidR="007D69C5">
        <w:t>.</w:t>
      </w:r>
      <w:r w:rsidRPr="00C93D73">
        <w:t xml:space="preserve"> </w:t>
      </w:r>
      <w:r w:rsidR="007D69C5">
        <w:t>S</w:t>
      </w:r>
      <w:r w:rsidRPr="00C93D73">
        <w:t>ome stakeholders</w:t>
      </w:r>
      <w:r>
        <w:rPr>
          <w:rStyle w:val="FootnoteReference"/>
        </w:rPr>
        <w:footnoteReference w:id="9"/>
      </w:r>
      <w:r w:rsidR="007D69C5">
        <w:t xml:space="preserve"> responding to </w:t>
      </w:r>
      <w:r>
        <w:t>the</w:t>
      </w:r>
      <w:r w:rsidRPr="00C93D73">
        <w:t xml:space="preserve"> 2023</w:t>
      </w:r>
      <w:r>
        <w:t xml:space="preserve"> public </w:t>
      </w:r>
      <w:r w:rsidRPr="00C93D73">
        <w:t>consultation</w:t>
      </w:r>
      <w:r>
        <w:t xml:space="preserve"> </w:t>
      </w:r>
      <w:r w:rsidRPr="00C93D73">
        <w:t>commented</w:t>
      </w:r>
      <w:r w:rsidR="007D69C5">
        <w:t xml:space="preserve"> that this level</w:t>
      </w:r>
      <w:r w:rsidRPr="00C93D73">
        <w:t xml:space="preserve"> may be too low</w:t>
      </w:r>
      <w:r w:rsidR="007D69C5">
        <w:t>,</w:t>
      </w:r>
      <w:r w:rsidRPr="00C93D73">
        <w:t xml:space="preserve"> as it requires only </w:t>
      </w:r>
      <w:r>
        <w:t>2</w:t>
      </w:r>
      <w:r w:rsidRPr="00C93D73">
        <w:t xml:space="preserve"> </w:t>
      </w:r>
      <w:r>
        <w:t xml:space="preserve">identity </w:t>
      </w:r>
      <w:r w:rsidRPr="00C93D73">
        <w:t>documents and is not biometrically bound to an individual</w:t>
      </w:r>
      <w:r>
        <w:t>.</w:t>
      </w:r>
      <w:r>
        <w:rPr>
          <w:rStyle w:val="FootnoteReference"/>
        </w:rPr>
        <w:footnoteReference w:id="10"/>
      </w:r>
      <w:r w:rsidRPr="00C93D73">
        <w:t xml:space="preserve"> </w:t>
      </w:r>
      <w:r w:rsidR="007D69C5">
        <w:t>However, ‘S</w:t>
      </w:r>
      <w:r>
        <w:t>trong</w:t>
      </w:r>
      <w:r w:rsidR="007D69C5">
        <w:t>’</w:t>
      </w:r>
      <w:r>
        <w:t xml:space="preserve"> ID strength is</w:t>
      </w:r>
      <w:r w:rsidRPr="00C93D73">
        <w:t xml:space="preserve"> not prescribed </w:t>
      </w:r>
      <w:r>
        <w:t>for</w:t>
      </w:r>
      <w:r w:rsidRPr="00C93D73">
        <w:t xml:space="preserve"> the digital Commonwealth statutory declaration service</w:t>
      </w:r>
      <w:r w:rsidR="007D69C5">
        <w:t>,</w:t>
      </w:r>
      <w:r w:rsidRPr="00C93D73">
        <w:t xml:space="preserve"> as it</w:t>
      </w:r>
      <w:r>
        <w:t xml:space="preserve"> currently</w:t>
      </w:r>
      <w:r w:rsidRPr="00C93D73">
        <w:t xml:space="preserve"> requires a passport</w:t>
      </w:r>
      <w:r>
        <w:t xml:space="preserve"> to be used as an identity document</w:t>
      </w:r>
      <w:r w:rsidRPr="00C93D73">
        <w:t>, which would significantly reduce the accessibility of the service.</w:t>
      </w:r>
    </w:p>
    <w:p w14:paraId="03CB216A" w14:textId="2113244B" w:rsidR="0055343A" w:rsidRDefault="0055343A" w:rsidP="0033653C">
      <w:pPr>
        <w:pStyle w:val="Heading4"/>
      </w:pPr>
      <w:r>
        <w:t>Questions</w:t>
      </w:r>
    </w:p>
    <w:p w14:paraId="22CDA352" w14:textId="124AEA5F" w:rsidR="0055343A" w:rsidRDefault="00D006BB" w:rsidP="006636BE">
      <w:pPr>
        <w:pStyle w:val="ListParagraph"/>
        <w:numPr>
          <w:ilvl w:val="0"/>
          <w:numId w:val="47"/>
        </w:numPr>
        <w:spacing w:before="0" w:after="200" w:line="276" w:lineRule="auto"/>
        <w:ind w:hanging="357"/>
      </w:pPr>
      <w:r>
        <w:t>A</w:t>
      </w:r>
      <w:r w:rsidR="0055343A">
        <w:t>re the current safeguards associated with executing a digital statutory declaration</w:t>
      </w:r>
      <w:r>
        <w:t xml:space="preserve"> effective</w:t>
      </w:r>
      <w:r w:rsidR="0055343A">
        <w:t>?</w:t>
      </w:r>
      <w:r w:rsidR="0055343A">
        <w:rPr>
          <w:rStyle w:val="FootnoteReference"/>
        </w:rPr>
        <w:footnoteReference w:id="11"/>
      </w:r>
    </w:p>
    <w:p w14:paraId="45FF4307" w14:textId="77777777" w:rsidR="0055343A" w:rsidRDefault="0055343A" w:rsidP="006636BE">
      <w:pPr>
        <w:pStyle w:val="ListParagraph"/>
        <w:numPr>
          <w:ilvl w:val="1"/>
          <w:numId w:val="47"/>
        </w:numPr>
        <w:spacing w:before="0" w:after="200" w:line="276" w:lineRule="auto"/>
        <w:ind w:hanging="357"/>
      </w:pPr>
      <w:r>
        <w:t>Are there any circumstances in which these safeguards could be strengthened or improved? If so, please provide details.</w:t>
      </w:r>
    </w:p>
    <w:p w14:paraId="6CBB2CE5" w14:textId="77777777" w:rsidR="0055343A" w:rsidRDefault="0055343A" w:rsidP="006636BE">
      <w:pPr>
        <w:pStyle w:val="ListParagraph"/>
        <w:numPr>
          <w:ilvl w:val="0"/>
          <w:numId w:val="47"/>
        </w:numPr>
        <w:spacing w:before="0" w:after="200" w:line="276" w:lineRule="auto"/>
        <w:ind w:hanging="357"/>
      </w:pPr>
      <w:r w:rsidRPr="00A044E5">
        <w:t xml:space="preserve">Does the QR code on the digital </w:t>
      </w:r>
      <w:r>
        <w:t xml:space="preserve">statutory declaration </w:t>
      </w:r>
      <w:r w:rsidRPr="00A044E5">
        <w:t xml:space="preserve">form effectively </w:t>
      </w:r>
      <w:r>
        <w:t>allow</w:t>
      </w:r>
      <w:r w:rsidRPr="00A044E5">
        <w:t xml:space="preserve"> third parties to verify</w:t>
      </w:r>
      <w:r>
        <w:t xml:space="preserve"> the validity of</w:t>
      </w:r>
      <w:r w:rsidRPr="00A044E5">
        <w:t xml:space="preserve"> a declaration?</w:t>
      </w:r>
      <w:r>
        <w:t xml:space="preserve"> Please provide examples or evidence from your experience, including any challenges or limitations you have encountered.</w:t>
      </w:r>
    </w:p>
    <w:p w14:paraId="63B646B9" w14:textId="77777777" w:rsidR="0055343A" w:rsidRPr="00A044E5" w:rsidRDefault="0055343A" w:rsidP="006636BE">
      <w:pPr>
        <w:pStyle w:val="ListParagraph"/>
        <w:numPr>
          <w:ilvl w:val="0"/>
          <w:numId w:val="47"/>
        </w:numPr>
        <w:spacing w:before="0" w:after="200" w:line="276" w:lineRule="auto"/>
        <w:ind w:hanging="357"/>
      </w:pPr>
      <w:r>
        <w:t>Are you aware of any examples in which the absence of a witness, who may ordinarily check for instances of coercion or duress, has allowed for a digital statutory declaration to be executed in a manner that undermines its validity?</w:t>
      </w:r>
    </w:p>
    <w:p w14:paraId="62C41905" w14:textId="77777777" w:rsidR="0055343A" w:rsidRDefault="0055343A" w:rsidP="006636BE">
      <w:pPr>
        <w:pStyle w:val="ListParagraph"/>
        <w:numPr>
          <w:ilvl w:val="0"/>
          <w:numId w:val="47"/>
        </w:numPr>
        <w:spacing w:before="0" w:after="200" w:line="276" w:lineRule="auto"/>
        <w:ind w:hanging="357"/>
      </w:pPr>
      <w:r>
        <w:t xml:space="preserve">Is the required identity strength of ‘Standard’ appropriate for digital statutory declarations? Please provide evidence to support your answer. </w:t>
      </w:r>
    </w:p>
    <w:p w14:paraId="1800D1A6" w14:textId="77777777" w:rsidR="0055343A" w:rsidRDefault="0055343A" w:rsidP="006636BE">
      <w:pPr>
        <w:pStyle w:val="ListParagraph"/>
        <w:numPr>
          <w:ilvl w:val="0"/>
          <w:numId w:val="47"/>
        </w:numPr>
        <w:spacing w:before="0" w:after="200" w:line="276" w:lineRule="auto"/>
        <w:ind w:hanging="357"/>
      </w:pPr>
      <w:r>
        <w:t xml:space="preserve">Are there any changes to the Act or the Regulations that could be made, including with respect to the annual reporting requirements, that could enhance privacy, security, transparency and accountability? Please provide specific observations or suggestions for improvement. </w:t>
      </w:r>
    </w:p>
    <w:p w14:paraId="0500B478" w14:textId="77777777" w:rsidR="00F974BF" w:rsidRPr="00676CAC" w:rsidRDefault="00F974BF" w:rsidP="00F974BF">
      <w:pPr>
        <w:spacing w:before="0" w:after="200" w:line="276" w:lineRule="auto"/>
      </w:pPr>
    </w:p>
    <w:p w14:paraId="7277984E" w14:textId="77777777" w:rsidR="0055343A" w:rsidRDefault="0055343A" w:rsidP="007D340C">
      <w:pPr>
        <w:pStyle w:val="Heading5"/>
      </w:pPr>
      <w:r>
        <w:lastRenderedPageBreak/>
        <w:t>Electronic execution</w:t>
      </w:r>
    </w:p>
    <w:p w14:paraId="711AE1B8" w14:textId="71C6F928" w:rsidR="0055343A" w:rsidRDefault="0055343A" w:rsidP="004E1D6A">
      <w:r>
        <w:t xml:space="preserve">Electronic execution is more aligned with traditional in-person execution (primarily </w:t>
      </w:r>
      <w:r w:rsidR="00314954">
        <w:t xml:space="preserve">as both </w:t>
      </w:r>
      <w:r>
        <w:t>require a witness)</w:t>
      </w:r>
      <w:r w:rsidR="00683966">
        <w:t>.</w:t>
      </w:r>
      <w:r>
        <w:t xml:space="preserve"> </w:t>
      </w:r>
      <w:r w:rsidR="00683966">
        <w:t>As a result,</w:t>
      </w:r>
      <w:r>
        <w:t xml:space="preserve"> the Amendment Act </w:t>
      </w:r>
      <w:r w:rsidR="00683966">
        <w:t xml:space="preserve">contains different safeguards for electronic execution than those applying to </w:t>
      </w:r>
      <w:r>
        <w:t xml:space="preserve">digital execution. </w:t>
      </w:r>
      <w:r w:rsidR="001956B4">
        <w:t>These safeguards were introduced to respond to potential instances of</w:t>
      </w:r>
      <w:r>
        <w:t xml:space="preserve"> </w:t>
      </w:r>
      <w:r w:rsidR="002E2035">
        <w:t xml:space="preserve">fraud, </w:t>
      </w:r>
      <w:r>
        <w:t>coercion and duress</w:t>
      </w:r>
      <w:r w:rsidR="001956B4">
        <w:t xml:space="preserve"> during the electronic execution process.</w:t>
      </w:r>
      <w:r>
        <w:t xml:space="preserve"> Th</w:t>
      </w:r>
      <w:r w:rsidR="00884E08">
        <w:t>ese</w:t>
      </w:r>
      <w:r w:rsidR="005A662B">
        <w:t xml:space="preserve"> safeguards</w:t>
      </w:r>
      <w:r>
        <w:t xml:space="preserve"> include: </w:t>
      </w:r>
    </w:p>
    <w:p w14:paraId="2F523393" w14:textId="2526C367" w:rsidR="0055343A" w:rsidRPr="00E86E61" w:rsidRDefault="0055343A" w:rsidP="00240159">
      <w:pPr>
        <w:pStyle w:val="ListParagraph"/>
        <w:numPr>
          <w:ilvl w:val="0"/>
          <w:numId w:val="54"/>
        </w:numPr>
        <w:spacing w:before="0" w:after="200" w:line="276" w:lineRule="auto"/>
        <w:ind w:left="714" w:hanging="357"/>
      </w:pPr>
      <w:r>
        <w:t>A requirement for the witness to observe the signing of the statutory declaration</w:t>
      </w:r>
      <w:r w:rsidR="00884E08">
        <w:t xml:space="preserve"> –</w:t>
      </w:r>
      <w:r>
        <w:t xml:space="preserve"> for example, by the camera being positioned in such a way that it is directed toward the declarant as they sign the form.</w:t>
      </w:r>
      <w:r>
        <w:rPr>
          <w:rStyle w:val="FootnoteReference"/>
        </w:rPr>
        <w:footnoteReference w:id="12"/>
      </w:r>
      <w:r>
        <w:t xml:space="preserve"> </w:t>
      </w:r>
    </w:p>
    <w:p w14:paraId="7F915F3F" w14:textId="77777777" w:rsidR="0055343A" w:rsidRDefault="0055343A" w:rsidP="00240159">
      <w:pPr>
        <w:pStyle w:val="ListParagraph"/>
        <w:numPr>
          <w:ilvl w:val="0"/>
          <w:numId w:val="54"/>
        </w:numPr>
        <w:spacing w:before="0" w:after="200" w:line="276" w:lineRule="auto"/>
        <w:ind w:left="714" w:hanging="357"/>
      </w:pPr>
      <w:r>
        <w:t>A change to the Commonwealth statutory declaration form that requires</w:t>
      </w:r>
      <w:r w:rsidRPr="00CF2FA7">
        <w:t xml:space="preserve"> witnesses to include their contact details as a fraud control measure. This allows an entity receiving the declaration to contact the prescribed witnes</w:t>
      </w:r>
      <w:r>
        <w:t xml:space="preserve">s </w:t>
      </w:r>
      <w:r w:rsidRPr="00CF2FA7">
        <w:t xml:space="preserve">if it needs to verify how the document was signed. </w:t>
      </w:r>
    </w:p>
    <w:p w14:paraId="06FFF3B8" w14:textId="4B9F374F" w:rsidR="0055343A" w:rsidRDefault="0055343A" w:rsidP="00240159">
      <w:pPr>
        <w:pStyle w:val="ListParagraph"/>
        <w:numPr>
          <w:ilvl w:val="0"/>
          <w:numId w:val="54"/>
        </w:numPr>
        <w:spacing w:before="0" w:after="200" w:line="276" w:lineRule="auto"/>
        <w:ind w:left="714" w:hanging="357"/>
      </w:pPr>
      <w:r>
        <w:t xml:space="preserve">Adding the length of the term of imprisonment for a false declaration to a more prominent position </w:t>
      </w:r>
      <w:r w:rsidR="00884E08">
        <w:t xml:space="preserve">on the form, </w:t>
      </w:r>
      <w:r>
        <w:t>in the text above the declarant signature box.</w:t>
      </w:r>
    </w:p>
    <w:p w14:paraId="243588D3" w14:textId="617A6B33" w:rsidR="0055343A" w:rsidRPr="002D6451" w:rsidRDefault="0055343A" w:rsidP="00606D27">
      <w:pPr>
        <w:rPr>
          <w:bCs/>
        </w:rPr>
      </w:pPr>
      <w:r>
        <w:t xml:space="preserve">To date, </w:t>
      </w:r>
      <w:r w:rsidR="00966EBA">
        <w:t>we are</w:t>
      </w:r>
      <w:r>
        <w:t xml:space="preserve"> unaware of</w:t>
      </w:r>
      <w:r w:rsidRPr="00CB06E4">
        <w:t xml:space="preserve"> any increase</w:t>
      </w:r>
      <w:r>
        <w:t xml:space="preserve"> in</w:t>
      </w:r>
      <w:r w:rsidRPr="00CB06E4">
        <w:t xml:space="preserve"> instances </w:t>
      </w:r>
      <w:r>
        <w:t>of</w:t>
      </w:r>
      <w:r w:rsidRPr="00CB06E4">
        <w:t xml:space="preserve"> duress or fraud </w:t>
      </w:r>
      <w:r>
        <w:t>associated with</w:t>
      </w:r>
      <w:r w:rsidRPr="00CB06E4">
        <w:t xml:space="preserve"> the electronic execution process</w:t>
      </w:r>
      <w:r>
        <w:t xml:space="preserve"> (noting also that the department does not hold a regulatory role in these matters). The review provides an opportunity to seek feedback on this topic, including any observations or experiences from stakeholders</w:t>
      </w:r>
      <w:r w:rsidR="00A7111C">
        <w:t>, individuals and businesses</w:t>
      </w:r>
      <w:r w:rsidRPr="00CB06E4">
        <w:t>.</w:t>
      </w:r>
      <w:r>
        <w:t xml:space="preserve"> </w:t>
      </w:r>
    </w:p>
    <w:p w14:paraId="2EFD6361" w14:textId="77777777" w:rsidR="0055343A" w:rsidRDefault="0055343A" w:rsidP="008206FF">
      <w:pPr>
        <w:pStyle w:val="Heading4"/>
      </w:pPr>
      <w:r>
        <w:t>Questions</w:t>
      </w:r>
    </w:p>
    <w:p w14:paraId="49DA4B3E" w14:textId="219D9189" w:rsidR="0055343A" w:rsidRDefault="00D006BB" w:rsidP="00A51CBF">
      <w:pPr>
        <w:pStyle w:val="ListParagraph"/>
        <w:numPr>
          <w:ilvl w:val="0"/>
          <w:numId w:val="47"/>
        </w:numPr>
        <w:spacing w:before="0" w:after="200" w:line="276" w:lineRule="auto"/>
        <w:ind w:hanging="357"/>
      </w:pPr>
      <w:r>
        <w:t>A</w:t>
      </w:r>
      <w:r w:rsidR="0055343A">
        <w:t>re the current safeguards associated with executing a statutory declaration, either electronically or in-person with a witness</w:t>
      </w:r>
      <w:r>
        <w:t>, effective</w:t>
      </w:r>
      <w:r w:rsidR="0055343A">
        <w:t>?</w:t>
      </w:r>
      <w:r w:rsidR="0055343A">
        <w:rPr>
          <w:rStyle w:val="FootnoteReference"/>
        </w:rPr>
        <w:footnoteReference w:id="13"/>
      </w:r>
    </w:p>
    <w:p w14:paraId="56855C8B" w14:textId="5FF66C02" w:rsidR="0055343A" w:rsidRDefault="0055343A" w:rsidP="00A51CBF">
      <w:pPr>
        <w:pStyle w:val="ListParagraph"/>
        <w:numPr>
          <w:ilvl w:val="1"/>
          <w:numId w:val="47"/>
        </w:numPr>
        <w:spacing w:before="0" w:after="200" w:line="276" w:lineRule="auto"/>
        <w:ind w:hanging="357"/>
      </w:pPr>
      <w:r>
        <w:t>Are there any circumstances in which these safeguards could be strengthened or improved? If so, please provide details.</w:t>
      </w:r>
    </w:p>
    <w:p w14:paraId="553C243A" w14:textId="77777777" w:rsidR="0055343A" w:rsidRDefault="0055343A" w:rsidP="001B128A">
      <w:pPr>
        <w:pStyle w:val="Heading3"/>
      </w:pPr>
      <w:r w:rsidRPr="001B128A">
        <w:t>Are any changes needed to improve the operation of the Act and Regulations more broadly?</w:t>
      </w:r>
    </w:p>
    <w:p w14:paraId="7F4695D7" w14:textId="77777777" w:rsidR="0055343A" w:rsidRDefault="0055343A" w:rsidP="001B128A">
      <w:r>
        <w:t>This section provides information on 3 areas of the statutory declaration framework where the review could consider opportunities for improvement:</w:t>
      </w:r>
    </w:p>
    <w:p w14:paraId="51EF51F7" w14:textId="5654789D" w:rsidR="0055343A" w:rsidRDefault="0055343A" w:rsidP="00A51CBF">
      <w:pPr>
        <w:pStyle w:val="ListParagraph"/>
        <w:numPr>
          <w:ilvl w:val="0"/>
          <w:numId w:val="46"/>
        </w:numPr>
        <w:spacing w:before="0" w:after="200" w:line="276" w:lineRule="auto"/>
        <w:ind w:left="822" w:hanging="357"/>
      </w:pPr>
      <w:r>
        <w:t>potential closer alignment with the Australian Government Digital ID System (AGDIS)</w:t>
      </w:r>
      <w:r w:rsidR="00CF603A">
        <w:t xml:space="preserve"> and the Digital ID Act </w:t>
      </w:r>
    </w:p>
    <w:p w14:paraId="65284A1E" w14:textId="35AD3999" w:rsidR="0055343A" w:rsidRDefault="0055343A" w:rsidP="00A51CBF">
      <w:pPr>
        <w:pStyle w:val="ListParagraph"/>
        <w:numPr>
          <w:ilvl w:val="0"/>
          <w:numId w:val="46"/>
        </w:numPr>
        <w:spacing w:before="0" w:after="200" w:line="276" w:lineRule="auto"/>
        <w:ind w:left="822" w:hanging="357"/>
      </w:pPr>
      <w:r>
        <w:t xml:space="preserve">consideration of whether the list of approved witnesses remains appropriate </w:t>
      </w:r>
    </w:p>
    <w:p w14:paraId="55B0557C" w14:textId="5DA2543F" w:rsidR="0055343A" w:rsidRDefault="0055343A" w:rsidP="00A51CBF">
      <w:pPr>
        <w:pStyle w:val="ListParagraph"/>
        <w:numPr>
          <w:ilvl w:val="0"/>
          <w:numId w:val="46"/>
        </w:numPr>
        <w:spacing w:before="0" w:after="200" w:line="276" w:lineRule="auto"/>
        <w:ind w:left="822" w:hanging="357"/>
      </w:pPr>
      <w:r>
        <w:lastRenderedPageBreak/>
        <w:t xml:space="preserve">exploring whether statutory declarations made under state and territory statutory law should be recognised as valid under the Commonwealth statutory declarations framework.   </w:t>
      </w:r>
    </w:p>
    <w:p w14:paraId="00B2815F" w14:textId="7D697BA2" w:rsidR="00425DC3" w:rsidRDefault="00425DC3">
      <w:pPr>
        <w:pStyle w:val="Heading5"/>
      </w:pPr>
      <w:r>
        <w:t>The Australian Government Digital ID System (</w:t>
      </w:r>
      <w:r w:rsidR="00930B25">
        <w:t xml:space="preserve">the </w:t>
      </w:r>
      <w:r>
        <w:t>AGDIS)</w:t>
      </w:r>
    </w:p>
    <w:p w14:paraId="5B19D5E7" w14:textId="77777777" w:rsidR="00425DC3" w:rsidRPr="00EF748F" w:rsidRDefault="00425DC3" w:rsidP="00AE00A3">
      <w:r>
        <w:t xml:space="preserve">The Digital ID Act </w:t>
      </w:r>
      <w:r w:rsidRPr="00EF748F">
        <w:t>provide</w:t>
      </w:r>
      <w:r>
        <w:t>s</w:t>
      </w:r>
      <w:r w:rsidRPr="00EF748F">
        <w:t xml:space="preserve"> individuals with</w:t>
      </w:r>
      <w:r>
        <w:t xml:space="preserve"> secure, convenient, voluntary and inclusive</w:t>
      </w:r>
      <w:r w:rsidRPr="00EF748F">
        <w:t xml:space="preserve"> ways to verify their identity </w:t>
      </w:r>
      <w:r>
        <w:t xml:space="preserve">and other things about themselves </w:t>
      </w:r>
      <w:r w:rsidRPr="00EF748F">
        <w:t>online. The Digital ID Act</w:t>
      </w:r>
      <w:r>
        <w:t xml:space="preserve"> establishes the voluntary accreditation scheme and the AGDIS. The </w:t>
      </w:r>
      <w:r w:rsidRPr="00EF748F">
        <w:t xml:space="preserve">AGDIS facilitates the use of </w:t>
      </w:r>
      <w:r>
        <w:t>d</w:t>
      </w:r>
      <w:r w:rsidRPr="00EF748F">
        <w:t>igital IDs</w:t>
      </w:r>
      <w:r>
        <w:t xml:space="preserve"> by </w:t>
      </w:r>
      <w:r w:rsidRPr="00EF748F">
        <w:t>individuals</w:t>
      </w:r>
      <w:r>
        <w:t xml:space="preserve"> to access Commonwealth and state and territory services.</w:t>
      </w:r>
    </w:p>
    <w:p w14:paraId="092FE832" w14:textId="6A87FE0E" w:rsidR="00425DC3" w:rsidRDefault="00425DC3">
      <w:r>
        <w:t>T</w:t>
      </w:r>
      <w:r w:rsidRPr="00EF748F">
        <w:t xml:space="preserve">he Digital ID Act </w:t>
      </w:r>
      <w:r>
        <w:t xml:space="preserve">was </w:t>
      </w:r>
      <w:r w:rsidRPr="00EF748F">
        <w:t>not in force at the time the Amendment Act was being developed and legislated. At that time, the Trusted Digital Identity Framework (TDIF)</w:t>
      </w:r>
      <w:r>
        <w:t xml:space="preserve"> was</w:t>
      </w:r>
      <w:r w:rsidRPr="00EF748F">
        <w:t xml:space="preserve"> </w:t>
      </w:r>
      <w:r>
        <w:t xml:space="preserve">operational. The TDIF was a voluntary and </w:t>
      </w:r>
      <w:r w:rsidRPr="00EF748F">
        <w:t xml:space="preserve">non-statutory accreditation </w:t>
      </w:r>
      <w:r>
        <w:t>framework that provided for digital identity services</w:t>
      </w:r>
      <w:r w:rsidRPr="00EF748F">
        <w:t>.</w:t>
      </w:r>
      <w:r>
        <w:t xml:space="preserve"> TDIF has since been superseded by the AGDIS and accreditation scheme under the Digital ID Act.</w:t>
      </w:r>
    </w:p>
    <w:p w14:paraId="0DEB8CFA" w14:textId="1BEF9DA9" w:rsidR="00425DC3" w:rsidRDefault="00425DC3">
      <w:r>
        <w:t xml:space="preserve">Given the use and regulation of digital IDs was not covered by a statutory scheme at the time the Amendment Act came into force, the statutory declarations framework requires the Government to prescribe approved identity services specifically under the </w:t>
      </w:r>
      <w:r w:rsidR="00615A49">
        <w:t>s</w:t>
      </w:r>
      <w:r>
        <w:t xml:space="preserve">tatutory </w:t>
      </w:r>
      <w:proofErr w:type="gramStart"/>
      <w:r w:rsidR="00615A49">
        <w:t>d</w:t>
      </w:r>
      <w:r>
        <w:t>eclarations</w:t>
      </w:r>
      <w:proofErr w:type="gramEnd"/>
      <w:r>
        <w:t xml:space="preserve"> framework, </w:t>
      </w:r>
      <w:proofErr w:type="gramStart"/>
      <w:r>
        <w:t>taking into account</w:t>
      </w:r>
      <w:proofErr w:type="gramEnd"/>
      <w:r>
        <w:t xml:space="preserve"> a range of factors to ensure the protection of privacy and security (as already considered above). </w:t>
      </w:r>
    </w:p>
    <w:p w14:paraId="208BF8E3" w14:textId="77777777" w:rsidR="00425DC3" w:rsidRDefault="00425DC3">
      <w:r>
        <w:t>Before prescribing a digital service as approved, the Regulations require the Minister to be satisfied that a digital ID service is accredited in accordance with the relevant Commonwealth digital ID verification. This means that only digital ID services provided by accredited entities participating in the AGDIS can be prescribed for use in the digital execution of statutory declarations.</w:t>
      </w:r>
    </w:p>
    <w:p w14:paraId="57E3901E" w14:textId="3B49F334" w:rsidR="00425DC3" w:rsidRDefault="00425DC3">
      <w:r>
        <w:t xml:space="preserve">The Regulations prescribe </w:t>
      </w:r>
      <w:proofErr w:type="spellStart"/>
      <w:r>
        <w:t>myGovID</w:t>
      </w:r>
      <w:proofErr w:type="spellEnd"/>
      <w:r>
        <w:t xml:space="preserve"> (now known as </w:t>
      </w:r>
      <w:proofErr w:type="spellStart"/>
      <w:r>
        <w:t>myID</w:t>
      </w:r>
      <w:proofErr w:type="spellEnd"/>
      <w:r>
        <w:t xml:space="preserve">) as the only approved identity service provider for the purposes of the digital statutory declaration service. Currently, </w:t>
      </w:r>
      <w:proofErr w:type="spellStart"/>
      <w:r>
        <w:t>myID</w:t>
      </w:r>
      <w:proofErr w:type="spellEnd"/>
      <w:r>
        <w:t xml:space="preserve"> (administered by the Australian Taxation Office) is also one of the very few accredited </w:t>
      </w:r>
      <w:proofErr w:type="gramStart"/>
      <w:r>
        <w:t>identity</w:t>
      </w:r>
      <w:proofErr w:type="gramEnd"/>
      <w:r>
        <w:t xml:space="preserve"> service providers that are approved to participate in the AGDIS. However, from 30 November 2026, private sector entities will also be able to apply to the Digital ID Regulator (i.e. the Australian Competition &amp; Consumer Commission (ACCC)) to participate in the AGDIS, including as an identity service provider. These developments raise the question of whether the Statutory Declarations Act and Regulations should be amended to specifically </w:t>
      </w:r>
      <w:r w:rsidRPr="00141C40">
        <w:t>recognise accreditation under the Digital ID Act as sufficient for an identity service provider to be treated as an approved identity service for the purposes of the statutory declarations framework, potentially reducing the need for separate assessment and prescription</w:t>
      </w:r>
      <w:r>
        <w:t xml:space="preserve"> of approved providers under the </w:t>
      </w:r>
      <w:r w:rsidR="00056302">
        <w:t>s</w:t>
      </w:r>
      <w:r>
        <w:t xml:space="preserve">tatutory </w:t>
      </w:r>
      <w:r w:rsidR="00056302">
        <w:t>d</w:t>
      </w:r>
      <w:r>
        <w:t xml:space="preserve">eclarations framework and improving efficiency. </w:t>
      </w:r>
    </w:p>
    <w:p w14:paraId="13E1779C" w14:textId="77777777" w:rsidR="0055343A" w:rsidRDefault="0055343A" w:rsidP="00A10A0B">
      <w:pPr>
        <w:pStyle w:val="Heading4"/>
      </w:pPr>
      <w:r>
        <w:t>Questions</w:t>
      </w:r>
    </w:p>
    <w:p w14:paraId="4BB662EE" w14:textId="01E47935" w:rsidR="0055343A" w:rsidRDefault="0055343A" w:rsidP="0055343A">
      <w:pPr>
        <w:pStyle w:val="ListParagraph"/>
        <w:numPr>
          <w:ilvl w:val="0"/>
          <w:numId w:val="47"/>
        </w:numPr>
        <w:spacing w:before="0" w:after="200" w:line="276" w:lineRule="auto"/>
        <w:contextualSpacing/>
      </w:pPr>
      <w:r>
        <w:t xml:space="preserve">Should the digital statutory declaration provisions in the Act and Regulations be amended </w:t>
      </w:r>
      <w:r w:rsidR="00CF603A">
        <w:t xml:space="preserve">so that accreditation under the Digital ID Act automatically enables a digital identity provider to be an approved identity service for the purposes of the </w:t>
      </w:r>
      <w:r w:rsidR="00056302">
        <w:t>s</w:t>
      </w:r>
      <w:r w:rsidR="00CF603A">
        <w:t xml:space="preserve">tatutory </w:t>
      </w:r>
      <w:proofErr w:type="gramStart"/>
      <w:r w:rsidR="00056302">
        <w:t>d</w:t>
      </w:r>
      <w:r w:rsidR="00CF603A">
        <w:t>eclarations</w:t>
      </w:r>
      <w:proofErr w:type="gramEnd"/>
      <w:r w:rsidR="00CF603A">
        <w:t xml:space="preserve"> framework</w:t>
      </w:r>
      <w:r>
        <w:t xml:space="preserve">? Please provide reasons to support your answer. </w:t>
      </w:r>
    </w:p>
    <w:p w14:paraId="2EFE1456" w14:textId="1E3DB2F1" w:rsidR="0055343A" w:rsidRDefault="00C3703E" w:rsidP="00BE16F0">
      <w:pPr>
        <w:pStyle w:val="Heading5"/>
      </w:pPr>
      <w:r>
        <w:lastRenderedPageBreak/>
        <w:t>Approved</w:t>
      </w:r>
      <w:r w:rsidR="0055343A">
        <w:t xml:space="preserve"> witnesses</w:t>
      </w:r>
    </w:p>
    <w:p w14:paraId="645EF2D8" w14:textId="6CB47E6F" w:rsidR="0055343A" w:rsidRDefault="009E5591" w:rsidP="008423BA">
      <w:r>
        <w:t>A</w:t>
      </w:r>
      <w:r w:rsidR="00C3703E">
        <w:t>pproved</w:t>
      </w:r>
      <w:r>
        <w:t xml:space="preserve"> </w:t>
      </w:r>
      <w:r w:rsidR="0055343A">
        <w:t>witnesses play an important role in the veracity of the statutory declarations process for electronic and in</w:t>
      </w:r>
      <w:r w:rsidR="004F480A">
        <w:t>-</w:t>
      </w:r>
      <w:r w:rsidR="0055343A">
        <w:t>person statutory declarations. As noted above, the key purpose of a witness is to observe the act of signing, and if later required, attest that the person who signed was the declarant.</w:t>
      </w:r>
    </w:p>
    <w:p w14:paraId="29972CE0" w14:textId="77777777" w:rsidR="0055343A" w:rsidRDefault="0055343A" w:rsidP="006F1DFD">
      <w:r w:rsidRPr="00061F05">
        <w:t xml:space="preserve">Witnessing a Commonwealth statutory declaration is an important public service </w:t>
      </w:r>
      <w:r>
        <w:t>that</w:t>
      </w:r>
      <w:r w:rsidRPr="00061F05">
        <w:t xml:space="preserve"> benefit</w:t>
      </w:r>
      <w:r>
        <w:t>s</w:t>
      </w:r>
      <w:r w:rsidRPr="00061F05">
        <w:t xml:space="preserve"> the community. </w:t>
      </w:r>
      <w:r>
        <w:t>Approved witnesses, however,</w:t>
      </w:r>
      <w:r w:rsidRPr="00061F05">
        <w:t xml:space="preserve"> have no legal obligation to witness a </w:t>
      </w:r>
      <w:r>
        <w:t xml:space="preserve">statutory declaration, and are </w:t>
      </w:r>
      <w:r w:rsidRPr="003476C8">
        <w:t xml:space="preserve">not expected to verify the accuracy or truthfulness of </w:t>
      </w:r>
      <w:r>
        <w:t>the information provided</w:t>
      </w:r>
      <w:r w:rsidRPr="003476C8">
        <w:t>.</w:t>
      </w:r>
      <w:r w:rsidRPr="007D1AE5">
        <w:t xml:space="preserve"> </w:t>
      </w:r>
      <w:r w:rsidRPr="00C82457">
        <w:t>The</w:t>
      </w:r>
      <w:r>
        <w:t xml:space="preserve"> department also provides guidance on ‘best practice’ for witnessing, in addition to the legal requirements.</w:t>
      </w:r>
      <w:r>
        <w:rPr>
          <w:rStyle w:val="FootnoteReference"/>
        </w:rPr>
        <w:footnoteReference w:id="14"/>
      </w:r>
    </w:p>
    <w:p w14:paraId="27A15023" w14:textId="2D277E7D" w:rsidR="0055343A" w:rsidRDefault="0055343A" w:rsidP="008423BA">
      <w:r>
        <w:t>While the introduction of digital statutory declarations provides an option for people who may not be able to find a witness or who prefer to operate digitally, it remains important that a sufficient range of witnesses is available for individuals who would prefer to use electronic or in</w:t>
      </w:r>
      <w:r w:rsidR="00331AE2">
        <w:t>-</w:t>
      </w:r>
      <w:r>
        <w:t>person options. This ensures there is broad availability and accessibility of witnesses in the community who are a</w:t>
      </w:r>
      <w:r w:rsidR="00C3703E">
        <w:t>pproved</w:t>
      </w:r>
      <w:r>
        <w:t xml:space="preserve"> under Commonwealth law to play this role. </w:t>
      </w:r>
    </w:p>
    <w:p w14:paraId="728C227B" w14:textId="443C0292" w:rsidR="0055343A" w:rsidRDefault="0055343A" w:rsidP="008423BA">
      <w:r>
        <w:t xml:space="preserve">The Commonwealth authorises a wide range of </w:t>
      </w:r>
      <w:hyperlink r:id="rId16" w:history="1">
        <w:r w:rsidRPr="0095795D">
          <w:rPr>
            <w:rStyle w:val="Hyperlink"/>
          </w:rPr>
          <w:t>people who may witness a statutory declaration</w:t>
        </w:r>
      </w:hyperlink>
      <w:r>
        <w:t>, based on their professional standing or recognised role within the community. The most significant expansion of these categories occurred in 1991, when legislative changes allowed 44 additional categories of a</w:t>
      </w:r>
      <w:r w:rsidR="00C3703E">
        <w:t>pproved</w:t>
      </w:r>
      <w:r>
        <w:t xml:space="preserve"> witnesses. </w:t>
      </w:r>
    </w:p>
    <w:p w14:paraId="0513CBBD" w14:textId="4D3B6119" w:rsidR="0055343A" w:rsidRDefault="0055343A" w:rsidP="006C722D">
      <w:r>
        <w:t>I</w:t>
      </w:r>
      <w:r w:rsidRPr="00E07EA0">
        <w:t>n 2017</w:t>
      </w:r>
      <w:r>
        <w:t>,</w:t>
      </w:r>
      <w:r w:rsidRPr="00E07EA0">
        <w:t xml:space="preserve"> the </w:t>
      </w:r>
      <w:r>
        <w:t>department</w:t>
      </w:r>
      <w:r w:rsidRPr="00E07EA0">
        <w:t xml:space="preserve"> </w:t>
      </w:r>
      <w:r>
        <w:t>undertook public consultation</w:t>
      </w:r>
      <w:r w:rsidRPr="00E07EA0">
        <w:t xml:space="preserve"> on whether </w:t>
      </w:r>
      <w:r>
        <w:t xml:space="preserve">further </w:t>
      </w:r>
      <w:r w:rsidRPr="00E07EA0">
        <w:t>changes should be made to the categories of a</w:t>
      </w:r>
      <w:r w:rsidR="00C3703E">
        <w:t>pproved</w:t>
      </w:r>
      <w:r w:rsidRPr="00E07EA0">
        <w:t xml:space="preserve"> witness</w:t>
      </w:r>
      <w:r>
        <w:t>es</w:t>
      </w:r>
      <w:r w:rsidRPr="00E07EA0">
        <w:t xml:space="preserve">, as part of a </w:t>
      </w:r>
      <w:r>
        <w:t xml:space="preserve">review of the </w:t>
      </w:r>
      <w:r w:rsidRPr="00A546D8">
        <w:rPr>
          <w:iCs/>
        </w:rPr>
        <w:t>Statutory Declarations Regulations 1993</w:t>
      </w:r>
      <w:r w:rsidRPr="00E07EA0">
        <w:t>.</w:t>
      </w:r>
      <w:r>
        <w:t xml:space="preserve"> The Regulations were subsequently amended to include additional categories, such as architects, </w:t>
      </w:r>
      <w:r w:rsidRPr="00CF6DE8">
        <w:t>midwives, migration agents, occupational therapists, financial advisers and financial planners</w:t>
      </w:r>
      <w:r>
        <w:t xml:space="preserve">, </w:t>
      </w:r>
      <w:proofErr w:type="gramStart"/>
      <w:r>
        <w:t>in order to</w:t>
      </w:r>
      <w:proofErr w:type="gramEnd"/>
      <w:r>
        <w:t xml:space="preserve"> address ‘</w:t>
      </w:r>
      <w:r w:rsidRPr="00665005">
        <w:t>unmet need</w:t>
      </w:r>
      <w:r>
        <w:t>s</w:t>
      </w:r>
      <w:r w:rsidRPr="00665005">
        <w:t xml:space="preserve"> within the community</w:t>
      </w:r>
      <w:r w:rsidRPr="00C87473">
        <w:t>’</w:t>
      </w:r>
      <w:r w:rsidRPr="00CF6DE8">
        <w:t>.</w:t>
      </w:r>
      <w:r w:rsidRPr="00CF6DE8">
        <w:rPr>
          <w:rStyle w:val="FootnoteReference"/>
        </w:rPr>
        <w:footnoteReference w:id="15"/>
      </w:r>
    </w:p>
    <w:p w14:paraId="1C8075D3" w14:textId="7A08CF8D" w:rsidR="0055343A" w:rsidRDefault="0055343A" w:rsidP="006C722D">
      <w:r>
        <w:t xml:space="preserve">While the list was remade </w:t>
      </w:r>
      <w:proofErr w:type="gramStart"/>
      <w:r>
        <w:t>as a result of</w:t>
      </w:r>
      <w:proofErr w:type="gramEnd"/>
      <w:r>
        <w:t xml:space="preserve"> the changes to the Act and Regulations in 2023, no additional categories of approved witnesses were added or removed at that time. This review provides an opportunity for people to provide feedback on whether the list of approved Commonwealth witnesses remains appropriate. </w:t>
      </w:r>
    </w:p>
    <w:p w14:paraId="0734D1A2" w14:textId="77777777" w:rsidR="0055343A" w:rsidRDefault="0055343A" w:rsidP="00CD11B0">
      <w:pPr>
        <w:pStyle w:val="Heading4"/>
      </w:pPr>
      <w:r>
        <w:t>Questions</w:t>
      </w:r>
    </w:p>
    <w:p w14:paraId="105AED40" w14:textId="42CD2ACF" w:rsidR="0055343A" w:rsidRDefault="0055343A" w:rsidP="00073712">
      <w:pPr>
        <w:pStyle w:val="ListParagraph"/>
        <w:numPr>
          <w:ilvl w:val="0"/>
          <w:numId w:val="47"/>
        </w:numPr>
        <w:spacing w:before="0" w:after="200" w:line="276" w:lineRule="auto"/>
        <w:ind w:left="714" w:hanging="357"/>
      </w:pPr>
      <w:r>
        <w:t>To what extent does the current list of a</w:t>
      </w:r>
      <w:r w:rsidR="00C3703E">
        <w:t>pproved</w:t>
      </w:r>
      <w:r>
        <w:t xml:space="preserve"> witnesses meet community needs? </w:t>
      </w:r>
      <w:proofErr w:type="gramStart"/>
      <w:r w:rsidR="00D94F6F">
        <w:t>To a great extent,</w:t>
      </w:r>
      <w:proofErr w:type="gramEnd"/>
      <w:r w:rsidR="00D94F6F">
        <w:t xml:space="preserve"> to a moderate extent, or not at all? </w:t>
      </w:r>
      <w:r>
        <w:t xml:space="preserve">Please provide examples of any circumstances where individuals may </w:t>
      </w:r>
      <w:proofErr w:type="gramStart"/>
      <w:r>
        <w:t>experience difficulty</w:t>
      </w:r>
      <w:proofErr w:type="gramEnd"/>
      <w:r>
        <w:t xml:space="preserve"> finding an a</w:t>
      </w:r>
      <w:r w:rsidR="00C3703E">
        <w:t>pproved</w:t>
      </w:r>
      <w:r>
        <w:t xml:space="preserve"> witness, and any changes that should be made to the list to address this challenge.  </w:t>
      </w:r>
    </w:p>
    <w:p w14:paraId="0B4C68F9" w14:textId="628B0028" w:rsidR="0055343A" w:rsidRDefault="0055343A" w:rsidP="00073712">
      <w:pPr>
        <w:pStyle w:val="ListParagraph"/>
        <w:numPr>
          <w:ilvl w:val="0"/>
          <w:numId w:val="47"/>
        </w:numPr>
        <w:spacing w:before="0" w:after="200" w:line="276" w:lineRule="auto"/>
        <w:ind w:left="714" w:hanging="357"/>
      </w:pPr>
      <w:r>
        <w:t>Are there any opportunities to streamline the current list of a</w:t>
      </w:r>
      <w:r w:rsidR="00C3703E">
        <w:t>pproved</w:t>
      </w:r>
      <w:r>
        <w:t xml:space="preserve"> witnesses? Please explain where possible.  </w:t>
      </w:r>
    </w:p>
    <w:p w14:paraId="0D63DF31" w14:textId="77777777" w:rsidR="0055343A" w:rsidRDefault="0055343A" w:rsidP="00975C7C">
      <w:pPr>
        <w:pStyle w:val="Heading5"/>
      </w:pPr>
      <w:r>
        <w:lastRenderedPageBreak/>
        <w:t>Mutual recognition of Commonwealth, state and territory statutory declarations</w:t>
      </w:r>
    </w:p>
    <w:p w14:paraId="4B762042" w14:textId="24D85309" w:rsidR="0055343A" w:rsidRDefault="0055343A" w:rsidP="0073331B">
      <w:r>
        <w:t>A</w:t>
      </w:r>
      <w:r w:rsidRPr="00B16C27">
        <w:t>cross Australian jurisdictions</w:t>
      </w:r>
      <w:r>
        <w:t xml:space="preserve">, statutory </w:t>
      </w:r>
      <w:r w:rsidR="002625DD">
        <w:t xml:space="preserve">declarations </w:t>
      </w:r>
      <w:r>
        <w:t>frameworks differ in areas such as the use of technology, approved witnesses and form requirements.</w:t>
      </w:r>
      <w:r>
        <w:rPr>
          <w:rStyle w:val="FootnoteReference"/>
        </w:rPr>
        <w:footnoteReference w:id="16"/>
      </w:r>
      <w:r>
        <w:t xml:space="preserve"> </w:t>
      </w:r>
      <w:r w:rsidRPr="00B16C27">
        <w:t>Th</w:t>
      </w:r>
      <w:r>
        <w:t>ese differences can</w:t>
      </w:r>
      <w:r w:rsidRPr="00B16C27">
        <w:t xml:space="preserve"> </w:t>
      </w:r>
      <w:r>
        <w:t>create complexity</w:t>
      </w:r>
      <w:r w:rsidRPr="00B16C27">
        <w:t xml:space="preserve"> for individuals and businesses</w:t>
      </w:r>
      <w:r>
        <w:t xml:space="preserve"> when using statutory declarations across multiple jurisdictions</w:t>
      </w:r>
      <w:r w:rsidRPr="00B16C27">
        <w:t xml:space="preserve">. </w:t>
      </w:r>
    </w:p>
    <w:p w14:paraId="0DC06C6E" w14:textId="58A99506" w:rsidR="0055343A" w:rsidRDefault="0055343A" w:rsidP="0073331B">
      <w:r>
        <w:t>In previous engagement with the department, some stakeholders have identified ‘mutual recognition</w:t>
      </w:r>
      <w:r w:rsidR="00EF748F">
        <w:t>’ as</w:t>
      </w:r>
      <w:r>
        <w:t xml:space="preserve"> one option that could support more consistent processes across jurisdictions. Under a mutual recognition model, a statutory declaration validly executed in one jurisdiction could be accepted in another. T</w:t>
      </w:r>
      <w:r w:rsidRPr="00F57B52">
        <w:t xml:space="preserve">here </w:t>
      </w:r>
      <w:r>
        <w:t>are</w:t>
      </w:r>
      <w:r w:rsidRPr="00F57B52">
        <w:t xml:space="preserve"> already</w:t>
      </w:r>
      <w:r>
        <w:t xml:space="preserve"> examples of</w:t>
      </w:r>
      <w:r w:rsidRPr="00F57B52">
        <w:t xml:space="preserve"> </w:t>
      </w:r>
      <w:r>
        <w:t>limited</w:t>
      </w:r>
      <w:r w:rsidRPr="00F57B52">
        <w:t xml:space="preserve"> </w:t>
      </w:r>
      <w:r>
        <w:t xml:space="preserve">cross-jurisdictional </w:t>
      </w:r>
      <w:r w:rsidRPr="00F57B52">
        <w:t xml:space="preserve">recognition. For </w:t>
      </w:r>
      <w:r w:rsidR="00EF748F" w:rsidRPr="00F57B52">
        <w:t>example,</w:t>
      </w:r>
      <w:r>
        <w:t xml:space="preserve"> </w:t>
      </w:r>
      <w:r w:rsidRPr="00F57B52">
        <w:t>W</w:t>
      </w:r>
      <w:r>
        <w:t xml:space="preserve">estern Australia (WA) </w:t>
      </w:r>
      <w:r w:rsidRPr="00F57B52">
        <w:t xml:space="preserve">permits </w:t>
      </w:r>
      <w:r>
        <w:t>a</w:t>
      </w:r>
      <w:r w:rsidR="00C3703E">
        <w:t>pproved</w:t>
      </w:r>
      <w:r>
        <w:t xml:space="preserve"> </w:t>
      </w:r>
      <w:r w:rsidRPr="00F57B52">
        <w:t>witnesses under Commonwealth legislation to witness WA statutory declarations</w:t>
      </w:r>
      <w:r>
        <w:t>, alongside its own prescribed witness categories</w:t>
      </w:r>
      <w:r w:rsidRPr="00F57B52">
        <w:t>.</w:t>
      </w:r>
      <w:r>
        <w:t xml:space="preserve"> </w:t>
      </w:r>
    </w:p>
    <w:p w14:paraId="2A0C7361" w14:textId="58AC740D" w:rsidR="0055343A" w:rsidRDefault="0055343A" w:rsidP="0073331B">
      <w:r>
        <w:t>There may be potential to expand th</w:t>
      </w:r>
      <w:r w:rsidR="00294A87">
        <w:t>e existing</w:t>
      </w:r>
      <w:r>
        <w:t xml:space="preserve"> limited cross-jurisdictional recognition to address some of the issues identified by stakeholders in earlier consultation. For example, </w:t>
      </w:r>
      <w:r w:rsidR="00604DE3">
        <w:t>we seek views on whether</w:t>
      </w:r>
      <w:r>
        <w:t xml:space="preserve"> the </w:t>
      </w:r>
      <w:r w:rsidRPr="00387733">
        <w:t xml:space="preserve">Commonwealth </w:t>
      </w:r>
      <w:r w:rsidR="00D77148">
        <w:t xml:space="preserve">should </w:t>
      </w:r>
      <w:r w:rsidRPr="00387733">
        <w:t>recogni</w:t>
      </w:r>
      <w:r>
        <w:t xml:space="preserve">se </w:t>
      </w:r>
      <w:r w:rsidRPr="00387733">
        <w:t>statutory declarations</w:t>
      </w:r>
      <w:r>
        <w:t xml:space="preserve"> that are</w:t>
      </w:r>
      <w:r w:rsidRPr="00387733">
        <w:t xml:space="preserve"> validly executed under state or territory legislation</w:t>
      </w:r>
      <w:r>
        <w:t xml:space="preserve"> for Commonwealth purposes</w:t>
      </w:r>
      <w:r w:rsidRPr="00387733">
        <w:t xml:space="preserve">. </w:t>
      </w:r>
      <w:r>
        <w:t xml:space="preserve">This could support more streamlined interactions </w:t>
      </w:r>
      <w:r w:rsidR="00510CAB">
        <w:t>for</w:t>
      </w:r>
      <w:r w:rsidR="00510CAB" w:rsidRPr="00387733">
        <w:t xml:space="preserve"> </w:t>
      </w:r>
      <w:r w:rsidRPr="00387733">
        <w:t>Commonwealth</w:t>
      </w:r>
      <w:r>
        <w:t xml:space="preserve"> matters,</w:t>
      </w:r>
      <w:r w:rsidRPr="00387733">
        <w:t xml:space="preserve"> such as visas and passports</w:t>
      </w:r>
      <w:r>
        <w:t xml:space="preserve">. Such a change would require legislative action and a strong policy justification. The department would welcome stakeholder views on whether this would be a helpful step to improve efficiency and make it easier for people to engage with the Commonwealth statutory declaration framework. </w:t>
      </w:r>
    </w:p>
    <w:p w14:paraId="3AB32BA7" w14:textId="77777777" w:rsidR="0055343A" w:rsidRDefault="0055343A" w:rsidP="00DB59F4">
      <w:pPr>
        <w:pStyle w:val="Heading4"/>
      </w:pPr>
      <w:r>
        <w:t>Questions</w:t>
      </w:r>
    </w:p>
    <w:p w14:paraId="069E703A" w14:textId="7EE4C452" w:rsidR="0055343A" w:rsidRDefault="0055343A" w:rsidP="00073712">
      <w:pPr>
        <w:pStyle w:val="ListParagraph"/>
        <w:numPr>
          <w:ilvl w:val="0"/>
          <w:numId w:val="47"/>
        </w:numPr>
        <w:spacing w:before="0" w:after="200" w:line="276" w:lineRule="auto"/>
        <w:ind w:hanging="357"/>
      </w:pPr>
      <w:r>
        <w:t>What benefits do you anticipate may arise from the Commonwealth recognising statutory declarations across Australian states and territories?</w:t>
      </w:r>
    </w:p>
    <w:p w14:paraId="584B423F" w14:textId="77777777" w:rsidR="0055343A" w:rsidRDefault="0055343A" w:rsidP="00073712">
      <w:pPr>
        <w:pStyle w:val="ListParagraph"/>
        <w:numPr>
          <w:ilvl w:val="0"/>
          <w:numId w:val="47"/>
        </w:numPr>
        <w:spacing w:before="0" w:after="200" w:line="276" w:lineRule="auto"/>
        <w:ind w:hanging="357"/>
      </w:pPr>
      <w:r>
        <w:t xml:space="preserve">Are there any legal, administrative, or practical issues you anticipate if the Commonwealth recognises statutory declarations executed under state or territory legislation? </w:t>
      </w:r>
    </w:p>
    <w:p w14:paraId="5A395FC6" w14:textId="77777777" w:rsidR="0055343A" w:rsidRDefault="0055343A" w:rsidP="00073712">
      <w:pPr>
        <w:pStyle w:val="ListParagraph"/>
        <w:numPr>
          <w:ilvl w:val="1"/>
          <w:numId w:val="47"/>
        </w:numPr>
        <w:spacing w:before="0" w:after="200" w:line="276" w:lineRule="auto"/>
        <w:ind w:hanging="357"/>
      </w:pPr>
      <w:r>
        <w:t xml:space="preserve">If you answered ‘yes’, please outline the issue and provide any suggestions about how these issues might be addressed. </w:t>
      </w:r>
    </w:p>
    <w:p w14:paraId="661C168E" w14:textId="77777777" w:rsidR="0055343A" w:rsidRDefault="0055343A" w:rsidP="00594A00">
      <w:pPr>
        <w:pStyle w:val="Heading3"/>
      </w:pPr>
      <w:r>
        <w:t>Other matters</w:t>
      </w:r>
    </w:p>
    <w:p w14:paraId="5E9A2771" w14:textId="36059F16" w:rsidR="0055343A" w:rsidRDefault="0055343A" w:rsidP="00594A00">
      <w:r>
        <w:t xml:space="preserve">If there are any additional matters you would like to raise </w:t>
      </w:r>
      <w:r w:rsidR="00CF14E8">
        <w:t>about</w:t>
      </w:r>
      <w:r>
        <w:t xml:space="preserve"> statutory declarations that have not been covered in this paper, please provide them in response to the question below. </w:t>
      </w:r>
    </w:p>
    <w:p w14:paraId="5AE7FC6E" w14:textId="77777777" w:rsidR="0055343A" w:rsidRDefault="0055343A" w:rsidP="00A546D8">
      <w:pPr>
        <w:pStyle w:val="Heading4"/>
        <w:keepNext/>
      </w:pPr>
      <w:r>
        <w:lastRenderedPageBreak/>
        <w:t>Questions</w:t>
      </w:r>
    </w:p>
    <w:p w14:paraId="10CBF4C3" w14:textId="6BF1A21D" w:rsidR="0055343A" w:rsidRDefault="0055343A" w:rsidP="0062432C">
      <w:pPr>
        <w:pStyle w:val="ListParagraph"/>
        <w:numPr>
          <w:ilvl w:val="0"/>
          <w:numId w:val="47"/>
        </w:numPr>
        <w:spacing w:before="0" w:after="200" w:line="276" w:lineRule="auto"/>
        <w:ind w:left="714" w:hanging="357"/>
      </w:pPr>
      <w:r>
        <w:t xml:space="preserve">Are there any other matters </w:t>
      </w:r>
      <w:r w:rsidR="00CF14E8">
        <w:t>we</w:t>
      </w:r>
      <w:r>
        <w:t xml:space="preserve"> should consider as part of the statutory review of the Act and Regulations? Please provide examples or supporting information where possible.</w:t>
      </w:r>
    </w:p>
    <w:p w14:paraId="7B79866C" w14:textId="77777777" w:rsidR="0055343A" w:rsidRDefault="0055343A" w:rsidP="009327F8">
      <w:pPr>
        <w:pStyle w:val="Heading3"/>
      </w:pPr>
      <w:r>
        <w:t>Further information</w:t>
      </w:r>
    </w:p>
    <w:p w14:paraId="0026D62C" w14:textId="77777777" w:rsidR="0055343A" w:rsidRDefault="0055343A" w:rsidP="00857B3A">
      <w:r>
        <w:t>Other relevant information that may assist in providing feedback can be found here:</w:t>
      </w:r>
    </w:p>
    <w:p w14:paraId="6CF3100D" w14:textId="77777777" w:rsidR="0055343A" w:rsidRDefault="0055343A" w:rsidP="0062432C">
      <w:pPr>
        <w:pStyle w:val="ListParagraph"/>
        <w:numPr>
          <w:ilvl w:val="0"/>
          <w:numId w:val="49"/>
        </w:numPr>
        <w:spacing w:before="0" w:after="200" w:line="276" w:lineRule="auto"/>
        <w:ind w:left="714" w:hanging="357"/>
      </w:pPr>
      <w:r>
        <w:t xml:space="preserve">About Commonwealth statutory declarations: </w:t>
      </w:r>
      <w:hyperlink r:id="rId17" w:history="1">
        <w:r w:rsidRPr="0037135C">
          <w:rPr>
            <w:rStyle w:val="Hyperlink"/>
          </w:rPr>
          <w:t>https://www.ag.gov.au/legal-system/statutory-declarations/about-commonwealth-statutory-declarations</w:t>
        </w:r>
      </w:hyperlink>
    </w:p>
    <w:p w14:paraId="43BBBA29" w14:textId="77777777" w:rsidR="0055343A" w:rsidRDefault="0055343A" w:rsidP="0062432C">
      <w:pPr>
        <w:pStyle w:val="ListParagraph"/>
        <w:numPr>
          <w:ilvl w:val="0"/>
          <w:numId w:val="49"/>
        </w:numPr>
        <w:spacing w:before="0" w:after="200" w:line="276" w:lineRule="auto"/>
        <w:ind w:left="714" w:hanging="357"/>
      </w:pPr>
      <w:r>
        <w:t xml:space="preserve">About the 2023 public consultation on proposed amendments to the Act and Regulations: </w:t>
      </w:r>
      <w:hyperlink r:id="rId18" w:history="1">
        <w:r w:rsidRPr="0037135C">
          <w:rPr>
            <w:rStyle w:val="Hyperlink"/>
          </w:rPr>
          <w:t>https://consultations.ag.gov.au/legal-system/modernising-document-execution/</w:t>
        </w:r>
      </w:hyperlink>
    </w:p>
    <w:p w14:paraId="13E18D4A" w14:textId="77777777" w:rsidR="0055343A" w:rsidRDefault="0055343A" w:rsidP="0062432C">
      <w:pPr>
        <w:pStyle w:val="ListParagraph"/>
        <w:numPr>
          <w:ilvl w:val="0"/>
          <w:numId w:val="49"/>
        </w:numPr>
        <w:spacing w:before="0" w:after="200" w:line="276" w:lineRule="auto"/>
        <w:ind w:left="714" w:hanging="357"/>
      </w:pPr>
      <w:r>
        <w:t>About the</w:t>
      </w:r>
      <w:r w:rsidRPr="0051505F">
        <w:t xml:space="preserve"> Australian Government Digital ID System (AGDIS)</w:t>
      </w:r>
      <w:r>
        <w:t xml:space="preserve">: </w:t>
      </w:r>
      <w:hyperlink r:id="rId19" w:history="1">
        <w:r w:rsidRPr="0037135C">
          <w:rPr>
            <w:rStyle w:val="Hyperlink"/>
          </w:rPr>
          <w:t>https://www.digitalidsystem.gov.au/the-australian-government-digital-id-system-agdis</w:t>
        </w:r>
      </w:hyperlink>
    </w:p>
    <w:p w14:paraId="4EF613EB" w14:textId="77777777" w:rsidR="0055343A" w:rsidRDefault="0055343A" w:rsidP="0062432C">
      <w:pPr>
        <w:pStyle w:val="ListParagraph"/>
        <w:numPr>
          <w:ilvl w:val="0"/>
          <w:numId w:val="49"/>
        </w:numPr>
        <w:ind w:left="714" w:hanging="357"/>
      </w:pPr>
      <w:r>
        <w:t xml:space="preserve">About privacy: </w:t>
      </w:r>
      <w:hyperlink r:id="rId20" w:history="1">
        <w:r w:rsidRPr="0037135C">
          <w:rPr>
            <w:rStyle w:val="Hyperlink"/>
          </w:rPr>
          <w:t>https://www.ag.gov.au/rights-and-protections/privacy</w:t>
        </w:r>
      </w:hyperlink>
    </w:p>
    <w:p w14:paraId="706CA6FB" w14:textId="35967E27" w:rsidR="00663E97" w:rsidRPr="0055343A" w:rsidRDefault="00663E97" w:rsidP="0055343A"/>
    <w:sectPr w:rsidR="00663E97" w:rsidRPr="0055343A" w:rsidSect="00C27F1F">
      <w:headerReference w:type="default" r:id="rId21"/>
      <w:footerReference w:type="even" r:id="rId22"/>
      <w:footerReference w:type="default" r:id="rId23"/>
      <w:headerReference w:type="first" r:id="rId24"/>
      <w:footerReference w:type="first" r:id="rId25"/>
      <w:pgSz w:w="11906" w:h="16838" w:code="9"/>
      <w:pgMar w:top="1701" w:right="1418" w:bottom="1418"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8A79D" w14:textId="77777777" w:rsidR="009A78B4" w:rsidRDefault="009A78B4" w:rsidP="00E6576B">
      <w:r>
        <w:separator/>
      </w:r>
    </w:p>
  </w:endnote>
  <w:endnote w:type="continuationSeparator" w:id="0">
    <w:p w14:paraId="36E3F742" w14:textId="77777777" w:rsidR="009A78B4" w:rsidRDefault="009A78B4" w:rsidP="00E65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ExtraBold">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AB9B" w14:textId="77777777" w:rsidR="00B24F53" w:rsidRDefault="00B24F53">
    <w:pPr>
      <w:pStyle w:val="Footer"/>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82816" behindDoc="1" locked="0" layoutInCell="1" allowOverlap="1" wp14:anchorId="6B12C6C1" wp14:editId="4A5FC76F">
          <wp:simplePos x="0" y="0"/>
          <wp:positionH relativeFrom="page">
            <wp:align>center</wp:align>
          </wp:positionH>
          <wp:positionV relativeFrom="page">
            <wp:align>bottom</wp:align>
          </wp:positionV>
          <wp:extent cx="7560000" cy="900000"/>
          <wp:effectExtent l="0" t="0" r="3175"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 page 1 option 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00000"/>
                  </a:xfrm>
                  <a:prstGeom prst="rect">
                    <a:avLst/>
                  </a:prstGeom>
                </pic:spPr>
              </pic:pic>
            </a:graphicData>
          </a:graphic>
          <wp14:sizeRelH relativeFrom="margin">
            <wp14:pctWidth>0</wp14:pctWidth>
          </wp14:sizeRelH>
          <wp14:sizeRelV relativeFrom="margin">
            <wp14:pctHeight>0</wp14:pctHeight>
          </wp14:sizeRelV>
        </wp:anchor>
      </w:drawing>
    </w:r>
    <w:r>
      <w:rPr>
        <w:noProof/>
      </w:rPr>
      <w:tab/>
    </w:r>
    <w:r w:rsidRPr="003B3D1C">
      <w:rPr>
        <w:b/>
        <w:noProof/>
        <w:color w:val="50748A" w:themeColor="accent3"/>
      </w:rPr>
      <w:t>ag.gov.au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F7AF" w14:textId="2F4FE391" w:rsidR="00B24F53" w:rsidRDefault="00B24F53">
    <w:pPr>
      <w:pStyle w:val="Footer"/>
    </w:pPr>
    <w:r>
      <w:rPr>
        <w:noProof/>
      </w:rPr>
      <w:drawing>
        <wp:anchor distT="0" distB="0" distL="114300" distR="114300" simplePos="0" relativeHeight="251684864" behindDoc="1" locked="0" layoutInCell="1" allowOverlap="1" wp14:anchorId="5772C7C3" wp14:editId="696666E5">
          <wp:simplePos x="0" y="0"/>
          <wp:positionH relativeFrom="page">
            <wp:align>center</wp:align>
          </wp:positionH>
          <wp:positionV relativeFrom="page">
            <wp:align>bottom</wp:align>
          </wp:positionV>
          <wp:extent cx="7560000" cy="900000"/>
          <wp:effectExtent l="0" t="0" r="3175"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 page 1 option 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00000"/>
                  </a:xfrm>
                  <a:prstGeom prst="rect">
                    <a:avLst/>
                  </a:prstGeom>
                </pic:spPr>
              </pic:pic>
            </a:graphicData>
          </a:graphic>
          <wp14:sizeRelH relativeFrom="margin">
            <wp14:pctWidth>0</wp14:pctWidth>
          </wp14:sizeRelH>
          <wp14:sizeRelV relativeFrom="margin">
            <wp14:pctHeight>0</wp14:pctHeight>
          </wp14:sizeRelV>
        </wp:anchor>
      </w:drawing>
    </w:r>
    <w:r w:rsidR="00FF36B4" w:rsidRPr="00FF36B4">
      <w:rPr>
        <w:noProof/>
      </w:rPr>
      <w:t xml:space="preserve"> </w:t>
    </w:r>
    <w:r w:rsidR="00FF36B4" w:rsidRPr="0055343A">
      <w:rPr>
        <w:noProof/>
      </w:rPr>
      <w:t xml:space="preserve">Statutory Review of the </w:t>
    </w:r>
    <w:r w:rsidR="00FF36B4" w:rsidRPr="0055343A">
      <w:rPr>
        <w:i/>
        <w:iCs/>
        <w:noProof/>
      </w:rPr>
      <w:t>Statutory Declarations Act 1959</w:t>
    </w:r>
    <w:r w:rsidR="00FF36B4" w:rsidRPr="0055343A">
      <w:rPr>
        <w:noProof/>
      </w:rPr>
      <w:t xml:space="preserve"> – Discussion Paper</w:t>
    </w:r>
    <w:r>
      <w:tab/>
    </w:r>
    <w:r w:rsidR="00C27F1F" w:rsidRPr="00C27F1F">
      <w:rPr>
        <w:b/>
        <w:noProof/>
        <w:color w:val="50748A" w:themeColor="accent3"/>
      </w:rPr>
      <w:t>ag.gov.au</w:t>
    </w:r>
    <w:r w:rsidR="00C27F1F" w:rsidRPr="00C27F1F">
      <w:rPr>
        <w:color w:val="50748A" w:themeColor="accent3"/>
      </w:rPr>
      <w:t xml:space="preserve"> </w:t>
    </w:r>
    <w:r w:rsidR="00C27F1F" w:rsidRPr="00C27F1F">
      <w:rPr>
        <w:rFonts w:ascii="Aptos Light" w:hAnsi="Aptos Light"/>
        <w:color w:val="50748A" w:themeColor="accent3"/>
      </w:rPr>
      <w:t>|</w:t>
    </w:r>
    <w:r w:rsidR="00C27F1F" w:rsidRPr="00C27F1F">
      <w:rPr>
        <w:color w:val="50748A" w:themeColor="accent3"/>
      </w:rPr>
      <w:t xml:space="preserve"> </w:t>
    </w:r>
    <w:r w:rsidRPr="00C27F1F">
      <w:rPr>
        <w:color w:val="50748A" w:themeColor="accent3"/>
      </w:rPr>
      <w:fldChar w:fldCharType="begin"/>
    </w:r>
    <w:r w:rsidRPr="00C27F1F">
      <w:rPr>
        <w:color w:val="50748A" w:themeColor="accent3"/>
      </w:rPr>
      <w:instrText xml:space="preserve"> PAGE   \* MERGEFORMAT </w:instrText>
    </w:r>
    <w:r w:rsidRPr="00C27F1F">
      <w:rPr>
        <w:color w:val="50748A" w:themeColor="accent3"/>
      </w:rPr>
      <w:fldChar w:fldCharType="separate"/>
    </w:r>
    <w:r w:rsidRPr="00C27F1F">
      <w:rPr>
        <w:color w:val="50748A" w:themeColor="accent3"/>
      </w:rPr>
      <w:t>1</w:t>
    </w:r>
    <w:r w:rsidRPr="00C27F1F">
      <w:rPr>
        <w:noProof/>
        <w:color w:val="50748A" w:themeColor="accent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1300A" w14:textId="2A6608E1" w:rsidR="00B24F53" w:rsidRDefault="00B24F53" w:rsidP="00E6576B">
    <w:pPr>
      <w:pStyle w:val="Footer"/>
      <w:rPr>
        <w:noProof/>
      </w:rPr>
    </w:pPr>
    <w:r>
      <w:rPr>
        <w:noProof/>
      </w:rPr>
      <w:drawing>
        <wp:anchor distT="0" distB="0" distL="114300" distR="114300" simplePos="0" relativeHeight="251680768" behindDoc="1" locked="0" layoutInCell="1" allowOverlap="1" wp14:anchorId="527188F0" wp14:editId="689F4636">
          <wp:simplePos x="900113" y="9529763"/>
          <wp:positionH relativeFrom="page">
            <wp:align>center</wp:align>
          </wp:positionH>
          <wp:positionV relativeFrom="page">
            <wp:align>bottom</wp:align>
          </wp:positionV>
          <wp:extent cx="7560000" cy="900000"/>
          <wp:effectExtent l="0" t="0" r="3175"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 page 1 option 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00000"/>
                  </a:xfrm>
                  <a:prstGeom prst="rect">
                    <a:avLst/>
                  </a:prstGeom>
                </pic:spPr>
              </pic:pic>
            </a:graphicData>
          </a:graphic>
          <wp14:sizeRelH relativeFrom="margin">
            <wp14:pctWidth>0</wp14:pctWidth>
          </wp14:sizeRelH>
          <wp14:sizeRelV relativeFrom="margin">
            <wp14:pctHeight>0</wp14:pctHeight>
          </wp14:sizeRelV>
        </wp:anchor>
      </w:drawing>
    </w:r>
    <w:r w:rsidR="0055343A" w:rsidRPr="0055343A">
      <w:t xml:space="preserve"> </w:t>
    </w:r>
    <w:r w:rsidR="0055343A" w:rsidRPr="0055343A">
      <w:rPr>
        <w:noProof/>
      </w:rPr>
      <w:t xml:space="preserve">Statutory Review of the </w:t>
    </w:r>
    <w:r w:rsidR="0055343A" w:rsidRPr="0055343A">
      <w:rPr>
        <w:i/>
        <w:iCs/>
        <w:noProof/>
      </w:rPr>
      <w:t>Statutory Declarations Act 1959</w:t>
    </w:r>
    <w:r w:rsidR="0055343A" w:rsidRPr="0055343A">
      <w:rPr>
        <w:noProof/>
      </w:rPr>
      <w:t xml:space="preserve"> – Discussion Paper</w:t>
    </w:r>
    <w:r>
      <w:tab/>
    </w:r>
    <w:r w:rsidR="00831B4B" w:rsidRPr="00C27F1F">
      <w:rPr>
        <w:b/>
        <w:noProof/>
        <w:color w:val="50748A" w:themeColor="accent3"/>
      </w:rPr>
      <w:t>ag.gov.au</w:t>
    </w:r>
    <w:r w:rsidR="00831B4B" w:rsidRPr="00C27F1F">
      <w:rPr>
        <w:color w:val="50748A" w:themeColor="accent3"/>
      </w:rPr>
      <w:t xml:space="preserve"> </w:t>
    </w:r>
    <w:r w:rsidR="00831B4B" w:rsidRPr="00C27F1F">
      <w:rPr>
        <w:rFonts w:ascii="Aptos Light" w:hAnsi="Aptos Light"/>
        <w:color w:val="50748A" w:themeColor="accent3"/>
      </w:rPr>
      <w:t>|</w:t>
    </w:r>
    <w:r w:rsidR="00831B4B" w:rsidRPr="00C27F1F">
      <w:rPr>
        <w:color w:val="50748A" w:themeColor="accent3"/>
      </w:rPr>
      <w:t xml:space="preserv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FB19E" w14:textId="77777777" w:rsidR="009A78B4" w:rsidRDefault="009A78B4" w:rsidP="00E6576B">
      <w:r>
        <w:separator/>
      </w:r>
    </w:p>
  </w:footnote>
  <w:footnote w:type="continuationSeparator" w:id="0">
    <w:p w14:paraId="19F8E62D" w14:textId="77777777" w:rsidR="009A78B4" w:rsidRDefault="009A78B4" w:rsidP="00E6576B">
      <w:r>
        <w:continuationSeparator/>
      </w:r>
    </w:p>
  </w:footnote>
  <w:footnote w:id="1">
    <w:p w14:paraId="062EA04C" w14:textId="2FFA3ADC" w:rsidR="0055343A" w:rsidRPr="00E84329" w:rsidRDefault="0055343A" w:rsidP="009A743A">
      <w:pPr>
        <w:pStyle w:val="FootnoteText"/>
        <w:ind w:left="284" w:hanging="284"/>
        <w:rPr>
          <w:rFonts w:ascii="Aptos" w:hAnsi="Aptos"/>
        </w:rPr>
      </w:pPr>
      <w:r w:rsidRPr="00E84329">
        <w:rPr>
          <w:rStyle w:val="FootnoteReference"/>
          <w:rFonts w:ascii="Aptos" w:hAnsi="Aptos"/>
        </w:rPr>
        <w:footnoteRef/>
      </w:r>
      <w:r w:rsidRPr="00E84329">
        <w:rPr>
          <w:rFonts w:ascii="Aptos" w:hAnsi="Aptos"/>
        </w:rPr>
        <w:t xml:space="preserve"> </w:t>
      </w:r>
      <w:r w:rsidR="005E4842">
        <w:rPr>
          <w:rFonts w:ascii="Aptos" w:hAnsi="Aptos"/>
        </w:rPr>
        <w:tab/>
      </w:r>
      <w:r w:rsidRPr="00E02D2B">
        <w:rPr>
          <w:rFonts w:ascii="Aptos" w:hAnsi="Aptos"/>
        </w:rPr>
        <w:t>The exceptions are the Australian Capital Territory and the external territories, which do not have their own separate statutory declaration acts.</w:t>
      </w:r>
    </w:p>
  </w:footnote>
  <w:footnote w:id="2">
    <w:p w14:paraId="2EB6847E" w14:textId="759E10CB" w:rsidR="0055343A" w:rsidRPr="00E84329" w:rsidRDefault="0055343A" w:rsidP="00C867D4">
      <w:pPr>
        <w:pStyle w:val="FootnoteText"/>
        <w:ind w:left="284" w:hanging="284"/>
        <w:rPr>
          <w:rFonts w:ascii="Aptos" w:hAnsi="Aptos"/>
        </w:rPr>
      </w:pPr>
      <w:r w:rsidRPr="00E84329">
        <w:rPr>
          <w:rStyle w:val="FootnoteReference"/>
          <w:rFonts w:ascii="Aptos" w:hAnsi="Aptos"/>
        </w:rPr>
        <w:footnoteRef/>
      </w:r>
      <w:r w:rsidRPr="00E84329">
        <w:rPr>
          <w:rFonts w:ascii="Aptos" w:hAnsi="Aptos"/>
        </w:rPr>
        <w:t xml:space="preserve"> </w:t>
      </w:r>
      <w:r w:rsidR="00C867D4">
        <w:rPr>
          <w:rFonts w:ascii="Aptos" w:hAnsi="Aptos"/>
        </w:rPr>
        <w:tab/>
      </w:r>
      <w:r w:rsidRPr="00E02D2B">
        <w:rPr>
          <w:rFonts w:ascii="Aptos" w:hAnsi="Aptos"/>
        </w:rPr>
        <w:t>Or a combination of electronic and paper methods: for example, a declaration signed electronically, by a declarant and witness in each other’s physical presence; or a declaration witnessed using an audio-visual link, signed with ink on a printed copy of the document.</w:t>
      </w:r>
      <w:r w:rsidRPr="00E84329">
        <w:rPr>
          <w:rFonts w:ascii="Aptos" w:hAnsi="Aptos"/>
        </w:rPr>
        <w:t xml:space="preserve"> </w:t>
      </w:r>
    </w:p>
  </w:footnote>
  <w:footnote w:id="3">
    <w:p w14:paraId="2B059218" w14:textId="6F9F18B9" w:rsidR="0055343A" w:rsidRDefault="0055343A" w:rsidP="00C867D4">
      <w:pPr>
        <w:pStyle w:val="FootnoteText"/>
        <w:ind w:left="284" w:hanging="284"/>
      </w:pPr>
      <w:r w:rsidRPr="00E84329">
        <w:rPr>
          <w:rStyle w:val="FootnoteReference"/>
          <w:rFonts w:ascii="Aptos" w:hAnsi="Aptos"/>
        </w:rPr>
        <w:footnoteRef/>
      </w:r>
      <w:r w:rsidRPr="00E84329">
        <w:rPr>
          <w:rFonts w:ascii="Aptos" w:hAnsi="Aptos"/>
        </w:rPr>
        <w:t xml:space="preserve"> </w:t>
      </w:r>
      <w:r w:rsidR="00C867D4">
        <w:rPr>
          <w:rFonts w:ascii="Aptos" w:hAnsi="Aptos"/>
        </w:rPr>
        <w:tab/>
      </w:r>
      <w:r w:rsidRPr="00E84329">
        <w:rPr>
          <w:rFonts w:ascii="Aptos" w:hAnsi="Aptos"/>
        </w:rPr>
        <w:t xml:space="preserve">Accenture, </w:t>
      </w:r>
      <w:r w:rsidRPr="00E84329">
        <w:rPr>
          <w:rFonts w:ascii="Aptos" w:hAnsi="Aptos"/>
          <w:i/>
          <w:iCs/>
        </w:rPr>
        <w:t>Report on Modernising Business Communications</w:t>
      </w:r>
      <w:r w:rsidRPr="00E84329">
        <w:rPr>
          <w:rFonts w:ascii="Aptos" w:hAnsi="Aptos"/>
        </w:rPr>
        <w:t>, p 47.</w:t>
      </w:r>
      <w:r>
        <w:t xml:space="preserve"> </w:t>
      </w:r>
    </w:p>
  </w:footnote>
  <w:footnote w:id="4">
    <w:p w14:paraId="0FC25EAA" w14:textId="186E6197" w:rsidR="0055343A" w:rsidRPr="00E84329" w:rsidRDefault="0055343A" w:rsidP="00E640E3">
      <w:pPr>
        <w:pStyle w:val="FootnoteText"/>
        <w:ind w:left="284" w:hanging="284"/>
        <w:rPr>
          <w:rFonts w:ascii="Aptos" w:hAnsi="Aptos"/>
        </w:rPr>
      </w:pPr>
      <w:r w:rsidRPr="00E84329">
        <w:rPr>
          <w:rStyle w:val="FootnoteReference"/>
          <w:rFonts w:ascii="Aptos" w:hAnsi="Aptos"/>
        </w:rPr>
        <w:footnoteRef/>
      </w:r>
      <w:r w:rsidRPr="00E84329">
        <w:rPr>
          <w:rFonts w:ascii="Aptos" w:hAnsi="Aptos"/>
        </w:rPr>
        <w:t xml:space="preserve"> </w:t>
      </w:r>
      <w:r w:rsidR="00E640E3">
        <w:rPr>
          <w:rFonts w:ascii="Aptos" w:hAnsi="Aptos"/>
        </w:rPr>
        <w:tab/>
      </w:r>
      <w:r w:rsidR="00CD7463">
        <w:rPr>
          <w:rFonts w:ascii="Aptos" w:hAnsi="Aptos"/>
        </w:rPr>
        <w:t>A d</w:t>
      </w:r>
      <w:r w:rsidRPr="00E84329">
        <w:rPr>
          <w:rFonts w:ascii="Aptos" w:hAnsi="Aptos"/>
        </w:rPr>
        <w:t>eclarant</w:t>
      </w:r>
      <w:r w:rsidR="00CD7463">
        <w:rPr>
          <w:rFonts w:ascii="Aptos" w:hAnsi="Aptos"/>
        </w:rPr>
        <w:t xml:space="preserve"> is</w:t>
      </w:r>
      <w:r w:rsidRPr="00E84329">
        <w:rPr>
          <w:rFonts w:ascii="Aptos" w:hAnsi="Aptos"/>
        </w:rPr>
        <w:t xml:space="preserve"> the person making the statutory declaration. </w:t>
      </w:r>
      <w:r w:rsidR="00CD7463">
        <w:rPr>
          <w:rFonts w:ascii="Aptos" w:hAnsi="Aptos"/>
        </w:rPr>
        <w:t>A witness is someone who is</w:t>
      </w:r>
      <w:r w:rsidRPr="00E84329">
        <w:rPr>
          <w:rFonts w:ascii="Aptos" w:hAnsi="Aptos"/>
        </w:rPr>
        <w:t xml:space="preserve"> </w:t>
      </w:r>
      <w:hyperlink r:id="rId1" w:history="1">
        <w:r w:rsidRPr="00E84329">
          <w:rPr>
            <w:rStyle w:val="Hyperlink"/>
            <w:rFonts w:ascii="Aptos" w:hAnsi="Aptos"/>
          </w:rPr>
          <w:t>approved under the Regulations</w:t>
        </w:r>
      </w:hyperlink>
      <w:r w:rsidRPr="00E84329">
        <w:rPr>
          <w:rFonts w:ascii="Aptos" w:hAnsi="Aptos"/>
        </w:rPr>
        <w:t xml:space="preserve"> to witness the signing of a statutory declaration. </w:t>
      </w:r>
      <w:r w:rsidR="00CD7463">
        <w:rPr>
          <w:rFonts w:ascii="Aptos" w:hAnsi="Aptos"/>
        </w:rPr>
        <w:t>A requestor is the person or entity</w:t>
      </w:r>
      <w:r w:rsidRPr="00E84329">
        <w:rPr>
          <w:rFonts w:ascii="Aptos" w:hAnsi="Aptos"/>
        </w:rPr>
        <w:t xml:space="preserve"> who ha</w:t>
      </w:r>
      <w:r w:rsidR="00CD7463">
        <w:rPr>
          <w:rFonts w:ascii="Aptos" w:hAnsi="Aptos"/>
        </w:rPr>
        <w:t>s</w:t>
      </w:r>
      <w:r w:rsidRPr="00E84329">
        <w:rPr>
          <w:rFonts w:ascii="Aptos" w:hAnsi="Aptos"/>
        </w:rPr>
        <w:t xml:space="preserve"> asked the declarant to make the statutory declaration.</w:t>
      </w:r>
    </w:p>
  </w:footnote>
  <w:footnote w:id="5">
    <w:p w14:paraId="2EB65F39" w14:textId="43975446" w:rsidR="0055343A" w:rsidRDefault="0055343A" w:rsidP="00E640E3">
      <w:pPr>
        <w:pStyle w:val="FootnoteText"/>
        <w:ind w:left="284" w:hanging="284"/>
      </w:pPr>
      <w:r w:rsidRPr="00E84329">
        <w:rPr>
          <w:rStyle w:val="FootnoteReference"/>
          <w:rFonts w:ascii="Aptos" w:hAnsi="Aptos"/>
        </w:rPr>
        <w:footnoteRef/>
      </w:r>
      <w:r w:rsidRPr="00E84329">
        <w:rPr>
          <w:rFonts w:ascii="Aptos" w:hAnsi="Aptos"/>
        </w:rPr>
        <w:t xml:space="preserve"> </w:t>
      </w:r>
      <w:r w:rsidR="00E640E3">
        <w:rPr>
          <w:rFonts w:ascii="Aptos" w:hAnsi="Aptos"/>
        </w:rPr>
        <w:tab/>
      </w:r>
      <w:r w:rsidR="00C21338">
        <w:rPr>
          <w:rFonts w:ascii="Aptos" w:hAnsi="Aptos"/>
        </w:rPr>
        <w:t>I</w:t>
      </w:r>
      <w:r w:rsidRPr="00E84329">
        <w:rPr>
          <w:rFonts w:ascii="Aptos" w:hAnsi="Aptos"/>
        </w:rPr>
        <w:t>ncluding</w:t>
      </w:r>
      <w:r w:rsidR="00AD31D4">
        <w:rPr>
          <w:rFonts w:ascii="Aptos" w:hAnsi="Aptos"/>
        </w:rPr>
        <w:t>,</w:t>
      </w:r>
      <w:r w:rsidRPr="00E84329">
        <w:rPr>
          <w:rFonts w:ascii="Aptos" w:hAnsi="Aptos"/>
        </w:rPr>
        <w:t xml:space="preserve"> but not limited to, people with disability, First Nations people, people from culturally and linguistically diverse backgrounds, and people who live in rural, regional or remote parts of Australia.</w:t>
      </w:r>
    </w:p>
  </w:footnote>
  <w:footnote w:id="6">
    <w:p w14:paraId="41BF231E" w14:textId="28CF7DD8" w:rsidR="007D69C5" w:rsidRPr="00E84329" w:rsidRDefault="007D69C5" w:rsidP="00FE3588">
      <w:pPr>
        <w:pStyle w:val="FootnoteText"/>
        <w:ind w:left="284" w:hanging="284"/>
        <w:rPr>
          <w:rFonts w:ascii="Aptos" w:hAnsi="Aptos"/>
        </w:rPr>
      </w:pPr>
      <w:r w:rsidRPr="00E84329">
        <w:rPr>
          <w:rStyle w:val="FootnoteReference"/>
          <w:rFonts w:ascii="Aptos" w:hAnsi="Aptos"/>
        </w:rPr>
        <w:footnoteRef/>
      </w:r>
      <w:r w:rsidRPr="00E84329">
        <w:rPr>
          <w:rFonts w:ascii="Aptos" w:hAnsi="Aptos"/>
        </w:rPr>
        <w:t xml:space="preserve"> </w:t>
      </w:r>
      <w:r w:rsidR="00FE3588">
        <w:rPr>
          <w:rFonts w:ascii="Aptos" w:hAnsi="Aptos"/>
        </w:rPr>
        <w:tab/>
      </w:r>
      <w:r w:rsidRPr="00E84329">
        <w:rPr>
          <w:rFonts w:ascii="Aptos" w:hAnsi="Aptos"/>
        </w:rPr>
        <w:t xml:space="preserve">Such as being satisfied that an approved online platform complies with any relevant standards or rules in the digital identity framework (now the </w:t>
      </w:r>
      <w:hyperlink r:id="rId2" w:history="1">
        <w:r w:rsidRPr="00E84329">
          <w:rPr>
            <w:rStyle w:val="Hyperlink"/>
            <w:rFonts w:ascii="Aptos" w:hAnsi="Aptos"/>
            <w:i/>
            <w:iCs/>
          </w:rPr>
          <w:t>Digital ID Act 2024</w:t>
        </w:r>
      </w:hyperlink>
      <w:r w:rsidRPr="00E84329">
        <w:rPr>
          <w:rFonts w:ascii="Aptos" w:hAnsi="Aptos"/>
        </w:rPr>
        <w:t xml:space="preserve"> (Digital ID Act)</w:t>
      </w:r>
    </w:p>
  </w:footnote>
  <w:footnote w:id="7">
    <w:p w14:paraId="2AE9DC37" w14:textId="25E2974B" w:rsidR="0055343A" w:rsidRPr="00E84329" w:rsidRDefault="0055343A" w:rsidP="00FE3588">
      <w:pPr>
        <w:pStyle w:val="FootnoteText"/>
        <w:ind w:left="284" w:hanging="284"/>
        <w:rPr>
          <w:rFonts w:ascii="Aptos" w:hAnsi="Aptos"/>
        </w:rPr>
      </w:pPr>
      <w:r w:rsidRPr="00E84329">
        <w:rPr>
          <w:rStyle w:val="FootnoteReference"/>
          <w:rFonts w:ascii="Aptos" w:hAnsi="Aptos"/>
        </w:rPr>
        <w:footnoteRef/>
      </w:r>
      <w:r w:rsidRPr="00E84329">
        <w:rPr>
          <w:rFonts w:ascii="Aptos" w:hAnsi="Aptos"/>
        </w:rPr>
        <w:t xml:space="preserve"> </w:t>
      </w:r>
      <w:r w:rsidR="00FE3588">
        <w:rPr>
          <w:rFonts w:ascii="Aptos" w:hAnsi="Aptos"/>
        </w:rPr>
        <w:tab/>
      </w:r>
      <w:r w:rsidR="007D69C5" w:rsidRPr="00E84329">
        <w:rPr>
          <w:rFonts w:ascii="Aptos" w:hAnsi="Aptos"/>
        </w:rPr>
        <w:t xml:space="preserve">See section 9A of </w:t>
      </w:r>
      <w:r w:rsidRPr="00E84329">
        <w:rPr>
          <w:rFonts w:ascii="Aptos" w:hAnsi="Aptos"/>
        </w:rPr>
        <w:t xml:space="preserve">the </w:t>
      </w:r>
      <w:r w:rsidR="007D69C5" w:rsidRPr="00E84329">
        <w:rPr>
          <w:rFonts w:ascii="Aptos" w:hAnsi="Aptos"/>
        </w:rPr>
        <w:t xml:space="preserve">Act and section 8 of the Regulations. </w:t>
      </w:r>
      <w:r w:rsidR="007D69C5" w:rsidRPr="00E84329" w:rsidDel="007D69C5">
        <w:rPr>
          <w:rFonts w:ascii="Aptos" w:hAnsi="Aptos"/>
        </w:rPr>
        <w:t xml:space="preserve"> </w:t>
      </w:r>
    </w:p>
  </w:footnote>
  <w:footnote w:id="8">
    <w:p w14:paraId="68B201B8" w14:textId="63F4955F" w:rsidR="0055343A" w:rsidRPr="00E84329" w:rsidRDefault="0055343A" w:rsidP="00CB39B1">
      <w:pPr>
        <w:pStyle w:val="FootnoteText"/>
        <w:ind w:left="284" w:hanging="284"/>
        <w:rPr>
          <w:rFonts w:ascii="Aptos" w:hAnsi="Aptos"/>
        </w:rPr>
      </w:pPr>
      <w:r w:rsidRPr="00E84329">
        <w:rPr>
          <w:rStyle w:val="FootnoteReference"/>
          <w:rFonts w:ascii="Aptos" w:hAnsi="Aptos"/>
        </w:rPr>
        <w:footnoteRef/>
      </w:r>
      <w:r w:rsidRPr="00E84329">
        <w:rPr>
          <w:rFonts w:ascii="Aptos" w:hAnsi="Aptos"/>
        </w:rPr>
        <w:t xml:space="preserve"> </w:t>
      </w:r>
      <w:r w:rsidR="00CB39B1">
        <w:rPr>
          <w:rFonts w:ascii="Aptos" w:hAnsi="Aptos"/>
        </w:rPr>
        <w:tab/>
      </w:r>
      <w:r w:rsidR="007D69C5" w:rsidRPr="00E84329">
        <w:rPr>
          <w:rFonts w:ascii="Aptos" w:hAnsi="Aptos"/>
        </w:rPr>
        <w:t>The l</w:t>
      </w:r>
      <w:r w:rsidRPr="00E84329">
        <w:rPr>
          <w:rFonts w:ascii="Aptos" w:hAnsi="Aptos"/>
        </w:rPr>
        <w:t xml:space="preserve">ist of documents can be found </w:t>
      </w:r>
      <w:r w:rsidR="007D69C5" w:rsidRPr="00E84329">
        <w:rPr>
          <w:rFonts w:ascii="Aptos" w:hAnsi="Aptos"/>
        </w:rPr>
        <w:t xml:space="preserve">under section 7 of the </w:t>
      </w:r>
      <w:r w:rsidRPr="00E84329">
        <w:rPr>
          <w:rFonts w:ascii="Aptos" w:hAnsi="Aptos"/>
        </w:rPr>
        <w:t>Regulations</w:t>
      </w:r>
      <w:r w:rsidR="007D69C5" w:rsidRPr="00E84329">
        <w:rPr>
          <w:rFonts w:ascii="Aptos" w:hAnsi="Aptos"/>
        </w:rPr>
        <w:t xml:space="preserve">. </w:t>
      </w:r>
    </w:p>
  </w:footnote>
  <w:footnote w:id="9">
    <w:p w14:paraId="0FF8E496" w14:textId="3A4A27B3" w:rsidR="0055343A" w:rsidRPr="00E84329" w:rsidRDefault="0055343A" w:rsidP="00CB39B1">
      <w:pPr>
        <w:pStyle w:val="FootnoteText"/>
        <w:ind w:left="284" w:hanging="284"/>
        <w:rPr>
          <w:rFonts w:ascii="Aptos" w:hAnsi="Aptos"/>
        </w:rPr>
      </w:pPr>
      <w:r w:rsidRPr="00E84329">
        <w:rPr>
          <w:rStyle w:val="FootnoteReference"/>
          <w:rFonts w:ascii="Aptos" w:hAnsi="Aptos"/>
        </w:rPr>
        <w:footnoteRef/>
      </w:r>
      <w:r w:rsidRPr="00E84329">
        <w:rPr>
          <w:rFonts w:ascii="Aptos" w:hAnsi="Aptos"/>
        </w:rPr>
        <w:t xml:space="preserve"> </w:t>
      </w:r>
      <w:r w:rsidR="00CB39B1">
        <w:rPr>
          <w:rFonts w:ascii="Aptos" w:hAnsi="Aptos"/>
        </w:rPr>
        <w:tab/>
      </w:r>
      <w:r w:rsidRPr="00E84329">
        <w:rPr>
          <w:rFonts w:ascii="Aptos" w:hAnsi="Aptos"/>
        </w:rPr>
        <w:t xml:space="preserve">See, for example, </w:t>
      </w:r>
      <w:hyperlink r:id="rId3" w:history="1">
        <w:proofErr w:type="spellStart"/>
        <w:r w:rsidRPr="00E84329">
          <w:rPr>
            <w:rStyle w:val="Hyperlink"/>
            <w:rFonts w:ascii="Aptos" w:hAnsi="Aptos"/>
          </w:rPr>
          <w:t>DocuSign</w:t>
        </w:r>
      </w:hyperlink>
      <w:r w:rsidR="007D69C5" w:rsidRPr="00E84329">
        <w:rPr>
          <w:rFonts w:ascii="Aptos" w:hAnsi="Aptos"/>
        </w:rPr>
        <w:t>’s</w:t>
      </w:r>
      <w:proofErr w:type="spellEnd"/>
      <w:r w:rsidRPr="00E84329">
        <w:rPr>
          <w:rFonts w:ascii="Aptos" w:hAnsi="Aptos"/>
        </w:rPr>
        <w:t xml:space="preserve"> submission.</w:t>
      </w:r>
    </w:p>
  </w:footnote>
  <w:footnote w:id="10">
    <w:p w14:paraId="5A6601D1" w14:textId="577C8AEA" w:rsidR="0055343A" w:rsidRPr="00E84329" w:rsidRDefault="0055343A" w:rsidP="00CB39B1">
      <w:pPr>
        <w:pStyle w:val="FootnoteText"/>
        <w:ind w:left="284" w:hanging="284"/>
        <w:rPr>
          <w:rFonts w:ascii="Aptos" w:hAnsi="Aptos"/>
        </w:rPr>
      </w:pPr>
      <w:r w:rsidRPr="00E84329">
        <w:rPr>
          <w:rStyle w:val="FootnoteReference"/>
          <w:rFonts w:ascii="Aptos" w:hAnsi="Aptos"/>
        </w:rPr>
        <w:footnoteRef/>
      </w:r>
      <w:r w:rsidRPr="00E84329">
        <w:rPr>
          <w:rFonts w:ascii="Aptos" w:hAnsi="Aptos"/>
        </w:rPr>
        <w:t xml:space="preserve"> </w:t>
      </w:r>
      <w:r w:rsidR="00CB39B1">
        <w:rPr>
          <w:rFonts w:ascii="Aptos" w:hAnsi="Aptos"/>
        </w:rPr>
        <w:tab/>
      </w:r>
      <w:r w:rsidRPr="00E84329">
        <w:rPr>
          <w:rFonts w:ascii="Aptos" w:hAnsi="Aptos"/>
        </w:rPr>
        <w:t xml:space="preserve">At the time identity proofing was ranked under the Trusted Digital Identity Framework (TDIF), the comparable equivalent to ‘standard’ was ‘IP2 proofing identity’.  TDIF has been replaced by the Digital ID Act. </w:t>
      </w:r>
    </w:p>
  </w:footnote>
  <w:footnote w:id="11">
    <w:p w14:paraId="0484650B" w14:textId="5600C0E4" w:rsidR="0055343A" w:rsidRDefault="0055343A" w:rsidP="00CB39B1">
      <w:pPr>
        <w:pStyle w:val="FootnoteText"/>
        <w:ind w:left="284" w:hanging="284"/>
      </w:pPr>
      <w:r w:rsidRPr="00E84329">
        <w:rPr>
          <w:rStyle w:val="FootnoteReference"/>
          <w:rFonts w:ascii="Aptos" w:hAnsi="Aptos"/>
        </w:rPr>
        <w:footnoteRef/>
      </w:r>
      <w:r w:rsidRPr="00E84329">
        <w:rPr>
          <w:rFonts w:ascii="Aptos" w:hAnsi="Aptos"/>
        </w:rPr>
        <w:t xml:space="preserve"> </w:t>
      </w:r>
      <w:r w:rsidR="00CB39B1">
        <w:rPr>
          <w:rFonts w:ascii="Aptos" w:hAnsi="Aptos"/>
        </w:rPr>
        <w:tab/>
      </w:r>
      <w:r w:rsidRPr="00E84329">
        <w:rPr>
          <w:rFonts w:ascii="Aptos" w:hAnsi="Aptos"/>
        </w:rPr>
        <w:t xml:space="preserve">For example, </w:t>
      </w:r>
      <w:r w:rsidR="00884E08" w:rsidRPr="00E84329">
        <w:rPr>
          <w:rFonts w:ascii="Aptos" w:hAnsi="Aptos"/>
        </w:rPr>
        <w:t xml:space="preserve">in </w:t>
      </w:r>
      <w:r w:rsidRPr="00E84329">
        <w:rPr>
          <w:rFonts w:ascii="Aptos" w:hAnsi="Aptos"/>
        </w:rPr>
        <w:t>protecting against data loss</w:t>
      </w:r>
      <w:r w:rsidR="00884E08" w:rsidRPr="00E84329">
        <w:rPr>
          <w:rFonts w:ascii="Aptos" w:hAnsi="Aptos"/>
        </w:rPr>
        <w:t>,</w:t>
      </w:r>
      <w:r w:rsidRPr="00E84329">
        <w:rPr>
          <w:rFonts w:ascii="Aptos" w:hAnsi="Aptos"/>
        </w:rPr>
        <w:t xml:space="preserve"> privacy</w:t>
      </w:r>
      <w:r w:rsidR="00884E08" w:rsidRPr="00E84329">
        <w:rPr>
          <w:rFonts w:ascii="Aptos" w:hAnsi="Aptos"/>
        </w:rPr>
        <w:t xml:space="preserve"> breaches, fraud or duress</w:t>
      </w:r>
      <w:r w:rsidRPr="00E84329">
        <w:rPr>
          <w:rFonts w:ascii="Aptos" w:hAnsi="Aptos"/>
        </w:rPr>
        <w:t>.</w:t>
      </w:r>
    </w:p>
  </w:footnote>
  <w:footnote w:id="12">
    <w:p w14:paraId="6625036D" w14:textId="53C85631" w:rsidR="0055343A" w:rsidRPr="00E84329" w:rsidRDefault="0055343A" w:rsidP="00B60788">
      <w:pPr>
        <w:pStyle w:val="FootnoteText"/>
        <w:ind w:left="284" w:hanging="284"/>
        <w:rPr>
          <w:rFonts w:ascii="Aptos" w:hAnsi="Aptos"/>
        </w:rPr>
      </w:pPr>
      <w:r w:rsidRPr="00E84329">
        <w:rPr>
          <w:rStyle w:val="FootnoteReference"/>
          <w:rFonts w:ascii="Aptos" w:hAnsi="Aptos"/>
        </w:rPr>
        <w:footnoteRef/>
      </w:r>
      <w:r w:rsidRPr="00E84329">
        <w:rPr>
          <w:rFonts w:ascii="Aptos" w:hAnsi="Aptos"/>
        </w:rPr>
        <w:t xml:space="preserve"> </w:t>
      </w:r>
      <w:r w:rsidR="00B60788">
        <w:rPr>
          <w:rFonts w:ascii="Aptos" w:hAnsi="Aptos"/>
        </w:rPr>
        <w:tab/>
      </w:r>
      <w:r w:rsidRPr="00E84329">
        <w:rPr>
          <w:rFonts w:ascii="Aptos" w:hAnsi="Aptos"/>
        </w:rPr>
        <w:t xml:space="preserve">In January 2024, </w:t>
      </w:r>
      <w:r w:rsidR="00966EBA">
        <w:rPr>
          <w:rFonts w:ascii="Aptos" w:hAnsi="Aptos"/>
        </w:rPr>
        <w:t>we</w:t>
      </w:r>
      <w:r w:rsidRPr="00E84329">
        <w:rPr>
          <w:rFonts w:ascii="Aptos" w:hAnsi="Aptos"/>
        </w:rPr>
        <w:t xml:space="preserve"> updated the statutory declaration pages on </w:t>
      </w:r>
      <w:r w:rsidR="00966EBA">
        <w:rPr>
          <w:rFonts w:ascii="Aptos" w:hAnsi="Aptos"/>
        </w:rPr>
        <w:t>our</w:t>
      </w:r>
      <w:r w:rsidRPr="00E84329">
        <w:rPr>
          <w:rFonts w:ascii="Aptos" w:hAnsi="Aptos"/>
        </w:rPr>
        <w:t xml:space="preserve"> website to provide clearer guidance for witnesses on meeting their obligations under the Act.</w:t>
      </w:r>
    </w:p>
  </w:footnote>
  <w:footnote w:id="13">
    <w:p w14:paraId="11113929" w14:textId="14EFDA04" w:rsidR="0055343A" w:rsidRDefault="0055343A" w:rsidP="00B60788">
      <w:pPr>
        <w:pStyle w:val="FootnoteText"/>
        <w:ind w:left="284" w:hanging="284"/>
      </w:pPr>
      <w:r w:rsidRPr="00E84329">
        <w:rPr>
          <w:rStyle w:val="FootnoteReference"/>
          <w:rFonts w:ascii="Aptos" w:hAnsi="Aptos"/>
        </w:rPr>
        <w:footnoteRef/>
      </w:r>
      <w:r w:rsidRPr="00E84329">
        <w:rPr>
          <w:rFonts w:ascii="Aptos" w:hAnsi="Aptos"/>
        </w:rPr>
        <w:t xml:space="preserve"> </w:t>
      </w:r>
      <w:r w:rsidR="00B60788">
        <w:rPr>
          <w:rFonts w:ascii="Aptos" w:hAnsi="Aptos"/>
        </w:rPr>
        <w:tab/>
      </w:r>
      <w:r w:rsidRPr="00E84329">
        <w:rPr>
          <w:rFonts w:ascii="Aptos" w:hAnsi="Aptos"/>
        </w:rPr>
        <w:t>For example, in preventing fraud</w:t>
      </w:r>
      <w:r w:rsidR="002E2035">
        <w:rPr>
          <w:rFonts w:ascii="Aptos" w:hAnsi="Aptos"/>
        </w:rPr>
        <w:t>, coercion</w:t>
      </w:r>
      <w:r w:rsidRPr="00E84329">
        <w:rPr>
          <w:rFonts w:ascii="Aptos" w:hAnsi="Aptos"/>
        </w:rPr>
        <w:t xml:space="preserve"> or duress.</w:t>
      </w:r>
    </w:p>
  </w:footnote>
  <w:footnote w:id="14">
    <w:p w14:paraId="5CCA84E7" w14:textId="3D8CA3FD" w:rsidR="0055343A" w:rsidRPr="00E84329" w:rsidRDefault="0055343A" w:rsidP="00D26272">
      <w:pPr>
        <w:pStyle w:val="FootnoteText"/>
        <w:ind w:left="284" w:hanging="284"/>
        <w:rPr>
          <w:rFonts w:ascii="Aptos" w:hAnsi="Aptos"/>
        </w:rPr>
      </w:pPr>
      <w:r w:rsidRPr="00E84329">
        <w:rPr>
          <w:rStyle w:val="FootnoteReference"/>
          <w:rFonts w:ascii="Aptos" w:hAnsi="Aptos"/>
        </w:rPr>
        <w:footnoteRef/>
      </w:r>
      <w:r w:rsidRPr="00E84329">
        <w:rPr>
          <w:rFonts w:ascii="Aptos" w:hAnsi="Aptos"/>
        </w:rPr>
        <w:t xml:space="preserve"> </w:t>
      </w:r>
      <w:r w:rsidR="00D26272">
        <w:rPr>
          <w:rFonts w:ascii="Aptos" w:hAnsi="Aptos"/>
        </w:rPr>
        <w:tab/>
      </w:r>
      <w:r w:rsidRPr="00E84329">
        <w:rPr>
          <w:rFonts w:ascii="Aptos" w:hAnsi="Aptos"/>
        </w:rPr>
        <w:t xml:space="preserve">Australian Government Attorney-General’s Department, </w:t>
      </w:r>
      <w:hyperlink r:id="rId4" w:history="1">
        <w:r w:rsidRPr="00E84329">
          <w:rPr>
            <w:rStyle w:val="Hyperlink"/>
            <w:rFonts w:ascii="Aptos" w:hAnsi="Aptos"/>
          </w:rPr>
          <w:t>‘Information for witnesses’</w:t>
        </w:r>
      </w:hyperlink>
      <w:r w:rsidRPr="00E84329">
        <w:rPr>
          <w:rFonts w:ascii="Aptos" w:hAnsi="Aptos"/>
        </w:rPr>
        <w:t>.</w:t>
      </w:r>
    </w:p>
  </w:footnote>
  <w:footnote w:id="15">
    <w:p w14:paraId="605975CC" w14:textId="115B99EA" w:rsidR="0055343A" w:rsidRDefault="0055343A" w:rsidP="00D26272">
      <w:pPr>
        <w:pStyle w:val="FootnoteText"/>
        <w:ind w:left="284" w:hanging="284"/>
      </w:pPr>
      <w:r w:rsidRPr="00E84329">
        <w:rPr>
          <w:rStyle w:val="FootnoteReference"/>
          <w:rFonts w:ascii="Aptos" w:hAnsi="Aptos"/>
        </w:rPr>
        <w:footnoteRef/>
      </w:r>
      <w:r w:rsidRPr="00E84329">
        <w:rPr>
          <w:rFonts w:ascii="Aptos" w:hAnsi="Aptos"/>
        </w:rPr>
        <w:t xml:space="preserve"> </w:t>
      </w:r>
      <w:r w:rsidR="00D26272">
        <w:rPr>
          <w:rFonts w:ascii="Aptos" w:hAnsi="Aptos"/>
        </w:rPr>
        <w:tab/>
      </w:r>
      <w:hyperlink r:id="rId5" w:history="1">
        <w:r w:rsidRPr="00E84329">
          <w:rPr>
            <w:rStyle w:val="Hyperlink"/>
            <w:rFonts w:ascii="Aptos" w:hAnsi="Aptos"/>
          </w:rPr>
          <w:t>Explanatory statement</w:t>
        </w:r>
      </w:hyperlink>
      <w:r w:rsidRPr="00E84329">
        <w:rPr>
          <w:rFonts w:ascii="Aptos" w:hAnsi="Aptos"/>
        </w:rPr>
        <w:t xml:space="preserve"> for the </w:t>
      </w:r>
      <w:r w:rsidRPr="00E84329">
        <w:rPr>
          <w:rFonts w:ascii="Aptos" w:hAnsi="Aptos"/>
          <w:iCs/>
        </w:rPr>
        <w:t>Statutory Declarations Regulations 2018</w:t>
      </w:r>
      <w:r w:rsidRPr="00E84329">
        <w:rPr>
          <w:rFonts w:ascii="Aptos" w:hAnsi="Aptos"/>
        </w:rPr>
        <w:t xml:space="preserve"> (</w:t>
      </w:r>
      <w:proofErr w:type="spellStart"/>
      <w:r w:rsidRPr="00E84329">
        <w:rPr>
          <w:rFonts w:ascii="Aptos" w:hAnsi="Aptos"/>
        </w:rPr>
        <w:t>Cth</w:t>
      </w:r>
      <w:proofErr w:type="spellEnd"/>
      <w:r w:rsidRPr="00E84329">
        <w:rPr>
          <w:rFonts w:ascii="Aptos" w:hAnsi="Aptos"/>
        </w:rPr>
        <w:t xml:space="preserve">). The 2018 Regulations were subsequently repealed and replaced by the </w:t>
      </w:r>
      <w:r w:rsidRPr="00E84329">
        <w:rPr>
          <w:rFonts w:ascii="Aptos" w:hAnsi="Aptos"/>
          <w:iCs/>
        </w:rPr>
        <w:t>Statutory Declarations Regulations 2023</w:t>
      </w:r>
      <w:r w:rsidRPr="00E84329">
        <w:rPr>
          <w:rFonts w:ascii="Aptos" w:hAnsi="Aptos"/>
          <w:i/>
        </w:rPr>
        <w:t xml:space="preserve"> </w:t>
      </w:r>
      <w:r w:rsidRPr="00E84329">
        <w:rPr>
          <w:rFonts w:ascii="Aptos" w:hAnsi="Aptos"/>
        </w:rPr>
        <w:t>(</w:t>
      </w:r>
      <w:proofErr w:type="spellStart"/>
      <w:r w:rsidRPr="00E84329">
        <w:rPr>
          <w:rFonts w:ascii="Aptos" w:hAnsi="Aptos"/>
        </w:rPr>
        <w:t>Cth</w:t>
      </w:r>
      <w:proofErr w:type="spellEnd"/>
      <w:r w:rsidRPr="00E84329">
        <w:rPr>
          <w:rFonts w:ascii="Aptos" w:hAnsi="Aptos"/>
        </w:rPr>
        <w:t>), in which the expanded witness list was retained.</w:t>
      </w:r>
    </w:p>
  </w:footnote>
  <w:footnote w:id="16">
    <w:p w14:paraId="6308F1D1" w14:textId="620B3C29" w:rsidR="0055343A" w:rsidRPr="00E84329" w:rsidRDefault="0055343A" w:rsidP="00E1322D">
      <w:pPr>
        <w:pStyle w:val="FootnoteText"/>
        <w:ind w:left="284" w:hanging="284"/>
        <w:rPr>
          <w:rFonts w:ascii="Aptos" w:hAnsi="Aptos"/>
        </w:rPr>
      </w:pPr>
      <w:r w:rsidRPr="00E84329">
        <w:rPr>
          <w:rStyle w:val="FootnoteReference"/>
          <w:rFonts w:ascii="Aptos" w:hAnsi="Aptos"/>
        </w:rPr>
        <w:footnoteRef/>
      </w:r>
      <w:r w:rsidRPr="00E84329">
        <w:rPr>
          <w:rFonts w:ascii="Aptos" w:hAnsi="Aptos"/>
        </w:rPr>
        <w:t xml:space="preserve"> </w:t>
      </w:r>
      <w:r w:rsidR="00E1322D">
        <w:rPr>
          <w:rFonts w:ascii="Aptos" w:hAnsi="Aptos"/>
        </w:rPr>
        <w:tab/>
      </w:r>
      <w:r w:rsidRPr="00E84329">
        <w:rPr>
          <w:rFonts w:ascii="Aptos" w:hAnsi="Aptos"/>
        </w:rPr>
        <w:t xml:space="preserve">In this paper ‘Australian jurisdictions’ means the Commonwealth and all Australian states and territories.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2AC3F" w14:textId="77777777" w:rsidR="00FB45CB" w:rsidRDefault="00430F58">
    <w:pPr>
      <w:pStyle w:val="Header"/>
    </w:pPr>
    <w:r>
      <w:rPr>
        <w:noProof/>
      </w:rPr>
      <w:drawing>
        <wp:anchor distT="0" distB="0" distL="114300" distR="114300" simplePos="0" relativeHeight="251687936" behindDoc="1" locked="0" layoutInCell="1" allowOverlap="1" wp14:anchorId="39011A05" wp14:editId="7A500668">
          <wp:simplePos x="900752" y="450376"/>
          <wp:positionH relativeFrom="page">
            <wp:align>center</wp:align>
          </wp:positionH>
          <wp:positionV relativeFrom="page">
            <wp:align>top</wp:align>
          </wp:positionV>
          <wp:extent cx="7560000" cy="1782000"/>
          <wp:effectExtent l="0" t="0" r="3175" b="889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eader page 3 - Teal.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78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E24A" w14:textId="77777777" w:rsidR="00B24F53" w:rsidRDefault="00B24F53" w:rsidP="00717A4F">
    <w:pPr>
      <w:pStyle w:val="Header"/>
    </w:pPr>
    <w:r>
      <w:rPr>
        <w:noProof/>
      </w:rPr>
      <w:drawing>
        <wp:anchor distT="0" distB="0" distL="114300" distR="114300" simplePos="0" relativeHeight="251686912" behindDoc="1" locked="0" layoutInCell="1" allowOverlap="1" wp14:anchorId="18863DFA" wp14:editId="7104710A">
          <wp:simplePos x="0" y="0"/>
          <wp:positionH relativeFrom="page">
            <wp:align>center</wp:align>
          </wp:positionH>
          <wp:positionV relativeFrom="page">
            <wp:align>top</wp:align>
          </wp:positionV>
          <wp:extent cx="7560000" cy="1813790"/>
          <wp:effectExtent l="0" t="0" r="3175"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 page 1 - Blu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8137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908"/>
    <w:multiLevelType w:val="multilevel"/>
    <w:tmpl w:val="CE5AC8EC"/>
    <w:numStyleLink w:val="AGDbulletlist1-4"/>
  </w:abstractNum>
  <w:abstractNum w:abstractNumId="1" w15:restartNumberingAfterBreak="0">
    <w:nsid w:val="08DB58BB"/>
    <w:multiLevelType w:val="hybridMultilevel"/>
    <w:tmpl w:val="72A49BDA"/>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2" w15:restartNumberingAfterBreak="0">
    <w:nsid w:val="0D5D4ED4"/>
    <w:multiLevelType w:val="hybridMultilevel"/>
    <w:tmpl w:val="689EE716"/>
    <w:lvl w:ilvl="0" w:tplc="0C09000F">
      <w:start w:val="1"/>
      <w:numFmt w:val="decimal"/>
      <w:lvlText w:val="%1."/>
      <w:lvlJc w:val="left"/>
      <w:pPr>
        <w:ind w:left="720" w:hanging="360"/>
      </w:pPr>
    </w:lvl>
    <w:lvl w:ilvl="1" w:tplc="DF38E944">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B7690A"/>
    <w:multiLevelType w:val="hybridMultilevel"/>
    <w:tmpl w:val="05640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28577F"/>
    <w:multiLevelType w:val="multilevel"/>
    <w:tmpl w:val="C4CEB11A"/>
    <w:numStyleLink w:val="NumberedContinuous"/>
  </w:abstractNum>
  <w:abstractNum w:abstractNumId="5" w15:restartNumberingAfterBreak="0">
    <w:nsid w:val="11995B24"/>
    <w:multiLevelType w:val="hybridMultilevel"/>
    <w:tmpl w:val="7F1022E2"/>
    <w:lvl w:ilvl="0" w:tplc="802C8440">
      <w:numFmt w:val="bullet"/>
      <w:lvlText w:val="•"/>
      <w:lvlJc w:val="left"/>
      <w:pPr>
        <w:ind w:left="1080" w:hanging="72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5728E9"/>
    <w:multiLevelType w:val="multilevel"/>
    <w:tmpl w:val="FA0655B2"/>
    <w:lvl w:ilvl="0">
      <w:start w:val="3"/>
      <w:numFmt w:val="decimal"/>
      <w:lvlText w:val="%1."/>
      <w:lvlJc w:val="left"/>
      <w:pPr>
        <w:ind w:left="567" w:hanging="283"/>
      </w:pPr>
      <w:rPr>
        <w:rFonts w:hint="default"/>
        <w:color w:val="273747" w:themeColor="text1"/>
      </w:rPr>
    </w:lvl>
    <w:lvl w:ilvl="1">
      <w:start w:val="1"/>
      <w:numFmt w:val="lowerLetter"/>
      <w:lvlText w:val="%2."/>
      <w:lvlJc w:val="left"/>
      <w:pPr>
        <w:ind w:left="851" w:hanging="284"/>
      </w:pPr>
      <w:rPr>
        <w:rFonts w:hint="default"/>
        <w:color w:val="auto"/>
      </w:rPr>
    </w:lvl>
    <w:lvl w:ilvl="2">
      <w:start w:val="1"/>
      <w:numFmt w:val="lowerRoman"/>
      <w:lvlText w:val="%3."/>
      <w:lvlJc w:val="left"/>
      <w:pPr>
        <w:ind w:left="1134" w:hanging="283"/>
      </w:pPr>
      <w:rPr>
        <w:rFonts w:hint="default"/>
        <w:color w:val="00274F"/>
      </w:rPr>
    </w:lvl>
    <w:lvl w:ilvl="3">
      <w:start w:val="1"/>
      <w:numFmt w:val="lowerLetter"/>
      <w:lvlText w:val="%4."/>
      <w:lvlJc w:val="left"/>
      <w:pPr>
        <w:ind w:left="1418" w:hanging="284"/>
      </w:pPr>
      <w:rPr>
        <w:rFonts w:hint="default"/>
        <w:color w:val="auto"/>
      </w:rPr>
    </w:lvl>
    <w:lvl w:ilvl="4">
      <w:start w:val="1"/>
      <w:numFmt w:val="bullet"/>
      <w:lvlText w:val=""/>
      <w:lvlJc w:val="left"/>
      <w:pPr>
        <w:ind w:left="1800" w:hanging="360"/>
      </w:pPr>
      <w:rPr>
        <w:rFonts w:ascii="Symbol" w:hAnsi="Symbol" w:hint="default"/>
        <w:color w:val="273747" w:themeColor="text1"/>
      </w:rPr>
    </w:lvl>
    <w:lvl w:ilvl="5">
      <w:start w:val="1"/>
      <w:numFmt w:val="bullet"/>
      <w:lvlText w:val=""/>
      <w:lvlJc w:val="left"/>
      <w:pPr>
        <w:ind w:left="2160" w:hanging="360"/>
      </w:pPr>
      <w:rPr>
        <w:rFonts w:ascii="Symbol" w:hAnsi="Symbol" w:hint="default"/>
        <w:color w:val="273747" w:themeColor="text1"/>
      </w:rPr>
    </w:lvl>
    <w:lvl w:ilvl="6">
      <w:start w:val="1"/>
      <w:numFmt w:val="bullet"/>
      <w:lvlText w:val=""/>
      <w:lvlJc w:val="left"/>
      <w:pPr>
        <w:ind w:left="2520" w:hanging="360"/>
      </w:pPr>
      <w:rPr>
        <w:rFonts w:ascii="Symbol" w:hAnsi="Symbol" w:hint="default"/>
        <w:color w:val="273747" w:themeColor="text1"/>
      </w:rPr>
    </w:lvl>
    <w:lvl w:ilvl="7">
      <w:start w:val="1"/>
      <w:numFmt w:val="bullet"/>
      <w:lvlText w:val=""/>
      <w:lvlJc w:val="left"/>
      <w:pPr>
        <w:ind w:left="2880" w:hanging="360"/>
      </w:pPr>
      <w:rPr>
        <w:rFonts w:ascii="Symbol" w:hAnsi="Symbol" w:hint="default"/>
        <w:color w:val="273747" w:themeColor="text1"/>
      </w:rPr>
    </w:lvl>
    <w:lvl w:ilvl="8">
      <w:start w:val="1"/>
      <w:numFmt w:val="bullet"/>
      <w:lvlText w:val=""/>
      <w:lvlJc w:val="left"/>
      <w:pPr>
        <w:ind w:left="3240" w:hanging="360"/>
      </w:pPr>
      <w:rPr>
        <w:rFonts w:ascii="Symbol" w:hAnsi="Symbol" w:hint="default"/>
        <w:color w:val="273747" w:themeColor="text1"/>
      </w:rPr>
    </w:lvl>
  </w:abstractNum>
  <w:abstractNum w:abstractNumId="7" w15:restartNumberingAfterBreak="0">
    <w:nsid w:val="13EB556F"/>
    <w:multiLevelType w:val="hybridMultilevel"/>
    <w:tmpl w:val="7B74A4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8B643C7"/>
    <w:multiLevelType w:val="hybridMultilevel"/>
    <w:tmpl w:val="BA2CDA44"/>
    <w:lvl w:ilvl="0" w:tplc="FB603F3E">
      <w:start w:val="1"/>
      <w:numFmt w:val="decimal"/>
      <w:lvlText w:val="%1."/>
      <w:lvlJc w:val="left"/>
      <w:pPr>
        <w:ind w:left="1440" w:hanging="360"/>
      </w:pPr>
    </w:lvl>
    <w:lvl w:ilvl="1" w:tplc="9738BB18">
      <w:start w:val="1"/>
      <w:numFmt w:val="decimal"/>
      <w:lvlText w:val="%2."/>
      <w:lvlJc w:val="left"/>
      <w:pPr>
        <w:ind w:left="1440" w:hanging="360"/>
      </w:pPr>
    </w:lvl>
    <w:lvl w:ilvl="2" w:tplc="367ECAF8">
      <w:start w:val="1"/>
      <w:numFmt w:val="decimal"/>
      <w:lvlText w:val="%3."/>
      <w:lvlJc w:val="left"/>
      <w:pPr>
        <w:ind w:left="1440" w:hanging="360"/>
      </w:pPr>
    </w:lvl>
    <w:lvl w:ilvl="3" w:tplc="1B8AEFE2">
      <w:start w:val="1"/>
      <w:numFmt w:val="decimal"/>
      <w:lvlText w:val="%4."/>
      <w:lvlJc w:val="left"/>
      <w:pPr>
        <w:ind w:left="1440" w:hanging="360"/>
      </w:pPr>
    </w:lvl>
    <w:lvl w:ilvl="4" w:tplc="48542696">
      <w:start w:val="1"/>
      <w:numFmt w:val="decimal"/>
      <w:lvlText w:val="%5."/>
      <w:lvlJc w:val="left"/>
      <w:pPr>
        <w:ind w:left="1440" w:hanging="360"/>
      </w:pPr>
    </w:lvl>
    <w:lvl w:ilvl="5" w:tplc="8B466172">
      <w:start w:val="1"/>
      <w:numFmt w:val="decimal"/>
      <w:lvlText w:val="%6."/>
      <w:lvlJc w:val="left"/>
      <w:pPr>
        <w:ind w:left="1440" w:hanging="360"/>
      </w:pPr>
    </w:lvl>
    <w:lvl w:ilvl="6" w:tplc="B9C435F0">
      <w:start w:val="1"/>
      <w:numFmt w:val="decimal"/>
      <w:lvlText w:val="%7."/>
      <w:lvlJc w:val="left"/>
      <w:pPr>
        <w:ind w:left="1440" w:hanging="360"/>
      </w:pPr>
    </w:lvl>
    <w:lvl w:ilvl="7" w:tplc="9F8C2AFC">
      <w:start w:val="1"/>
      <w:numFmt w:val="decimal"/>
      <w:lvlText w:val="%8."/>
      <w:lvlJc w:val="left"/>
      <w:pPr>
        <w:ind w:left="1440" w:hanging="360"/>
      </w:pPr>
    </w:lvl>
    <w:lvl w:ilvl="8" w:tplc="7CD2042C">
      <w:start w:val="1"/>
      <w:numFmt w:val="decimal"/>
      <w:lvlText w:val="%9."/>
      <w:lvlJc w:val="left"/>
      <w:pPr>
        <w:ind w:left="1440" w:hanging="360"/>
      </w:pPr>
    </w:lvl>
  </w:abstractNum>
  <w:abstractNum w:abstractNumId="9" w15:restartNumberingAfterBreak="0">
    <w:nsid w:val="19614DD6"/>
    <w:multiLevelType w:val="multilevel"/>
    <w:tmpl w:val="E62E23F8"/>
    <w:lvl w:ilvl="0">
      <w:start w:val="1"/>
      <w:numFmt w:val="decimal"/>
      <w:lvlText w:val="%1."/>
      <w:lvlJc w:val="left"/>
      <w:pPr>
        <w:ind w:left="283" w:hanging="283"/>
      </w:pPr>
      <w:rPr>
        <w:rFonts w:hint="default"/>
      </w:rPr>
    </w:lvl>
    <w:lvl w:ilvl="1">
      <w:start w:val="1"/>
      <w:numFmt w:val="lowerLetter"/>
      <w:lvlText w:val="%2."/>
      <w:lvlJc w:val="left"/>
      <w:pPr>
        <w:ind w:left="567" w:hanging="284"/>
      </w:pPr>
      <w:rPr>
        <w:rFonts w:hint="default"/>
      </w:rPr>
    </w:lvl>
    <w:lvl w:ilvl="2">
      <w:start w:val="1"/>
      <w:numFmt w:val="lowerRoman"/>
      <w:lvlText w:val="%3."/>
      <w:lvlJc w:val="left"/>
      <w:pPr>
        <w:ind w:left="850" w:hanging="283"/>
      </w:pPr>
      <w:rPr>
        <w:rFonts w:hint="default"/>
      </w:rPr>
    </w:lvl>
    <w:lvl w:ilvl="3">
      <w:start w:val="1"/>
      <w:numFmt w:val="lowerLetter"/>
      <w:lvlText w:val="%4."/>
      <w:lvlJc w:val="left"/>
      <w:pPr>
        <w:ind w:left="1134" w:hanging="284"/>
      </w:pPr>
      <w:rPr>
        <w:rFonts w:hint="default"/>
      </w:rPr>
    </w:lvl>
    <w:lvl w:ilvl="4">
      <w:start w:val="1"/>
      <w:numFmt w:val="bullet"/>
      <w:lvlText w:val=""/>
      <w:lvlJc w:val="left"/>
      <w:pPr>
        <w:ind w:left="1516" w:hanging="360"/>
      </w:pPr>
      <w:rPr>
        <w:rFonts w:ascii="Symbol" w:hAnsi="Symbol" w:hint="default"/>
        <w:color w:val="273747" w:themeColor="text1"/>
      </w:rPr>
    </w:lvl>
    <w:lvl w:ilvl="5">
      <w:start w:val="1"/>
      <w:numFmt w:val="bullet"/>
      <w:lvlText w:val=""/>
      <w:lvlJc w:val="left"/>
      <w:pPr>
        <w:ind w:left="1876" w:hanging="360"/>
      </w:pPr>
      <w:rPr>
        <w:rFonts w:ascii="Symbol" w:hAnsi="Symbol" w:hint="default"/>
        <w:color w:val="273747" w:themeColor="text1"/>
      </w:rPr>
    </w:lvl>
    <w:lvl w:ilvl="6">
      <w:start w:val="1"/>
      <w:numFmt w:val="bullet"/>
      <w:lvlText w:val=""/>
      <w:lvlJc w:val="left"/>
      <w:pPr>
        <w:ind w:left="2236" w:hanging="360"/>
      </w:pPr>
      <w:rPr>
        <w:rFonts w:ascii="Symbol" w:hAnsi="Symbol" w:hint="default"/>
        <w:color w:val="273747" w:themeColor="text1"/>
      </w:rPr>
    </w:lvl>
    <w:lvl w:ilvl="7">
      <w:start w:val="1"/>
      <w:numFmt w:val="bullet"/>
      <w:lvlText w:val=""/>
      <w:lvlJc w:val="left"/>
      <w:pPr>
        <w:ind w:left="2596" w:hanging="360"/>
      </w:pPr>
      <w:rPr>
        <w:rFonts w:ascii="Symbol" w:hAnsi="Symbol" w:hint="default"/>
        <w:color w:val="273747" w:themeColor="text1"/>
      </w:rPr>
    </w:lvl>
    <w:lvl w:ilvl="8">
      <w:start w:val="1"/>
      <w:numFmt w:val="bullet"/>
      <w:lvlText w:val=""/>
      <w:lvlJc w:val="left"/>
      <w:pPr>
        <w:ind w:left="2956" w:hanging="360"/>
      </w:pPr>
      <w:rPr>
        <w:rFonts w:ascii="Symbol" w:hAnsi="Symbol" w:hint="default"/>
        <w:color w:val="273747" w:themeColor="text1"/>
      </w:rPr>
    </w:lvl>
  </w:abstractNum>
  <w:abstractNum w:abstractNumId="10" w15:restartNumberingAfterBreak="0">
    <w:nsid w:val="1A0728DB"/>
    <w:multiLevelType w:val="hybridMultilevel"/>
    <w:tmpl w:val="46B4D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E9212F"/>
    <w:multiLevelType w:val="hybridMultilevel"/>
    <w:tmpl w:val="859AECB4"/>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5D3D90"/>
    <w:multiLevelType w:val="multilevel"/>
    <w:tmpl w:val="CE5AC8EC"/>
    <w:numStyleLink w:val="AGDbulletlist1-4"/>
  </w:abstractNum>
  <w:abstractNum w:abstractNumId="13" w15:restartNumberingAfterBreak="0">
    <w:nsid w:val="230364FE"/>
    <w:multiLevelType w:val="multilevel"/>
    <w:tmpl w:val="CE5AC8EC"/>
    <w:styleLink w:val="AGDbulletlist1-4"/>
    <w:lvl w:ilvl="0">
      <w:start w:val="1"/>
      <w:numFmt w:val="bullet"/>
      <w:pStyle w:val="Bulletlevel1"/>
      <w:lvlText w:val=""/>
      <w:lvlJc w:val="left"/>
      <w:pPr>
        <w:ind w:left="567" w:hanging="283"/>
      </w:pPr>
      <w:rPr>
        <w:rFonts w:ascii="Symbol" w:hAnsi="Symbol" w:hint="default"/>
        <w:color w:val="273747" w:themeColor="text1"/>
      </w:rPr>
    </w:lvl>
    <w:lvl w:ilvl="1">
      <w:start w:val="1"/>
      <w:numFmt w:val="bullet"/>
      <w:pStyle w:val="Bulletlevel2"/>
      <w:lvlText w:val="–"/>
      <w:lvlJc w:val="left"/>
      <w:pPr>
        <w:ind w:left="851" w:hanging="284"/>
      </w:pPr>
      <w:rPr>
        <w:rFonts w:ascii="Arial" w:hAnsi="Arial" w:hint="default"/>
        <w:color w:val="auto"/>
      </w:rPr>
    </w:lvl>
    <w:lvl w:ilvl="2">
      <w:start w:val="1"/>
      <w:numFmt w:val="bullet"/>
      <w:pStyle w:val="Bulletlevel3"/>
      <w:lvlText w:val=""/>
      <w:lvlJc w:val="left"/>
      <w:pPr>
        <w:ind w:left="1134" w:hanging="283"/>
      </w:pPr>
      <w:rPr>
        <w:rFonts w:ascii="Symbol" w:hAnsi="Symbol" w:hint="default"/>
        <w:color w:val="00274F"/>
      </w:rPr>
    </w:lvl>
    <w:lvl w:ilvl="3">
      <w:start w:val="1"/>
      <w:numFmt w:val="bullet"/>
      <w:pStyle w:val="Bulletlevel4"/>
      <w:lvlText w:val="–"/>
      <w:lvlJc w:val="left"/>
      <w:pPr>
        <w:ind w:left="1418" w:hanging="284"/>
      </w:pPr>
      <w:rPr>
        <w:rFonts w:ascii="Arial" w:hAnsi="Arial" w:hint="default"/>
        <w:color w:val="auto"/>
      </w:rPr>
    </w:lvl>
    <w:lvl w:ilvl="4">
      <w:start w:val="1"/>
      <w:numFmt w:val="bullet"/>
      <w:lvlText w:val=""/>
      <w:lvlJc w:val="left"/>
      <w:pPr>
        <w:ind w:left="1800" w:hanging="360"/>
      </w:pPr>
      <w:rPr>
        <w:rFonts w:ascii="Symbol" w:hAnsi="Symbol" w:hint="default"/>
        <w:color w:val="273747" w:themeColor="text1"/>
      </w:rPr>
    </w:lvl>
    <w:lvl w:ilvl="5">
      <w:start w:val="1"/>
      <w:numFmt w:val="bullet"/>
      <w:lvlText w:val=""/>
      <w:lvlJc w:val="left"/>
      <w:pPr>
        <w:ind w:left="2160" w:hanging="360"/>
      </w:pPr>
      <w:rPr>
        <w:rFonts w:ascii="Symbol" w:hAnsi="Symbol" w:hint="default"/>
        <w:color w:val="273747" w:themeColor="text1"/>
      </w:rPr>
    </w:lvl>
    <w:lvl w:ilvl="6">
      <w:start w:val="1"/>
      <w:numFmt w:val="bullet"/>
      <w:lvlText w:val=""/>
      <w:lvlJc w:val="left"/>
      <w:pPr>
        <w:ind w:left="2520" w:hanging="360"/>
      </w:pPr>
      <w:rPr>
        <w:rFonts w:ascii="Symbol" w:hAnsi="Symbol" w:hint="default"/>
        <w:color w:val="273747" w:themeColor="text1"/>
      </w:rPr>
    </w:lvl>
    <w:lvl w:ilvl="7">
      <w:start w:val="1"/>
      <w:numFmt w:val="bullet"/>
      <w:lvlText w:val=""/>
      <w:lvlJc w:val="left"/>
      <w:pPr>
        <w:ind w:left="2880" w:hanging="360"/>
      </w:pPr>
      <w:rPr>
        <w:rFonts w:ascii="Symbol" w:hAnsi="Symbol" w:hint="default"/>
        <w:color w:val="273747" w:themeColor="text1"/>
      </w:rPr>
    </w:lvl>
    <w:lvl w:ilvl="8">
      <w:start w:val="1"/>
      <w:numFmt w:val="bullet"/>
      <w:lvlText w:val=""/>
      <w:lvlJc w:val="left"/>
      <w:pPr>
        <w:ind w:left="3240" w:hanging="360"/>
      </w:pPr>
      <w:rPr>
        <w:rFonts w:ascii="Symbol" w:hAnsi="Symbol" w:hint="default"/>
        <w:color w:val="273747" w:themeColor="text1"/>
      </w:rPr>
    </w:lvl>
  </w:abstractNum>
  <w:abstractNum w:abstractNumId="14" w15:restartNumberingAfterBreak="0">
    <w:nsid w:val="23BF0898"/>
    <w:multiLevelType w:val="hybridMultilevel"/>
    <w:tmpl w:val="FC947F78"/>
    <w:lvl w:ilvl="0" w:tplc="B606922A">
      <w:start w:val="1"/>
      <w:numFmt w:val="bullet"/>
      <w:lvlText w:val="–"/>
      <w:lvlJc w:val="left"/>
      <w:pPr>
        <w:ind w:left="1287" w:hanging="360"/>
      </w:pPr>
      <w:rPr>
        <w:rFonts w:ascii="Arial" w:hAnsi="Arial" w:hint="default"/>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278F5AEE"/>
    <w:multiLevelType w:val="hybridMultilevel"/>
    <w:tmpl w:val="639CCE8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163EE5"/>
    <w:multiLevelType w:val="multilevel"/>
    <w:tmpl w:val="C4CEB11A"/>
    <w:numStyleLink w:val="NumberedContinuous"/>
  </w:abstractNum>
  <w:abstractNum w:abstractNumId="17" w15:restartNumberingAfterBreak="0">
    <w:nsid w:val="2C10251B"/>
    <w:multiLevelType w:val="multilevel"/>
    <w:tmpl w:val="472CE152"/>
    <w:lvl w:ilvl="0">
      <w:start w:val="1"/>
      <w:numFmt w:val="bullet"/>
      <w:lvlText w:val=""/>
      <w:lvlJc w:val="left"/>
      <w:pPr>
        <w:ind w:left="567" w:hanging="283"/>
      </w:pPr>
      <w:rPr>
        <w:rFonts w:ascii="Symbol" w:hAnsi="Symbol" w:hint="default"/>
        <w:color w:val="273747" w:themeColor="text1"/>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4" w:hanging="283"/>
      </w:pPr>
      <w:rPr>
        <w:rFonts w:ascii="Symbol" w:hAnsi="Symbol" w:hint="default"/>
        <w:color w:val="00274F"/>
      </w:rPr>
    </w:lvl>
    <w:lvl w:ilvl="3">
      <w:start w:val="1"/>
      <w:numFmt w:val="bullet"/>
      <w:lvlText w:val="–"/>
      <w:lvlJc w:val="left"/>
      <w:pPr>
        <w:ind w:left="1418" w:hanging="284"/>
      </w:pPr>
      <w:rPr>
        <w:rFonts w:ascii="Arial" w:hAnsi="Arial" w:hint="default"/>
        <w:color w:val="auto"/>
      </w:rPr>
    </w:lvl>
    <w:lvl w:ilvl="4">
      <w:start w:val="1"/>
      <w:numFmt w:val="bullet"/>
      <w:lvlText w:val=""/>
      <w:lvlJc w:val="left"/>
      <w:pPr>
        <w:ind w:left="1800" w:hanging="360"/>
      </w:pPr>
      <w:rPr>
        <w:rFonts w:ascii="Symbol" w:hAnsi="Symbol" w:hint="default"/>
        <w:color w:val="273747" w:themeColor="text1"/>
      </w:rPr>
    </w:lvl>
    <w:lvl w:ilvl="5">
      <w:start w:val="1"/>
      <w:numFmt w:val="bullet"/>
      <w:lvlText w:val=""/>
      <w:lvlJc w:val="left"/>
      <w:pPr>
        <w:ind w:left="2160" w:hanging="360"/>
      </w:pPr>
      <w:rPr>
        <w:rFonts w:ascii="Symbol" w:hAnsi="Symbol" w:hint="default"/>
        <w:color w:val="273747" w:themeColor="text1"/>
      </w:rPr>
    </w:lvl>
    <w:lvl w:ilvl="6">
      <w:start w:val="1"/>
      <w:numFmt w:val="bullet"/>
      <w:lvlText w:val=""/>
      <w:lvlJc w:val="left"/>
      <w:pPr>
        <w:ind w:left="2520" w:hanging="360"/>
      </w:pPr>
      <w:rPr>
        <w:rFonts w:ascii="Symbol" w:hAnsi="Symbol" w:hint="default"/>
        <w:color w:val="273747" w:themeColor="text1"/>
      </w:rPr>
    </w:lvl>
    <w:lvl w:ilvl="7">
      <w:start w:val="1"/>
      <w:numFmt w:val="bullet"/>
      <w:lvlText w:val=""/>
      <w:lvlJc w:val="left"/>
      <w:pPr>
        <w:ind w:left="2880" w:hanging="360"/>
      </w:pPr>
      <w:rPr>
        <w:rFonts w:ascii="Symbol" w:hAnsi="Symbol" w:hint="default"/>
        <w:color w:val="273747" w:themeColor="text1"/>
      </w:rPr>
    </w:lvl>
    <w:lvl w:ilvl="8">
      <w:start w:val="1"/>
      <w:numFmt w:val="bullet"/>
      <w:lvlText w:val=""/>
      <w:lvlJc w:val="left"/>
      <w:pPr>
        <w:ind w:left="3240" w:hanging="360"/>
      </w:pPr>
      <w:rPr>
        <w:rFonts w:ascii="Symbol" w:hAnsi="Symbol" w:hint="default"/>
        <w:color w:val="273747" w:themeColor="text1"/>
      </w:rPr>
    </w:lvl>
  </w:abstractNum>
  <w:abstractNum w:abstractNumId="18" w15:restartNumberingAfterBreak="0">
    <w:nsid w:val="2D2641CD"/>
    <w:multiLevelType w:val="singleLevel"/>
    <w:tmpl w:val="0C090019"/>
    <w:lvl w:ilvl="0">
      <w:start w:val="1"/>
      <w:numFmt w:val="lowerLetter"/>
      <w:lvlText w:val="%1."/>
      <w:lvlJc w:val="left"/>
      <w:pPr>
        <w:ind w:left="720" w:hanging="360"/>
      </w:pPr>
      <w:rPr>
        <w:rFonts w:hint="default"/>
        <w:color w:val="273747" w:themeColor="text1"/>
      </w:rPr>
    </w:lvl>
  </w:abstractNum>
  <w:abstractNum w:abstractNumId="19" w15:restartNumberingAfterBreak="0">
    <w:nsid w:val="2F672F12"/>
    <w:multiLevelType w:val="multilevel"/>
    <w:tmpl w:val="472CE152"/>
    <w:lvl w:ilvl="0">
      <w:start w:val="1"/>
      <w:numFmt w:val="bullet"/>
      <w:lvlText w:val=""/>
      <w:lvlJc w:val="left"/>
      <w:pPr>
        <w:ind w:left="567" w:hanging="283"/>
      </w:pPr>
      <w:rPr>
        <w:rFonts w:ascii="Symbol" w:hAnsi="Symbol" w:hint="default"/>
        <w:color w:val="273747" w:themeColor="text1"/>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4" w:hanging="283"/>
      </w:pPr>
      <w:rPr>
        <w:rFonts w:ascii="Symbol" w:hAnsi="Symbol" w:hint="default"/>
        <w:color w:val="00274F"/>
      </w:rPr>
    </w:lvl>
    <w:lvl w:ilvl="3">
      <w:start w:val="1"/>
      <w:numFmt w:val="bullet"/>
      <w:lvlText w:val="–"/>
      <w:lvlJc w:val="left"/>
      <w:pPr>
        <w:ind w:left="1418" w:hanging="284"/>
      </w:pPr>
      <w:rPr>
        <w:rFonts w:ascii="Arial" w:hAnsi="Arial" w:hint="default"/>
        <w:color w:val="auto"/>
      </w:rPr>
    </w:lvl>
    <w:lvl w:ilvl="4">
      <w:start w:val="1"/>
      <w:numFmt w:val="bullet"/>
      <w:lvlText w:val=""/>
      <w:lvlJc w:val="left"/>
      <w:pPr>
        <w:ind w:left="1800" w:hanging="360"/>
      </w:pPr>
      <w:rPr>
        <w:rFonts w:ascii="Symbol" w:hAnsi="Symbol" w:hint="default"/>
        <w:color w:val="273747" w:themeColor="text1"/>
      </w:rPr>
    </w:lvl>
    <w:lvl w:ilvl="5">
      <w:start w:val="1"/>
      <w:numFmt w:val="bullet"/>
      <w:lvlText w:val=""/>
      <w:lvlJc w:val="left"/>
      <w:pPr>
        <w:ind w:left="2160" w:hanging="360"/>
      </w:pPr>
      <w:rPr>
        <w:rFonts w:ascii="Symbol" w:hAnsi="Symbol" w:hint="default"/>
        <w:color w:val="273747" w:themeColor="text1"/>
      </w:rPr>
    </w:lvl>
    <w:lvl w:ilvl="6">
      <w:start w:val="1"/>
      <w:numFmt w:val="bullet"/>
      <w:lvlText w:val=""/>
      <w:lvlJc w:val="left"/>
      <w:pPr>
        <w:ind w:left="2520" w:hanging="360"/>
      </w:pPr>
      <w:rPr>
        <w:rFonts w:ascii="Symbol" w:hAnsi="Symbol" w:hint="default"/>
        <w:color w:val="273747" w:themeColor="text1"/>
      </w:rPr>
    </w:lvl>
    <w:lvl w:ilvl="7">
      <w:start w:val="1"/>
      <w:numFmt w:val="bullet"/>
      <w:lvlText w:val=""/>
      <w:lvlJc w:val="left"/>
      <w:pPr>
        <w:ind w:left="2880" w:hanging="360"/>
      </w:pPr>
      <w:rPr>
        <w:rFonts w:ascii="Symbol" w:hAnsi="Symbol" w:hint="default"/>
        <w:color w:val="273747" w:themeColor="text1"/>
      </w:rPr>
    </w:lvl>
    <w:lvl w:ilvl="8">
      <w:start w:val="1"/>
      <w:numFmt w:val="bullet"/>
      <w:lvlText w:val=""/>
      <w:lvlJc w:val="left"/>
      <w:pPr>
        <w:ind w:left="3240" w:hanging="360"/>
      </w:pPr>
      <w:rPr>
        <w:rFonts w:ascii="Symbol" w:hAnsi="Symbol" w:hint="default"/>
        <w:color w:val="273747" w:themeColor="text1"/>
      </w:rPr>
    </w:lvl>
  </w:abstractNum>
  <w:abstractNum w:abstractNumId="20" w15:restartNumberingAfterBreak="0">
    <w:nsid w:val="33DE13E5"/>
    <w:multiLevelType w:val="hybridMultilevel"/>
    <w:tmpl w:val="EF40FD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5F525AE"/>
    <w:multiLevelType w:val="hybridMultilevel"/>
    <w:tmpl w:val="98821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476611"/>
    <w:multiLevelType w:val="multilevel"/>
    <w:tmpl w:val="CE5AC8EC"/>
    <w:numStyleLink w:val="AGDbulletlist1-4"/>
  </w:abstractNum>
  <w:abstractNum w:abstractNumId="23" w15:restartNumberingAfterBreak="0">
    <w:nsid w:val="374E5E3A"/>
    <w:multiLevelType w:val="hybridMultilevel"/>
    <w:tmpl w:val="B502A742"/>
    <w:lvl w:ilvl="0" w:tplc="EADED4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8D51046"/>
    <w:multiLevelType w:val="multilevel"/>
    <w:tmpl w:val="C4CEB11A"/>
    <w:numStyleLink w:val="NumberedContinuous"/>
  </w:abstractNum>
  <w:abstractNum w:abstractNumId="25" w15:restartNumberingAfterBreak="0">
    <w:nsid w:val="397D241D"/>
    <w:multiLevelType w:val="multilevel"/>
    <w:tmpl w:val="472CE152"/>
    <w:lvl w:ilvl="0">
      <w:start w:val="1"/>
      <w:numFmt w:val="bullet"/>
      <w:lvlText w:val=""/>
      <w:lvlJc w:val="left"/>
      <w:pPr>
        <w:ind w:left="567" w:hanging="283"/>
      </w:pPr>
      <w:rPr>
        <w:rFonts w:ascii="Symbol" w:hAnsi="Symbol" w:hint="default"/>
        <w:color w:val="273747" w:themeColor="text1"/>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4" w:hanging="283"/>
      </w:pPr>
      <w:rPr>
        <w:rFonts w:ascii="Symbol" w:hAnsi="Symbol" w:hint="default"/>
        <w:color w:val="00274F"/>
      </w:rPr>
    </w:lvl>
    <w:lvl w:ilvl="3">
      <w:start w:val="1"/>
      <w:numFmt w:val="bullet"/>
      <w:lvlText w:val="–"/>
      <w:lvlJc w:val="left"/>
      <w:pPr>
        <w:ind w:left="1418" w:hanging="284"/>
      </w:pPr>
      <w:rPr>
        <w:rFonts w:ascii="Arial" w:hAnsi="Arial" w:hint="default"/>
        <w:color w:val="auto"/>
      </w:rPr>
    </w:lvl>
    <w:lvl w:ilvl="4">
      <w:start w:val="1"/>
      <w:numFmt w:val="bullet"/>
      <w:lvlText w:val=""/>
      <w:lvlJc w:val="left"/>
      <w:pPr>
        <w:ind w:left="1800" w:hanging="360"/>
      </w:pPr>
      <w:rPr>
        <w:rFonts w:ascii="Symbol" w:hAnsi="Symbol" w:hint="default"/>
        <w:color w:val="273747" w:themeColor="text1"/>
      </w:rPr>
    </w:lvl>
    <w:lvl w:ilvl="5">
      <w:start w:val="1"/>
      <w:numFmt w:val="bullet"/>
      <w:lvlText w:val=""/>
      <w:lvlJc w:val="left"/>
      <w:pPr>
        <w:ind w:left="2160" w:hanging="360"/>
      </w:pPr>
      <w:rPr>
        <w:rFonts w:ascii="Symbol" w:hAnsi="Symbol" w:hint="default"/>
        <w:color w:val="273747" w:themeColor="text1"/>
      </w:rPr>
    </w:lvl>
    <w:lvl w:ilvl="6">
      <w:start w:val="1"/>
      <w:numFmt w:val="bullet"/>
      <w:lvlText w:val=""/>
      <w:lvlJc w:val="left"/>
      <w:pPr>
        <w:ind w:left="2520" w:hanging="360"/>
      </w:pPr>
      <w:rPr>
        <w:rFonts w:ascii="Symbol" w:hAnsi="Symbol" w:hint="default"/>
        <w:color w:val="273747" w:themeColor="text1"/>
      </w:rPr>
    </w:lvl>
    <w:lvl w:ilvl="7">
      <w:start w:val="1"/>
      <w:numFmt w:val="bullet"/>
      <w:lvlText w:val=""/>
      <w:lvlJc w:val="left"/>
      <w:pPr>
        <w:ind w:left="2880" w:hanging="360"/>
      </w:pPr>
      <w:rPr>
        <w:rFonts w:ascii="Symbol" w:hAnsi="Symbol" w:hint="default"/>
        <w:color w:val="273747" w:themeColor="text1"/>
      </w:rPr>
    </w:lvl>
    <w:lvl w:ilvl="8">
      <w:start w:val="1"/>
      <w:numFmt w:val="bullet"/>
      <w:lvlText w:val=""/>
      <w:lvlJc w:val="left"/>
      <w:pPr>
        <w:ind w:left="3240" w:hanging="360"/>
      </w:pPr>
      <w:rPr>
        <w:rFonts w:ascii="Symbol" w:hAnsi="Symbol" w:hint="default"/>
        <w:color w:val="273747" w:themeColor="text1"/>
      </w:rPr>
    </w:lvl>
  </w:abstractNum>
  <w:abstractNum w:abstractNumId="26" w15:restartNumberingAfterBreak="0">
    <w:nsid w:val="3B601999"/>
    <w:multiLevelType w:val="hybridMultilevel"/>
    <w:tmpl w:val="7608850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7" w15:restartNumberingAfterBreak="0">
    <w:nsid w:val="3E4B78EC"/>
    <w:multiLevelType w:val="multilevel"/>
    <w:tmpl w:val="FA0655B2"/>
    <w:lvl w:ilvl="0">
      <w:start w:val="3"/>
      <w:numFmt w:val="decimal"/>
      <w:lvlText w:val="%1."/>
      <w:lvlJc w:val="left"/>
      <w:pPr>
        <w:ind w:left="567" w:hanging="283"/>
      </w:pPr>
      <w:rPr>
        <w:rFonts w:hint="default"/>
        <w:color w:val="273747" w:themeColor="text1"/>
      </w:rPr>
    </w:lvl>
    <w:lvl w:ilvl="1">
      <w:start w:val="1"/>
      <w:numFmt w:val="lowerLetter"/>
      <w:lvlText w:val="%2."/>
      <w:lvlJc w:val="left"/>
      <w:pPr>
        <w:ind w:left="851" w:hanging="284"/>
      </w:pPr>
      <w:rPr>
        <w:rFonts w:hint="default"/>
        <w:color w:val="auto"/>
      </w:rPr>
    </w:lvl>
    <w:lvl w:ilvl="2">
      <w:start w:val="1"/>
      <w:numFmt w:val="lowerRoman"/>
      <w:lvlText w:val="%3."/>
      <w:lvlJc w:val="left"/>
      <w:pPr>
        <w:ind w:left="1134" w:hanging="283"/>
      </w:pPr>
      <w:rPr>
        <w:rFonts w:hint="default"/>
        <w:color w:val="00274F"/>
      </w:rPr>
    </w:lvl>
    <w:lvl w:ilvl="3">
      <w:start w:val="1"/>
      <w:numFmt w:val="lowerLetter"/>
      <w:lvlText w:val="%4."/>
      <w:lvlJc w:val="left"/>
      <w:pPr>
        <w:ind w:left="1418" w:hanging="284"/>
      </w:pPr>
      <w:rPr>
        <w:rFonts w:hint="default"/>
        <w:color w:val="auto"/>
      </w:rPr>
    </w:lvl>
    <w:lvl w:ilvl="4">
      <w:start w:val="1"/>
      <w:numFmt w:val="bullet"/>
      <w:lvlText w:val=""/>
      <w:lvlJc w:val="left"/>
      <w:pPr>
        <w:ind w:left="1800" w:hanging="360"/>
      </w:pPr>
      <w:rPr>
        <w:rFonts w:ascii="Symbol" w:hAnsi="Symbol" w:hint="default"/>
        <w:color w:val="273747" w:themeColor="text1"/>
      </w:rPr>
    </w:lvl>
    <w:lvl w:ilvl="5">
      <w:start w:val="1"/>
      <w:numFmt w:val="bullet"/>
      <w:lvlText w:val=""/>
      <w:lvlJc w:val="left"/>
      <w:pPr>
        <w:ind w:left="2160" w:hanging="360"/>
      </w:pPr>
      <w:rPr>
        <w:rFonts w:ascii="Symbol" w:hAnsi="Symbol" w:hint="default"/>
        <w:color w:val="273747" w:themeColor="text1"/>
      </w:rPr>
    </w:lvl>
    <w:lvl w:ilvl="6">
      <w:start w:val="1"/>
      <w:numFmt w:val="bullet"/>
      <w:lvlText w:val=""/>
      <w:lvlJc w:val="left"/>
      <w:pPr>
        <w:ind w:left="2520" w:hanging="360"/>
      </w:pPr>
      <w:rPr>
        <w:rFonts w:ascii="Symbol" w:hAnsi="Symbol" w:hint="default"/>
        <w:color w:val="273747" w:themeColor="text1"/>
      </w:rPr>
    </w:lvl>
    <w:lvl w:ilvl="7">
      <w:start w:val="1"/>
      <w:numFmt w:val="bullet"/>
      <w:lvlText w:val=""/>
      <w:lvlJc w:val="left"/>
      <w:pPr>
        <w:ind w:left="2880" w:hanging="360"/>
      </w:pPr>
      <w:rPr>
        <w:rFonts w:ascii="Symbol" w:hAnsi="Symbol" w:hint="default"/>
        <w:color w:val="273747" w:themeColor="text1"/>
      </w:rPr>
    </w:lvl>
    <w:lvl w:ilvl="8">
      <w:start w:val="1"/>
      <w:numFmt w:val="bullet"/>
      <w:lvlText w:val=""/>
      <w:lvlJc w:val="left"/>
      <w:pPr>
        <w:ind w:left="3240" w:hanging="360"/>
      </w:pPr>
      <w:rPr>
        <w:rFonts w:ascii="Symbol" w:hAnsi="Symbol" w:hint="default"/>
        <w:color w:val="273747" w:themeColor="text1"/>
      </w:rPr>
    </w:lvl>
  </w:abstractNum>
  <w:abstractNum w:abstractNumId="28" w15:restartNumberingAfterBreak="0">
    <w:nsid w:val="3FE33000"/>
    <w:multiLevelType w:val="hybridMultilevel"/>
    <w:tmpl w:val="3FF04E3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4972A47"/>
    <w:multiLevelType w:val="hybridMultilevel"/>
    <w:tmpl w:val="910CE7E2"/>
    <w:lvl w:ilvl="0" w:tplc="4BB4B948">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44C91948"/>
    <w:multiLevelType w:val="hybridMultilevel"/>
    <w:tmpl w:val="4C8E6CA0"/>
    <w:lvl w:ilvl="0" w:tplc="802C8440">
      <w:numFmt w:val="bullet"/>
      <w:lvlText w:val="•"/>
      <w:lvlJc w:val="left"/>
      <w:pPr>
        <w:ind w:left="1080" w:hanging="72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54F19F8"/>
    <w:multiLevelType w:val="multilevel"/>
    <w:tmpl w:val="FA0655B2"/>
    <w:lvl w:ilvl="0">
      <w:start w:val="3"/>
      <w:numFmt w:val="decimal"/>
      <w:lvlText w:val="%1."/>
      <w:lvlJc w:val="left"/>
      <w:pPr>
        <w:ind w:left="567" w:hanging="283"/>
      </w:pPr>
      <w:rPr>
        <w:rFonts w:hint="default"/>
        <w:color w:val="273747" w:themeColor="text1"/>
      </w:rPr>
    </w:lvl>
    <w:lvl w:ilvl="1">
      <w:start w:val="1"/>
      <w:numFmt w:val="lowerLetter"/>
      <w:lvlText w:val="%2."/>
      <w:lvlJc w:val="left"/>
      <w:pPr>
        <w:ind w:left="851" w:hanging="284"/>
      </w:pPr>
      <w:rPr>
        <w:rFonts w:hint="default"/>
        <w:color w:val="auto"/>
      </w:rPr>
    </w:lvl>
    <w:lvl w:ilvl="2">
      <w:start w:val="1"/>
      <w:numFmt w:val="lowerRoman"/>
      <w:lvlText w:val="%3."/>
      <w:lvlJc w:val="left"/>
      <w:pPr>
        <w:ind w:left="1134" w:hanging="283"/>
      </w:pPr>
      <w:rPr>
        <w:rFonts w:hint="default"/>
        <w:color w:val="00274F"/>
      </w:rPr>
    </w:lvl>
    <w:lvl w:ilvl="3">
      <w:start w:val="1"/>
      <w:numFmt w:val="lowerLetter"/>
      <w:lvlText w:val="%4."/>
      <w:lvlJc w:val="left"/>
      <w:pPr>
        <w:ind w:left="1418" w:hanging="284"/>
      </w:pPr>
      <w:rPr>
        <w:rFonts w:hint="default"/>
        <w:color w:val="auto"/>
      </w:rPr>
    </w:lvl>
    <w:lvl w:ilvl="4">
      <w:start w:val="1"/>
      <w:numFmt w:val="bullet"/>
      <w:lvlText w:val=""/>
      <w:lvlJc w:val="left"/>
      <w:pPr>
        <w:ind w:left="1800" w:hanging="360"/>
      </w:pPr>
      <w:rPr>
        <w:rFonts w:ascii="Symbol" w:hAnsi="Symbol" w:hint="default"/>
        <w:color w:val="273747" w:themeColor="text1"/>
      </w:rPr>
    </w:lvl>
    <w:lvl w:ilvl="5">
      <w:start w:val="1"/>
      <w:numFmt w:val="bullet"/>
      <w:lvlText w:val=""/>
      <w:lvlJc w:val="left"/>
      <w:pPr>
        <w:ind w:left="2160" w:hanging="360"/>
      </w:pPr>
      <w:rPr>
        <w:rFonts w:ascii="Symbol" w:hAnsi="Symbol" w:hint="default"/>
        <w:color w:val="273747" w:themeColor="text1"/>
      </w:rPr>
    </w:lvl>
    <w:lvl w:ilvl="6">
      <w:start w:val="1"/>
      <w:numFmt w:val="bullet"/>
      <w:lvlText w:val=""/>
      <w:lvlJc w:val="left"/>
      <w:pPr>
        <w:ind w:left="2520" w:hanging="360"/>
      </w:pPr>
      <w:rPr>
        <w:rFonts w:ascii="Symbol" w:hAnsi="Symbol" w:hint="default"/>
        <w:color w:val="273747" w:themeColor="text1"/>
      </w:rPr>
    </w:lvl>
    <w:lvl w:ilvl="7">
      <w:start w:val="1"/>
      <w:numFmt w:val="bullet"/>
      <w:lvlText w:val=""/>
      <w:lvlJc w:val="left"/>
      <w:pPr>
        <w:ind w:left="2880" w:hanging="360"/>
      </w:pPr>
      <w:rPr>
        <w:rFonts w:ascii="Symbol" w:hAnsi="Symbol" w:hint="default"/>
        <w:color w:val="273747" w:themeColor="text1"/>
      </w:rPr>
    </w:lvl>
    <w:lvl w:ilvl="8">
      <w:start w:val="1"/>
      <w:numFmt w:val="bullet"/>
      <w:lvlText w:val=""/>
      <w:lvlJc w:val="left"/>
      <w:pPr>
        <w:ind w:left="3240" w:hanging="360"/>
      </w:pPr>
      <w:rPr>
        <w:rFonts w:ascii="Symbol" w:hAnsi="Symbol" w:hint="default"/>
        <w:color w:val="273747" w:themeColor="text1"/>
      </w:rPr>
    </w:lvl>
  </w:abstractNum>
  <w:abstractNum w:abstractNumId="32" w15:restartNumberingAfterBreak="0">
    <w:nsid w:val="45B1565B"/>
    <w:multiLevelType w:val="hybridMultilevel"/>
    <w:tmpl w:val="FC34E6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A3B00F2"/>
    <w:multiLevelType w:val="multilevel"/>
    <w:tmpl w:val="C4CEB11A"/>
    <w:numStyleLink w:val="NumberedContinuous"/>
  </w:abstractNum>
  <w:abstractNum w:abstractNumId="34" w15:restartNumberingAfterBreak="0">
    <w:nsid w:val="4AF7339F"/>
    <w:multiLevelType w:val="hybridMultilevel"/>
    <w:tmpl w:val="E85CC8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4CD13C80"/>
    <w:multiLevelType w:val="hybridMultilevel"/>
    <w:tmpl w:val="748EEB50"/>
    <w:lvl w:ilvl="0" w:tplc="0EF8BC48">
      <w:start w:val="1"/>
      <w:numFmt w:val="bullet"/>
      <w:lvlText w:val="–"/>
      <w:lvlJc w:val="left"/>
      <w:pPr>
        <w:ind w:left="1287" w:hanging="360"/>
      </w:pPr>
      <w:rPr>
        <w:rFonts w:ascii="Arial" w:hAnsi="Arial" w:hint="default"/>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15:restartNumberingAfterBreak="0">
    <w:nsid w:val="5192053C"/>
    <w:multiLevelType w:val="hybridMultilevel"/>
    <w:tmpl w:val="E2768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82720D3"/>
    <w:multiLevelType w:val="hybridMultilevel"/>
    <w:tmpl w:val="FB2679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9387CCE"/>
    <w:multiLevelType w:val="hybridMultilevel"/>
    <w:tmpl w:val="3C4C981C"/>
    <w:lvl w:ilvl="0" w:tplc="533A6A4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BA646DE"/>
    <w:multiLevelType w:val="hybridMultilevel"/>
    <w:tmpl w:val="EFB48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C42170D"/>
    <w:multiLevelType w:val="hybridMultilevel"/>
    <w:tmpl w:val="161EF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C5E498A"/>
    <w:multiLevelType w:val="hybridMultilevel"/>
    <w:tmpl w:val="ADF078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EC14D96"/>
    <w:multiLevelType w:val="hybridMultilevel"/>
    <w:tmpl w:val="C64A9D8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3" w15:restartNumberingAfterBreak="0">
    <w:nsid w:val="5F9D6586"/>
    <w:multiLevelType w:val="hybridMultilevel"/>
    <w:tmpl w:val="443AF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2BE6B63"/>
    <w:multiLevelType w:val="hybridMultilevel"/>
    <w:tmpl w:val="F508E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4962969"/>
    <w:multiLevelType w:val="multilevel"/>
    <w:tmpl w:val="C4CEB11A"/>
    <w:numStyleLink w:val="NumberedContinuous"/>
  </w:abstractNum>
  <w:abstractNum w:abstractNumId="46" w15:restartNumberingAfterBreak="0">
    <w:nsid w:val="661D2400"/>
    <w:multiLevelType w:val="hybridMultilevel"/>
    <w:tmpl w:val="A1907AE4"/>
    <w:lvl w:ilvl="0" w:tplc="0C090019">
      <w:numFmt w:val="bullet"/>
      <w:lvlText w:val="•"/>
      <w:lvlJc w:val="left"/>
      <w:pPr>
        <w:ind w:left="1080" w:hanging="720"/>
      </w:pPr>
      <w:rPr>
        <w:rFonts w:ascii="Aptos" w:eastAsiaTheme="minorHAnsi" w:hAnsi="Aptos" w:cstheme="minorBidi" w:hint="default"/>
      </w:rPr>
    </w:lvl>
    <w:lvl w:ilvl="1" w:tplc="0C090019">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47" w15:restartNumberingAfterBreak="0">
    <w:nsid w:val="6CFC53B0"/>
    <w:multiLevelType w:val="hybridMultilevel"/>
    <w:tmpl w:val="B71E8E1A"/>
    <w:lvl w:ilvl="0" w:tplc="802C844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D163A6B"/>
    <w:multiLevelType w:val="hybridMultilevel"/>
    <w:tmpl w:val="AA226204"/>
    <w:lvl w:ilvl="0" w:tplc="12F22C30">
      <w:numFmt w:val="bullet"/>
      <w:lvlText w:val="•"/>
      <w:lvlJc w:val="left"/>
      <w:pPr>
        <w:ind w:left="1080" w:hanging="720"/>
      </w:pPr>
      <w:rPr>
        <w:rFonts w:ascii="Aptos" w:eastAsiaTheme="minorHAnsi" w:hAnsi="Aptos" w:cstheme="minorBidi" w:hint="default"/>
      </w:rPr>
    </w:lvl>
    <w:lvl w:ilvl="1" w:tplc="97AC0750" w:tentative="1">
      <w:start w:val="1"/>
      <w:numFmt w:val="bullet"/>
      <w:lvlText w:val="o"/>
      <w:lvlJc w:val="left"/>
      <w:pPr>
        <w:ind w:left="1440" w:hanging="360"/>
      </w:pPr>
      <w:rPr>
        <w:rFonts w:ascii="Courier New" w:hAnsi="Courier New" w:cs="Courier New" w:hint="default"/>
      </w:rPr>
    </w:lvl>
    <w:lvl w:ilvl="2" w:tplc="FF2CC140" w:tentative="1">
      <w:start w:val="1"/>
      <w:numFmt w:val="bullet"/>
      <w:lvlText w:val=""/>
      <w:lvlJc w:val="left"/>
      <w:pPr>
        <w:ind w:left="2160" w:hanging="360"/>
      </w:pPr>
      <w:rPr>
        <w:rFonts w:ascii="Wingdings" w:hAnsi="Wingdings" w:hint="default"/>
      </w:rPr>
    </w:lvl>
    <w:lvl w:ilvl="3" w:tplc="57DCEC70" w:tentative="1">
      <w:start w:val="1"/>
      <w:numFmt w:val="bullet"/>
      <w:lvlText w:val=""/>
      <w:lvlJc w:val="left"/>
      <w:pPr>
        <w:ind w:left="2880" w:hanging="360"/>
      </w:pPr>
      <w:rPr>
        <w:rFonts w:ascii="Symbol" w:hAnsi="Symbol" w:hint="default"/>
      </w:rPr>
    </w:lvl>
    <w:lvl w:ilvl="4" w:tplc="4418A648" w:tentative="1">
      <w:start w:val="1"/>
      <w:numFmt w:val="bullet"/>
      <w:lvlText w:val="o"/>
      <w:lvlJc w:val="left"/>
      <w:pPr>
        <w:ind w:left="3600" w:hanging="360"/>
      </w:pPr>
      <w:rPr>
        <w:rFonts w:ascii="Courier New" w:hAnsi="Courier New" w:cs="Courier New" w:hint="default"/>
      </w:rPr>
    </w:lvl>
    <w:lvl w:ilvl="5" w:tplc="BD504192" w:tentative="1">
      <w:start w:val="1"/>
      <w:numFmt w:val="bullet"/>
      <w:lvlText w:val=""/>
      <w:lvlJc w:val="left"/>
      <w:pPr>
        <w:ind w:left="4320" w:hanging="360"/>
      </w:pPr>
      <w:rPr>
        <w:rFonts w:ascii="Wingdings" w:hAnsi="Wingdings" w:hint="default"/>
      </w:rPr>
    </w:lvl>
    <w:lvl w:ilvl="6" w:tplc="D55E2F5E" w:tentative="1">
      <w:start w:val="1"/>
      <w:numFmt w:val="bullet"/>
      <w:lvlText w:val=""/>
      <w:lvlJc w:val="left"/>
      <w:pPr>
        <w:ind w:left="5040" w:hanging="360"/>
      </w:pPr>
      <w:rPr>
        <w:rFonts w:ascii="Symbol" w:hAnsi="Symbol" w:hint="default"/>
      </w:rPr>
    </w:lvl>
    <w:lvl w:ilvl="7" w:tplc="A47E26DC" w:tentative="1">
      <w:start w:val="1"/>
      <w:numFmt w:val="bullet"/>
      <w:lvlText w:val="o"/>
      <w:lvlJc w:val="left"/>
      <w:pPr>
        <w:ind w:left="5760" w:hanging="360"/>
      </w:pPr>
      <w:rPr>
        <w:rFonts w:ascii="Courier New" w:hAnsi="Courier New" w:cs="Courier New" w:hint="default"/>
      </w:rPr>
    </w:lvl>
    <w:lvl w:ilvl="8" w:tplc="46CC87B8" w:tentative="1">
      <w:start w:val="1"/>
      <w:numFmt w:val="bullet"/>
      <w:lvlText w:val=""/>
      <w:lvlJc w:val="left"/>
      <w:pPr>
        <w:ind w:left="6480" w:hanging="360"/>
      </w:pPr>
      <w:rPr>
        <w:rFonts w:ascii="Wingdings" w:hAnsi="Wingdings" w:hint="default"/>
      </w:rPr>
    </w:lvl>
  </w:abstractNum>
  <w:abstractNum w:abstractNumId="49" w15:restartNumberingAfterBreak="0">
    <w:nsid w:val="6D9547A0"/>
    <w:multiLevelType w:val="hybridMultilevel"/>
    <w:tmpl w:val="84BA435E"/>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02101BA"/>
    <w:multiLevelType w:val="hybridMultilevel"/>
    <w:tmpl w:val="FB8CAC48"/>
    <w:lvl w:ilvl="0" w:tplc="802C8440">
      <w:start w:val="1"/>
      <w:numFmt w:val="decimal"/>
      <w:lvlText w:val="%1."/>
      <w:lvlJc w:val="left"/>
      <w:pPr>
        <w:ind w:left="720" w:hanging="360"/>
      </w:pPr>
    </w:lvl>
    <w:lvl w:ilvl="1" w:tplc="0C090003">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51" w15:restartNumberingAfterBreak="0">
    <w:nsid w:val="707F07B6"/>
    <w:multiLevelType w:val="multilevel"/>
    <w:tmpl w:val="E62E23F8"/>
    <w:lvl w:ilvl="0">
      <w:start w:val="1"/>
      <w:numFmt w:val="decimal"/>
      <w:lvlText w:val="%1."/>
      <w:lvlJc w:val="left"/>
      <w:pPr>
        <w:ind w:left="567" w:hanging="283"/>
      </w:pPr>
      <w:rPr>
        <w:rFonts w:hint="default"/>
      </w:rPr>
    </w:lvl>
    <w:lvl w:ilvl="1">
      <w:start w:val="1"/>
      <w:numFmt w:val="lowerLetter"/>
      <w:lvlText w:val="%2."/>
      <w:lvlJc w:val="left"/>
      <w:pPr>
        <w:ind w:left="851" w:hanging="284"/>
      </w:pPr>
      <w:rPr>
        <w:rFonts w:hint="default"/>
      </w:rPr>
    </w:lvl>
    <w:lvl w:ilvl="2">
      <w:start w:val="1"/>
      <w:numFmt w:val="lowerRoman"/>
      <w:lvlText w:val="%3."/>
      <w:lvlJc w:val="left"/>
      <w:pPr>
        <w:ind w:left="1134" w:hanging="283"/>
      </w:pPr>
      <w:rPr>
        <w:rFonts w:hint="default"/>
      </w:rPr>
    </w:lvl>
    <w:lvl w:ilvl="3">
      <w:start w:val="1"/>
      <w:numFmt w:val="lowerLetter"/>
      <w:lvlText w:val="%4."/>
      <w:lvlJc w:val="left"/>
      <w:pPr>
        <w:ind w:left="1418" w:hanging="284"/>
      </w:pPr>
      <w:rPr>
        <w:rFonts w:hint="default"/>
      </w:rPr>
    </w:lvl>
    <w:lvl w:ilvl="4">
      <w:start w:val="1"/>
      <w:numFmt w:val="bullet"/>
      <w:lvlText w:val=""/>
      <w:lvlJc w:val="left"/>
      <w:pPr>
        <w:ind w:left="1800" w:hanging="360"/>
      </w:pPr>
      <w:rPr>
        <w:rFonts w:ascii="Symbol" w:hAnsi="Symbol" w:hint="default"/>
        <w:color w:val="273747" w:themeColor="text1"/>
      </w:rPr>
    </w:lvl>
    <w:lvl w:ilvl="5">
      <w:start w:val="1"/>
      <w:numFmt w:val="bullet"/>
      <w:lvlText w:val=""/>
      <w:lvlJc w:val="left"/>
      <w:pPr>
        <w:ind w:left="2160" w:hanging="360"/>
      </w:pPr>
      <w:rPr>
        <w:rFonts w:ascii="Symbol" w:hAnsi="Symbol" w:hint="default"/>
        <w:color w:val="273747" w:themeColor="text1"/>
      </w:rPr>
    </w:lvl>
    <w:lvl w:ilvl="6">
      <w:start w:val="1"/>
      <w:numFmt w:val="bullet"/>
      <w:lvlText w:val=""/>
      <w:lvlJc w:val="left"/>
      <w:pPr>
        <w:ind w:left="2520" w:hanging="360"/>
      </w:pPr>
      <w:rPr>
        <w:rFonts w:ascii="Symbol" w:hAnsi="Symbol" w:hint="default"/>
        <w:color w:val="273747" w:themeColor="text1"/>
      </w:rPr>
    </w:lvl>
    <w:lvl w:ilvl="7">
      <w:start w:val="1"/>
      <w:numFmt w:val="bullet"/>
      <w:lvlText w:val=""/>
      <w:lvlJc w:val="left"/>
      <w:pPr>
        <w:ind w:left="2880" w:hanging="360"/>
      </w:pPr>
      <w:rPr>
        <w:rFonts w:ascii="Symbol" w:hAnsi="Symbol" w:hint="default"/>
        <w:color w:val="273747" w:themeColor="text1"/>
      </w:rPr>
    </w:lvl>
    <w:lvl w:ilvl="8">
      <w:start w:val="1"/>
      <w:numFmt w:val="bullet"/>
      <w:lvlText w:val=""/>
      <w:lvlJc w:val="left"/>
      <w:pPr>
        <w:ind w:left="3240" w:hanging="360"/>
      </w:pPr>
      <w:rPr>
        <w:rFonts w:ascii="Symbol" w:hAnsi="Symbol" w:hint="default"/>
        <w:color w:val="273747" w:themeColor="text1"/>
      </w:rPr>
    </w:lvl>
  </w:abstractNum>
  <w:abstractNum w:abstractNumId="52" w15:restartNumberingAfterBreak="0">
    <w:nsid w:val="70ED0040"/>
    <w:multiLevelType w:val="hybridMultilevel"/>
    <w:tmpl w:val="054A5668"/>
    <w:lvl w:ilvl="0" w:tplc="421C8F22">
      <w:start w:val="1"/>
      <w:numFmt w:val="decimal"/>
      <w:lvlText w:val="%1."/>
      <w:lvlJc w:val="left"/>
      <w:pPr>
        <w:ind w:left="720" w:hanging="360"/>
      </w:pPr>
      <w:rPr>
        <w:rFonts w:ascii="Aptos" w:eastAsiaTheme="minorHAnsi" w:hAnsi="Aptos" w:cstheme="minorBidi"/>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21445CE"/>
    <w:multiLevelType w:val="multilevel"/>
    <w:tmpl w:val="C9903054"/>
    <w:lvl w:ilvl="0">
      <w:start w:val="1"/>
      <w:numFmt w:val="decimal"/>
      <w:lvlText w:val="%1."/>
      <w:lvlJc w:val="left"/>
      <w:pPr>
        <w:ind w:left="567" w:hanging="283"/>
      </w:pPr>
      <w:rPr>
        <w:rFonts w:hint="default"/>
        <w:color w:val="273747" w:themeColor="text1"/>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4" w:hanging="283"/>
      </w:pPr>
      <w:rPr>
        <w:rFonts w:ascii="Symbol" w:hAnsi="Symbol" w:hint="default"/>
        <w:color w:val="00274F"/>
      </w:rPr>
    </w:lvl>
    <w:lvl w:ilvl="3">
      <w:start w:val="1"/>
      <w:numFmt w:val="bullet"/>
      <w:lvlText w:val="–"/>
      <w:lvlJc w:val="left"/>
      <w:pPr>
        <w:ind w:left="1418" w:hanging="284"/>
      </w:pPr>
      <w:rPr>
        <w:rFonts w:ascii="Arial" w:hAnsi="Arial" w:hint="default"/>
        <w:color w:val="auto"/>
      </w:rPr>
    </w:lvl>
    <w:lvl w:ilvl="4">
      <w:start w:val="1"/>
      <w:numFmt w:val="bullet"/>
      <w:lvlText w:val=""/>
      <w:lvlJc w:val="left"/>
      <w:pPr>
        <w:ind w:left="1800" w:hanging="360"/>
      </w:pPr>
      <w:rPr>
        <w:rFonts w:ascii="Symbol" w:hAnsi="Symbol" w:hint="default"/>
        <w:color w:val="273747" w:themeColor="text1"/>
      </w:rPr>
    </w:lvl>
    <w:lvl w:ilvl="5">
      <w:start w:val="1"/>
      <w:numFmt w:val="bullet"/>
      <w:lvlText w:val=""/>
      <w:lvlJc w:val="left"/>
      <w:pPr>
        <w:ind w:left="2160" w:hanging="360"/>
      </w:pPr>
      <w:rPr>
        <w:rFonts w:ascii="Symbol" w:hAnsi="Symbol" w:hint="default"/>
        <w:color w:val="273747" w:themeColor="text1"/>
      </w:rPr>
    </w:lvl>
    <w:lvl w:ilvl="6">
      <w:start w:val="1"/>
      <w:numFmt w:val="bullet"/>
      <w:lvlText w:val=""/>
      <w:lvlJc w:val="left"/>
      <w:pPr>
        <w:ind w:left="2520" w:hanging="360"/>
      </w:pPr>
      <w:rPr>
        <w:rFonts w:ascii="Symbol" w:hAnsi="Symbol" w:hint="default"/>
        <w:color w:val="273747" w:themeColor="text1"/>
      </w:rPr>
    </w:lvl>
    <w:lvl w:ilvl="7">
      <w:start w:val="1"/>
      <w:numFmt w:val="bullet"/>
      <w:lvlText w:val=""/>
      <w:lvlJc w:val="left"/>
      <w:pPr>
        <w:ind w:left="2880" w:hanging="360"/>
      </w:pPr>
      <w:rPr>
        <w:rFonts w:ascii="Symbol" w:hAnsi="Symbol" w:hint="default"/>
        <w:color w:val="273747" w:themeColor="text1"/>
      </w:rPr>
    </w:lvl>
    <w:lvl w:ilvl="8">
      <w:start w:val="1"/>
      <w:numFmt w:val="bullet"/>
      <w:lvlText w:val=""/>
      <w:lvlJc w:val="left"/>
      <w:pPr>
        <w:ind w:left="3240" w:hanging="360"/>
      </w:pPr>
      <w:rPr>
        <w:rFonts w:ascii="Symbol" w:hAnsi="Symbol" w:hint="default"/>
        <w:color w:val="273747" w:themeColor="text1"/>
      </w:rPr>
    </w:lvl>
  </w:abstractNum>
  <w:abstractNum w:abstractNumId="54" w15:restartNumberingAfterBreak="0">
    <w:nsid w:val="75534A4E"/>
    <w:multiLevelType w:val="hybridMultilevel"/>
    <w:tmpl w:val="9B5C9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7067F00"/>
    <w:multiLevelType w:val="hybridMultilevel"/>
    <w:tmpl w:val="E130ACC6"/>
    <w:lvl w:ilvl="0" w:tplc="E21E42C4">
      <w:start w:val="1"/>
      <w:numFmt w:val="bullet"/>
      <w:lvlText w:val=""/>
      <w:lvlJc w:val="left"/>
      <w:pPr>
        <w:ind w:left="720" w:hanging="360"/>
      </w:pPr>
      <w:rPr>
        <w:rFonts w:ascii="Symbol" w:hAnsi="Symbol" w:hint="default"/>
      </w:rPr>
    </w:lvl>
    <w:lvl w:ilvl="1" w:tplc="E0D4CCB2" w:tentative="1">
      <w:start w:val="1"/>
      <w:numFmt w:val="bullet"/>
      <w:lvlText w:val="o"/>
      <w:lvlJc w:val="left"/>
      <w:pPr>
        <w:ind w:left="1440" w:hanging="360"/>
      </w:pPr>
      <w:rPr>
        <w:rFonts w:ascii="Courier New" w:hAnsi="Courier New" w:cs="Courier New" w:hint="default"/>
      </w:rPr>
    </w:lvl>
    <w:lvl w:ilvl="2" w:tplc="623E3F80" w:tentative="1">
      <w:start w:val="1"/>
      <w:numFmt w:val="bullet"/>
      <w:lvlText w:val=""/>
      <w:lvlJc w:val="left"/>
      <w:pPr>
        <w:ind w:left="2160" w:hanging="360"/>
      </w:pPr>
      <w:rPr>
        <w:rFonts w:ascii="Wingdings" w:hAnsi="Wingdings" w:hint="default"/>
      </w:rPr>
    </w:lvl>
    <w:lvl w:ilvl="3" w:tplc="A2808AF0" w:tentative="1">
      <w:start w:val="1"/>
      <w:numFmt w:val="bullet"/>
      <w:lvlText w:val=""/>
      <w:lvlJc w:val="left"/>
      <w:pPr>
        <w:ind w:left="2880" w:hanging="360"/>
      </w:pPr>
      <w:rPr>
        <w:rFonts w:ascii="Symbol" w:hAnsi="Symbol" w:hint="default"/>
      </w:rPr>
    </w:lvl>
    <w:lvl w:ilvl="4" w:tplc="AA96AAE2" w:tentative="1">
      <w:start w:val="1"/>
      <w:numFmt w:val="bullet"/>
      <w:lvlText w:val="o"/>
      <w:lvlJc w:val="left"/>
      <w:pPr>
        <w:ind w:left="3600" w:hanging="360"/>
      </w:pPr>
      <w:rPr>
        <w:rFonts w:ascii="Courier New" w:hAnsi="Courier New" w:cs="Courier New" w:hint="default"/>
      </w:rPr>
    </w:lvl>
    <w:lvl w:ilvl="5" w:tplc="3EF00690" w:tentative="1">
      <w:start w:val="1"/>
      <w:numFmt w:val="bullet"/>
      <w:lvlText w:val=""/>
      <w:lvlJc w:val="left"/>
      <w:pPr>
        <w:ind w:left="4320" w:hanging="360"/>
      </w:pPr>
      <w:rPr>
        <w:rFonts w:ascii="Wingdings" w:hAnsi="Wingdings" w:hint="default"/>
      </w:rPr>
    </w:lvl>
    <w:lvl w:ilvl="6" w:tplc="358203EE" w:tentative="1">
      <w:start w:val="1"/>
      <w:numFmt w:val="bullet"/>
      <w:lvlText w:val=""/>
      <w:lvlJc w:val="left"/>
      <w:pPr>
        <w:ind w:left="5040" w:hanging="360"/>
      </w:pPr>
      <w:rPr>
        <w:rFonts w:ascii="Symbol" w:hAnsi="Symbol" w:hint="default"/>
      </w:rPr>
    </w:lvl>
    <w:lvl w:ilvl="7" w:tplc="18D28600" w:tentative="1">
      <w:start w:val="1"/>
      <w:numFmt w:val="bullet"/>
      <w:lvlText w:val="o"/>
      <w:lvlJc w:val="left"/>
      <w:pPr>
        <w:ind w:left="5760" w:hanging="360"/>
      </w:pPr>
      <w:rPr>
        <w:rFonts w:ascii="Courier New" w:hAnsi="Courier New" w:cs="Courier New" w:hint="default"/>
      </w:rPr>
    </w:lvl>
    <w:lvl w:ilvl="8" w:tplc="4148FB92" w:tentative="1">
      <w:start w:val="1"/>
      <w:numFmt w:val="bullet"/>
      <w:lvlText w:val=""/>
      <w:lvlJc w:val="left"/>
      <w:pPr>
        <w:ind w:left="6480" w:hanging="360"/>
      </w:pPr>
      <w:rPr>
        <w:rFonts w:ascii="Wingdings" w:hAnsi="Wingdings" w:hint="default"/>
      </w:rPr>
    </w:lvl>
  </w:abstractNum>
  <w:abstractNum w:abstractNumId="56" w15:restartNumberingAfterBreak="0">
    <w:nsid w:val="787629E8"/>
    <w:multiLevelType w:val="multilevel"/>
    <w:tmpl w:val="C4CEB11A"/>
    <w:styleLink w:val="NumberedContinuous"/>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tabs>
          <w:tab w:val="num" w:pos="1985"/>
        </w:tabs>
        <w:ind w:left="3119" w:hanging="1134"/>
      </w:pPr>
      <w:rPr>
        <w:rFonts w:hint="default"/>
      </w:rPr>
    </w:lvl>
    <w:lvl w:ilvl="4">
      <w:start w:val="1"/>
      <w:numFmt w:val="decimal"/>
      <w:lvlText w:val="%1.%2.%3.%4.%5."/>
      <w:lvlJc w:val="left"/>
      <w:pPr>
        <w:ind w:left="4253"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7F506493"/>
    <w:multiLevelType w:val="hybridMultilevel"/>
    <w:tmpl w:val="61685AB4"/>
    <w:lvl w:ilvl="0" w:tplc="1E88A512">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63711850">
    <w:abstractNumId w:val="50"/>
  </w:num>
  <w:num w:numId="2" w16cid:durableId="1008093994">
    <w:abstractNumId w:val="3"/>
  </w:num>
  <w:num w:numId="3" w16cid:durableId="566963472">
    <w:abstractNumId w:val="10"/>
  </w:num>
  <w:num w:numId="4" w16cid:durableId="1673336144">
    <w:abstractNumId w:val="7"/>
  </w:num>
  <w:num w:numId="5" w16cid:durableId="1703555582">
    <w:abstractNumId w:val="47"/>
  </w:num>
  <w:num w:numId="6" w16cid:durableId="1703894106">
    <w:abstractNumId w:val="40"/>
  </w:num>
  <w:num w:numId="7" w16cid:durableId="381563697">
    <w:abstractNumId w:val="55"/>
  </w:num>
  <w:num w:numId="8" w16cid:durableId="36860226">
    <w:abstractNumId w:val="26"/>
  </w:num>
  <w:num w:numId="9" w16cid:durableId="1861968226">
    <w:abstractNumId w:val="38"/>
  </w:num>
  <w:num w:numId="10" w16cid:durableId="612058297">
    <w:abstractNumId w:val="23"/>
  </w:num>
  <w:num w:numId="11" w16cid:durableId="1209413235">
    <w:abstractNumId w:val="14"/>
  </w:num>
  <w:num w:numId="12" w16cid:durableId="1860269816">
    <w:abstractNumId w:val="29"/>
  </w:num>
  <w:num w:numId="13" w16cid:durableId="1630935100">
    <w:abstractNumId w:val="35"/>
  </w:num>
  <w:num w:numId="14" w16cid:durableId="1225797223">
    <w:abstractNumId w:val="13"/>
  </w:num>
  <w:num w:numId="15" w16cid:durableId="1812673326">
    <w:abstractNumId w:val="13"/>
  </w:num>
  <w:num w:numId="16" w16cid:durableId="326713665">
    <w:abstractNumId w:val="31"/>
  </w:num>
  <w:num w:numId="17" w16cid:durableId="1346204502">
    <w:abstractNumId w:val="53"/>
  </w:num>
  <w:num w:numId="18" w16cid:durableId="1285580621">
    <w:abstractNumId w:val="27"/>
  </w:num>
  <w:num w:numId="19" w16cid:durableId="1573810112">
    <w:abstractNumId w:val="6"/>
  </w:num>
  <w:num w:numId="20" w16cid:durableId="280575954">
    <w:abstractNumId w:val="56"/>
  </w:num>
  <w:num w:numId="21" w16cid:durableId="523062223">
    <w:abstractNumId w:val="4"/>
  </w:num>
  <w:num w:numId="22" w16cid:durableId="527334573">
    <w:abstractNumId w:val="45"/>
  </w:num>
  <w:num w:numId="23" w16cid:durableId="1554854383">
    <w:abstractNumId w:val="16"/>
  </w:num>
  <w:num w:numId="24" w16cid:durableId="468088937">
    <w:abstractNumId w:val="24"/>
  </w:num>
  <w:num w:numId="25" w16cid:durableId="1047333254">
    <w:abstractNumId w:val="33"/>
  </w:num>
  <w:num w:numId="26" w16cid:durableId="104084775">
    <w:abstractNumId w:val="20"/>
  </w:num>
  <w:num w:numId="27" w16cid:durableId="786319250">
    <w:abstractNumId w:val="39"/>
  </w:num>
  <w:num w:numId="28" w16cid:durableId="711880743">
    <w:abstractNumId w:val="46"/>
  </w:num>
  <w:num w:numId="29" w16cid:durableId="1136607792">
    <w:abstractNumId w:val="5"/>
  </w:num>
  <w:num w:numId="30" w16cid:durableId="1327435023">
    <w:abstractNumId w:val="48"/>
  </w:num>
  <w:num w:numId="31" w16cid:durableId="422384697">
    <w:abstractNumId w:val="30"/>
  </w:num>
  <w:num w:numId="32" w16cid:durableId="1024751482">
    <w:abstractNumId w:val="12"/>
  </w:num>
  <w:num w:numId="33" w16cid:durableId="884412780">
    <w:abstractNumId w:val="0"/>
  </w:num>
  <w:num w:numId="34" w16cid:durableId="1813211377">
    <w:abstractNumId w:val="25"/>
  </w:num>
  <w:num w:numId="35" w16cid:durableId="1434590785">
    <w:abstractNumId w:val="22"/>
  </w:num>
  <w:num w:numId="36" w16cid:durableId="1140462970">
    <w:abstractNumId w:val="17"/>
  </w:num>
  <w:num w:numId="37" w16cid:durableId="1472823078">
    <w:abstractNumId w:val="19"/>
  </w:num>
  <w:num w:numId="38" w16cid:durableId="530799757">
    <w:abstractNumId w:val="15"/>
  </w:num>
  <w:num w:numId="39" w16cid:durableId="746461171">
    <w:abstractNumId w:val="28"/>
  </w:num>
  <w:num w:numId="40" w16cid:durableId="1607159004">
    <w:abstractNumId w:val="18"/>
  </w:num>
  <w:num w:numId="41" w16cid:durableId="1706517721">
    <w:abstractNumId w:val="51"/>
  </w:num>
  <w:num w:numId="42" w16cid:durableId="1027172703">
    <w:abstractNumId w:val="34"/>
  </w:num>
  <w:num w:numId="43" w16cid:durableId="789393258">
    <w:abstractNumId w:val="9"/>
  </w:num>
  <w:num w:numId="44" w16cid:durableId="1090390121">
    <w:abstractNumId w:val="11"/>
  </w:num>
  <w:num w:numId="45" w16cid:durableId="1674603803">
    <w:abstractNumId w:val="32"/>
  </w:num>
  <w:num w:numId="46" w16cid:durableId="1698384964">
    <w:abstractNumId w:val="1"/>
  </w:num>
  <w:num w:numId="47" w16cid:durableId="22487549">
    <w:abstractNumId w:val="2"/>
  </w:num>
  <w:num w:numId="48" w16cid:durableId="349334072">
    <w:abstractNumId w:val="42"/>
  </w:num>
  <w:num w:numId="49" w16cid:durableId="790712032">
    <w:abstractNumId w:val="21"/>
  </w:num>
  <w:num w:numId="50" w16cid:durableId="1987390920">
    <w:abstractNumId w:val="41"/>
  </w:num>
  <w:num w:numId="51" w16cid:durableId="575431829">
    <w:abstractNumId w:val="54"/>
  </w:num>
  <w:num w:numId="52" w16cid:durableId="763645761">
    <w:abstractNumId w:val="8"/>
  </w:num>
  <w:num w:numId="53" w16cid:durableId="386491771">
    <w:abstractNumId w:val="57"/>
  </w:num>
  <w:num w:numId="54" w16cid:durableId="1559707163">
    <w:abstractNumId w:val="36"/>
  </w:num>
  <w:num w:numId="55" w16cid:durableId="2044860235">
    <w:abstractNumId w:val="37"/>
  </w:num>
  <w:num w:numId="56" w16cid:durableId="110589918">
    <w:abstractNumId w:val="43"/>
  </w:num>
  <w:num w:numId="57" w16cid:durableId="1585991257">
    <w:abstractNumId w:val="44"/>
  </w:num>
  <w:num w:numId="58" w16cid:durableId="507645344">
    <w:abstractNumId w:val="52"/>
  </w:num>
  <w:num w:numId="59" w16cid:durableId="144973159">
    <w:abstractNumId w:val="4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8E3"/>
    <w:rsid w:val="00010230"/>
    <w:rsid w:val="0001049E"/>
    <w:rsid w:val="00011A60"/>
    <w:rsid w:val="00013D2A"/>
    <w:rsid w:val="0001517E"/>
    <w:rsid w:val="00015BA8"/>
    <w:rsid w:val="0002049F"/>
    <w:rsid w:val="0002630D"/>
    <w:rsid w:val="00027EB7"/>
    <w:rsid w:val="00033043"/>
    <w:rsid w:val="00044031"/>
    <w:rsid w:val="00056302"/>
    <w:rsid w:val="00056E01"/>
    <w:rsid w:val="00056F8B"/>
    <w:rsid w:val="00073712"/>
    <w:rsid w:val="00075871"/>
    <w:rsid w:val="0008157F"/>
    <w:rsid w:val="00082706"/>
    <w:rsid w:val="0008355D"/>
    <w:rsid w:val="00085323"/>
    <w:rsid w:val="00092AAA"/>
    <w:rsid w:val="000A22ED"/>
    <w:rsid w:val="000A7F58"/>
    <w:rsid w:val="000C4011"/>
    <w:rsid w:val="000D7C18"/>
    <w:rsid w:val="001036A0"/>
    <w:rsid w:val="001125DA"/>
    <w:rsid w:val="001127FB"/>
    <w:rsid w:val="00120A5C"/>
    <w:rsid w:val="0012254C"/>
    <w:rsid w:val="001352DB"/>
    <w:rsid w:val="001433C3"/>
    <w:rsid w:val="0014602F"/>
    <w:rsid w:val="00146F67"/>
    <w:rsid w:val="00150400"/>
    <w:rsid w:val="00156C9D"/>
    <w:rsid w:val="00157D25"/>
    <w:rsid w:val="00172CF7"/>
    <w:rsid w:val="00177410"/>
    <w:rsid w:val="00180BEA"/>
    <w:rsid w:val="00181A0A"/>
    <w:rsid w:val="00183BFB"/>
    <w:rsid w:val="001956B4"/>
    <w:rsid w:val="001A5524"/>
    <w:rsid w:val="001B29EF"/>
    <w:rsid w:val="001D2C54"/>
    <w:rsid w:val="001E2DD0"/>
    <w:rsid w:val="00210062"/>
    <w:rsid w:val="00214AEB"/>
    <w:rsid w:val="00215E13"/>
    <w:rsid w:val="00216D03"/>
    <w:rsid w:val="00223B24"/>
    <w:rsid w:val="00227685"/>
    <w:rsid w:val="00235BB5"/>
    <w:rsid w:val="00240159"/>
    <w:rsid w:val="002625DD"/>
    <w:rsid w:val="0027393F"/>
    <w:rsid w:val="00281BBD"/>
    <w:rsid w:val="0029262A"/>
    <w:rsid w:val="00294A87"/>
    <w:rsid w:val="002B0A35"/>
    <w:rsid w:val="002B6D3D"/>
    <w:rsid w:val="002C1944"/>
    <w:rsid w:val="002E2035"/>
    <w:rsid w:val="002E215C"/>
    <w:rsid w:val="002F118C"/>
    <w:rsid w:val="002F48A1"/>
    <w:rsid w:val="00312496"/>
    <w:rsid w:val="003126C3"/>
    <w:rsid w:val="00314954"/>
    <w:rsid w:val="0032425D"/>
    <w:rsid w:val="0032451C"/>
    <w:rsid w:val="00331AE2"/>
    <w:rsid w:val="0033653C"/>
    <w:rsid w:val="00351E87"/>
    <w:rsid w:val="003533D6"/>
    <w:rsid w:val="00356FE3"/>
    <w:rsid w:val="00357884"/>
    <w:rsid w:val="003627FD"/>
    <w:rsid w:val="00384516"/>
    <w:rsid w:val="003A4260"/>
    <w:rsid w:val="003B1E8B"/>
    <w:rsid w:val="003B37EC"/>
    <w:rsid w:val="003B3D1C"/>
    <w:rsid w:val="003D2C78"/>
    <w:rsid w:val="004159FF"/>
    <w:rsid w:val="00425DC3"/>
    <w:rsid w:val="0042605B"/>
    <w:rsid w:val="00430F58"/>
    <w:rsid w:val="004354BF"/>
    <w:rsid w:val="00442D8B"/>
    <w:rsid w:val="004434AB"/>
    <w:rsid w:val="00452BF2"/>
    <w:rsid w:val="00463AFB"/>
    <w:rsid w:val="0047666D"/>
    <w:rsid w:val="004778CA"/>
    <w:rsid w:val="00497B80"/>
    <w:rsid w:val="004A0CC4"/>
    <w:rsid w:val="004A69D6"/>
    <w:rsid w:val="004A7136"/>
    <w:rsid w:val="004D71D3"/>
    <w:rsid w:val="004F480A"/>
    <w:rsid w:val="00500F7B"/>
    <w:rsid w:val="00503349"/>
    <w:rsid w:val="00510CAB"/>
    <w:rsid w:val="0051585E"/>
    <w:rsid w:val="00523BE0"/>
    <w:rsid w:val="005249E1"/>
    <w:rsid w:val="00536634"/>
    <w:rsid w:val="00536952"/>
    <w:rsid w:val="005426AA"/>
    <w:rsid w:val="0055343A"/>
    <w:rsid w:val="00557436"/>
    <w:rsid w:val="005753CD"/>
    <w:rsid w:val="005A119D"/>
    <w:rsid w:val="005A662B"/>
    <w:rsid w:val="005B0FFD"/>
    <w:rsid w:val="005D723F"/>
    <w:rsid w:val="005E207C"/>
    <w:rsid w:val="005E4842"/>
    <w:rsid w:val="005E6F45"/>
    <w:rsid w:val="00604DE3"/>
    <w:rsid w:val="00606D27"/>
    <w:rsid w:val="00615A49"/>
    <w:rsid w:val="0061726C"/>
    <w:rsid w:val="0062432C"/>
    <w:rsid w:val="006309A8"/>
    <w:rsid w:val="006356FE"/>
    <w:rsid w:val="00652718"/>
    <w:rsid w:val="00653676"/>
    <w:rsid w:val="006636BE"/>
    <w:rsid w:val="00663E97"/>
    <w:rsid w:val="00675258"/>
    <w:rsid w:val="00676154"/>
    <w:rsid w:val="00677367"/>
    <w:rsid w:val="00683966"/>
    <w:rsid w:val="00692A49"/>
    <w:rsid w:val="006A2214"/>
    <w:rsid w:val="006A7FA6"/>
    <w:rsid w:val="006B379F"/>
    <w:rsid w:val="006C722D"/>
    <w:rsid w:val="006E7F1B"/>
    <w:rsid w:val="006F4101"/>
    <w:rsid w:val="006F648A"/>
    <w:rsid w:val="006F7342"/>
    <w:rsid w:val="00716B77"/>
    <w:rsid w:val="00716E84"/>
    <w:rsid w:val="00717A4F"/>
    <w:rsid w:val="007233C6"/>
    <w:rsid w:val="007241CD"/>
    <w:rsid w:val="007615C6"/>
    <w:rsid w:val="007664C4"/>
    <w:rsid w:val="00767E9E"/>
    <w:rsid w:val="007736F0"/>
    <w:rsid w:val="00784604"/>
    <w:rsid w:val="007A3F6B"/>
    <w:rsid w:val="007B4A59"/>
    <w:rsid w:val="007C61C0"/>
    <w:rsid w:val="007D110C"/>
    <w:rsid w:val="007D28BD"/>
    <w:rsid w:val="007D69C5"/>
    <w:rsid w:val="007E0DE9"/>
    <w:rsid w:val="0080032A"/>
    <w:rsid w:val="00811462"/>
    <w:rsid w:val="0081211F"/>
    <w:rsid w:val="008142EC"/>
    <w:rsid w:val="008200EB"/>
    <w:rsid w:val="00831B4B"/>
    <w:rsid w:val="008322A3"/>
    <w:rsid w:val="00841092"/>
    <w:rsid w:val="008475CC"/>
    <w:rsid w:val="00853A75"/>
    <w:rsid w:val="00854E2D"/>
    <w:rsid w:val="0086487B"/>
    <w:rsid w:val="00866849"/>
    <w:rsid w:val="00884E08"/>
    <w:rsid w:val="008A3630"/>
    <w:rsid w:val="008A3A7C"/>
    <w:rsid w:val="008A7468"/>
    <w:rsid w:val="008C0317"/>
    <w:rsid w:val="008D4672"/>
    <w:rsid w:val="008E31C7"/>
    <w:rsid w:val="008E3918"/>
    <w:rsid w:val="009043C2"/>
    <w:rsid w:val="009053B7"/>
    <w:rsid w:val="00905508"/>
    <w:rsid w:val="00930B25"/>
    <w:rsid w:val="0096227A"/>
    <w:rsid w:val="00966EBA"/>
    <w:rsid w:val="00991CC3"/>
    <w:rsid w:val="009A0BCB"/>
    <w:rsid w:val="009A743A"/>
    <w:rsid w:val="009A78B4"/>
    <w:rsid w:val="009B0A94"/>
    <w:rsid w:val="009D270D"/>
    <w:rsid w:val="009D7472"/>
    <w:rsid w:val="009E02DF"/>
    <w:rsid w:val="009E5591"/>
    <w:rsid w:val="009F6FFB"/>
    <w:rsid w:val="00A26674"/>
    <w:rsid w:val="00A31E3E"/>
    <w:rsid w:val="00A40B96"/>
    <w:rsid w:val="00A47612"/>
    <w:rsid w:val="00A47DAE"/>
    <w:rsid w:val="00A51CBF"/>
    <w:rsid w:val="00A537B0"/>
    <w:rsid w:val="00A546D8"/>
    <w:rsid w:val="00A64FF4"/>
    <w:rsid w:val="00A7111C"/>
    <w:rsid w:val="00A77DC3"/>
    <w:rsid w:val="00A9281C"/>
    <w:rsid w:val="00A97DDD"/>
    <w:rsid w:val="00AC2012"/>
    <w:rsid w:val="00AC38B1"/>
    <w:rsid w:val="00AC5E7A"/>
    <w:rsid w:val="00AD1101"/>
    <w:rsid w:val="00AD31D4"/>
    <w:rsid w:val="00AE2E6D"/>
    <w:rsid w:val="00AF00FD"/>
    <w:rsid w:val="00AF76B2"/>
    <w:rsid w:val="00B05F05"/>
    <w:rsid w:val="00B1187A"/>
    <w:rsid w:val="00B119AC"/>
    <w:rsid w:val="00B15DF0"/>
    <w:rsid w:val="00B166EC"/>
    <w:rsid w:val="00B24F53"/>
    <w:rsid w:val="00B278F2"/>
    <w:rsid w:val="00B37B46"/>
    <w:rsid w:val="00B42B28"/>
    <w:rsid w:val="00B43D1C"/>
    <w:rsid w:val="00B604B3"/>
    <w:rsid w:val="00B60788"/>
    <w:rsid w:val="00B67C9D"/>
    <w:rsid w:val="00B763B2"/>
    <w:rsid w:val="00BA4CFB"/>
    <w:rsid w:val="00BB17B5"/>
    <w:rsid w:val="00BB637F"/>
    <w:rsid w:val="00BC1722"/>
    <w:rsid w:val="00BC5B0F"/>
    <w:rsid w:val="00BD0471"/>
    <w:rsid w:val="00BD0BDE"/>
    <w:rsid w:val="00BE301F"/>
    <w:rsid w:val="00BE69E1"/>
    <w:rsid w:val="00BE76E8"/>
    <w:rsid w:val="00BF4D76"/>
    <w:rsid w:val="00C147A5"/>
    <w:rsid w:val="00C21338"/>
    <w:rsid w:val="00C27F1F"/>
    <w:rsid w:val="00C3703E"/>
    <w:rsid w:val="00C37BAF"/>
    <w:rsid w:val="00C40C38"/>
    <w:rsid w:val="00C42129"/>
    <w:rsid w:val="00C42F9A"/>
    <w:rsid w:val="00C70B29"/>
    <w:rsid w:val="00C76E1B"/>
    <w:rsid w:val="00C867D4"/>
    <w:rsid w:val="00C910FA"/>
    <w:rsid w:val="00CA6CEB"/>
    <w:rsid w:val="00CB2992"/>
    <w:rsid w:val="00CB39B1"/>
    <w:rsid w:val="00CD7463"/>
    <w:rsid w:val="00CD7559"/>
    <w:rsid w:val="00CE020E"/>
    <w:rsid w:val="00CF14E8"/>
    <w:rsid w:val="00CF603A"/>
    <w:rsid w:val="00D006BB"/>
    <w:rsid w:val="00D04F03"/>
    <w:rsid w:val="00D063B4"/>
    <w:rsid w:val="00D1162A"/>
    <w:rsid w:val="00D12B33"/>
    <w:rsid w:val="00D14CD3"/>
    <w:rsid w:val="00D22996"/>
    <w:rsid w:val="00D26272"/>
    <w:rsid w:val="00D348CE"/>
    <w:rsid w:val="00D414D1"/>
    <w:rsid w:val="00D5077E"/>
    <w:rsid w:val="00D513CB"/>
    <w:rsid w:val="00D7107B"/>
    <w:rsid w:val="00D73906"/>
    <w:rsid w:val="00D77148"/>
    <w:rsid w:val="00D777B2"/>
    <w:rsid w:val="00D87CF5"/>
    <w:rsid w:val="00D94F6F"/>
    <w:rsid w:val="00DA0E0A"/>
    <w:rsid w:val="00DA39C4"/>
    <w:rsid w:val="00DB1248"/>
    <w:rsid w:val="00DC1E45"/>
    <w:rsid w:val="00DE3E95"/>
    <w:rsid w:val="00E023D0"/>
    <w:rsid w:val="00E02D2B"/>
    <w:rsid w:val="00E05102"/>
    <w:rsid w:val="00E1322D"/>
    <w:rsid w:val="00E16DF1"/>
    <w:rsid w:val="00E23F31"/>
    <w:rsid w:val="00E24433"/>
    <w:rsid w:val="00E42C02"/>
    <w:rsid w:val="00E46DE7"/>
    <w:rsid w:val="00E5118B"/>
    <w:rsid w:val="00E55E83"/>
    <w:rsid w:val="00E640E3"/>
    <w:rsid w:val="00E65613"/>
    <w:rsid w:val="00E6576B"/>
    <w:rsid w:val="00E84329"/>
    <w:rsid w:val="00EC78E3"/>
    <w:rsid w:val="00ED7EAE"/>
    <w:rsid w:val="00EE16BC"/>
    <w:rsid w:val="00EE2D04"/>
    <w:rsid w:val="00EF748F"/>
    <w:rsid w:val="00F07276"/>
    <w:rsid w:val="00F1778B"/>
    <w:rsid w:val="00F17E06"/>
    <w:rsid w:val="00F244D5"/>
    <w:rsid w:val="00F25429"/>
    <w:rsid w:val="00F53915"/>
    <w:rsid w:val="00F620ED"/>
    <w:rsid w:val="00F81063"/>
    <w:rsid w:val="00F836CC"/>
    <w:rsid w:val="00F97424"/>
    <w:rsid w:val="00F974BF"/>
    <w:rsid w:val="00FB45CB"/>
    <w:rsid w:val="00FC649E"/>
    <w:rsid w:val="00FD525E"/>
    <w:rsid w:val="00FE3588"/>
    <w:rsid w:val="00FF36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7BF5A"/>
  <w15:chartTrackingRefBased/>
  <w15:docId w15:val="{93122C84-EF78-49E9-9B20-A9C6B056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76B"/>
    <w:pPr>
      <w:spacing w:before="180" w:after="60" w:line="247" w:lineRule="auto"/>
    </w:pPr>
    <w:rPr>
      <w:rFonts w:ascii="Aptos" w:hAnsi="Aptos"/>
      <w:color w:val="000000"/>
    </w:rPr>
  </w:style>
  <w:style w:type="paragraph" w:styleId="Heading1">
    <w:name w:val="heading 1"/>
    <w:basedOn w:val="Title"/>
    <w:next w:val="Normal"/>
    <w:link w:val="Heading1Char"/>
    <w:uiPriority w:val="9"/>
    <w:qFormat/>
    <w:rsid w:val="005E6F45"/>
    <w:pPr>
      <w:outlineLvl w:val="0"/>
    </w:pPr>
  </w:style>
  <w:style w:type="paragraph" w:styleId="Heading2">
    <w:name w:val="heading 2"/>
    <w:next w:val="Normal"/>
    <w:link w:val="Heading2Char"/>
    <w:uiPriority w:val="9"/>
    <w:unhideWhenUsed/>
    <w:qFormat/>
    <w:rsid w:val="006B379F"/>
    <w:pPr>
      <w:spacing w:before="360" w:after="60"/>
      <w:outlineLvl w:val="1"/>
    </w:pPr>
    <w:rPr>
      <w:rFonts w:ascii="Aptos" w:eastAsiaTheme="majorEastAsia" w:hAnsi="Aptos" w:cstheme="majorBidi"/>
      <w:b/>
      <w:color w:val="273747" w:themeColor="accent1"/>
      <w:sz w:val="44"/>
      <w:szCs w:val="32"/>
    </w:rPr>
  </w:style>
  <w:style w:type="paragraph" w:styleId="Heading3">
    <w:name w:val="heading 3"/>
    <w:next w:val="Normal"/>
    <w:link w:val="Heading3Char"/>
    <w:uiPriority w:val="9"/>
    <w:unhideWhenUsed/>
    <w:qFormat/>
    <w:rsid w:val="006B379F"/>
    <w:pPr>
      <w:spacing w:before="360" w:after="60"/>
      <w:outlineLvl w:val="2"/>
    </w:pPr>
    <w:rPr>
      <w:rFonts w:ascii="Aptos" w:eastAsiaTheme="majorEastAsia" w:hAnsi="Aptos" w:cstheme="majorBidi"/>
      <w:b/>
      <w:color w:val="273747" w:themeColor="accent1"/>
      <w:sz w:val="36"/>
      <w:szCs w:val="26"/>
    </w:rPr>
  </w:style>
  <w:style w:type="paragraph" w:styleId="Heading4">
    <w:name w:val="heading 4"/>
    <w:next w:val="Normal"/>
    <w:link w:val="Heading4Char"/>
    <w:uiPriority w:val="9"/>
    <w:unhideWhenUsed/>
    <w:qFormat/>
    <w:rsid w:val="006B379F"/>
    <w:pPr>
      <w:spacing w:before="360" w:after="60"/>
      <w:outlineLvl w:val="3"/>
    </w:pPr>
    <w:rPr>
      <w:rFonts w:ascii="Aptos" w:eastAsiaTheme="majorEastAsia" w:hAnsi="Aptos" w:cstheme="majorBidi"/>
      <w:b/>
      <w:color w:val="50748A" w:themeColor="text2"/>
      <w:sz w:val="32"/>
      <w:szCs w:val="24"/>
    </w:rPr>
  </w:style>
  <w:style w:type="paragraph" w:styleId="Heading5">
    <w:name w:val="heading 5"/>
    <w:next w:val="Normal"/>
    <w:link w:val="Heading5Char"/>
    <w:uiPriority w:val="9"/>
    <w:unhideWhenUsed/>
    <w:qFormat/>
    <w:rsid w:val="00312496"/>
    <w:pPr>
      <w:spacing w:before="360" w:after="60"/>
      <w:outlineLvl w:val="4"/>
    </w:pPr>
    <w:rPr>
      <w:rFonts w:ascii="Aptos" w:eastAsiaTheme="majorEastAsia" w:hAnsi="Aptos" w:cstheme="majorBidi"/>
      <w:b/>
      <w:iCs/>
      <w:color w:val="00A5AD"/>
      <w:sz w:val="28"/>
    </w:rPr>
  </w:style>
  <w:style w:type="paragraph" w:styleId="Heading6">
    <w:name w:val="heading 6"/>
    <w:next w:val="Normal"/>
    <w:link w:val="Heading6Char"/>
    <w:uiPriority w:val="9"/>
    <w:unhideWhenUsed/>
    <w:qFormat/>
    <w:rsid w:val="005E6F45"/>
    <w:pPr>
      <w:outlineLvl w:val="5"/>
    </w:pPr>
    <w:rPr>
      <w:rFonts w:ascii="Aptos" w:eastAsiaTheme="majorEastAsia" w:hAnsi="Aptos" w:cstheme="majorBidi"/>
      <w:b/>
      <w:color w:val="1D2935" w:themeColor="accent1" w:themeShade="BF"/>
      <w:sz w:val="24"/>
    </w:rPr>
  </w:style>
  <w:style w:type="paragraph" w:styleId="Heading7">
    <w:name w:val="heading 7"/>
    <w:basedOn w:val="Normal"/>
    <w:next w:val="Normal"/>
    <w:link w:val="Heading7Char"/>
    <w:uiPriority w:val="9"/>
    <w:semiHidden/>
    <w:unhideWhenUsed/>
    <w:qFormat/>
    <w:rsid w:val="00312496"/>
    <w:pPr>
      <w:keepNext/>
      <w:keepLines/>
      <w:spacing w:before="40" w:after="0"/>
      <w:outlineLvl w:val="6"/>
    </w:pPr>
    <w:rPr>
      <w:rFonts w:eastAsiaTheme="majorEastAsia" w:cstheme="majorBidi"/>
      <w:i/>
      <w:iCs/>
      <w:color w:val="131B2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2CF7"/>
    <w:pPr>
      <w:spacing w:after="0" w:line="240" w:lineRule="auto"/>
    </w:pPr>
    <w:rPr>
      <w:rFonts w:ascii="Arial" w:hAnsi="Arial"/>
      <w:sz w:val="21"/>
    </w:rPr>
  </w:style>
  <w:style w:type="paragraph" w:customStyle="1" w:styleId="Bulletlevel1">
    <w:name w:val="Bullet level 1"/>
    <w:basedOn w:val="ListParagraph"/>
    <w:qFormat/>
    <w:rsid w:val="008475CC"/>
    <w:pPr>
      <w:numPr>
        <w:numId w:val="35"/>
      </w:numPr>
    </w:pPr>
  </w:style>
  <w:style w:type="paragraph" w:customStyle="1" w:styleId="Bulletlevel2">
    <w:name w:val="Bullet level 2"/>
    <w:basedOn w:val="ListParagraph"/>
    <w:qFormat/>
    <w:rsid w:val="008475CC"/>
    <w:pPr>
      <w:numPr>
        <w:ilvl w:val="1"/>
        <w:numId w:val="35"/>
      </w:numPr>
    </w:pPr>
  </w:style>
  <w:style w:type="paragraph" w:customStyle="1" w:styleId="Bulletlevel3">
    <w:name w:val="Bullet level 3"/>
    <w:basedOn w:val="ListParagraph"/>
    <w:qFormat/>
    <w:rsid w:val="008475CC"/>
    <w:pPr>
      <w:numPr>
        <w:ilvl w:val="2"/>
        <w:numId w:val="35"/>
      </w:numPr>
    </w:pPr>
  </w:style>
  <w:style w:type="paragraph" w:customStyle="1" w:styleId="Bulletlevel4">
    <w:name w:val="Bullet level 4"/>
    <w:basedOn w:val="ListParagraph"/>
    <w:qFormat/>
    <w:rsid w:val="008475CC"/>
    <w:pPr>
      <w:numPr>
        <w:ilvl w:val="3"/>
        <w:numId w:val="35"/>
      </w:numPr>
    </w:pPr>
  </w:style>
  <w:style w:type="numbering" w:customStyle="1" w:styleId="AGDbulletlist1-4">
    <w:name w:val="AGD bullet list 1-4"/>
    <w:uiPriority w:val="99"/>
    <w:rsid w:val="00692A49"/>
    <w:pPr>
      <w:numPr>
        <w:numId w:val="14"/>
      </w:numPr>
    </w:pPr>
  </w:style>
  <w:style w:type="character" w:customStyle="1" w:styleId="Heading1Char">
    <w:name w:val="Heading 1 Char"/>
    <w:basedOn w:val="DefaultParagraphFont"/>
    <w:link w:val="Heading1"/>
    <w:uiPriority w:val="9"/>
    <w:rsid w:val="005E6F45"/>
    <w:rPr>
      <w:rFonts w:ascii="Aptos ExtraBold" w:eastAsiaTheme="majorEastAsia" w:hAnsi="Aptos ExtraBold" w:cstheme="majorBidi"/>
      <w:color w:val="273747" w:themeColor="accent1"/>
      <w:spacing w:val="-10"/>
      <w:kern w:val="28"/>
      <w:sz w:val="56"/>
      <w:szCs w:val="56"/>
    </w:rPr>
  </w:style>
  <w:style w:type="character" w:customStyle="1" w:styleId="Heading2Char">
    <w:name w:val="Heading 2 Char"/>
    <w:basedOn w:val="DefaultParagraphFont"/>
    <w:link w:val="Heading2"/>
    <w:uiPriority w:val="9"/>
    <w:rsid w:val="006B379F"/>
    <w:rPr>
      <w:rFonts w:ascii="Aptos" w:eastAsiaTheme="majorEastAsia" w:hAnsi="Aptos" w:cstheme="majorBidi"/>
      <w:b/>
      <w:color w:val="273747" w:themeColor="accent1"/>
      <w:sz w:val="44"/>
      <w:szCs w:val="32"/>
    </w:rPr>
  </w:style>
  <w:style w:type="character" w:customStyle="1" w:styleId="Heading3Char">
    <w:name w:val="Heading 3 Char"/>
    <w:basedOn w:val="DefaultParagraphFont"/>
    <w:link w:val="Heading3"/>
    <w:uiPriority w:val="9"/>
    <w:rsid w:val="006B379F"/>
    <w:rPr>
      <w:rFonts w:ascii="Aptos" w:eastAsiaTheme="majorEastAsia" w:hAnsi="Aptos" w:cstheme="majorBidi"/>
      <w:b/>
      <w:color w:val="273747" w:themeColor="accent1"/>
      <w:sz w:val="36"/>
      <w:szCs w:val="26"/>
    </w:rPr>
  </w:style>
  <w:style w:type="character" w:customStyle="1" w:styleId="Heading4Char">
    <w:name w:val="Heading 4 Char"/>
    <w:basedOn w:val="DefaultParagraphFont"/>
    <w:link w:val="Heading4"/>
    <w:uiPriority w:val="9"/>
    <w:rsid w:val="006B379F"/>
    <w:rPr>
      <w:rFonts w:ascii="Aptos" w:eastAsiaTheme="majorEastAsia" w:hAnsi="Aptos" w:cstheme="majorBidi"/>
      <w:b/>
      <w:color w:val="50748A" w:themeColor="text2"/>
      <w:sz w:val="32"/>
      <w:szCs w:val="24"/>
    </w:rPr>
  </w:style>
  <w:style w:type="paragraph" w:styleId="Header">
    <w:name w:val="header"/>
    <w:basedOn w:val="Normal"/>
    <w:link w:val="HeaderChar"/>
    <w:uiPriority w:val="99"/>
    <w:unhideWhenUsed/>
    <w:rsid w:val="00B604B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604B3"/>
    <w:rPr>
      <w:rFonts w:ascii="Arial" w:hAnsi="Arial"/>
      <w:sz w:val="21"/>
    </w:rPr>
  </w:style>
  <w:style w:type="paragraph" w:styleId="Footer">
    <w:name w:val="footer"/>
    <w:basedOn w:val="Normal"/>
    <w:link w:val="FooterChar"/>
    <w:uiPriority w:val="99"/>
    <w:unhideWhenUsed/>
    <w:rsid w:val="00E6576B"/>
    <w:pPr>
      <w:tabs>
        <w:tab w:val="right" w:pos="9072"/>
      </w:tabs>
      <w:spacing w:before="0" w:after="0" w:line="240" w:lineRule="auto"/>
    </w:pPr>
    <w:rPr>
      <w:sz w:val="18"/>
    </w:rPr>
  </w:style>
  <w:style w:type="character" w:customStyle="1" w:styleId="FooterChar">
    <w:name w:val="Footer Char"/>
    <w:basedOn w:val="DefaultParagraphFont"/>
    <w:link w:val="Footer"/>
    <w:uiPriority w:val="99"/>
    <w:rsid w:val="00E6576B"/>
    <w:rPr>
      <w:rFonts w:ascii="Aptos" w:hAnsi="Aptos"/>
      <w:color w:val="000000"/>
      <w:sz w:val="18"/>
    </w:rPr>
  </w:style>
  <w:style w:type="character" w:styleId="Strong">
    <w:name w:val="Strong"/>
    <w:basedOn w:val="DefaultParagraphFont"/>
    <w:uiPriority w:val="22"/>
    <w:qFormat/>
    <w:rsid w:val="00056E01"/>
    <w:rPr>
      <w:b/>
      <w:bCs/>
    </w:rPr>
  </w:style>
  <w:style w:type="paragraph" w:styleId="Title">
    <w:name w:val="Title"/>
    <w:basedOn w:val="Normal"/>
    <w:next w:val="Normal"/>
    <w:link w:val="TitleChar"/>
    <w:uiPriority w:val="10"/>
    <w:qFormat/>
    <w:rsid w:val="00717A4F"/>
    <w:pPr>
      <w:spacing w:before="1160" w:after="0" w:line="240" w:lineRule="auto"/>
      <w:contextualSpacing/>
    </w:pPr>
    <w:rPr>
      <w:rFonts w:ascii="Aptos ExtraBold" w:eastAsiaTheme="majorEastAsia" w:hAnsi="Aptos ExtraBold" w:cstheme="majorBidi"/>
      <w:color w:val="273747" w:themeColor="accent1"/>
      <w:spacing w:val="-10"/>
      <w:kern w:val="28"/>
      <w:sz w:val="56"/>
      <w:szCs w:val="56"/>
    </w:rPr>
  </w:style>
  <w:style w:type="character" w:customStyle="1" w:styleId="TitleChar">
    <w:name w:val="Title Char"/>
    <w:basedOn w:val="DefaultParagraphFont"/>
    <w:link w:val="Title"/>
    <w:uiPriority w:val="10"/>
    <w:rsid w:val="00717A4F"/>
    <w:rPr>
      <w:rFonts w:ascii="Aptos ExtraBold" w:eastAsiaTheme="majorEastAsia" w:hAnsi="Aptos ExtraBold" w:cstheme="majorBidi"/>
      <w:color w:val="273747" w:themeColor="accent1"/>
      <w:spacing w:val="-10"/>
      <w:kern w:val="28"/>
      <w:sz w:val="56"/>
      <w:szCs w:val="56"/>
    </w:rPr>
  </w:style>
  <w:style w:type="paragraph" w:styleId="Subtitle">
    <w:name w:val="Subtitle"/>
    <w:basedOn w:val="Normal"/>
    <w:next w:val="Normal"/>
    <w:link w:val="SubtitleChar"/>
    <w:uiPriority w:val="11"/>
    <w:qFormat/>
    <w:rsid w:val="00717A4F"/>
    <w:pPr>
      <w:numPr>
        <w:ilvl w:val="1"/>
      </w:numPr>
      <w:spacing w:before="0" w:after="480"/>
    </w:pPr>
    <w:rPr>
      <w:rFonts w:eastAsiaTheme="minorEastAsia"/>
      <w:color w:val="50748A" w:themeColor="text2"/>
      <w:spacing w:val="15"/>
      <w:sz w:val="36"/>
    </w:rPr>
  </w:style>
  <w:style w:type="character" w:customStyle="1" w:styleId="SubtitleChar">
    <w:name w:val="Subtitle Char"/>
    <w:basedOn w:val="DefaultParagraphFont"/>
    <w:link w:val="Subtitle"/>
    <w:uiPriority w:val="11"/>
    <w:rsid w:val="00717A4F"/>
    <w:rPr>
      <w:rFonts w:ascii="Aptos" w:eastAsiaTheme="minorEastAsia" w:hAnsi="Aptos"/>
      <w:color w:val="50748A" w:themeColor="text2"/>
      <w:spacing w:val="15"/>
      <w:sz w:val="36"/>
    </w:rPr>
  </w:style>
  <w:style w:type="numbering" w:customStyle="1" w:styleId="NumberedContinuous">
    <w:name w:val="Numbered Continuous"/>
    <w:uiPriority w:val="99"/>
    <w:rsid w:val="00F836CC"/>
    <w:pPr>
      <w:numPr>
        <w:numId w:val="20"/>
      </w:numPr>
    </w:pPr>
  </w:style>
  <w:style w:type="paragraph" w:styleId="ListParagraph">
    <w:name w:val="List Paragraph"/>
    <w:basedOn w:val="Normal"/>
    <w:uiPriority w:val="34"/>
    <w:rsid w:val="00F836CC"/>
    <w:pPr>
      <w:spacing w:before="60"/>
      <w:ind w:left="720"/>
    </w:pPr>
  </w:style>
  <w:style w:type="paragraph" w:styleId="IntenseQuote">
    <w:name w:val="Intense Quote"/>
    <w:basedOn w:val="Normal"/>
    <w:next w:val="Normal"/>
    <w:link w:val="IntenseQuoteChar"/>
    <w:uiPriority w:val="30"/>
    <w:qFormat/>
    <w:rsid w:val="0001049E"/>
    <w:pPr>
      <w:pBdr>
        <w:top w:val="single" w:sz="12" w:space="10" w:color="CBD6E2" w:themeColor="accent1" w:themeTint="33"/>
        <w:bottom w:val="single" w:sz="12" w:space="10" w:color="CBD6E2" w:themeColor="accent1" w:themeTint="33"/>
      </w:pBdr>
      <w:spacing w:before="360" w:after="360"/>
      <w:ind w:left="864" w:right="864"/>
      <w:jc w:val="center"/>
    </w:pPr>
    <w:rPr>
      <w:iCs/>
      <w:color w:val="273747" w:themeColor="accent1"/>
      <w:sz w:val="24"/>
    </w:rPr>
  </w:style>
  <w:style w:type="character" w:customStyle="1" w:styleId="IntenseQuoteChar">
    <w:name w:val="Intense Quote Char"/>
    <w:basedOn w:val="DefaultParagraphFont"/>
    <w:link w:val="IntenseQuote"/>
    <w:uiPriority w:val="30"/>
    <w:rsid w:val="0001049E"/>
    <w:rPr>
      <w:rFonts w:ascii="Aptos" w:hAnsi="Aptos"/>
      <w:iCs/>
      <w:color w:val="273747" w:themeColor="accent1"/>
      <w:sz w:val="24"/>
    </w:rPr>
  </w:style>
  <w:style w:type="paragraph" w:customStyle="1" w:styleId="Boxnormal">
    <w:name w:val="Box normal"/>
    <w:basedOn w:val="Normal"/>
    <w:qFormat/>
    <w:rsid w:val="008E31C7"/>
    <w:pPr>
      <w:pBdr>
        <w:top w:val="single" w:sz="48" w:space="1" w:color="E6F6F7"/>
        <w:left w:val="single" w:sz="48" w:space="4" w:color="E6F6F7"/>
        <w:bottom w:val="single" w:sz="48" w:space="1" w:color="E6F6F7"/>
        <w:right w:val="single" w:sz="48" w:space="4" w:color="E6F6F7"/>
      </w:pBdr>
      <w:shd w:val="clear" w:color="auto" w:fill="E6F6F7"/>
      <w:spacing w:before="240" w:after="240"/>
      <w:ind w:left="198" w:right="198"/>
    </w:pPr>
  </w:style>
  <w:style w:type="table" w:styleId="TableGrid">
    <w:name w:val="Table Grid"/>
    <w:basedOn w:val="TableNormal"/>
    <w:uiPriority w:val="39"/>
    <w:rsid w:val="00841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GDtable">
    <w:name w:val="AGD table"/>
    <w:basedOn w:val="TableNormal"/>
    <w:uiPriority w:val="99"/>
    <w:rsid w:val="009F6FFB"/>
    <w:pPr>
      <w:spacing w:before="120" w:after="120" w:line="247" w:lineRule="auto"/>
    </w:pPr>
    <w:rPr>
      <w:rFonts w:ascii="Aptos" w:hAnsi="Aptos"/>
    </w:rPr>
    <w:tblPr>
      <w:tblStyleRowBandSize w:val="1"/>
      <w:tblBorders>
        <w:bottom w:val="double" w:sz="6" w:space="0" w:color="273747" w:themeColor="text1"/>
        <w:insideH w:val="single" w:sz="4" w:space="0" w:color="273747" w:themeColor="text1"/>
      </w:tblBorders>
    </w:tblPr>
    <w:tblStylePr w:type="firstRow">
      <w:pPr>
        <w:wordWrap/>
        <w:spacing w:beforeLines="0" w:before="120" w:beforeAutospacing="0" w:afterLines="0" w:after="120" w:afterAutospacing="0" w:line="21" w:lineRule="atLeast"/>
        <w:contextualSpacing w:val="0"/>
        <w:jc w:val="left"/>
      </w:pPr>
      <w:rPr>
        <w:rFonts w:ascii="Aptos" w:hAnsi="Aptos"/>
        <w:b/>
        <w:color w:val="FFFFFF"/>
        <w:sz w:val="22"/>
      </w:rPr>
      <w:tblPr/>
      <w:tcPr>
        <w:shd w:val="clear" w:color="auto" w:fill="273747" w:themeFill="text1"/>
        <w:vAlign w:val="center"/>
      </w:tcPr>
    </w:tblStylePr>
    <w:tblStylePr w:type="band2Horz">
      <w:rPr>
        <w:color w:val="auto"/>
      </w:rPr>
      <w:tblPr/>
      <w:tcPr>
        <w:shd w:val="clear" w:color="auto" w:fill="F5FFFF"/>
      </w:tcPr>
    </w:tblStylePr>
  </w:style>
  <w:style w:type="paragraph" w:customStyle="1" w:styleId="Tableheaderrow">
    <w:name w:val="Table header row"/>
    <w:basedOn w:val="Normal"/>
    <w:qFormat/>
    <w:rsid w:val="004A69D6"/>
    <w:pPr>
      <w:spacing w:before="120" w:after="120"/>
    </w:pPr>
    <w:rPr>
      <w:color w:val="FFFFFF"/>
    </w:rPr>
  </w:style>
  <w:style w:type="table" w:styleId="TableGridLight">
    <w:name w:val="Grid Table Light"/>
    <w:basedOn w:val="TableNormal"/>
    <w:uiPriority w:val="40"/>
    <w:rsid w:val="009F6F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F6F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F6FFB"/>
    <w:pPr>
      <w:spacing w:after="0" w:line="240" w:lineRule="auto"/>
    </w:pPr>
    <w:tblPr>
      <w:tblStyleRowBandSize w:val="1"/>
      <w:tblStyleColBandSize w:val="1"/>
      <w:tblBorders>
        <w:top w:val="single" w:sz="4" w:space="0" w:color="7D9AB7" w:themeColor="text1" w:themeTint="80"/>
        <w:bottom w:val="single" w:sz="4" w:space="0" w:color="7D9AB7" w:themeColor="text1" w:themeTint="80"/>
      </w:tblBorders>
    </w:tblPr>
    <w:tblStylePr w:type="firstRow">
      <w:rPr>
        <w:b/>
        <w:bCs/>
      </w:rPr>
      <w:tblPr/>
      <w:tcPr>
        <w:tcBorders>
          <w:bottom w:val="single" w:sz="4" w:space="0" w:color="7D9AB7" w:themeColor="text1" w:themeTint="80"/>
        </w:tcBorders>
      </w:tcPr>
    </w:tblStylePr>
    <w:tblStylePr w:type="lastRow">
      <w:rPr>
        <w:b/>
        <w:bCs/>
      </w:rPr>
      <w:tblPr/>
      <w:tcPr>
        <w:tcBorders>
          <w:top w:val="single" w:sz="4" w:space="0" w:color="7D9AB7" w:themeColor="text1" w:themeTint="80"/>
        </w:tcBorders>
      </w:tcPr>
    </w:tblStylePr>
    <w:tblStylePr w:type="firstCol">
      <w:rPr>
        <w:b/>
        <w:bCs/>
      </w:rPr>
    </w:tblStylePr>
    <w:tblStylePr w:type="lastCol">
      <w:rPr>
        <w:b/>
        <w:bCs/>
      </w:rPr>
    </w:tblStylePr>
    <w:tblStylePr w:type="band1Vert">
      <w:tblPr/>
      <w:tcPr>
        <w:tcBorders>
          <w:left w:val="single" w:sz="4" w:space="0" w:color="7D9AB7" w:themeColor="text1" w:themeTint="80"/>
          <w:right w:val="single" w:sz="4" w:space="0" w:color="7D9AB7" w:themeColor="text1" w:themeTint="80"/>
        </w:tcBorders>
      </w:tcPr>
    </w:tblStylePr>
    <w:tblStylePr w:type="band2Vert">
      <w:tblPr/>
      <w:tcPr>
        <w:tcBorders>
          <w:left w:val="single" w:sz="4" w:space="0" w:color="7D9AB7" w:themeColor="text1" w:themeTint="80"/>
          <w:right w:val="single" w:sz="4" w:space="0" w:color="7D9AB7" w:themeColor="text1" w:themeTint="80"/>
        </w:tcBorders>
      </w:tcPr>
    </w:tblStylePr>
    <w:tblStylePr w:type="band1Horz">
      <w:tblPr/>
      <w:tcPr>
        <w:tcBorders>
          <w:top w:val="single" w:sz="4" w:space="0" w:color="7D9AB7" w:themeColor="text1" w:themeTint="80"/>
          <w:bottom w:val="single" w:sz="4" w:space="0" w:color="7D9AB7" w:themeColor="text1" w:themeTint="80"/>
        </w:tcBorders>
      </w:tcPr>
    </w:tblStylePr>
  </w:style>
  <w:style w:type="table" w:styleId="PlainTable3">
    <w:name w:val="Plain Table 3"/>
    <w:basedOn w:val="TableNormal"/>
    <w:uiPriority w:val="43"/>
    <w:rsid w:val="009F6FFB"/>
    <w:pPr>
      <w:spacing w:after="0" w:line="240" w:lineRule="auto"/>
    </w:pPr>
    <w:tblPr>
      <w:tblStyleRowBandSize w:val="1"/>
      <w:tblStyleColBandSize w:val="1"/>
    </w:tblPr>
    <w:tblStylePr w:type="firstRow">
      <w:rPr>
        <w:b/>
        <w:bCs/>
        <w:caps/>
      </w:rPr>
      <w:tblPr/>
      <w:tcPr>
        <w:tcBorders>
          <w:bottom w:val="single" w:sz="4" w:space="0" w:color="7D9AB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D9AB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6FF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xheading">
    <w:name w:val="Box heading"/>
    <w:basedOn w:val="Boxnormal"/>
    <w:qFormat/>
    <w:rsid w:val="00497B80"/>
    <w:rPr>
      <w:b/>
      <w:sz w:val="26"/>
      <w:szCs w:val="26"/>
    </w:rPr>
  </w:style>
  <w:style w:type="paragraph" w:customStyle="1" w:styleId="Introduction">
    <w:name w:val="Introduction"/>
    <w:basedOn w:val="Normal"/>
    <w:qFormat/>
    <w:rsid w:val="00F53915"/>
    <w:pPr>
      <w:spacing w:line="288" w:lineRule="auto"/>
    </w:pPr>
    <w:rPr>
      <w:color w:val="50748A" w:themeColor="text2"/>
      <w:sz w:val="28"/>
      <w:szCs w:val="28"/>
    </w:rPr>
  </w:style>
  <w:style w:type="character" w:customStyle="1" w:styleId="Heading5Char">
    <w:name w:val="Heading 5 Char"/>
    <w:basedOn w:val="DefaultParagraphFont"/>
    <w:link w:val="Heading5"/>
    <w:uiPriority w:val="9"/>
    <w:rsid w:val="00312496"/>
    <w:rPr>
      <w:rFonts w:ascii="Aptos" w:eastAsiaTheme="majorEastAsia" w:hAnsi="Aptos" w:cstheme="majorBidi"/>
      <w:b/>
      <w:iCs/>
      <w:color w:val="00A5AD"/>
      <w:sz w:val="28"/>
    </w:rPr>
  </w:style>
  <w:style w:type="character" w:customStyle="1" w:styleId="Heading6Char">
    <w:name w:val="Heading 6 Char"/>
    <w:basedOn w:val="DefaultParagraphFont"/>
    <w:link w:val="Heading6"/>
    <w:uiPriority w:val="9"/>
    <w:rsid w:val="005E6F45"/>
    <w:rPr>
      <w:rFonts w:ascii="Aptos" w:eastAsiaTheme="majorEastAsia" w:hAnsi="Aptos" w:cstheme="majorBidi"/>
      <w:b/>
      <w:color w:val="1D2935" w:themeColor="accent1" w:themeShade="BF"/>
      <w:sz w:val="24"/>
    </w:rPr>
  </w:style>
  <w:style w:type="character" w:customStyle="1" w:styleId="Heading7Char">
    <w:name w:val="Heading 7 Char"/>
    <w:basedOn w:val="DefaultParagraphFont"/>
    <w:link w:val="Heading7"/>
    <w:uiPriority w:val="9"/>
    <w:semiHidden/>
    <w:rsid w:val="00312496"/>
    <w:rPr>
      <w:rFonts w:ascii="Aptos" w:eastAsiaTheme="majorEastAsia" w:hAnsi="Aptos" w:cstheme="majorBidi"/>
      <w:i/>
      <w:iCs/>
      <w:color w:val="131B23" w:themeColor="accent1" w:themeShade="7F"/>
    </w:rPr>
  </w:style>
  <w:style w:type="character" w:styleId="CommentReference">
    <w:name w:val="annotation reference"/>
    <w:basedOn w:val="DefaultParagraphFont"/>
    <w:uiPriority w:val="99"/>
    <w:semiHidden/>
    <w:unhideWhenUsed/>
    <w:rsid w:val="00356FE3"/>
    <w:rPr>
      <w:sz w:val="16"/>
      <w:szCs w:val="16"/>
    </w:rPr>
  </w:style>
  <w:style w:type="paragraph" w:styleId="CommentText">
    <w:name w:val="annotation text"/>
    <w:basedOn w:val="Normal"/>
    <w:link w:val="CommentTextChar"/>
    <w:uiPriority w:val="99"/>
    <w:unhideWhenUsed/>
    <w:rsid w:val="00356FE3"/>
    <w:pPr>
      <w:spacing w:line="240" w:lineRule="auto"/>
    </w:pPr>
    <w:rPr>
      <w:sz w:val="20"/>
      <w:szCs w:val="20"/>
    </w:rPr>
  </w:style>
  <w:style w:type="character" w:customStyle="1" w:styleId="CommentTextChar">
    <w:name w:val="Comment Text Char"/>
    <w:basedOn w:val="DefaultParagraphFont"/>
    <w:link w:val="CommentText"/>
    <w:uiPriority w:val="99"/>
    <w:rsid w:val="00356FE3"/>
    <w:rPr>
      <w:rFonts w:ascii="Aptos" w:hAnsi="Aptos"/>
      <w:color w:val="000000"/>
      <w:sz w:val="20"/>
      <w:szCs w:val="20"/>
    </w:rPr>
  </w:style>
  <w:style w:type="paragraph" w:styleId="CommentSubject">
    <w:name w:val="annotation subject"/>
    <w:basedOn w:val="CommentText"/>
    <w:next w:val="CommentText"/>
    <w:link w:val="CommentSubjectChar"/>
    <w:uiPriority w:val="99"/>
    <w:semiHidden/>
    <w:unhideWhenUsed/>
    <w:rsid w:val="00356FE3"/>
    <w:rPr>
      <w:b/>
      <w:bCs/>
    </w:rPr>
  </w:style>
  <w:style w:type="character" w:customStyle="1" w:styleId="CommentSubjectChar">
    <w:name w:val="Comment Subject Char"/>
    <w:basedOn w:val="CommentTextChar"/>
    <w:link w:val="CommentSubject"/>
    <w:uiPriority w:val="99"/>
    <w:semiHidden/>
    <w:rsid w:val="00356FE3"/>
    <w:rPr>
      <w:rFonts w:ascii="Aptos" w:hAnsi="Aptos"/>
      <w:b/>
      <w:bCs/>
      <w:color w:val="000000"/>
      <w:sz w:val="20"/>
      <w:szCs w:val="20"/>
    </w:rPr>
  </w:style>
  <w:style w:type="character" w:styleId="Hyperlink">
    <w:name w:val="Hyperlink"/>
    <w:basedOn w:val="DefaultParagraphFont"/>
    <w:uiPriority w:val="99"/>
    <w:unhideWhenUsed/>
    <w:rsid w:val="00356FE3"/>
    <w:rPr>
      <w:color w:val="273747" w:themeColor="hyperlink"/>
      <w:u w:val="single"/>
    </w:rPr>
  </w:style>
  <w:style w:type="character" w:styleId="UnresolvedMention">
    <w:name w:val="Unresolved Mention"/>
    <w:basedOn w:val="DefaultParagraphFont"/>
    <w:uiPriority w:val="99"/>
    <w:semiHidden/>
    <w:unhideWhenUsed/>
    <w:rsid w:val="00356FE3"/>
    <w:rPr>
      <w:color w:val="605E5C"/>
      <w:shd w:val="clear" w:color="auto" w:fill="E1DFDD"/>
    </w:rPr>
  </w:style>
  <w:style w:type="paragraph" w:customStyle="1" w:styleId="Bullet1">
    <w:name w:val="Bullet 1"/>
    <w:basedOn w:val="ListBullet2"/>
    <w:autoRedefine/>
    <w:qFormat/>
    <w:rsid w:val="005426AA"/>
    <w:pPr>
      <w:numPr>
        <w:numId w:val="53"/>
      </w:numPr>
      <w:spacing w:before="0" w:after="200" w:line="276" w:lineRule="auto"/>
      <w:ind w:left="714" w:hanging="357"/>
      <w:contextualSpacing w:val="0"/>
    </w:pPr>
    <w:rPr>
      <w:rFonts w:ascii="Calibri" w:eastAsia="Calibri" w:hAnsi="Calibri" w:cs="Calibri"/>
      <w:color w:val="auto"/>
      <w:w w:val="105"/>
      <w:kern w:val="40"/>
    </w:rPr>
  </w:style>
  <w:style w:type="paragraph" w:styleId="FootnoteText">
    <w:name w:val="footnote text"/>
    <w:basedOn w:val="Normal"/>
    <w:link w:val="FootnoteTextChar"/>
    <w:uiPriority w:val="99"/>
    <w:unhideWhenUsed/>
    <w:rsid w:val="0055343A"/>
    <w:pPr>
      <w:spacing w:before="0" w:after="0" w:line="240" w:lineRule="auto"/>
    </w:pPr>
    <w:rPr>
      <w:rFonts w:ascii="Calibri" w:eastAsia="Calibri" w:hAnsi="Calibri" w:cs="Calibri"/>
      <w:color w:val="auto"/>
      <w:w w:val="105"/>
      <w:kern w:val="40"/>
      <w:sz w:val="20"/>
      <w:szCs w:val="20"/>
    </w:rPr>
  </w:style>
  <w:style w:type="character" w:customStyle="1" w:styleId="FootnoteTextChar">
    <w:name w:val="Footnote Text Char"/>
    <w:basedOn w:val="DefaultParagraphFont"/>
    <w:link w:val="FootnoteText"/>
    <w:uiPriority w:val="99"/>
    <w:rsid w:val="0055343A"/>
    <w:rPr>
      <w:rFonts w:ascii="Calibri" w:eastAsia="Calibri" w:hAnsi="Calibri" w:cs="Calibri"/>
      <w:w w:val="105"/>
      <w:kern w:val="40"/>
      <w:sz w:val="20"/>
      <w:szCs w:val="20"/>
    </w:rPr>
  </w:style>
  <w:style w:type="character" w:styleId="FootnoteReference">
    <w:name w:val="footnote reference"/>
    <w:basedOn w:val="DefaultParagraphFont"/>
    <w:semiHidden/>
    <w:unhideWhenUsed/>
    <w:rsid w:val="0055343A"/>
    <w:rPr>
      <w:vertAlign w:val="superscript"/>
    </w:rPr>
  </w:style>
  <w:style w:type="table" w:styleId="GridTable4-Accent1">
    <w:name w:val="Grid Table 4 Accent 1"/>
    <w:basedOn w:val="TableNormal"/>
    <w:uiPriority w:val="49"/>
    <w:rsid w:val="0055343A"/>
    <w:pPr>
      <w:spacing w:after="0" w:line="240" w:lineRule="auto"/>
    </w:pPr>
    <w:rPr>
      <w:rFonts w:ascii="Calibri" w:eastAsia="Calibri" w:hAnsi="Calibri" w:cs="Times New Roman"/>
      <w:sz w:val="20"/>
      <w:szCs w:val="20"/>
      <w:lang w:eastAsia="en-AU"/>
    </w:rPr>
    <w:tblPr>
      <w:tblStyleRowBandSize w:val="1"/>
      <w:tblStyleColBandSize w:val="1"/>
      <w:tblBorders>
        <w:top w:val="single" w:sz="4" w:space="0" w:color="6486AA" w:themeColor="accent1" w:themeTint="99"/>
        <w:left w:val="single" w:sz="4" w:space="0" w:color="6486AA" w:themeColor="accent1" w:themeTint="99"/>
        <w:bottom w:val="single" w:sz="4" w:space="0" w:color="6486AA" w:themeColor="accent1" w:themeTint="99"/>
        <w:right w:val="single" w:sz="4" w:space="0" w:color="6486AA" w:themeColor="accent1" w:themeTint="99"/>
        <w:insideH w:val="single" w:sz="4" w:space="0" w:color="6486AA" w:themeColor="accent1" w:themeTint="99"/>
        <w:insideV w:val="single" w:sz="4" w:space="0" w:color="6486AA" w:themeColor="accent1" w:themeTint="99"/>
      </w:tblBorders>
    </w:tblPr>
    <w:tblStylePr w:type="firstRow">
      <w:rPr>
        <w:b/>
        <w:bCs/>
        <w:color w:val="FFFFFF" w:themeColor="background1"/>
      </w:rPr>
      <w:tblPr/>
      <w:tcPr>
        <w:tcBorders>
          <w:top w:val="single" w:sz="4" w:space="0" w:color="273747" w:themeColor="accent1"/>
          <w:left w:val="single" w:sz="4" w:space="0" w:color="273747" w:themeColor="accent1"/>
          <w:bottom w:val="single" w:sz="4" w:space="0" w:color="273747" w:themeColor="accent1"/>
          <w:right w:val="single" w:sz="4" w:space="0" w:color="273747" w:themeColor="accent1"/>
          <w:insideH w:val="nil"/>
          <w:insideV w:val="nil"/>
        </w:tcBorders>
        <w:shd w:val="clear" w:color="auto" w:fill="273747" w:themeFill="accent1"/>
      </w:tcPr>
    </w:tblStylePr>
    <w:tblStylePr w:type="lastRow">
      <w:rPr>
        <w:b/>
        <w:bCs/>
      </w:rPr>
      <w:tblPr/>
      <w:tcPr>
        <w:tcBorders>
          <w:top w:val="double" w:sz="4" w:space="0" w:color="273747" w:themeColor="accent1"/>
        </w:tcBorders>
      </w:tcPr>
    </w:tblStylePr>
    <w:tblStylePr w:type="firstCol">
      <w:rPr>
        <w:b/>
        <w:bCs/>
      </w:rPr>
    </w:tblStylePr>
    <w:tblStylePr w:type="lastCol">
      <w:rPr>
        <w:b/>
        <w:bCs/>
      </w:rPr>
    </w:tblStylePr>
    <w:tblStylePr w:type="band1Vert">
      <w:tblPr/>
      <w:tcPr>
        <w:shd w:val="clear" w:color="auto" w:fill="CBD6E2" w:themeFill="accent1" w:themeFillTint="33"/>
      </w:tcPr>
    </w:tblStylePr>
    <w:tblStylePr w:type="band1Horz">
      <w:tblPr/>
      <w:tcPr>
        <w:shd w:val="clear" w:color="auto" w:fill="CBD6E2" w:themeFill="accent1" w:themeFillTint="33"/>
      </w:tcPr>
    </w:tblStylePr>
  </w:style>
  <w:style w:type="paragraph" w:styleId="ListBullet2">
    <w:name w:val="List Bullet 2"/>
    <w:basedOn w:val="Normal"/>
    <w:uiPriority w:val="99"/>
    <w:semiHidden/>
    <w:unhideWhenUsed/>
    <w:rsid w:val="0055343A"/>
    <w:pPr>
      <w:contextualSpacing/>
    </w:pPr>
  </w:style>
  <w:style w:type="paragraph" w:styleId="Revision">
    <w:name w:val="Revision"/>
    <w:hidden/>
    <w:uiPriority w:val="99"/>
    <w:semiHidden/>
    <w:rsid w:val="004354BF"/>
    <w:pPr>
      <w:spacing w:after="0" w:line="240" w:lineRule="auto"/>
    </w:pPr>
    <w:rPr>
      <w:rFonts w:ascii="Aptos" w:hAnsi="Apto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96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C1959A00052/latest/text" TargetMode="External"/><Relationship Id="rId13" Type="http://schemas.openxmlformats.org/officeDocument/2006/relationships/hyperlink" Target="mailto:statdec@ag.gov.au" TargetMode="External"/><Relationship Id="rId18" Type="http://schemas.openxmlformats.org/officeDocument/2006/relationships/hyperlink" Target="https://consultations.ag.gov.au/legal-system/modernising-document-executio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onsultations.ag.gov.au/" TargetMode="External"/><Relationship Id="rId17" Type="http://schemas.openxmlformats.org/officeDocument/2006/relationships/hyperlink" Target="https://www.ag.gov.au/legal-system/statutory-declarations/about-commonwealth-statutory-declaration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ag.gov.au/legal-system/statutory-declarations/about-commonwealth-statutory-declarations/who-can-witness-commonwealth-statutory-declaration" TargetMode="External"/><Relationship Id="rId20" Type="http://schemas.openxmlformats.org/officeDocument/2006/relationships/hyperlink" Target="https://www.ag.gov.au/rights-and-protections/priva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F2023L01753/asmade/tex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tatdec@ag.gov.au" TargetMode="External"/><Relationship Id="rId23" Type="http://schemas.openxmlformats.org/officeDocument/2006/relationships/footer" Target="footer2.xml"/><Relationship Id="rId10" Type="http://schemas.openxmlformats.org/officeDocument/2006/relationships/hyperlink" Target="https://www.legislation.gov.au/F2023L01753/asmade/text" TargetMode="External"/><Relationship Id="rId19" Type="http://schemas.openxmlformats.org/officeDocument/2006/relationships/hyperlink" Target="https://www.digitalidsystem.gov.au/the-australian-government-digital-id-system-agdis" TargetMode="External"/><Relationship Id="rId4" Type="http://schemas.openxmlformats.org/officeDocument/2006/relationships/settings" Target="settings.xml"/><Relationship Id="rId9" Type="http://schemas.openxmlformats.org/officeDocument/2006/relationships/hyperlink" Target="https://www.legislation.gov.au/C2023A00092/asmade/text" TargetMode="External"/><Relationship Id="rId14" Type="http://schemas.openxmlformats.org/officeDocument/2006/relationships/hyperlink" Target="https://www.ag.gov.au/about-us/accountability-and-reporting/privacy-policy" TargetMode="Externa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3" Type="http://schemas.openxmlformats.org/officeDocument/2006/relationships/hyperlink" Target="https://consultations.ag.gov.au/legal-system/modernising-document-execution/consultation/view_respondent?uuId=723050994" TargetMode="External"/><Relationship Id="rId2" Type="http://schemas.openxmlformats.org/officeDocument/2006/relationships/hyperlink" Target="https://www.legislation.gov.au/C2024A00025/latest/text" TargetMode="External"/><Relationship Id="rId1" Type="http://schemas.openxmlformats.org/officeDocument/2006/relationships/hyperlink" Target="https://www.ag.gov.au/legal-system/statutory-declarations/about-commonwealth-statutory-declarations/who-can-witness-commonwealth-statutory-declaration" TargetMode="External"/><Relationship Id="rId5" Type="http://schemas.openxmlformats.org/officeDocument/2006/relationships/hyperlink" Target="http://www.legislation.gov.au/F2018L01296/asmade/downloads" TargetMode="External"/><Relationship Id="rId4" Type="http://schemas.openxmlformats.org/officeDocument/2006/relationships/hyperlink" Target="https://www.ag.gov.au/legal-system/statutory-declarations/information-witnes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yrilg\Downloads\Word%20template%20-%2020251104%20-%20Aptos.dotx" TargetMode="External"/></Relationships>
</file>

<file path=word/theme/theme1.xml><?xml version="1.0" encoding="utf-8"?>
<a:theme xmlns:a="http://schemas.openxmlformats.org/drawingml/2006/main" name="Office Theme">
  <a:themeElements>
    <a:clrScheme name="AGD">
      <a:dk1>
        <a:srgbClr val="273747"/>
      </a:dk1>
      <a:lt1>
        <a:srgbClr val="FFFFFF"/>
      </a:lt1>
      <a:dk2>
        <a:srgbClr val="50748A"/>
      </a:dk2>
      <a:lt2>
        <a:srgbClr val="FFFFFF"/>
      </a:lt2>
      <a:accent1>
        <a:srgbClr val="273747"/>
      </a:accent1>
      <a:accent2>
        <a:srgbClr val="00A5AD"/>
      </a:accent2>
      <a:accent3>
        <a:srgbClr val="50748A"/>
      </a:accent3>
      <a:accent4>
        <a:srgbClr val="5A447A"/>
      </a:accent4>
      <a:accent5>
        <a:srgbClr val="DDD5E8"/>
      </a:accent5>
      <a:accent6>
        <a:srgbClr val="C7EFFC"/>
      </a:accent6>
      <a:hlink>
        <a:srgbClr val="273747"/>
      </a:hlink>
      <a:folHlink>
        <a:srgbClr val="5A447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B03D5-A440-405E-AD32-17B74C3E416C}">
  <ds:schemaRefs>
    <ds:schemaRef ds:uri="http://schemas.openxmlformats.org/officeDocument/2006/bibliography"/>
  </ds:schemaRefs>
</ds:datastoreItem>
</file>

<file path=docMetadata/LabelInfo.xml><?xml version="1.0" encoding="utf-8"?>
<clbl:labelList xmlns:clbl="http://schemas.microsoft.com/office/2020/mipLabelMetadata">
  <clbl:label id="{5d2dd196-0646-4419-8922-440f7d464cf0}" enabled="0" method="" siteId="{5d2dd196-0646-4419-8922-440f7d464cf0}" removed="1"/>
</clbl:labelList>
</file>

<file path=docProps/app.xml><?xml version="1.0" encoding="utf-8"?>
<Properties xmlns="http://schemas.openxmlformats.org/officeDocument/2006/extended-properties" xmlns:vt="http://schemas.openxmlformats.org/officeDocument/2006/docPropsVTypes">
  <Template>Word template - 20251104 - Aptos.dotx</Template>
  <TotalTime>345</TotalTime>
  <Pages>14</Pages>
  <Words>4830</Words>
  <Characters>26666</Characters>
  <DocSecurity>0</DocSecurity>
  <Lines>833</Lines>
  <Paragraphs>449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Review of the Statutory Declarations Act 1959 – Discussion Paper</dc:title>
  <dc:subject/>
  <cp:keywords/>
  <dc:description/>
  <dcterms:created xsi:type="dcterms:W3CDTF">2025-12-24T04:09:00Z</dcterms:created>
  <dcterms:modified xsi:type="dcterms:W3CDTF">2026-01-13T04:04:00Z</dcterms:modified>
</cp:coreProperties>
</file>