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E41D" w14:textId="25BF0BDA" w:rsidR="00185A28" w:rsidRDefault="00DB3722" w:rsidP="00185A28">
      <w:bookmarkStart w:id="0" w:name="_GoBack"/>
      <w:bookmarkEnd w:id="0"/>
      <w:r w:rsidRPr="00A01496">
        <w:rPr>
          <w:noProof/>
          <w:lang w:eastAsia="en-AU"/>
        </w:rPr>
        <w:drawing>
          <wp:anchor distT="0" distB="0" distL="114300" distR="114300" simplePos="0" relativeHeight="251658240" behindDoc="0" locked="0" layoutInCell="1" allowOverlap="1" wp14:anchorId="6A828D63" wp14:editId="2F5B97D1">
            <wp:simplePos x="0" y="0"/>
            <wp:positionH relativeFrom="margin">
              <wp:posOffset>-342760</wp:posOffset>
            </wp:positionH>
            <wp:positionV relativeFrom="paragraph">
              <wp:posOffset>-570369</wp:posOffset>
            </wp:positionV>
            <wp:extent cx="6532851" cy="1267485"/>
            <wp:effectExtent l="0" t="0" r="1905" b="8890"/>
            <wp:wrapNone/>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04852" cy="1281454"/>
                    </a:xfrm>
                    <a:prstGeom prst="rect">
                      <a:avLst/>
                    </a:prstGeom>
                  </pic:spPr>
                </pic:pic>
              </a:graphicData>
            </a:graphic>
            <wp14:sizeRelH relativeFrom="margin">
              <wp14:pctWidth>0</wp14:pctWidth>
            </wp14:sizeRelH>
            <wp14:sizeRelV relativeFrom="margin">
              <wp14:pctHeight>0</wp14:pctHeight>
            </wp14:sizeRelV>
          </wp:anchor>
        </w:drawing>
      </w:r>
    </w:p>
    <w:p w14:paraId="24C8E1F2" w14:textId="17ADD5C4" w:rsidR="00B76403" w:rsidRDefault="00B76403" w:rsidP="00B76403"/>
    <w:p w14:paraId="503148D1" w14:textId="54CF568E" w:rsidR="00B76403" w:rsidRDefault="00B76403" w:rsidP="00B76403"/>
    <w:p w14:paraId="14478710" w14:textId="43A3F947" w:rsidR="00185A28" w:rsidRDefault="00C04ADA" w:rsidP="00DB3722">
      <w:pPr>
        <w:jc w:val="right"/>
      </w:pPr>
      <w:r>
        <w:t>February</w:t>
      </w:r>
      <w:r w:rsidR="00DB3722">
        <w:t xml:space="preserve"> 2023   </w:t>
      </w:r>
    </w:p>
    <w:p w14:paraId="35D37FDD" w14:textId="77777777" w:rsidR="006B1F90" w:rsidRDefault="006B1F90" w:rsidP="00DB3722">
      <w:pPr>
        <w:jc w:val="center"/>
        <w:rPr>
          <w:b/>
          <w:sz w:val="52"/>
          <w:szCs w:val="52"/>
        </w:rPr>
      </w:pPr>
    </w:p>
    <w:p w14:paraId="77801F9F" w14:textId="77777777" w:rsidR="006B1F90" w:rsidRDefault="006B1F90" w:rsidP="00DB3722">
      <w:pPr>
        <w:jc w:val="center"/>
        <w:rPr>
          <w:b/>
          <w:sz w:val="52"/>
          <w:szCs w:val="52"/>
        </w:rPr>
      </w:pPr>
    </w:p>
    <w:p w14:paraId="1FF58F3F" w14:textId="0DDD2278" w:rsidR="00DB3722" w:rsidRPr="00A01496" w:rsidRDefault="00597C17" w:rsidP="00DB3722">
      <w:pPr>
        <w:jc w:val="center"/>
        <w:rPr>
          <w:b/>
          <w:sz w:val="52"/>
          <w:szCs w:val="52"/>
        </w:rPr>
      </w:pPr>
      <w:r>
        <w:rPr>
          <w:b/>
          <w:sz w:val="52"/>
          <w:szCs w:val="52"/>
        </w:rPr>
        <w:t>Consultation</w:t>
      </w:r>
      <w:r w:rsidR="00DB3722">
        <w:rPr>
          <w:b/>
          <w:sz w:val="52"/>
          <w:szCs w:val="52"/>
        </w:rPr>
        <w:t xml:space="preserve"> </w:t>
      </w:r>
      <w:r w:rsidR="0059477C">
        <w:rPr>
          <w:b/>
          <w:sz w:val="52"/>
          <w:szCs w:val="52"/>
        </w:rPr>
        <w:t>p</w:t>
      </w:r>
      <w:r w:rsidR="00DB3722">
        <w:rPr>
          <w:b/>
          <w:sz w:val="52"/>
          <w:szCs w:val="52"/>
        </w:rPr>
        <w:t xml:space="preserve">aper: </w:t>
      </w:r>
      <w:r w:rsidR="0059477C" w:rsidRPr="0059477C">
        <w:rPr>
          <w:b/>
          <w:sz w:val="52"/>
          <w:szCs w:val="52"/>
        </w:rPr>
        <w:t>Review into an appropriate cost model for Commonwealth anti-discrimination laws</w:t>
      </w:r>
    </w:p>
    <w:p w14:paraId="060C4667" w14:textId="497AE21F" w:rsidR="00DB3722" w:rsidRDefault="00DB3722" w:rsidP="00DB3722"/>
    <w:p w14:paraId="0A418C11" w14:textId="036960B9" w:rsidR="00DB3722" w:rsidRDefault="00DB3722" w:rsidP="00DB3722"/>
    <w:p w14:paraId="7CB0506D" w14:textId="130A60C8" w:rsidR="00DB3722" w:rsidRDefault="00DB3722" w:rsidP="00DB3722"/>
    <w:p w14:paraId="102FA3D0" w14:textId="0EAC1D29" w:rsidR="00DB3722" w:rsidRDefault="00DB3722" w:rsidP="00DB3722"/>
    <w:p w14:paraId="7BE76304" w14:textId="76CE8856" w:rsidR="00DB3722" w:rsidRDefault="00DB3722" w:rsidP="00DB3722"/>
    <w:p w14:paraId="6C513D0E" w14:textId="03A03EFF" w:rsidR="00DB3722" w:rsidRDefault="00DB3722" w:rsidP="00DB3722"/>
    <w:p w14:paraId="359D6852" w14:textId="72B7E7A7" w:rsidR="00DB3722" w:rsidRDefault="00DB3722" w:rsidP="00DB3722"/>
    <w:p w14:paraId="143EF804" w14:textId="4EBD7F27" w:rsidR="00DB3722" w:rsidRDefault="00DB3722" w:rsidP="00DB3722"/>
    <w:p w14:paraId="56C3E2DE" w14:textId="33E34779" w:rsidR="00DB3722" w:rsidRDefault="00DB3722" w:rsidP="00DB3722"/>
    <w:p w14:paraId="3139CB38" w14:textId="1135EA27" w:rsidR="00DB3722" w:rsidRDefault="00DB3722" w:rsidP="00DB3722"/>
    <w:p w14:paraId="21C17B5C" w14:textId="16A62A8D" w:rsidR="00DB3722" w:rsidRDefault="00DB3722" w:rsidP="00DB3722"/>
    <w:p w14:paraId="7FBB2A8D" w14:textId="4A5C606D" w:rsidR="00DB3722" w:rsidRDefault="00DB3722" w:rsidP="00DB3722"/>
    <w:p w14:paraId="54EC2384" w14:textId="021B6AB4" w:rsidR="00DB3722" w:rsidRDefault="00DB3722" w:rsidP="00DB3722"/>
    <w:p w14:paraId="2905101A" w14:textId="77777777" w:rsidR="00EB7B70" w:rsidRDefault="00EB7B70">
      <w:pPr>
        <w:rPr>
          <w:rFonts w:ascii="Calibri" w:eastAsia="SimSun" w:hAnsi="Calibri" w:cs="Calibri"/>
          <w:b/>
          <w:iCs/>
          <w:color w:val="4D738A"/>
          <w:w w:val="105"/>
          <w:kern w:val="40"/>
          <w:sz w:val="40"/>
          <w:szCs w:val="48"/>
          <w:lang w:val="en-AU"/>
        </w:rPr>
      </w:pPr>
      <w:bookmarkStart w:id="1" w:name="_Toc88148513"/>
      <w:bookmarkStart w:id="2" w:name="_Toc88141998"/>
      <w:bookmarkStart w:id="3" w:name="_Toc89173087"/>
      <w:bookmarkStart w:id="4" w:name="_Toc89185307"/>
      <w:bookmarkStart w:id="5" w:name="_Toc89355373"/>
      <w:bookmarkStart w:id="6" w:name="_Toc89954806"/>
      <w:bookmarkStart w:id="7" w:name="_Toc95473398"/>
      <w:bookmarkStart w:id="8" w:name="_Toc127809096"/>
      <w:r>
        <w:br w:type="page"/>
      </w:r>
    </w:p>
    <w:p w14:paraId="097919F5" w14:textId="422BE536" w:rsidR="004B13ED" w:rsidRDefault="004B13ED" w:rsidP="005306C8">
      <w:pPr>
        <w:pStyle w:val="Heading1"/>
      </w:pPr>
      <w:r w:rsidRPr="00E05F33">
        <w:lastRenderedPageBreak/>
        <w:t>Contents</w:t>
      </w:r>
      <w:bookmarkEnd w:id="1"/>
      <w:bookmarkEnd w:id="2"/>
      <w:bookmarkEnd w:id="3"/>
      <w:bookmarkEnd w:id="4"/>
      <w:bookmarkEnd w:id="5"/>
      <w:bookmarkEnd w:id="6"/>
      <w:bookmarkEnd w:id="7"/>
      <w:bookmarkEnd w:id="8"/>
    </w:p>
    <w:p w14:paraId="12E55506" w14:textId="16FA9598" w:rsidR="00DC6A2D" w:rsidRDefault="00DB3722">
      <w:pPr>
        <w:pStyle w:val="TOC1"/>
        <w:tabs>
          <w:tab w:val="right" w:leader="dot" w:pos="9350"/>
        </w:tabs>
        <w:rPr>
          <w:rFonts w:eastAsiaTheme="minorEastAsia"/>
          <w:noProof/>
          <w:lang w:val="en-AU" w:eastAsia="en-AU"/>
        </w:rPr>
      </w:pPr>
      <w:r w:rsidRPr="00205264">
        <w:rPr>
          <w:rFonts w:cstheme="minorHAnsi"/>
          <w:lang w:val="en-GB"/>
        </w:rPr>
        <w:fldChar w:fldCharType="begin"/>
      </w:r>
      <w:r w:rsidRPr="00205264">
        <w:rPr>
          <w:rFonts w:cstheme="minorHAnsi"/>
        </w:rPr>
        <w:instrText xml:space="preserve"> TOC \o "1-3" \h \z \u </w:instrText>
      </w:r>
      <w:r w:rsidRPr="00205264">
        <w:rPr>
          <w:rFonts w:cstheme="minorHAnsi"/>
          <w:lang w:val="en-GB"/>
        </w:rPr>
        <w:fldChar w:fldCharType="separate"/>
      </w:r>
      <w:hyperlink w:anchor="_Toc127809096" w:history="1">
        <w:r w:rsidR="00DC6A2D" w:rsidRPr="00251E6E">
          <w:rPr>
            <w:rStyle w:val="Hyperlink"/>
            <w:noProof/>
          </w:rPr>
          <w:t>Contents</w:t>
        </w:r>
        <w:r w:rsidR="00DC6A2D">
          <w:rPr>
            <w:noProof/>
            <w:webHidden/>
          </w:rPr>
          <w:tab/>
        </w:r>
        <w:r w:rsidR="00DC6A2D">
          <w:rPr>
            <w:noProof/>
            <w:webHidden/>
          </w:rPr>
          <w:fldChar w:fldCharType="begin"/>
        </w:r>
        <w:r w:rsidR="00DC6A2D">
          <w:rPr>
            <w:noProof/>
            <w:webHidden/>
          </w:rPr>
          <w:instrText xml:space="preserve"> PAGEREF _Toc127809096 \h </w:instrText>
        </w:r>
        <w:r w:rsidR="00DC6A2D">
          <w:rPr>
            <w:noProof/>
            <w:webHidden/>
          </w:rPr>
        </w:r>
        <w:r w:rsidR="00DC6A2D">
          <w:rPr>
            <w:noProof/>
            <w:webHidden/>
          </w:rPr>
          <w:fldChar w:fldCharType="separate"/>
        </w:r>
        <w:r w:rsidR="00DC6A2D">
          <w:rPr>
            <w:noProof/>
            <w:webHidden/>
          </w:rPr>
          <w:t>2</w:t>
        </w:r>
        <w:r w:rsidR="00DC6A2D">
          <w:rPr>
            <w:noProof/>
            <w:webHidden/>
          </w:rPr>
          <w:fldChar w:fldCharType="end"/>
        </w:r>
      </w:hyperlink>
    </w:p>
    <w:p w14:paraId="02FB79D6" w14:textId="70D223E8" w:rsidR="00DC6A2D" w:rsidRDefault="00A241A3">
      <w:pPr>
        <w:pStyle w:val="TOC1"/>
        <w:tabs>
          <w:tab w:val="right" w:leader="dot" w:pos="9350"/>
        </w:tabs>
        <w:rPr>
          <w:rFonts w:eastAsiaTheme="minorEastAsia"/>
          <w:noProof/>
          <w:lang w:val="en-AU" w:eastAsia="en-AU"/>
        </w:rPr>
      </w:pPr>
      <w:hyperlink w:anchor="_Toc127809097" w:history="1">
        <w:r w:rsidR="00DC6A2D" w:rsidRPr="00251E6E">
          <w:rPr>
            <w:rStyle w:val="Hyperlink"/>
            <w:noProof/>
          </w:rPr>
          <w:t>Glossary</w:t>
        </w:r>
        <w:r w:rsidR="00DC6A2D">
          <w:rPr>
            <w:noProof/>
            <w:webHidden/>
          </w:rPr>
          <w:tab/>
        </w:r>
        <w:r w:rsidR="00DC6A2D">
          <w:rPr>
            <w:noProof/>
            <w:webHidden/>
          </w:rPr>
          <w:fldChar w:fldCharType="begin"/>
        </w:r>
        <w:r w:rsidR="00DC6A2D">
          <w:rPr>
            <w:noProof/>
            <w:webHidden/>
          </w:rPr>
          <w:instrText xml:space="preserve"> PAGEREF _Toc127809097 \h </w:instrText>
        </w:r>
        <w:r w:rsidR="00DC6A2D">
          <w:rPr>
            <w:noProof/>
            <w:webHidden/>
          </w:rPr>
        </w:r>
        <w:r w:rsidR="00DC6A2D">
          <w:rPr>
            <w:noProof/>
            <w:webHidden/>
          </w:rPr>
          <w:fldChar w:fldCharType="separate"/>
        </w:r>
        <w:r w:rsidR="00DC6A2D">
          <w:rPr>
            <w:noProof/>
            <w:webHidden/>
          </w:rPr>
          <w:t>4</w:t>
        </w:r>
        <w:r w:rsidR="00DC6A2D">
          <w:rPr>
            <w:noProof/>
            <w:webHidden/>
          </w:rPr>
          <w:fldChar w:fldCharType="end"/>
        </w:r>
      </w:hyperlink>
    </w:p>
    <w:p w14:paraId="047DB221" w14:textId="42224AAA" w:rsidR="00DC6A2D" w:rsidRDefault="00A241A3">
      <w:pPr>
        <w:pStyle w:val="TOC1"/>
        <w:tabs>
          <w:tab w:val="right" w:leader="dot" w:pos="9350"/>
        </w:tabs>
        <w:rPr>
          <w:rFonts w:eastAsiaTheme="minorEastAsia"/>
          <w:noProof/>
          <w:lang w:val="en-AU" w:eastAsia="en-AU"/>
        </w:rPr>
      </w:pPr>
      <w:hyperlink w:anchor="_Toc127809098" w:history="1">
        <w:r w:rsidR="00DC6A2D" w:rsidRPr="00251E6E">
          <w:rPr>
            <w:rStyle w:val="Hyperlink"/>
            <w:noProof/>
          </w:rPr>
          <w:t>Overview</w:t>
        </w:r>
        <w:r w:rsidR="00DC6A2D">
          <w:rPr>
            <w:noProof/>
            <w:webHidden/>
          </w:rPr>
          <w:tab/>
        </w:r>
        <w:r w:rsidR="00DC6A2D">
          <w:rPr>
            <w:noProof/>
            <w:webHidden/>
          </w:rPr>
          <w:fldChar w:fldCharType="begin"/>
        </w:r>
        <w:r w:rsidR="00DC6A2D">
          <w:rPr>
            <w:noProof/>
            <w:webHidden/>
          </w:rPr>
          <w:instrText xml:space="preserve"> PAGEREF _Toc127809098 \h </w:instrText>
        </w:r>
        <w:r w:rsidR="00DC6A2D">
          <w:rPr>
            <w:noProof/>
            <w:webHidden/>
          </w:rPr>
        </w:r>
        <w:r w:rsidR="00DC6A2D">
          <w:rPr>
            <w:noProof/>
            <w:webHidden/>
          </w:rPr>
          <w:fldChar w:fldCharType="separate"/>
        </w:r>
        <w:r w:rsidR="00DC6A2D">
          <w:rPr>
            <w:noProof/>
            <w:webHidden/>
          </w:rPr>
          <w:t>6</w:t>
        </w:r>
        <w:r w:rsidR="00DC6A2D">
          <w:rPr>
            <w:noProof/>
            <w:webHidden/>
          </w:rPr>
          <w:fldChar w:fldCharType="end"/>
        </w:r>
      </w:hyperlink>
    </w:p>
    <w:p w14:paraId="652755FC" w14:textId="05A6DC30" w:rsidR="00DC6A2D" w:rsidRDefault="00A241A3">
      <w:pPr>
        <w:pStyle w:val="TOC1"/>
        <w:tabs>
          <w:tab w:val="right" w:leader="dot" w:pos="9350"/>
        </w:tabs>
        <w:rPr>
          <w:rFonts w:eastAsiaTheme="minorEastAsia"/>
          <w:noProof/>
          <w:lang w:val="en-AU" w:eastAsia="en-AU"/>
        </w:rPr>
      </w:pPr>
      <w:hyperlink w:anchor="_Toc127809099" w:history="1">
        <w:r w:rsidR="00DC6A2D" w:rsidRPr="00251E6E">
          <w:rPr>
            <w:rStyle w:val="Hyperlink"/>
            <w:noProof/>
          </w:rPr>
          <w:t>Scope of this consultation process</w:t>
        </w:r>
        <w:r w:rsidR="00DC6A2D">
          <w:rPr>
            <w:noProof/>
            <w:webHidden/>
          </w:rPr>
          <w:tab/>
        </w:r>
        <w:r w:rsidR="00DC6A2D">
          <w:rPr>
            <w:noProof/>
            <w:webHidden/>
          </w:rPr>
          <w:fldChar w:fldCharType="begin"/>
        </w:r>
        <w:r w:rsidR="00DC6A2D">
          <w:rPr>
            <w:noProof/>
            <w:webHidden/>
          </w:rPr>
          <w:instrText xml:space="preserve"> PAGEREF _Toc127809099 \h </w:instrText>
        </w:r>
        <w:r w:rsidR="00DC6A2D">
          <w:rPr>
            <w:noProof/>
            <w:webHidden/>
          </w:rPr>
        </w:r>
        <w:r w:rsidR="00DC6A2D">
          <w:rPr>
            <w:noProof/>
            <w:webHidden/>
          </w:rPr>
          <w:fldChar w:fldCharType="separate"/>
        </w:r>
        <w:r w:rsidR="00DC6A2D">
          <w:rPr>
            <w:noProof/>
            <w:webHidden/>
          </w:rPr>
          <w:t>7</w:t>
        </w:r>
        <w:r w:rsidR="00DC6A2D">
          <w:rPr>
            <w:noProof/>
            <w:webHidden/>
          </w:rPr>
          <w:fldChar w:fldCharType="end"/>
        </w:r>
      </w:hyperlink>
    </w:p>
    <w:p w14:paraId="311A85A5" w14:textId="24F314A3" w:rsidR="00DC6A2D" w:rsidRDefault="00A241A3">
      <w:pPr>
        <w:pStyle w:val="TOC1"/>
        <w:tabs>
          <w:tab w:val="right" w:leader="dot" w:pos="9350"/>
        </w:tabs>
        <w:rPr>
          <w:rFonts w:eastAsiaTheme="minorEastAsia"/>
          <w:noProof/>
          <w:lang w:val="en-AU" w:eastAsia="en-AU"/>
        </w:rPr>
      </w:pPr>
      <w:hyperlink w:anchor="_Toc127809100" w:history="1">
        <w:r w:rsidR="00DC6A2D" w:rsidRPr="00251E6E">
          <w:rPr>
            <w:rStyle w:val="Hyperlink"/>
            <w:noProof/>
          </w:rPr>
          <w:t>How can you engage with the consultation process?</w:t>
        </w:r>
        <w:r w:rsidR="00DC6A2D">
          <w:rPr>
            <w:noProof/>
            <w:webHidden/>
          </w:rPr>
          <w:tab/>
        </w:r>
        <w:r w:rsidR="00DC6A2D">
          <w:rPr>
            <w:noProof/>
            <w:webHidden/>
          </w:rPr>
          <w:fldChar w:fldCharType="begin"/>
        </w:r>
        <w:r w:rsidR="00DC6A2D">
          <w:rPr>
            <w:noProof/>
            <w:webHidden/>
          </w:rPr>
          <w:instrText xml:space="preserve"> PAGEREF _Toc127809100 \h </w:instrText>
        </w:r>
        <w:r w:rsidR="00DC6A2D">
          <w:rPr>
            <w:noProof/>
            <w:webHidden/>
          </w:rPr>
        </w:r>
        <w:r w:rsidR="00DC6A2D">
          <w:rPr>
            <w:noProof/>
            <w:webHidden/>
          </w:rPr>
          <w:fldChar w:fldCharType="separate"/>
        </w:r>
        <w:r w:rsidR="00DC6A2D">
          <w:rPr>
            <w:noProof/>
            <w:webHidden/>
          </w:rPr>
          <w:t>8</w:t>
        </w:r>
        <w:r w:rsidR="00DC6A2D">
          <w:rPr>
            <w:noProof/>
            <w:webHidden/>
          </w:rPr>
          <w:fldChar w:fldCharType="end"/>
        </w:r>
      </w:hyperlink>
    </w:p>
    <w:p w14:paraId="6185E514" w14:textId="631138E6" w:rsidR="00DC6A2D" w:rsidRDefault="00A241A3">
      <w:pPr>
        <w:pStyle w:val="TOC1"/>
        <w:tabs>
          <w:tab w:val="right" w:leader="dot" w:pos="9350"/>
        </w:tabs>
        <w:rPr>
          <w:rFonts w:eastAsiaTheme="minorEastAsia"/>
          <w:noProof/>
          <w:lang w:val="en-AU" w:eastAsia="en-AU"/>
        </w:rPr>
      </w:pPr>
      <w:hyperlink w:anchor="_Toc127809101" w:history="1">
        <w:r w:rsidR="00DC6A2D" w:rsidRPr="00251E6E">
          <w:rPr>
            <w:rStyle w:val="Hyperlink"/>
            <w:noProof/>
          </w:rPr>
          <w:t>Seeking support</w:t>
        </w:r>
        <w:r w:rsidR="00DC6A2D">
          <w:rPr>
            <w:noProof/>
            <w:webHidden/>
          </w:rPr>
          <w:tab/>
        </w:r>
        <w:r w:rsidR="00DC6A2D">
          <w:rPr>
            <w:noProof/>
            <w:webHidden/>
          </w:rPr>
          <w:fldChar w:fldCharType="begin"/>
        </w:r>
        <w:r w:rsidR="00DC6A2D">
          <w:rPr>
            <w:noProof/>
            <w:webHidden/>
          </w:rPr>
          <w:instrText xml:space="preserve"> PAGEREF _Toc127809101 \h </w:instrText>
        </w:r>
        <w:r w:rsidR="00DC6A2D">
          <w:rPr>
            <w:noProof/>
            <w:webHidden/>
          </w:rPr>
        </w:r>
        <w:r w:rsidR="00DC6A2D">
          <w:rPr>
            <w:noProof/>
            <w:webHidden/>
          </w:rPr>
          <w:fldChar w:fldCharType="separate"/>
        </w:r>
        <w:r w:rsidR="00DC6A2D">
          <w:rPr>
            <w:noProof/>
            <w:webHidden/>
          </w:rPr>
          <w:t>8</w:t>
        </w:r>
        <w:r w:rsidR="00DC6A2D">
          <w:rPr>
            <w:noProof/>
            <w:webHidden/>
          </w:rPr>
          <w:fldChar w:fldCharType="end"/>
        </w:r>
      </w:hyperlink>
    </w:p>
    <w:p w14:paraId="68B21DCF" w14:textId="407B3D7A" w:rsidR="00DC6A2D" w:rsidRDefault="00A241A3">
      <w:pPr>
        <w:pStyle w:val="TOC1"/>
        <w:tabs>
          <w:tab w:val="right" w:leader="dot" w:pos="9350"/>
        </w:tabs>
        <w:rPr>
          <w:rFonts w:eastAsiaTheme="minorEastAsia"/>
          <w:noProof/>
          <w:lang w:val="en-AU" w:eastAsia="en-AU"/>
        </w:rPr>
      </w:pPr>
      <w:hyperlink w:anchor="_Toc127809102" w:history="1">
        <w:r w:rsidR="00DC6A2D" w:rsidRPr="00251E6E">
          <w:rPr>
            <w:rStyle w:val="Hyperlink"/>
            <w:noProof/>
          </w:rPr>
          <w:t>Why costs reform?</w:t>
        </w:r>
        <w:r w:rsidR="00DC6A2D">
          <w:rPr>
            <w:noProof/>
            <w:webHidden/>
          </w:rPr>
          <w:tab/>
        </w:r>
        <w:r w:rsidR="00DC6A2D">
          <w:rPr>
            <w:noProof/>
            <w:webHidden/>
          </w:rPr>
          <w:fldChar w:fldCharType="begin"/>
        </w:r>
        <w:r w:rsidR="00DC6A2D">
          <w:rPr>
            <w:noProof/>
            <w:webHidden/>
          </w:rPr>
          <w:instrText xml:space="preserve"> PAGEREF _Toc127809102 \h </w:instrText>
        </w:r>
        <w:r w:rsidR="00DC6A2D">
          <w:rPr>
            <w:noProof/>
            <w:webHidden/>
          </w:rPr>
        </w:r>
        <w:r w:rsidR="00DC6A2D">
          <w:rPr>
            <w:noProof/>
            <w:webHidden/>
          </w:rPr>
          <w:fldChar w:fldCharType="separate"/>
        </w:r>
        <w:r w:rsidR="00DC6A2D">
          <w:rPr>
            <w:noProof/>
            <w:webHidden/>
          </w:rPr>
          <w:t>8</w:t>
        </w:r>
        <w:r w:rsidR="00DC6A2D">
          <w:rPr>
            <w:noProof/>
            <w:webHidden/>
          </w:rPr>
          <w:fldChar w:fldCharType="end"/>
        </w:r>
      </w:hyperlink>
    </w:p>
    <w:p w14:paraId="142E7D79" w14:textId="6A5997D9" w:rsidR="00DC6A2D" w:rsidRDefault="00A241A3">
      <w:pPr>
        <w:pStyle w:val="TOC2"/>
        <w:rPr>
          <w:rFonts w:eastAsiaTheme="minorEastAsia"/>
          <w:noProof/>
          <w:sz w:val="22"/>
          <w:lang w:val="en-AU" w:eastAsia="en-AU"/>
        </w:rPr>
      </w:pPr>
      <w:hyperlink w:anchor="_Toc127809103" w:history="1">
        <w:r w:rsidR="00DC6A2D" w:rsidRPr="00251E6E">
          <w:rPr>
            <w:rStyle w:val="Hyperlink"/>
            <w:noProof/>
          </w:rPr>
          <w:t>Overview of current framework</w:t>
        </w:r>
        <w:r w:rsidR="00DC6A2D">
          <w:rPr>
            <w:noProof/>
            <w:webHidden/>
          </w:rPr>
          <w:tab/>
        </w:r>
        <w:r w:rsidR="00DC6A2D">
          <w:rPr>
            <w:noProof/>
            <w:webHidden/>
          </w:rPr>
          <w:fldChar w:fldCharType="begin"/>
        </w:r>
        <w:r w:rsidR="00DC6A2D">
          <w:rPr>
            <w:noProof/>
            <w:webHidden/>
          </w:rPr>
          <w:instrText xml:space="preserve"> PAGEREF _Toc127809103 \h </w:instrText>
        </w:r>
        <w:r w:rsidR="00DC6A2D">
          <w:rPr>
            <w:noProof/>
            <w:webHidden/>
          </w:rPr>
        </w:r>
        <w:r w:rsidR="00DC6A2D">
          <w:rPr>
            <w:noProof/>
            <w:webHidden/>
          </w:rPr>
          <w:fldChar w:fldCharType="separate"/>
        </w:r>
        <w:r w:rsidR="00DC6A2D">
          <w:rPr>
            <w:noProof/>
            <w:webHidden/>
          </w:rPr>
          <w:t>9</w:t>
        </w:r>
        <w:r w:rsidR="00DC6A2D">
          <w:rPr>
            <w:noProof/>
            <w:webHidden/>
          </w:rPr>
          <w:fldChar w:fldCharType="end"/>
        </w:r>
      </w:hyperlink>
    </w:p>
    <w:p w14:paraId="56903451" w14:textId="7B721E83" w:rsidR="00DC6A2D" w:rsidRDefault="00A241A3">
      <w:pPr>
        <w:pStyle w:val="TOC2"/>
        <w:rPr>
          <w:rFonts w:eastAsiaTheme="minorEastAsia"/>
          <w:noProof/>
          <w:sz w:val="22"/>
          <w:lang w:val="en-AU" w:eastAsia="en-AU"/>
        </w:rPr>
      </w:pPr>
      <w:hyperlink w:anchor="_Toc127809104" w:history="1">
        <w:r w:rsidR="00DC6A2D" w:rsidRPr="00251E6E">
          <w:rPr>
            <w:rStyle w:val="Hyperlink"/>
            <w:noProof/>
          </w:rPr>
          <w:t>Issues with the current legal framework</w:t>
        </w:r>
        <w:r w:rsidR="00DC6A2D">
          <w:rPr>
            <w:noProof/>
            <w:webHidden/>
          </w:rPr>
          <w:tab/>
        </w:r>
        <w:r w:rsidR="00DC6A2D">
          <w:rPr>
            <w:noProof/>
            <w:webHidden/>
          </w:rPr>
          <w:fldChar w:fldCharType="begin"/>
        </w:r>
        <w:r w:rsidR="00DC6A2D">
          <w:rPr>
            <w:noProof/>
            <w:webHidden/>
          </w:rPr>
          <w:instrText xml:space="preserve"> PAGEREF _Toc127809104 \h </w:instrText>
        </w:r>
        <w:r w:rsidR="00DC6A2D">
          <w:rPr>
            <w:noProof/>
            <w:webHidden/>
          </w:rPr>
        </w:r>
        <w:r w:rsidR="00DC6A2D">
          <w:rPr>
            <w:noProof/>
            <w:webHidden/>
          </w:rPr>
          <w:fldChar w:fldCharType="separate"/>
        </w:r>
        <w:r w:rsidR="00DC6A2D">
          <w:rPr>
            <w:noProof/>
            <w:webHidden/>
          </w:rPr>
          <w:t>10</w:t>
        </w:r>
        <w:r w:rsidR="00DC6A2D">
          <w:rPr>
            <w:noProof/>
            <w:webHidden/>
          </w:rPr>
          <w:fldChar w:fldCharType="end"/>
        </w:r>
      </w:hyperlink>
    </w:p>
    <w:p w14:paraId="7533EB74" w14:textId="573F232A" w:rsidR="00DC6A2D" w:rsidRDefault="00A241A3">
      <w:pPr>
        <w:pStyle w:val="TOC2"/>
        <w:rPr>
          <w:rFonts w:eastAsiaTheme="minorEastAsia"/>
          <w:noProof/>
          <w:sz w:val="22"/>
          <w:lang w:val="en-AU" w:eastAsia="en-AU"/>
        </w:rPr>
      </w:pPr>
      <w:hyperlink w:anchor="_Toc127809105" w:history="1">
        <w:r w:rsidR="00DC6A2D" w:rsidRPr="00251E6E">
          <w:rPr>
            <w:rStyle w:val="Hyperlink"/>
            <w:noProof/>
          </w:rPr>
          <w:t>Comparison of federal and state and territory jurisdictions</w:t>
        </w:r>
        <w:r w:rsidR="00DC6A2D">
          <w:rPr>
            <w:noProof/>
            <w:webHidden/>
          </w:rPr>
          <w:tab/>
        </w:r>
        <w:r w:rsidR="00DC6A2D">
          <w:rPr>
            <w:noProof/>
            <w:webHidden/>
          </w:rPr>
          <w:fldChar w:fldCharType="begin"/>
        </w:r>
        <w:r w:rsidR="00DC6A2D">
          <w:rPr>
            <w:noProof/>
            <w:webHidden/>
          </w:rPr>
          <w:instrText xml:space="preserve"> PAGEREF _Toc127809105 \h </w:instrText>
        </w:r>
        <w:r w:rsidR="00DC6A2D">
          <w:rPr>
            <w:noProof/>
            <w:webHidden/>
          </w:rPr>
        </w:r>
        <w:r w:rsidR="00DC6A2D">
          <w:rPr>
            <w:noProof/>
            <w:webHidden/>
          </w:rPr>
          <w:fldChar w:fldCharType="separate"/>
        </w:r>
        <w:r w:rsidR="00DC6A2D">
          <w:rPr>
            <w:noProof/>
            <w:webHidden/>
          </w:rPr>
          <w:t>12</w:t>
        </w:r>
        <w:r w:rsidR="00DC6A2D">
          <w:rPr>
            <w:noProof/>
            <w:webHidden/>
          </w:rPr>
          <w:fldChar w:fldCharType="end"/>
        </w:r>
      </w:hyperlink>
    </w:p>
    <w:p w14:paraId="63DCADC9" w14:textId="54587262" w:rsidR="00DC6A2D" w:rsidRDefault="00A241A3">
      <w:pPr>
        <w:pStyle w:val="TOC1"/>
        <w:tabs>
          <w:tab w:val="right" w:leader="dot" w:pos="9350"/>
        </w:tabs>
        <w:rPr>
          <w:rFonts w:eastAsiaTheme="minorEastAsia"/>
          <w:noProof/>
          <w:lang w:val="en-AU" w:eastAsia="en-AU"/>
        </w:rPr>
      </w:pPr>
      <w:hyperlink w:anchor="_Toc127809106" w:history="1">
        <w:r w:rsidR="00DC6A2D" w:rsidRPr="00251E6E">
          <w:rPr>
            <w:rStyle w:val="Hyperlink"/>
            <w:noProof/>
          </w:rPr>
          <w:t>The human rights and anti-discrimination context</w:t>
        </w:r>
        <w:r w:rsidR="00DC6A2D">
          <w:rPr>
            <w:noProof/>
            <w:webHidden/>
          </w:rPr>
          <w:tab/>
        </w:r>
        <w:r w:rsidR="00DC6A2D">
          <w:rPr>
            <w:noProof/>
            <w:webHidden/>
          </w:rPr>
          <w:fldChar w:fldCharType="begin"/>
        </w:r>
        <w:r w:rsidR="00DC6A2D">
          <w:rPr>
            <w:noProof/>
            <w:webHidden/>
          </w:rPr>
          <w:instrText xml:space="preserve"> PAGEREF _Toc127809106 \h </w:instrText>
        </w:r>
        <w:r w:rsidR="00DC6A2D">
          <w:rPr>
            <w:noProof/>
            <w:webHidden/>
          </w:rPr>
        </w:r>
        <w:r w:rsidR="00DC6A2D">
          <w:rPr>
            <w:noProof/>
            <w:webHidden/>
          </w:rPr>
          <w:fldChar w:fldCharType="separate"/>
        </w:r>
        <w:r w:rsidR="00DC6A2D">
          <w:rPr>
            <w:noProof/>
            <w:webHidden/>
          </w:rPr>
          <w:t>12</w:t>
        </w:r>
        <w:r w:rsidR="00DC6A2D">
          <w:rPr>
            <w:noProof/>
            <w:webHidden/>
          </w:rPr>
          <w:fldChar w:fldCharType="end"/>
        </w:r>
      </w:hyperlink>
    </w:p>
    <w:p w14:paraId="2403E08C" w14:textId="73AA753D" w:rsidR="00DC6A2D" w:rsidRDefault="00A241A3">
      <w:pPr>
        <w:pStyle w:val="TOC2"/>
        <w:rPr>
          <w:rFonts w:eastAsiaTheme="minorEastAsia"/>
          <w:noProof/>
          <w:sz w:val="22"/>
          <w:lang w:val="en-AU" w:eastAsia="en-AU"/>
        </w:rPr>
      </w:pPr>
      <w:hyperlink w:anchor="_Toc127809107" w:history="1">
        <w:r w:rsidR="00DC6A2D" w:rsidRPr="00251E6E">
          <w:rPr>
            <w:rStyle w:val="Hyperlink"/>
            <w:noProof/>
          </w:rPr>
          <w:t>Overview</w:t>
        </w:r>
        <w:r w:rsidR="00DC6A2D">
          <w:rPr>
            <w:noProof/>
            <w:webHidden/>
          </w:rPr>
          <w:tab/>
        </w:r>
        <w:r w:rsidR="00DC6A2D">
          <w:rPr>
            <w:noProof/>
            <w:webHidden/>
          </w:rPr>
          <w:fldChar w:fldCharType="begin"/>
        </w:r>
        <w:r w:rsidR="00DC6A2D">
          <w:rPr>
            <w:noProof/>
            <w:webHidden/>
          </w:rPr>
          <w:instrText xml:space="preserve"> PAGEREF _Toc127809107 \h </w:instrText>
        </w:r>
        <w:r w:rsidR="00DC6A2D">
          <w:rPr>
            <w:noProof/>
            <w:webHidden/>
          </w:rPr>
        </w:r>
        <w:r w:rsidR="00DC6A2D">
          <w:rPr>
            <w:noProof/>
            <w:webHidden/>
          </w:rPr>
          <w:fldChar w:fldCharType="separate"/>
        </w:r>
        <w:r w:rsidR="00DC6A2D">
          <w:rPr>
            <w:noProof/>
            <w:webHidden/>
          </w:rPr>
          <w:t>12</w:t>
        </w:r>
        <w:r w:rsidR="00DC6A2D">
          <w:rPr>
            <w:noProof/>
            <w:webHidden/>
          </w:rPr>
          <w:fldChar w:fldCharType="end"/>
        </w:r>
      </w:hyperlink>
    </w:p>
    <w:p w14:paraId="43CA1D3F" w14:textId="1D6FB9C4" w:rsidR="00DC6A2D" w:rsidRDefault="00A241A3">
      <w:pPr>
        <w:pStyle w:val="TOC2"/>
        <w:rPr>
          <w:rFonts w:eastAsiaTheme="minorEastAsia"/>
          <w:noProof/>
          <w:sz w:val="22"/>
          <w:lang w:val="en-AU" w:eastAsia="en-AU"/>
        </w:rPr>
      </w:pPr>
      <w:hyperlink w:anchor="_Toc127809108" w:history="1">
        <w:r w:rsidR="00DC6A2D" w:rsidRPr="00251E6E">
          <w:rPr>
            <w:rStyle w:val="Hyperlink"/>
            <w:noProof/>
          </w:rPr>
          <w:t>Complaints before the Commission</w:t>
        </w:r>
        <w:r w:rsidR="00DC6A2D">
          <w:rPr>
            <w:noProof/>
            <w:webHidden/>
          </w:rPr>
          <w:tab/>
        </w:r>
        <w:r w:rsidR="00DC6A2D">
          <w:rPr>
            <w:noProof/>
            <w:webHidden/>
          </w:rPr>
          <w:fldChar w:fldCharType="begin"/>
        </w:r>
        <w:r w:rsidR="00DC6A2D">
          <w:rPr>
            <w:noProof/>
            <w:webHidden/>
          </w:rPr>
          <w:instrText xml:space="preserve"> PAGEREF _Toc127809108 \h </w:instrText>
        </w:r>
        <w:r w:rsidR="00DC6A2D">
          <w:rPr>
            <w:noProof/>
            <w:webHidden/>
          </w:rPr>
        </w:r>
        <w:r w:rsidR="00DC6A2D">
          <w:rPr>
            <w:noProof/>
            <w:webHidden/>
          </w:rPr>
          <w:fldChar w:fldCharType="separate"/>
        </w:r>
        <w:r w:rsidR="00DC6A2D">
          <w:rPr>
            <w:noProof/>
            <w:webHidden/>
          </w:rPr>
          <w:t>13</w:t>
        </w:r>
        <w:r w:rsidR="00DC6A2D">
          <w:rPr>
            <w:noProof/>
            <w:webHidden/>
          </w:rPr>
          <w:fldChar w:fldCharType="end"/>
        </w:r>
      </w:hyperlink>
    </w:p>
    <w:p w14:paraId="3BD0D12E" w14:textId="196C5160" w:rsidR="00DC6A2D" w:rsidRDefault="00A241A3">
      <w:pPr>
        <w:pStyle w:val="TOC2"/>
        <w:rPr>
          <w:rFonts w:eastAsiaTheme="minorEastAsia"/>
          <w:noProof/>
          <w:sz w:val="22"/>
          <w:lang w:val="en-AU" w:eastAsia="en-AU"/>
        </w:rPr>
      </w:pPr>
      <w:hyperlink w:anchor="_Toc127809109" w:history="1">
        <w:r w:rsidR="00DC6A2D" w:rsidRPr="00251E6E">
          <w:rPr>
            <w:rStyle w:val="Hyperlink"/>
            <w:noProof/>
          </w:rPr>
          <w:t>Complaints that proceed to court</w:t>
        </w:r>
        <w:r w:rsidR="00DC6A2D">
          <w:rPr>
            <w:noProof/>
            <w:webHidden/>
          </w:rPr>
          <w:tab/>
        </w:r>
        <w:r w:rsidR="00DC6A2D">
          <w:rPr>
            <w:noProof/>
            <w:webHidden/>
          </w:rPr>
          <w:fldChar w:fldCharType="begin"/>
        </w:r>
        <w:r w:rsidR="00DC6A2D">
          <w:rPr>
            <w:noProof/>
            <w:webHidden/>
          </w:rPr>
          <w:instrText xml:space="preserve"> PAGEREF _Toc127809109 \h </w:instrText>
        </w:r>
        <w:r w:rsidR="00DC6A2D">
          <w:rPr>
            <w:noProof/>
            <w:webHidden/>
          </w:rPr>
        </w:r>
        <w:r w:rsidR="00DC6A2D">
          <w:rPr>
            <w:noProof/>
            <w:webHidden/>
          </w:rPr>
          <w:fldChar w:fldCharType="separate"/>
        </w:r>
        <w:r w:rsidR="00DC6A2D">
          <w:rPr>
            <w:noProof/>
            <w:webHidden/>
          </w:rPr>
          <w:t>15</w:t>
        </w:r>
        <w:r w:rsidR="00DC6A2D">
          <w:rPr>
            <w:noProof/>
            <w:webHidden/>
          </w:rPr>
          <w:fldChar w:fldCharType="end"/>
        </w:r>
      </w:hyperlink>
    </w:p>
    <w:p w14:paraId="54F59CA3" w14:textId="3A7EE6C2" w:rsidR="00DC6A2D" w:rsidRDefault="00A241A3">
      <w:pPr>
        <w:pStyle w:val="TOC1"/>
        <w:tabs>
          <w:tab w:val="right" w:leader="dot" w:pos="9350"/>
        </w:tabs>
        <w:rPr>
          <w:rFonts w:eastAsiaTheme="minorEastAsia"/>
          <w:noProof/>
          <w:lang w:val="en-AU" w:eastAsia="en-AU"/>
        </w:rPr>
      </w:pPr>
      <w:hyperlink w:anchor="_Toc127809110" w:history="1">
        <w:r w:rsidR="00DC6A2D" w:rsidRPr="00251E6E">
          <w:rPr>
            <w:rStyle w:val="Hyperlink"/>
            <w:noProof/>
          </w:rPr>
          <w:t>How costs are dealt with in other jurisdictions</w:t>
        </w:r>
        <w:r w:rsidR="00DC6A2D">
          <w:rPr>
            <w:noProof/>
            <w:webHidden/>
          </w:rPr>
          <w:tab/>
        </w:r>
        <w:r w:rsidR="00DC6A2D">
          <w:rPr>
            <w:noProof/>
            <w:webHidden/>
          </w:rPr>
          <w:fldChar w:fldCharType="begin"/>
        </w:r>
        <w:r w:rsidR="00DC6A2D">
          <w:rPr>
            <w:noProof/>
            <w:webHidden/>
          </w:rPr>
          <w:instrText xml:space="preserve"> PAGEREF _Toc127809110 \h </w:instrText>
        </w:r>
        <w:r w:rsidR="00DC6A2D">
          <w:rPr>
            <w:noProof/>
            <w:webHidden/>
          </w:rPr>
        </w:r>
        <w:r w:rsidR="00DC6A2D">
          <w:rPr>
            <w:noProof/>
            <w:webHidden/>
          </w:rPr>
          <w:fldChar w:fldCharType="separate"/>
        </w:r>
        <w:r w:rsidR="00DC6A2D">
          <w:rPr>
            <w:noProof/>
            <w:webHidden/>
          </w:rPr>
          <w:t>16</w:t>
        </w:r>
        <w:r w:rsidR="00DC6A2D">
          <w:rPr>
            <w:noProof/>
            <w:webHidden/>
          </w:rPr>
          <w:fldChar w:fldCharType="end"/>
        </w:r>
      </w:hyperlink>
    </w:p>
    <w:p w14:paraId="6D870BA1" w14:textId="7C7FEE32" w:rsidR="00DC6A2D" w:rsidRDefault="00A241A3">
      <w:pPr>
        <w:pStyle w:val="TOC2"/>
        <w:rPr>
          <w:rFonts w:eastAsiaTheme="minorEastAsia"/>
          <w:noProof/>
          <w:sz w:val="22"/>
          <w:lang w:val="en-AU" w:eastAsia="en-AU"/>
        </w:rPr>
      </w:pPr>
      <w:hyperlink w:anchor="_Toc127809111" w:history="1">
        <w:r w:rsidR="00DC6A2D" w:rsidRPr="00251E6E">
          <w:rPr>
            <w:rStyle w:val="Hyperlink"/>
            <w:noProof/>
          </w:rPr>
          <w:t>Australia</w:t>
        </w:r>
        <w:r w:rsidR="00DC6A2D">
          <w:rPr>
            <w:noProof/>
            <w:webHidden/>
          </w:rPr>
          <w:tab/>
        </w:r>
        <w:r w:rsidR="00DC6A2D">
          <w:rPr>
            <w:noProof/>
            <w:webHidden/>
          </w:rPr>
          <w:fldChar w:fldCharType="begin"/>
        </w:r>
        <w:r w:rsidR="00DC6A2D">
          <w:rPr>
            <w:noProof/>
            <w:webHidden/>
          </w:rPr>
          <w:instrText xml:space="preserve"> PAGEREF _Toc127809111 \h </w:instrText>
        </w:r>
        <w:r w:rsidR="00DC6A2D">
          <w:rPr>
            <w:noProof/>
            <w:webHidden/>
          </w:rPr>
        </w:r>
        <w:r w:rsidR="00DC6A2D">
          <w:rPr>
            <w:noProof/>
            <w:webHidden/>
          </w:rPr>
          <w:fldChar w:fldCharType="separate"/>
        </w:r>
        <w:r w:rsidR="00DC6A2D">
          <w:rPr>
            <w:noProof/>
            <w:webHidden/>
          </w:rPr>
          <w:t>16</w:t>
        </w:r>
        <w:r w:rsidR="00DC6A2D">
          <w:rPr>
            <w:noProof/>
            <w:webHidden/>
          </w:rPr>
          <w:fldChar w:fldCharType="end"/>
        </w:r>
      </w:hyperlink>
    </w:p>
    <w:p w14:paraId="70D60756" w14:textId="28892AF9" w:rsidR="00DC6A2D" w:rsidRDefault="00A241A3">
      <w:pPr>
        <w:pStyle w:val="TOC2"/>
        <w:rPr>
          <w:rFonts w:eastAsiaTheme="minorEastAsia"/>
          <w:noProof/>
          <w:sz w:val="22"/>
          <w:lang w:val="en-AU" w:eastAsia="en-AU"/>
        </w:rPr>
      </w:pPr>
      <w:hyperlink w:anchor="_Toc127809112" w:history="1">
        <w:r w:rsidR="00DC6A2D" w:rsidRPr="00251E6E">
          <w:rPr>
            <w:rStyle w:val="Hyperlink"/>
            <w:noProof/>
          </w:rPr>
          <w:t>International</w:t>
        </w:r>
        <w:r w:rsidR="00DC6A2D">
          <w:rPr>
            <w:noProof/>
            <w:webHidden/>
          </w:rPr>
          <w:tab/>
        </w:r>
        <w:r w:rsidR="00DC6A2D">
          <w:rPr>
            <w:noProof/>
            <w:webHidden/>
          </w:rPr>
          <w:fldChar w:fldCharType="begin"/>
        </w:r>
        <w:r w:rsidR="00DC6A2D">
          <w:rPr>
            <w:noProof/>
            <w:webHidden/>
          </w:rPr>
          <w:instrText xml:space="preserve"> PAGEREF _Toc127809112 \h </w:instrText>
        </w:r>
        <w:r w:rsidR="00DC6A2D">
          <w:rPr>
            <w:noProof/>
            <w:webHidden/>
          </w:rPr>
        </w:r>
        <w:r w:rsidR="00DC6A2D">
          <w:rPr>
            <w:noProof/>
            <w:webHidden/>
          </w:rPr>
          <w:fldChar w:fldCharType="separate"/>
        </w:r>
        <w:r w:rsidR="00DC6A2D">
          <w:rPr>
            <w:noProof/>
            <w:webHidden/>
          </w:rPr>
          <w:t>21</w:t>
        </w:r>
        <w:r w:rsidR="00DC6A2D">
          <w:rPr>
            <w:noProof/>
            <w:webHidden/>
          </w:rPr>
          <w:fldChar w:fldCharType="end"/>
        </w:r>
      </w:hyperlink>
    </w:p>
    <w:p w14:paraId="5DE46527" w14:textId="4C9AD19E" w:rsidR="00DC6A2D" w:rsidRDefault="00A241A3">
      <w:pPr>
        <w:pStyle w:val="TOC1"/>
        <w:tabs>
          <w:tab w:val="right" w:leader="dot" w:pos="9350"/>
        </w:tabs>
        <w:rPr>
          <w:rFonts w:eastAsiaTheme="minorEastAsia"/>
          <w:noProof/>
          <w:lang w:val="en-AU" w:eastAsia="en-AU"/>
        </w:rPr>
      </w:pPr>
      <w:hyperlink w:anchor="_Toc127809113" w:history="1">
        <w:r w:rsidR="00DC6A2D" w:rsidRPr="00251E6E">
          <w:rPr>
            <w:rStyle w:val="Hyperlink"/>
            <w:noProof/>
          </w:rPr>
          <w:t>Options for reform</w:t>
        </w:r>
        <w:r w:rsidR="00DC6A2D">
          <w:rPr>
            <w:noProof/>
            <w:webHidden/>
          </w:rPr>
          <w:tab/>
        </w:r>
        <w:r w:rsidR="00DC6A2D">
          <w:rPr>
            <w:noProof/>
            <w:webHidden/>
          </w:rPr>
          <w:fldChar w:fldCharType="begin"/>
        </w:r>
        <w:r w:rsidR="00DC6A2D">
          <w:rPr>
            <w:noProof/>
            <w:webHidden/>
          </w:rPr>
          <w:instrText xml:space="preserve"> PAGEREF _Toc127809113 \h </w:instrText>
        </w:r>
        <w:r w:rsidR="00DC6A2D">
          <w:rPr>
            <w:noProof/>
            <w:webHidden/>
          </w:rPr>
        </w:r>
        <w:r w:rsidR="00DC6A2D">
          <w:rPr>
            <w:noProof/>
            <w:webHidden/>
          </w:rPr>
          <w:fldChar w:fldCharType="separate"/>
        </w:r>
        <w:r w:rsidR="00DC6A2D">
          <w:rPr>
            <w:noProof/>
            <w:webHidden/>
          </w:rPr>
          <w:t>21</w:t>
        </w:r>
        <w:r w:rsidR="00DC6A2D">
          <w:rPr>
            <w:noProof/>
            <w:webHidden/>
          </w:rPr>
          <w:fldChar w:fldCharType="end"/>
        </w:r>
      </w:hyperlink>
    </w:p>
    <w:p w14:paraId="1E096D33" w14:textId="4ADDF8D3" w:rsidR="00DC6A2D" w:rsidRDefault="00A241A3">
      <w:pPr>
        <w:pStyle w:val="TOC2"/>
        <w:rPr>
          <w:rFonts w:eastAsiaTheme="minorEastAsia"/>
          <w:noProof/>
          <w:sz w:val="22"/>
          <w:lang w:val="en-AU" w:eastAsia="en-AU"/>
        </w:rPr>
      </w:pPr>
      <w:hyperlink w:anchor="_Toc127809114" w:history="1">
        <w:r w:rsidR="00DC6A2D" w:rsidRPr="00251E6E">
          <w:rPr>
            <w:rStyle w:val="Hyperlink"/>
            <w:noProof/>
          </w:rPr>
          <w:t>Fair Work Act section 570 model (‘hard cost neutrality’)</w:t>
        </w:r>
        <w:r w:rsidR="00DC6A2D">
          <w:rPr>
            <w:noProof/>
            <w:webHidden/>
          </w:rPr>
          <w:tab/>
        </w:r>
        <w:r w:rsidR="00DC6A2D">
          <w:rPr>
            <w:noProof/>
            <w:webHidden/>
          </w:rPr>
          <w:fldChar w:fldCharType="begin"/>
        </w:r>
        <w:r w:rsidR="00DC6A2D">
          <w:rPr>
            <w:noProof/>
            <w:webHidden/>
          </w:rPr>
          <w:instrText xml:space="preserve"> PAGEREF _Toc127809114 \h </w:instrText>
        </w:r>
        <w:r w:rsidR="00DC6A2D">
          <w:rPr>
            <w:noProof/>
            <w:webHidden/>
          </w:rPr>
        </w:r>
        <w:r w:rsidR="00DC6A2D">
          <w:rPr>
            <w:noProof/>
            <w:webHidden/>
          </w:rPr>
          <w:fldChar w:fldCharType="separate"/>
        </w:r>
        <w:r w:rsidR="00DC6A2D">
          <w:rPr>
            <w:noProof/>
            <w:webHidden/>
          </w:rPr>
          <w:t>23</w:t>
        </w:r>
        <w:r w:rsidR="00DC6A2D">
          <w:rPr>
            <w:noProof/>
            <w:webHidden/>
          </w:rPr>
          <w:fldChar w:fldCharType="end"/>
        </w:r>
      </w:hyperlink>
    </w:p>
    <w:p w14:paraId="6AAF03CF" w14:textId="19ABC3B6" w:rsidR="00DC6A2D" w:rsidRDefault="00A241A3">
      <w:pPr>
        <w:pStyle w:val="TOC3"/>
        <w:tabs>
          <w:tab w:val="right" w:leader="dot" w:pos="9350"/>
        </w:tabs>
        <w:rPr>
          <w:rFonts w:eastAsiaTheme="minorEastAsia"/>
          <w:noProof/>
          <w:sz w:val="22"/>
          <w:lang w:val="en-AU" w:eastAsia="en-AU"/>
        </w:rPr>
      </w:pPr>
      <w:hyperlink w:anchor="_Toc127809115" w:history="1">
        <w:r w:rsidR="00DC6A2D" w:rsidRPr="00251E6E">
          <w:rPr>
            <w:rStyle w:val="Hyperlink"/>
            <w:noProof/>
          </w:rPr>
          <w:t>Overview</w:t>
        </w:r>
        <w:r w:rsidR="00DC6A2D">
          <w:rPr>
            <w:noProof/>
            <w:webHidden/>
          </w:rPr>
          <w:tab/>
        </w:r>
        <w:r w:rsidR="00DC6A2D">
          <w:rPr>
            <w:noProof/>
            <w:webHidden/>
          </w:rPr>
          <w:fldChar w:fldCharType="begin"/>
        </w:r>
        <w:r w:rsidR="00DC6A2D">
          <w:rPr>
            <w:noProof/>
            <w:webHidden/>
          </w:rPr>
          <w:instrText xml:space="preserve"> PAGEREF _Toc127809115 \h </w:instrText>
        </w:r>
        <w:r w:rsidR="00DC6A2D">
          <w:rPr>
            <w:noProof/>
            <w:webHidden/>
          </w:rPr>
        </w:r>
        <w:r w:rsidR="00DC6A2D">
          <w:rPr>
            <w:noProof/>
            <w:webHidden/>
          </w:rPr>
          <w:fldChar w:fldCharType="separate"/>
        </w:r>
        <w:r w:rsidR="00DC6A2D">
          <w:rPr>
            <w:noProof/>
            <w:webHidden/>
          </w:rPr>
          <w:t>23</w:t>
        </w:r>
        <w:r w:rsidR="00DC6A2D">
          <w:rPr>
            <w:noProof/>
            <w:webHidden/>
          </w:rPr>
          <w:fldChar w:fldCharType="end"/>
        </w:r>
      </w:hyperlink>
    </w:p>
    <w:p w14:paraId="57320493" w14:textId="1E9D7E26" w:rsidR="00DC6A2D" w:rsidRDefault="00A241A3">
      <w:pPr>
        <w:pStyle w:val="TOC3"/>
        <w:tabs>
          <w:tab w:val="right" w:leader="dot" w:pos="9350"/>
        </w:tabs>
        <w:rPr>
          <w:rFonts w:eastAsiaTheme="minorEastAsia"/>
          <w:noProof/>
          <w:sz w:val="22"/>
          <w:lang w:val="en-AU" w:eastAsia="en-AU"/>
        </w:rPr>
      </w:pPr>
      <w:hyperlink w:anchor="_Toc127809116" w:history="1">
        <w:r w:rsidR="00DC6A2D" w:rsidRPr="00251E6E">
          <w:rPr>
            <w:rStyle w:val="Hyperlink"/>
            <w:noProof/>
          </w:rPr>
          <w:t>Analysis of advantages and disadvantages</w:t>
        </w:r>
        <w:r w:rsidR="00DC6A2D">
          <w:rPr>
            <w:noProof/>
            <w:webHidden/>
          </w:rPr>
          <w:tab/>
        </w:r>
        <w:r w:rsidR="00DC6A2D">
          <w:rPr>
            <w:noProof/>
            <w:webHidden/>
          </w:rPr>
          <w:fldChar w:fldCharType="begin"/>
        </w:r>
        <w:r w:rsidR="00DC6A2D">
          <w:rPr>
            <w:noProof/>
            <w:webHidden/>
          </w:rPr>
          <w:instrText xml:space="preserve"> PAGEREF _Toc127809116 \h </w:instrText>
        </w:r>
        <w:r w:rsidR="00DC6A2D">
          <w:rPr>
            <w:noProof/>
            <w:webHidden/>
          </w:rPr>
        </w:r>
        <w:r w:rsidR="00DC6A2D">
          <w:rPr>
            <w:noProof/>
            <w:webHidden/>
          </w:rPr>
          <w:fldChar w:fldCharType="separate"/>
        </w:r>
        <w:r w:rsidR="00DC6A2D">
          <w:rPr>
            <w:noProof/>
            <w:webHidden/>
          </w:rPr>
          <w:t>24</w:t>
        </w:r>
        <w:r w:rsidR="00DC6A2D">
          <w:rPr>
            <w:noProof/>
            <w:webHidden/>
          </w:rPr>
          <w:fldChar w:fldCharType="end"/>
        </w:r>
      </w:hyperlink>
    </w:p>
    <w:p w14:paraId="34E65637" w14:textId="31C0F2DA" w:rsidR="00DC6A2D" w:rsidRDefault="00A241A3">
      <w:pPr>
        <w:pStyle w:val="TOC2"/>
        <w:rPr>
          <w:rFonts w:eastAsiaTheme="minorEastAsia"/>
          <w:noProof/>
          <w:sz w:val="22"/>
          <w:lang w:val="en-AU" w:eastAsia="en-AU"/>
        </w:rPr>
      </w:pPr>
      <w:hyperlink w:anchor="_Toc127809117" w:history="1">
        <w:r w:rsidR="00DC6A2D" w:rsidRPr="00251E6E">
          <w:rPr>
            <w:rStyle w:val="Hyperlink"/>
            <w:noProof/>
          </w:rPr>
          <w:t>Cost neutrality with discretion model (‘soft cost neutrality’)</w:t>
        </w:r>
        <w:r w:rsidR="00DC6A2D">
          <w:rPr>
            <w:noProof/>
            <w:webHidden/>
          </w:rPr>
          <w:tab/>
        </w:r>
        <w:r w:rsidR="00DC6A2D">
          <w:rPr>
            <w:noProof/>
            <w:webHidden/>
          </w:rPr>
          <w:fldChar w:fldCharType="begin"/>
        </w:r>
        <w:r w:rsidR="00DC6A2D">
          <w:rPr>
            <w:noProof/>
            <w:webHidden/>
          </w:rPr>
          <w:instrText xml:space="preserve"> PAGEREF _Toc127809117 \h </w:instrText>
        </w:r>
        <w:r w:rsidR="00DC6A2D">
          <w:rPr>
            <w:noProof/>
            <w:webHidden/>
          </w:rPr>
        </w:r>
        <w:r w:rsidR="00DC6A2D">
          <w:rPr>
            <w:noProof/>
            <w:webHidden/>
          </w:rPr>
          <w:fldChar w:fldCharType="separate"/>
        </w:r>
        <w:r w:rsidR="00DC6A2D">
          <w:rPr>
            <w:noProof/>
            <w:webHidden/>
          </w:rPr>
          <w:t>25</w:t>
        </w:r>
        <w:r w:rsidR="00DC6A2D">
          <w:rPr>
            <w:noProof/>
            <w:webHidden/>
          </w:rPr>
          <w:fldChar w:fldCharType="end"/>
        </w:r>
      </w:hyperlink>
    </w:p>
    <w:p w14:paraId="03865B85" w14:textId="32984F52" w:rsidR="00DC6A2D" w:rsidRDefault="00A241A3">
      <w:pPr>
        <w:pStyle w:val="TOC3"/>
        <w:tabs>
          <w:tab w:val="right" w:leader="dot" w:pos="9350"/>
        </w:tabs>
        <w:rPr>
          <w:rFonts w:eastAsiaTheme="minorEastAsia"/>
          <w:noProof/>
          <w:sz w:val="22"/>
          <w:lang w:val="en-AU" w:eastAsia="en-AU"/>
        </w:rPr>
      </w:pPr>
      <w:hyperlink w:anchor="_Toc127809118" w:history="1">
        <w:r w:rsidR="00DC6A2D" w:rsidRPr="00251E6E">
          <w:rPr>
            <w:rStyle w:val="Hyperlink"/>
            <w:noProof/>
          </w:rPr>
          <w:t>Overview</w:t>
        </w:r>
        <w:r w:rsidR="00DC6A2D">
          <w:rPr>
            <w:noProof/>
            <w:webHidden/>
          </w:rPr>
          <w:tab/>
        </w:r>
        <w:r w:rsidR="00DC6A2D">
          <w:rPr>
            <w:noProof/>
            <w:webHidden/>
          </w:rPr>
          <w:fldChar w:fldCharType="begin"/>
        </w:r>
        <w:r w:rsidR="00DC6A2D">
          <w:rPr>
            <w:noProof/>
            <w:webHidden/>
          </w:rPr>
          <w:instrText xml:space="preserve"> PAGEREF _Toc127809118 \h </w:instrText>
        </w:r>
        <w:r w:rsidR="00DC6A2D">
          <w:rPr>
            <w:noProof/>
            <w:webHidden/>
          </w:rPr>
        </w:r>
        <w:r w:rsidR="00DC6A2D">
          <w:rPr>
            <w:noProof/>
            <w:webHidden/>
          </w:rPr>
          <w:fldChar w:fldCharType="separate"/>
        </w:r>
        <w:r w:rsidR="00DC6A2D">
          <w:rPr>
            <w:noProof/>
            <w:webHidden/>
          </w:rPr>
          <w:t>25</w:t>
        </w:r>
        <w:r w:rsidR="00DC6A2D">
          <w:rPr>
            <w:noProof/>
            <w:webHidden/>
          </w:rPr>
          <w:fldChar w:fldCharType="end"/>
        </w:r>
      </w:hyperlink>
    </w:p>
    <w:p w14:paraId="5471A122" w14:textId="71ADDCBA" w:rsidR="00DC6A2D" w:rsidRDefault="00A241A3">
      <w:pPr>
        <w:pStyle w:val="TOC3"/>
        <w:tabs>
          <w:tab w:val="right" w:leader="dot" w:pos="9350"/>
        </w:tabs>
        <w:rPr>
          <w:rFonts w:eastAsiaTheme="minorEastAsia"/>
          <w:noProof/>
          <w:sz w:val="22"/>
          <w:lang w:val="en-AU" w:eastAsia="en-AU"/>
        </w:rPr>
      </w:pPr>
      <w:hyperlink w:anchor="_Toc127809119" w:history="1">
        <w:r w:rsidR="00DC6A2D" w:rsidRPr="00251E6E">
          <w:rPr>
            <w:rStyle w:val="Hyperlink"/>
            <w:noProof/>
          </w:rPr>
          <w:t>Analysis of advantages and disadvantages</w:t>
        </w:r>
        <w:r w:rsidR="00DC6A2D">
          <w:rPr>
            <w:noProof/>
            <w:webHidden/>
          </w:rPr>
          <w:tab/>
        </w:r>
        <w:r w:rsidR="00DC6A2D">
          <w:rPr>
            <w:noProof/>
            <w:webHidden/>
          </w:rPr>
          <w:fldChar w:fldCharType="begin"/>
        </w:r>
        <w:r w:rsidR="00DC6A2D">
          <w:rPr>
            <w:noProof/>
            <w:webHidden/>
          </w:rPr>
          <w:instrText xml:space="preserve"> PAGEREF _Toc127809119 \h </w:instrText>
        </w:r>
        <w:r w:rsidR="00DC6A2D">
          <w:rPr>
            <w:noProof/>
            <w:webHidden/>
          </w:rPr>
        </w:r>
        <w:r w:rsidR="00DC6A2D">
          <w:rPr>
            <w:noProof/>
            <w:webHidden/>
          </w:rPr>
          <w:fldChar w:fldCharType="separate"/>
        </w:r>
        <w:r w:rsidR="00DC6A2D">
          <w:rPr>
            <w:noProof/>
            <w:webHidden/>
          </w:rPr>
          <w:t>26</w:t>
        </w:r>
        <w:r w:rsidR="00DC6A2D">
          <w:rPr>
            <w:noProof/>
            <w:webHidden/>
          </w:rPr>
          <w:fldChar w:fldCharType="end"/>
        </w:r>
      </w:hyperlink>
    </w:p>
    <w:p w14:paraId="263F6873" w14:textId="21BD70F4" w:rsidR="00DC6A2D" w:rsidRDefault="00A241A3">
      <w:pPr>
        <w:pStyle w:val="TOC2"/>
        <w:rPr>
          <w:rFonts w:eastAsiaTheme="minorEastAsia"/>
          <w:noProof/>
          <w:sz w:val="22"/>
          <w:lang w:val="en-AU" w:eastAsia="en-AU"/>
        </w:rPr>
      </w:pPr>
      <w:hyperlink w:anchor="_Toc127809120" w:history="1">
        <w:r w:rsidR="00DC6A2D" w:rsidRPr="00251E6E">
          <w:rPr>
            <w:rStyle w:val="Hyperlink"/>
            <w:noProof/>
          </w:rPr>
          <w:t>Asymmetrical cost model (‘equal access’)</w:t>
        </w:r>
        <w:r w:rsidR="00DC6A2D">
          <w:rPr>
            <w:noProof/>
            <w:webHidden/>
          </w:rPr>
          <w:tab/>
        </w:r>
        <w:r w:rsidR="00DC6A2D">
          <w:rPr>
            <w:noProof/>
            <w:webHidden/>
          </w:rPr>
          <w:fldChar w:fldCharType="begin"/>
        </w:r>
        <w:r w:rsidR="00DC6A2D">
          <w:rPr>
            <w:noProof/>
            <w:webHidden/>
          </w:rPr>
          <w:instrText xml:space="preserve"> PAGEREF _Toc127809120 \h </w:instrText>
        </w:r>
        <w:r w:rsidR="00DC6A2D">
          <w:rPr>
            <w:noProof/>
            <w:webHidden/>
          </w:rPr>
        </w:r>
        <w:r w:rsidR="00DC6A2D">
          <w:rPr>
            <w:noProof/>
            <w:webHidden/>
          </w:rPr>
          <w:fldChar w:fldCharType="separate"/>
        </w:r>
        <w:r w:rsidR="00DC6A2D">
          <w:rPr>
            <w:noProof/>
            <w:webHidden/>
          </w:rPr>
          <w:t>28</w:t>
        </w:r>
        <w:r w:rsidR="00DC6A2D">
          <w:rPr>
            <w:noProof/>
            <w:webHidden/>
          </w:rPr>
          <w:fldChar w:fldCharType="end"/>
        </w:r>
      </w:hyperlink>
    </w:p>
    <w:p w14:paraId="6996C81C" w14:textId="280E2040" w:rsidR="00DC6A2D" w:rsidRDefault="00A241A3">
      <w:pPr>
        <w:pStyle w:val="TOC3"/>
        <w:tabs>
          <w:tab w:val="right" w:leader="dot" w:pos="9350"/>
        </w:tabs>
        <w:rPr>
          <w:rFonts w:eastAsiaTheme="minorEastAsia"/>
          <w:noProof/>
          <w:sz w:val="22"/>
          <w:lang w:val="en-AU" w:eastAsia="en-AU"/>
        </w:rPr>
      </w:pPr>
      <w:hyperlink w:anchor="_Toc127809121" w:history="1">
        <w:r w:rsidR="00DC6A2D" w:rsidRPr="00251E6E">
          <w:rPr>
            <w:rStyle w:val="Hyperlink"/>
            <w:noProof/>
          </w:rPr>
          <w:t>Overview</w:t>
        </w:r>
        <w:r w:rsidR="00DC6A2D">
          <w:rPr>
            <w:noProof/>
            <w:webHidden/>
          </w:rPr>
          <w:tab/>
        </w:r>
        <w:r w:rsidR="00DC6A2D">
          <w:rPr>
            <w:noProof/>
            <w:webHidden/>
          </w:rPr>
          <w:fldChar w:fldCharType="begin"/>
        </w:r>
        <w:r w:rsidR="00DC6A2D">
          <w:rPr>
            <w:noProof/>
            <w:webHidden/>
          </w:rPr>
          <w:instrText xml:space="preserve"> PAGEREF _Toc127809121 \h </w:instrText>
        </w:r>
        <w:r w:rsidR="00DC6A2D">
          <w:rPr>
            <w:noProof/>
            <w:webHidden/>
          </w:rPr>
        </w:r>
        <w:r w:rsidR="00DC6A2D">
          <w:rPr>
            <w:noProof/>
            <w:webHidden/>
          </w:rPr>
          <w:fldChar w:fldCharType="separate"/>
        </w:r>
        <w:r w:rsidR="00DC6A2D">
          <w:rPr>
            <w:noProof/>
            <w:webHidden/>
          </w:rPr>
          <w:t>28</w:t>
        </w:r>
        <w:r w:rsidR="00DC6A2D">
          <w:rPr>
            <w:noProof/>
            <w:webHidden/>
          </w:rPr>
          <w:fldChar w:fldCharType="end"/>
        </w:r>
      </w:hyperlink>
    </w:p>
    <w:p w14:paraId="5887CD30" w14:textId="38B1B926" w:rsidR="00DC6A2D" w:rsidRDefault="00A241A3">
      <w:pPr>
        <w:pStyle w:val="TOC3"/>
        <w:tabs>
          <w:tab w:val="right" w:leader="dot" w:pos="9350"/>
        </w:tabs>
        <w:rPr>
          <w:rFonts w:eastAsiaTheme="minorEastAsia"/>
          <w:noProof/>
          <w:sz w:val="22"/>
          <w:lang w:val="en-AU" w:eastAsia="en-AU"/>
        </w:rPr>
      </w:pPr>
      <w:hyperlink w:anchor="_Toc127809122" w:history="1">
        <w:r w:rsidR="00DC6A2D" w:rsidRPr="00251E6E">
          <w:rPr>
            <w:rStyle w:val="Hyperlink"/>
            <w:noProof/>
          </w:rPr>
          <w:t>Analysis of advantages and disadvantages</w:t>
        </w:r>
        <w:r w:rsidR="00DC6A2D">
          <w:rPr>
            <w:noProof/>
            <w:webHidden/>
          </w:rPr>
          <w:tab/>
        </w:r>
        <w:r w:rsidR="00DC6A2D">
          <w:rPr>
            <w:noProof/>
            <w:webHidden/>
          </w:rPr>
          <w:fldChar w:fldCharType="begin"/>
        </w:r>
        <w:r w:rsidR="00DC6A2D">
          <w:rPr>
            <w:noProof/>
            <w:webHidden/>
          </w:rPr>
          <w:instrText xml:space="preserve"> PAGEREF _Toc127809122 \h </w:instrText>
        </w:r>
        <w:r w:rsidR="00DC6A2D">
          <w:rPr>
            <w:noProof/>
            <w:webHidden/>
          </w:rPr>
        </w:r>
        <w:r w:rsidR="00DC6A2D">
          <w:rPr>
            <w:noProof/>
            <w:webHidden/>
          </w:rPr>
          <w:fldChar w:fldCharType="separate"/>
        </w:r>
        <w:r w:rsidR="00DC6A2D">
          <w:rPr>
            <w:noProof/>
            <w:webHidden/>
          </w:rPr>
          <w:t>28</w:t>
        </w:r>
        <w:r w:rsidR="00DC6A2D">
          <w:rPr>
            <w:noProof/>
            <w:webHidden/>
          </w:rPr>
          <w:fldChar w:fldCharType="end"/>
        </w:r>
      </w:hyperlink>
    </w:p>
    <w:p w14:paraId="6CD77D4E" w14:textId="3FBDE9B2" w:rsidR="00DC6A2D" w:rsidRDefault="00A241A3">
      <w:pPr>
        <w:pStyle w:val="TOC2"/>
        <w:rPr>
          <w:rFonts w:eastAsiaTheme="minorEastAsia"/>
          <w:noProof/>
          <w:sz w:val="22"/>
          <w:lang w:val="en-AU" w:eastAsia="en-AU"/>
        </w:rPr>
      </w:pPr>
      <w:hyperlink w:anchor="_Toc127809123" w:history="1">
        <w:r w:rsidR="00DC6A2D" w:rsidRPr="00251E6E">
          <w:rPr>
            <w:rStyle w:val="Hyperlink"/>
            <w:noProof/>
          </w:rPr>
          <w:t>Applicant choice model</w:t>
        </w:r>
        <w:r w:rsidR="00DC6A2D">
          <w:rPr>
            <w:noProof/>
            <w:webHidden/>
          </w:rPr>
          <w:tab/>
        </w:r>
        <w:r w:rsidR="00DC6A2D">
          <w:rPr>
            <w:noProof/>
            <w:webHidden/>
          </w:rPr>
          <w:fldChar w:fldCharType="begin"/>
        </w:r>
        <w:r w:rsidR="00DC6A2D">
          <w:rPr>
            <w:noProof/>
            <w:webHidden/>
          </w:rPr>
          <w:instrText xml:space="preserve"> PAGEREF _Toc127809123 \h </w:instrText>
        </w:r>
        <w:r w:rsidR="00DC6A2D">
          <w:rPr>
            <w:noProof/>
            <w:webHidden/>
          </w:rPr>
        </w:r>
        <w:r w:rsidR="00DC6A2D">
          <w:rPr>
            <w:noProof/>
            <w:webHidden/>
          </w:rPr>
          <w:fldChar w:fldCharType="separate"/>
        </w:r>
        <w:r w:rsidR="00DC6A2D">
          <w:rPr>
            <w:noProof/>
            <w:webHidden/>
          </w:rPr>
          <w:t>29</w:t>
        </w:r>
        <w:r w:rsidR="00DC6A2D">
          <w:rPr>
            <w:noProof/>
            <w:webHidden/>
          </w:rPr>
          <w:fldChar w:fldCharType="end"/>
        </w:r>
      </w:hyperlink>
    </w:p>
    <w:p w14:paraId="21EF157F" w14:textId="0874F484" w:rsidR="00DC6A2D" w:rsidRDefault="00A241A3">
      <w:pPr>
        <w:pStyle w:val="TOC3"/>
        <w:tabs>
          <w:tab w:val="right" w:leader="dot" w:pos="9350"/>
        </w:tabs>
        <w:rPr>
          <w:rFonts w:eastAsiaTheme="minorEastAsia"/>
          <w:noProof/>
          <w:sz w:val="22"/>
          <w:lang w:val="en-AU" w:eastAsia="en-AU"/>
        </w:rPr>
      </w:pPr>
      <w:hyperlink w:anchor="_Toc127809124" w:history="1">
        <w:r w:rsidR="00DC6A2D" w:rsidRPr="00251E6E">
          <w:rPr>
            <w:rStyle w:val="Hyperlink"/>
            <w:noProof/>
          </w:rPr>
          <w:t>Overview</w:t>
        </w:r>
        <w:r w:rsidR="00DC6A2D">
          <w:rPr>
            <w:noProof/>
            <w:webHidden/>
          </w:rPr>
          <w:tab/>
        </w:r>
        <w:r w:rsidR="00DC6A2D">
          <w:rPr>
            <w:noProof/>
            <w:webHidden/>
          </w:rPr>
          <w:fldChar w:fldCharType="begin"/>
        </w:r>
        <w:r w:rsidR="00DC6A2D">
          <w:rPr>
            <w:noProof/>
            <w:webHidden/>
          </w:rPr>
          <w:instrText xml:space="preserve"> PAGEREF _Toc127809124 \h </w:instrText>
        </w:r>
        <w:r w:rsidR="00DC6A2D">
          <w:rPr>
            <w:noProof/>
            <w:webHidden/>
          </w:rPr>
        </w:r>
        <w:r w:rsidR="00DC6A2D">
          <w:rPr>
            <w:noProof/>
            <w:webHidden/>
          </w:rPr>
          <w:fldChar w:fldCharType="separate"/>
        </w:r>
        <w:r w:rsidR="00DC6A2D">
          <w:rPr>
            <w:noProof/>
            <w:webHidden/>
          </w:rPr>
          <w:t>29</w:t>
        </w:r>
        <w:r w:rsidR="00DC6A2D">
          <w:rPr>
            <w:noProof/>
            <w:webHidden/>
          </w:rPr>
          <w:fldChar w:fldCharType="end"/>
        </w:r>
      </w:hyperlink>
    </w:p>
    <w:p w14:paraId="6C185BDC" w14:textId="00AF9FF3" w:rsidR="00DC6A2D" w:rsidRDefault="00A241A3">
      <w:pPr>
        <w:pStyle w:val="TOC3"/>
        <w:tabs>
          <w:tab w:val="right" w:leader="dot" w:pos="9350"/>
        </w:tabs>
        <w:rPr>
          <w:rFonts w:eastAsiaTheme="minorEastAsia"/>
          <w:noProof/>
          <w:sz w:val="22"/>
          <w:lang w:val="en-AU" w:eastAsia="en-AU"/>
        </w:rPr>
      </w:pPr>
      <w:hyperlink w:anchor="_Toc127809125" w:history="1">
        <w:r w:rsidR="00DC6A2D" w:rsidRPr="00251E6E">
          <w:rPr>
            <w:rStyle w:val="Hyperlink"/>
            <w:noProof/>
          </w:rPr>
          <w:t>Analysis of advantages and disadvantages</w:t>
        </w:r>
        <w:r w:rsidR="00DC6A2D">
          <w:rPr>
            <w:noProof/>
            <w:webHidden/>
          </w:rPr>
          <w:tab/>
        </w:r>
        <w:r w:rsidR="00DC6A2D">
          <w:rPr>
            <w:noProof/>
            <w:webHidden/>
          </w:rPr>
          <w:fldChar w:fldCharType="begin"/>
        </w:r>
        <w:r w:rsidR="00DC6A2D">
          <w:rPr>
            <w:noProof/>
            <w:webHidden/>
          </w:rPr>
          <w:instrText xml:space="preserve"> PAGEREF _Toc127809125 \h </w:instrText>
        </w:r>
        <w:r w:rsidR="00DC6A2D">
          <w:rPr>
            <w:noProof/>
            <w:webHidden/>
          </w:rPr>
        </w:r>
        <w:r w:rsidR="00DC6A2D">
          <w:rPr>
            <w:noProof/>
            <w:webHidden/>
          </w:rPr>
          <w:fldChar w:fldCharType="separate"/>
        </w:r>
        <w:r w:rsidR="00DC6A2D">
          <w:rPr>
            <w:noProof/>
            <w:webHidden/>
          </w:rPr>
          <w:t>29</w:t>
        </w:r>
        <w:r w:rsidR="00DC6A2D">
          <w:rPr>
            <w:noProof/>
            <w:webHidden/>
          </w:rPr>
          <w:fldChar w:fldCharType="end"/>
        </w:r>
      </w:hyperlink>
    </w:p>
    <w:p w14:paraId="7D8905FF" w14:textId="3DE03A14" w:rsidR="00DC6A2D" w:rsidRDefault="00A241A3">
      <w:pPr>
        <w:pStyle w:val="TOC1"/>
        <w:tabs>
          <w:tab w:val="right" w:leader="dot" w:pos="9350"/>
        </w:tabs>
        <w:rPr>
          <w:rFonts w:eastAsiaTheme="minorEastAsia"/>
          <w:noProof/>
          <w:lang w:val="en-AU" w:eastAsia="en-AU"/>
        </w:rPr>
      </w:pPr>
      <w:hyperlink w:anchor="_Toc127809126" w:history="1">
        <w:r w:rsidR="00DC6A2D" w:rsidRPr="00251E6E">
          <w:rPr>
            <w:rStyle w:val="Hyperlink"/>
            <w:noProof/>
          </w:rPr>
          <w:t>Intersection between costs and damages</w:t>
        </w:r>
        <w:r w:rsidR="00DC6A2D">
          <w:rPr>
            <w:noProof/>
            <w:webHidden/>
          </w:rPr>
          <w:tab/>
        </w:r>
        <w:r w:rsidR="00DC6A2D">
          <w:rPr>
            <w:noProof/>
            <w:webHidden/>
          </w:rPr>
          <w:fldChar w:fldCharType="begin"/>
        </w:r>
        <w:r w:rsidR="00DC6A2D">
          <w:rPr>
            <w:noProof/>
            <w:webHidden/>
          </w:rPr>
          <w:instrText xml:space="preserve"> PAGEREF _Toc127809126 \h </w:instrText>
        </w:r>
        <w:r w:rsidR="00DC6A2D">
          <w:rPr>
            <w:noProof/>
            <w:webHidden/>
          </w:rPr>
        </w:r>
        <w:r w:rsidR="00DC6A2D">
          <w:rPr>
            <w:noProof/>
            <w:webHidden/>
          </w:rPr>
          <w:fldChar w:fldCharType="separate"/>
        </w:r>
        <w:r w:rsidR="00DC6A2D">
          <w:rPr>
            <w:noProof/>
            <w:webHidden/>
          </w:rPr>
          <w:t>30</w:t>
        </w:r>
        <w:r w:rsidR="00DC6A2D">
          <w:rPr>
            <w:noProof/>
            <w:webHidden/>
          </w:rPr>
          <w:fldChar w:fldCharType="end"/>
        </w:r>
      </w:hyperlink>
    </w:p>
    <w:p w14:paraId="0CB80A3D" w14:textId="318DB38C" w:rsidR="00DC6A2D" w:rsidRDefault="00A241A3">
      <w:pPr>
        <w:pStyle w:val="TOC1"/>
        <w:tabs>
          <w:tab w:val="right" w:leader="dot" w:pos="9350"/>
        </w:tabs>
        <w:rPr>
          <w:rFonts w:eastAsiaTheme="minorEastAsia"/>
          <w:noProof/>
          <w:lang w:val="en-AU" w:eastAsia="en-AU"/>
        </w:rPr>
      </w:pPr>
      <w:hyperlink w:anchor="_Toc127809127" w:history="1">
        <w:r w:rsidR="00DC6A2D" w:rsidRPr="00251E6E">
          <w:rPr>
            <w:rStyle w:val="Hyperlink"/>
            <w:noProof/>
          </w:rPr>
          <w:t>Non-legislative considerations</w:t>
        </w:r>
        <w:r w:rsidR="00DC6A2D">
          <w:rPr>
            <w:noProof/>
            <w:webHidden/>
          </w:rPr>
          <w:tab/>
        </w:r>
        <w:r w:rsidR="00DC6A2D">
          <w:rPr>
            <w:noProof/>
            <w:webHidden/>
          </w:rPr>
          <w:fldChar w:fldCharType="begin"/>
        </w:r>
        <w:r w:rsidR="00DC6A2D">
          <w:rPr>
            <w:noProof/>
            <w:webHidden/>
          </w:rPr>
          <w:instrText xml:space="preserve"> PAGEREF _Toc127809127 \h </w:instrText>
        </w:r>
        <w:r w:rsidR="00DC6A2D">
          <w:rPr>
            <w:noProof/>
            <w:webHidden/>
          </w:rPr>
        </w:r>
        <w:r w:rsidR="00DC6A2D">
          <w:rPr>
            <w:noProof/>
            <w:webHidden/>
          </w:rPr>
          <w:fldChar w:fldCharType="separate"/>
        </w:r>
        <w:r w:rsidR="00DC6A2D">
          <w:rPr>
            <w:noProof/>
            <w:webHidden/>
          </w:rPr>
          <w:t>30</w:t>
        </w:r>
        <w:r w:rsidR="00DC6A2D">
          <w:rPr>
            <w:noProof/>
            <w:webHidden/>
          </w:rPr>
          <w:fldChar w:fldCharType="end"/>
        </w:r>
      </w:hyperlink>
    </w:p>
    <w:p w14:paraId="0B6D90B8" w14:textId="676BA760" w:rsidR="00DC6A2D" w:rsidRDefault="00A241A3">
      <w:pPr>
        <w:pStyle w:val="TOC1"/>
        <w:tabs>
          <w:tab w:val="right" w:leader="dot" w:pos="9350"/>
        </w:tabs>
        <w:rPr>
          <w:rFonts w:eastAsiaTheme="minorEastAsia"/>
          <w:noProof/>
          <w:lang w:val="en-AU" w:eastAsia="en-AU"/>
        </w:rPr>
      </w:pPr>
      <w:hyperlink w:anchor="_Toc127809128" w:history="1">
        <w:r w:rsidR="00DC6A2D" w:rsidRPr="00251E6E">
          <w:rPr>
            <w:rStyle w:val="Hyperlink"/>
            <w:noProof/>
          </w:rPr>
          <w:t>Abbreviations</w:t>
        </w:r>
        <w:r w:rsidR="00DC6A2D">
          <w:rPr>
            <w:noProof/>
            <w:webHidden/>
          </w:rPr>
          <w:tab/>
        </w:r>
        <w:r w:rsidR="00DC6A2D">
          <w:rPr>
            <w:noProof/>
            <w:webHidden/>
          </w:rPr>
          <w:fldChar w:fldCharType="begin"/>
        </w:r>
        <w:r w:rsidR="00DC6A2D">
          <w:rPr>
            <w:noProof/>
            <w:webHidden/>
          </w:rPr>
          <w:instrText xml:space="preserve"> PAGEREF _Toc127809128 \h </w:instrText>
        </w:r>
        <w:r w:rsidR="00DC6A2D">
          <w:rPr>
            <w:noProof/>
            <w:webHidden/>
          </w:rPr>
        </w:r>
        <w:r w:rsidR="00DC6A2D">
          <w:rPr>
            <w:noProof/>
            <w:webHidden/>
          </w:rPr>
          <w:fldChar w:fldCharType="separate"/>
        </w:r>
        <w:r w:rsidR="00DC6A2D">
          <w:rPr>
            <w:noProof/>
            <w:webHidden/>
          </w:rPr>
          <w:t>32</w:t>
        </w:r>
        <w:r w:rsidR="00DC6A2D">
          <w:rPr>
            <w:noProof/>
            <w:webHidden/>
          </w:rPr>
          <w:fldChar w:fldCharType="end"/>
        </w:r>
      </w:hyperlink>
    </w:p>
    <w:p w14:paraId="05558C0F" w14:textId="0B9B28D0" w:rsidR="00DC6A2D" w:rsidRDefault="00A241A3">
      <w:pPr>
        <w:pStyle w:val="TOC1"/>
        <w:tabs>
          <w:tab w:val="right" w:leader="dot" w:pos="9350"/>
        </w:tabs>
        <w:rPr>
          <w:rFonts w:eastAsiaTheme="minorEastAsia"/>
          <w:noProof/>
          <w:lang w:val="en-AU" w:eastAsia="en-AU"/>
        </w:rPr>
      </w:pPr>
      <w:hyperlink w:anchor="_Toc127809129" w:history="1">
        <w:r w:rsidR="00DC6A2D" w:rsidRPr="00251E6E">
          <w:rPr>
            <w:rStyle w:val="Hyperlink"/>
            <w:noProof/>
          </w:rPr>
          <w:t>Appendix – relevant legislative provisions</w:t>
        </w:r>
        <w:r w:rsidR="00DC6A2D">
          <w:rPr>
            <w:noProof/>
            <w:webHidden/>
          </w:rPr>
          <w:tab/>
        </w:r>
        <w:r w:rsidR="00DC6A2D">
          <w:rPr>
            <w:noProof/>
            <w:webHidden/>
          </w:rPr>
          <w:fldChar w:fldCharType="begin"/>
        </w:r>
        <w:r w:rsidR="00DC6A2D">
          <w:rPr>
            <w:noProof/>
            <w:webHidden/>
          </w:rPr>
          <w:instrText xml:space="preserve"> PAGEREF _Toc127809129 \h </w:instrText>
        </w:r>
        <w:r w:rsidR="00DC6A2D">
          <w:rPr>
            <w:noProof/>
            <w:webHidden/>
          </w:rPr>
        </w:r>
        <w:r w:rsidR="00DC6A2D">
          <w:rPr>
            <w:noProof/>
            <w:webHidden/>
          </w:rPr>
          <w:fldChar w:fldCharType="separate"/>
        </w:r>
        <w:r w:rsidR="00DC6A2D">
          <w:rPr>
            <w:noProof/>
            <w:webHidden/>
          </w:rPr>
          <w:t>33</w:t>
        </w:r>
        <w:r w:rsidR="00DC6A2D">
          <w:rPr>
            <w:noProof/>
            <w:webHidden/>
          </w:rPr>
          <w:fldChar w:fldCharType="end"/>
        </w:r>
      </w:hyperlink>
    </w:p>
    <w:p w14:paraId="3DEACB2E" w14:textId="3A968FC9" w:rsidR="00DC6A2D" w:rsidRDefault="00A241A3">
      <w:pPr>
        <w:pStyle w:val="TOC3"/>
        <w:tabs>
          <w:tab w:val="right" w:leader="dot" w:pos="9350"/>
        </w:tabs>
        <w:rPr>
          <w:rFonts w:eastAsiaTheme="minorEastAsia"/>
          <w:noProof/>
          <w:sz w:val="22"/>
          <w:lang w:val="en-AU" w:eastAsia="en-AU"/>
        </w:rPr>
      </w:pPr>
      <w:hyperlink w:anchor="_Toc127809130" w:history="1">
        <w:r w:rsidR="00DC6A2D" w:rsidRPr="00251E6E">
          <w:rPr>
            <w:rStyle w:val="Hyperlink"/>
            <w:i/>
            <w:noProof/>
          </w:rPr>
          <w:t>Fair Work Act 2009</w:t>
        </w:r>
        <w:r w:rsidR="00DC6A2D" w:rsidRPr="00251E6E">
          <w:rPr>
            <w:rStyle w:val="Hyperlink"/>
            <w:noProof/>
          </w:rPr>
          <w:t xml:space="preserve"> (Cth)</w:t>
        </w:r>
        <w:r w:rsidR="00DC6A2D">
          <w:rPr>
            <w:noProof/>
            <w:webHidden/>
          </w:rPr>
          <w:tab/>
        </w:r>
        <w:r w:rsidR="00DC6A2D">
          <w:rPr>
            <w:noProof/>
            <w:webHidden/>
          </w:rPr>
          <w:fldChar w:fldCharType="begin"/>
        </w:r>
        <w:r w:rsidR="00DC6A2D">
          <w:rPr>
            <w:noProof/>
            <w:webHidden/>
          </w:rPr>
          <w:instrText xml:space="preserve"> PAGEREF _Toc127809130 \h </w:instrText>
        </w:r>
        <w:r w:rsidR="00DC6A2D">
          <w:rPr>
            <w:noProof/>
            <w:webHidden/>
          </w:rPr>
        </w:r>
        <w:r w:rsidR="00DC6A2D">
          <w:rPr>
            <w:noProof/>
            <w:webHidden/>
          </w:rPr>
          <w:fldChar w:fldCharType="separate"/>
        </w:r>
        <w:r w:rsidR="00DC6A2D">
          <w:rPr>
            <w:noProof/>
            <w:webHidden/>
          </w:rPr>
          <w:t>33</w:t>
        </w:r>
        <w:r w:rsidR="00DC6A2D">
          <w:rPr>
            <w:noProof/>
            <w:webHidden/>
          </w:rPr>
          <w:fldChar w:fldCharType="end"/>
        </w:r>
      </w:hyperlink>
    </w:p>
    <w:p w14:paraId="7381723C" w14:textId="3E505954" w:rsidR="00DC6A2D" w:rsidRDefault="00A241A3">
      <w:pPr>
        <w:pStyle w:val="TOC3"/>
        <w:tabs>
          <w:tab w:val="right" w:leader="dot" w:pos="9350"/>
        </w:tabs>
        <w:rPr>
          <w:rFonts w:eastAsiaTheme="minorEastAsia"/>
          <w:noProof/>
          <w:sz w:val="22"/>
          <w:lang w:val="en-AU" w:eastAsia="en-AU"/>
        </w:rPr>
      </w:pPr>
      <w:hyperlink w:anchor="_Toc127809131" w:history="1">
        <w:r w:rsidR="00DC6A2D" w:rsidRPr="00251E6E">
          <w:rPr>
            <w:rStyle w:val="Hyperlink"/>
            <w:i/>
            <w:noProof/>
          </w:rPr>
          <w:t>Public Interest Disclosure Act 2013</w:t>
        </w:r>
        <w:r w:rsidR="00DC6A2D" w:rsidRPr="00251E6E">
          <w:rPr>
            <w:rStyle w:val="Hyperlink"/>
            <w:noProof/>
          </w:rPr>
          <w:t xml:space="preserve"> (Cth)</w:t>
        </w:r>
        <w:r w:rsidR="00DC6A2D">
          <w:rPr>
            <w:noProof/>
            <w:webHidden/>
          </w:rPr>
          <w:tab/>
        </w:r>
        <w:r w:rsidR="00DC6A2D">
          <w:rPr>
            <w:noProof/>
            <w:webHidden/>
          </w:rPr>
          <w:fldChar w:fldCharType="begin"/>
        </w:r>
        <w:r w:rsidR="00DC6A2D">
          <w:rPr>
            <w:noProof/>
            <w:webHidden/>
          </w:rPr>
          <w:instrText xml:space="preserve"> PAGEREF _Toc127809131 \h </w:instrText>
        </w:r>
        <w:r w:rsidR="00DC6A2D">
          <w:rPr>
            <w:noProof/>
            <w:webHidden/>
          </w:rPr>
        </w:r>
        <w:r w:rsidR="00DC6A2D">
          <w:rPr>
            <w:noProof/>
            <w:webHidden/>
          </w:rPr>
          <w:fldChar w:fldCharType="separate"/>
        </w:r>
        <w:r w:rsidR="00DC6A2D">
          <w:rPr>
            <w:noProof/>
            <w:webHidden/>
          </w:rPr>
          <w:t>33</w:t>
        </w:r>
        <w:r w:rsidR="00DC6A2D">
          <w:rPr>
            <w:noProof/>
            <w:webHidden/>
          </w:rPr>
          <w:fldChar w:fldCharType="end"/>
        </w:r>
      </w:hyperlink>
    </w:p>
    <w:p w14:paraId="48084F6C" w14:textId="746E7929" w:rsidR="00DC6A2D" w:rsidRDefault="00A241A3">
      <w:pPr>
        <w:pStyle w:val="TOC3"/>
        <w:tabs>
          <w:tab w:val="right" w:leader="dot" w:pos="9350"/>
        </w:tabs>
        <w:rPr>
          <w:rFonts w:eastAsiaTheme="minorEastAsia"/>
          <w:noProof/>
          <w:sz w:val="22"/>
          <w:lang w:val="en-AU" w:eastAsia="en-AU"/>
        </w:rPr>
      </w:pPr>
      <w:hyperlink w:anchor="_Toc127809132" w:history="1">
        <w:r w:rsidR="00DC6A2D" w:rsidRPr="00251E6E">
          <w:rPr>
            <w:rStyle w:val="Hyperlink"/>
            <w:i/>
            <w:noProof/>
          </w:rPr>
          <w:t>Corporations Act 2001</w:t>
        </w:r>
        <w:r w:rsidR="00DC6A2D" w:rsidRPr="00251E6E">
          <w:rPr>
            <w:rStyle w:val="Hyperlink"/>
            <w:noProof/>
          </w:rPr>
          <w:t xml:space="preserve"> (Cth)</w:t>
        </w:r>
        <w:r w:rsidR="00DC6A2D">
          <w:rPr>
            <w:noProof/>
            <w:webHidden/>
          </w:rPr>
          <w:tab/>
        </w:r>
        <w:r w:rsidR="00DC6A2D">
          <w:rPr>
            <w:noProof/>
            <w:webHidden/>
          </w:rPr>
          <w:fldChar w:fldCharType="begin"/>
        </w:r>
        <w:r w:rsidR="00DC6A2D">
          <w:rPr>
            <w:noProof/>
            <w:webHidden/>
          </w:rPr>
          <w:instrText xml:space="preserve"> PAGEREF _Toc127809132 \h </w:instrText>
        </w:r>
        <w:r w:rsidR="00DC6A2D">
          <w:rPr>
            <w:noProof/>
            <w:webHidden/>
          </w:rPr>
        </w:r>
        <w:r w:rsidR="00DC6A2D">
          <w:rPr>
            <w:noProof/>
            <w:webHidden/>
          </w:rPr>
          <w:fldChar w:fldCharType="separate"/>
        </w:r>
        <w:r w:rsidR="00DC6A2D">
          <w:rPr>
            <w:noProof/>
            <w:webHidden/>
          </w:rPr>
          <w:t>33</w:t>
        </w:r>
        <w:r w:rsidR="00DC6A2D">
          <w:rPr>
            <w:noProof/>
            <w:webHidden/>
          </w:rPr>
          <w:fldChar w:fldCharType="end"/>
        </w:r>
      </w:hyperlink>
    </w:p>
    <w:p w14:paraId="01DBC42B" w14:textId="71997DEF" w:rsidR="00DC6A2D" w:rsidRDefault="00A241A3">
      <w:pPr>
        <w:pStyle w:val="TOC3"/>
        <w:tabs>
          <w:tab w:val="right" w:leader="dot" w:pos="9350"/>
        </w:tabs>
        <w:rPr>
          <w:rFonts w:eastAsiaTheme="minorEastAsia"/>
          <w:noProof/>
          <w:sz w:val="22"/>
          <w:lang w:val="en-AU" w:eastAsia="en-AU"/>
        </w:rPr>
      </w:pPr>
      <w:hyperlink w:anchor="_Toc127809133" w:history="1">
        <w:r w:rsidR="00DC6A2D" w:rsidRPr="00251E6E">
          <w:rPr>
            <w:rStyle w:val="Hyperlink"/>
            <w:noProof/>
          </w:rPr>
          <w:t>Anti-Discrimination and Human Rights Legislation Amendment (Respect at Work) Bill 2022 (Cth)</w:t>
        </w:r>
        <w:r w:rsidR="00DC6A2D">
          <w:rPr>
            <w:noProof/>
            <w:webHidden/>
          </w:rPr>
          <w:tab/>
        </w:r>
        <w:r w:rsidR="00DC6A2D">
          <w:rPr>
            <w:noProof/>
            <w:webHidden/>
          </w:rPr>
          <w:fldChar w:fldCharType="begin"/>
        </w:r>
        <w:r w:rsidR="00DC6A2D">
          <w:rPr>
            <w:noProof/>
            <w:webHidden/>
          </w:rPr>
          <w:instrText xml:space="preserve"> PAGEREF _Toc127809133 \h </w:instrText>
        </w:r>
        <w:r w:rsidR="00DC6A2D">
          <w:rPr>
            <w:noProof/>
            <w:webHidden/>
          </w:rPr>
        </w:r>
        <w:r w:rsidR="00DC6A2D">
          <w:rPr>
            <w:noProof/>
            <w:webHidden/>
          </w:rPr>
          <w:fldChar w:fldCharType="separate"/>
        </w:r>
        <w:r w:rsidR="00DC6A2D">
          <w:rPr>
            <w:noProof/>
            <w:webHidden/>
          </w:rPr>
          <w:t>34</w:t>
        </w:r>
        <w:r w:rsidR="00DC6A2D">
          <w:rPr>
            <w:noProof/>
            <w:webHidden/>
          </w:rPr>
          <w:fldChar w:fldCharType="end"/>
        </w:r>
      </w:hyperlink>
    </w:p>
    <w:p w14:paraId="6701689B" w14:textId="40DFCF2F" w:rsidR="00DC6A2D" w:rsidRDefault="00A241A3">
      <w:pPr>
        <w:pStyle w:val="TOC3"/>
        <w:tabs>
          <w:tab w:val="right" w:leader="dot" w:pos="9350"/>
        </w:tabs>
        <w:rPr>
          <w:rFonts w:eastAsiaTheme="minorEastAsia"/>
          <w:noProof/>
          <w:sz w:val="22"/>
          <w:lang w:val="en-AU" w:eastAsia="en-AU"/>
        </w:rPr>
      </w:pPr>
      <w:hyperlink w:anchor="_Toc127809134" w:history="1">
        <w:r w:rsidR="00DC6A2D" w:rsidRPr="00251E6E">
          <w:rPr>
            <w:rStyle w:val="Hyperlink"/>
            <w:i/>
            <w:noProof/>
          </w:rPr>
          <w:t>Civil and Administrative Tribunal Act 2013 (No 2)</w:t>
        </w:r>
        <w:r w:rsidR="00DC6A2D" w:rsidRPr="00251E6E">
          <w:rPr>
            <w:rStyle w:val="Hyperlink"/>
            <w:noProof/>
          </w:rPr>
          <w:t xml:space="preserve"> (NSW)</w:t>
        </w:r>
        <w:r w:rsidR="00DC6A2D">
          <w:rPr>
            <w:noProof/>
            <w:webHidden/>
          </w:rPr>
          <w:tab/>
        </w:r>
        <w:r w:rsidR="00DC6A2D">
          <w:rPr>
            <w:noProof/>
            <w:webHidden/>
          </w:rPr>
          <w:fldChar w:fldCharType="begin"/>
        </w:r>
        <w:r w:rsidR="00DC6A2D">
          <w:rPr>
            <w:noProof/>
            <w:webHidden/>
          </w:rPr>
          <w:instrText xml:space="preserve"> PAGEREF _Toc127809134 \h </w:instrText>
        </w:r>
        <w:r w:rsidR="00DC6A2D">
          <w:rPr>
            <w:noProof/>
            <w:webHidden/>
          </w:rPr>
        </w:r>
        <w:r w:rsidR="00DC6A2D">
          <w:rPr>
            <w:noProof/>
            <w:webHidden/>
          </w:rPr>
          <w:fldChar w:fldCharType="separate"/>
        </w:r>
        <w:r w:rsidR="00DC6A2D">
          <w:rPr>
            <w:noProof/>
            <w:webHidden/>
          </w:rPr>
          <w:t>35</w:t>
        </w:r>
        <w:r w:rsidR="00DC6A2D">
          <w:rPr>
            <w:noProof/>
            <w:webHidden/>
          </w:rPr>
          <w:fldChar w:fldCharType="end"/>
        </w:r>
      </w:hyperlink>
    </w:p>
    <w:p w14:paraId="3C16EAFC" w14:textId="3BBF478C" w:rsidR="00DC6A2D" w:rsidRDefault="00A241A3">
      <w:pPr>
        <w:pStyle w:val="TOC1"/>
        <w:tabs>
          <w:tab w:val="right" w:leader="dot" w:pos="9350"/>
        </w:tabs>
        <w:rPr>
          <w:rFonts w:eastAsiaTheme="minorEastAsia"/>
          <w:noProof/>
          <w:lang w:val="en-AU" w:eastAsia="en-AU"/>
        </w:rPr>
      </w:pPr>
      <w:hyperlink w:anchor="_Toc127809135" w:history="1">
        <w:r w:rsidR="00DC6A2D" w:rsidRPr="00251E6E">
          <w:rPr>
            <w:rStyle w:val="Hyperlink"/>
            <w:noProof/>
          </w:rPr>
          <w:t>Bibliography</w:t>
        </w:r>
        <w:r w:rsidR="00DC6A2D">
          <w:rPr>
            <w:noProof/>
            <w:webHidden/>
          </w:rPr>
          <w:tab/>
        </w:r>
        <w:r w:rsidR="00DC6A2D">
          <w:rPr>
            <w:noProof/>
            <w:webHidden/>
          </w:rPr>
          <w:fldChar w:fldCharType="begin"/>
        </w:r>
        <w:r w:rsidR="00DC6A2D">
          <w:rPr>
            <w:noProof/>
            <w:webHidden/>
          </w:rPr>
          <w:instrText xml:space="preserve"> PAGEREF _Toc127809135 \h </w:instrText>
        </w:r>
        <w:r w:rsidR="00DC6A2D">
          <w:rPr>
            <w:noProof/>
            <w:webHidden/>
          </w:rPr>
        </w:r>
        <w:r w:rsidR="00DC6A2D">
          <w:rPr>
            <w:noProof/>
            <w:webHidden/>
          </w:rPr>
          <w:fldChar w:fldCharType="separate"/>
        </w:r>
        <w:r w:rsidR="00DC6A2D">
          <w:rPr>
            <w:noProof/>
            <w:webHidden/>
          </w:rPr>
          <w:t>36</w:t>
        </w:r>
        <w:r w:rsidR="00DC6A2D">
          <w:rPr>
            <w:noProof/>
            <w:webHidden/>
          </w:rPr>
          <w:fldChar w:fldCharType="end"/>
        </w:r>
      </w:hyperlink>
    </w:p>
    <w:p w14:paraId="5641ACDF" w14:textId="0AAB8BF6" w:rsidR="00DC6A2D" w:rsidRDefault="00A241A3">
      <w:pPr>
        <w:pStyle w:val="TOC2"/>
        <w:rPr>
          <w:rFonts w:eastAsiaTheme="minorEastAsia"/>
          <w:noProof/>
          <w:sz w:val="22"/>
          <w:lang w:val="en-AU" w:eastAsia="en-AU"/>
        </w:rPr>
      </w:pPr>
      <w:hyperlink w:anchor="_Toc127809136" w:history="1">
        <w:r w:rsidR="00DC6A2D" w:rsidRPr="00251E6E">
          <w:rPr>
            <w:rStyle w:val="Hyperlink"/>
            <w:noProof/>
          </w:rPr>
          <w:t>Articles/Books/Reports</w:t>
        </w:r>
        <w:r w:rsidR="00DC6A2D">
          <w:rPr>
            <w:noProof/>
            <w:webHidden/>
          </w:rPr>
          <w:tab/>
        </w:r>
        <w:r w:rsidR="00DC6A2D">
          <w:rPr>
            <w:noProof/>
            <w:webHidden/>
          </w:rPr>
          <w:fldChar w:fldCharType="begin"/>
        </w:r>
        <w:r w:rsidR="00DC6A2D">
          <w:rPr>
            <w:noProof/>
            <w:webHidden/>
          </w:rPr>
          <w:instrText xml:space="preserve"> PAGEREF _Toc127809136 \h </w:instrText>
        </w:r>
        <w:r w:rsidR="00DC6A2D">
          <w:rPr>
            <w:noProof/>
            <w:webHidden/>
          </w:rPr>
        </w:r>
        <w:r w:rsidR="00DC6A2D">
          <w:rPr>
            <w:noProof/>
            <w:webHidden/>
          </w:rPr>
          <w:fldChar w:fldCharType="separate"/>
        </w:r>
        <w:r w:rsidR="00DC6A2D">
          <w:rPr>
            <w:noProof/>
            <w:webHidden/>
          </w:rPr>
          <w:t>36</w:t>
        </w:r>
        <w:r w:rsidR="00DC6A2D">
          <w:rPr>
            <w:noProof/>
            <w:webHidden/>
          </w:rPr>
          <w:fldChar w:fldCharType="end"/>
        </w:r>
      </w:hyperlink>
    </w:p>
    <w:p w14:paraId="3091D35C" w14:textId="01C27B80" w:rsidR="00DC6A2D" w:rsidRDefault="00A241A3">
      <w:pPr>
        <w:pStyle w:val="TOC2"/>
        <w:rPr>
          <w:rFonts w:eastAsiaTheme="minorEastAsia"/>
          <w:noProof/>
          <w:sz w:val="22"/>
          <w:lang w:val="en-AU" w:eastAsia="en-AU"/>
        </w:rPr>
      </w:pPr>
      <w:hyperlink w:anchor="_Toc127809137" w:history="1">
        <w:r w:rsidR="00DC6A2D" w:rsidRPr="00251E6E">
          <w:rPr>
            <w:rStyle w:val="Hyperlink"/>
            <w:noProof/>
          </w:rPr>
          <w:t>Cases</w:t>
        </w:r>
        <w:r w:rsidR="00DC6A2D">
          <w:rPr>
            <w:noProof/>
            <w:webHidden/>
          </w:rPr>
          <w:tab/>
        </w:r>
        <w:r w:rsidR="00DC6A2D">
          <w:rPr>
            <w:noProof/>
            <w:webHidden/>
          </w:rPr>
          <w:fldChar w:fldCharType="begin"/>
        </w:r>
        <w:r w:rsidR="00DC6A2D">
          <w:rPr>
            <w:noProof/>
            <w:webHidden/>
          </w:rPr>
          <w:instrText xml:space="preserve"> PAGEREF _Toc127809137 \h </w:instrText>
        </w:r>
        <w:r w:rsidR="00DC6A2D">
          <w:rPr>
            <w:noProof/>
            <w:webHidden/>
          </w:rPr>
        </w:r>
        <w:r w:rsidR="00DC6A2D">
          <w:rPr>
            <w:noProof/>
            <w:webHidden/>
          </w:rPr>
          <w:fldChar w:fldCharType="separate"/>
        </w:r>
        <w:r w:rsidR="00DC6A2D">
          <w:rPr>
            <w:noProof/>
            <w:webHidden/>
          </w:rPr>
          <w:t>37</w:t>
        </w:r>
        <w:r w:rsidR="00DC6A2D">
          <w:rPr>
            <w:noProof/>
            <w:webHidden/>
          </w:rPr>
          <w:fldChar w:fldCharType="end"/>
        </w:r>
      </w:hyperlink>
    </w:p>
    <w:p w14:paraId="65663CEC" w14:textId="3BEAEF38" w:rsidR="00DC6A2D" w:rsidRDefault="00A241A3">
      <w:pPr>
        <w:pStyle w:val="TOC2"/>
        <w:rPr>
          <w:rFonts w:eastAsiaTheme="minorEastAsia"/>
          <w:noProof/>
          <w:sz w:val="22"/>
          <w:lang w:val="en-AU" w:eastAsia="en-AU"/>
        </w:rPr>
      </w:pPr>
      <w:hyperlink w:anchor="_Toc127809138" w:history="1">
        <w:r w:rsidR="00DC6A2D" w:rsidRPr="00251E6E">
          <w:rPr>
            <w:rStyle w:val="Hyperlink"/>
            <w:noProof/>
          </w:rPr>
          <w:t>Legislation</w:t>
        </w:r>
        <w:r w:rsidR="00DC6A2D">
          <w:rPr>
            <w:noProof/>
            <w:webHidden/>
          </w:rPr>
          <w:tab/>
        </w:r>
        <w:r w:rsidR="00DC6A2D">
          <w:rPr>
            <w:noProof/>
            <w:webHidden/>
          </w:rPr>
          <w:fldChar w:fldCharType="begin"/>
        </w:r>
        <w:r w:rsidR="00DC6A2D">
          <w:rPr>
            <w:noProof/>
            <w:webHidden/>
          </w:rPr>
          <w:instrText xml:space="preserve"> PAGEREF _Toc127809138 \h </w:instrText>
        </w:r>
        <w:r w:rsidR="00DC6A2D">
          <w:rPr>
            <w:noProof/>
            <w:webHidden/>
          </w:rPr>
        </w:r>
        <w:r w:rsidR="00DC6A2D">
          <w:rPr>
            <w:noProof/>
            <w:webHidden/>
          </w:rPr>
          <w:fldChar w:fldCharType="separate"/>
        </w:r>
        <w:r w:rsidR="00DC6A2D">
          <w:rPr>
            <w:noProof/>
            <w:webHidden/>
          </w:rPr>
          <w:t>37</w:t>
        </w:r>
        <w:r w:rsidR="00DC6A2D">
          <w:rPr>
            <w:noProof/>
            <w:webHidden/>
          </w:rPr>
          <w:fldChar w:fldCharType="end"/>
        </w:r>
      </w:hyperlink>
    </w:p>
    <w:p w14:paraId="1E3C1509" w14:textId="3A8D6434" w:rsidR="00DC6A2D" w:rsidRDefault="00A241A3">
      <w:pPr>
        <w:pStyle w:val="TOC2"/>
        <w:rPr>
          <w:rFonts w:eastAsiaTheme="minorEastAsia"/>
          <w:noProof/>
          <w:sz w:val="22"/>
          <w:lang w:val="en-AU" w:eastAsia="en-AU"/>
        </w:rPr>
      </w:pPr>
      <w:hyperlink w:anchor="_Toc127809139" w:history="1">
        <w:r w:rsidR="00DC6A2D" w:rsidRPr="00251E6E">
          <w:rPr>
            <w:rStyle w:val="Hyperlink"/>
            <w:noProof/>
          </w:rPr>
          <w:t>Other</w:t>
        </w:r>
        <w:r w:rsidR="00DC6A2D">
          <w:rPr>
            <w:noProof/>
            <w:webHidden/>
          </w:rPr>
          <w:tab/>
        </w:r>
        <w:r w:rsidR="00DC6A2D">
          <w:rPr>
            <w:noProof/>
            <w:webHidden/>
          </w:rPr>
          <w:fldChar w:fldCharType="begin"/>
        </w:r>
        <w:r w:rsidR="00DC6A2D">
          <w:rPr>
            <w:noProof/>
            <w:webHidden/>
          </w:rPr>
          <w:instrText xml:space="preserve"> PAGEREF _Toc127809139 \h </w:instrText>
        </w:r>
        <w:r w:rsidR="00DC6A2D">
          <w:rPr>
            <w:noProof/>
            <w:webHidden/>
          </w:rPr>
        </w:r>
        <w:r w:rsidR="00DC6A2D">
          <w:rPr>
            <w:noProof/>
            <w:webHidden/>
          </w:rPr>
          <w:fldChar w:fldCharType="separate"/>
        </w:r>
        <w:r w:rsidR="00DC6A2D">
          <w:rPr>
            <w:noProof/>
            <w:webHidden/>
          </w:rPr>
          <w:t>37</w:t>
        </w:r>
        <w:r w:rsidR="00DC6A2D">
          <w:rPr>
            <w:noProof/>
            <w:webHidden/>
          </w:rPr>
          <w:fldChar w:fldCharType="end"/>
        </w:r>
      </w:hyperlink>
    </w:p>
    <w:p w14:paraId="6278325D" w14:textId="3800D482" w:rsidR="00DB3722" w:rsidRDefault="00DB3722" w:rsidP="00DB3722">
      <w:pPr>
        <w:rPr>
          <w:rFonts w:cstheme="minorHAnsi"/>
        </w:rPr>
      </w:pPr>
      <w:r w:rsidRPr="00205264">
        <w:rPr>
          <w:rFonts w:cstheme="minorHAnsi"/>
        </w:rPr>
        <w:fldChar w:fldCharType="end"/>
      </w:r>
    </w:p>
    <w:p w14:paraId="36CE23D6" w14:textId="1D418F2D" w:rsidR="00DB3722" w:rsidRDefault="00DB3722" w:rsidP="00DB3722"/>
    <w:p w14:paraId="45008E36" w14:textId="77777777" w:rsidR="00AC2B3C" w:rsidRDefault="00AC2B3C">
      <w:pPr>
        <w:rPr>
          <w:rFonts w:ascii="Calibri" w:eastAsia="SimSun" w:hAnsi="Calibri" w:cs="Calibri"/>
          <w:b/>
          <w:iCs/>
          <w:color w:val="4D738A"/>
          <w:w w:val="105"/>
          <w:kern w:val="40"/>
          <w:sz w:val="40"/>
          <w:szCs w:val="48"/>
          <w:lang w:val="en-AU"/>
        </w:rPr>
      </w:pPr>
      <w:bookmarkStart w:id="9" w:name="_Toc88142372"/>
      <w:bookmarkStart w:id="10" w:name="_Toc88131496"/>
      <w:bookmarkStart w:id="11" w:name="_Toc88148516"/>
      <w:bookmarkStart w:id="12" w:name="_Toc88142001"/>
      <w:bookmarkStart w:id="13" w:name="_Toc89173090"/>
      <w:bookmarkStart w:id="14" w:name="_Toc89185310"/>
      <w:bookmarkStart w:id="15" w:name="_Toc89355376"/>
      <w:bookmarkStart w:id="16" w:name="_Toc89954809"/>
      <w:bookmarkStart w:id="17" w:name="_Toc95473399"/>
      <w:r>
        <w:br w:type="page"/>
      </w:r>
    </w:p>
    <w:p w14:paraId="4B1B84E7" w14:textId="77777777" w:rsidR="00C967AA" w:rsidRDefault="00C967AA" w:rsidP="00C967AA">
      <w:pPr>
        <w:pStyle w:val="Heading1"/>
      </w:pPr>
      <w:bookmarkStart w:id="18" w:name="_Toc127809097"/>
      <w:r>
        <w:lastRenderedPageBreak/>
        <w:t>Glossary</w:t>
      </w:r>
      <w:bookmarkEnd w:id="18"/>
    </w:p>
    <w:p w14:paraId="79C67C63" w14:textId="77777777" w:rsidR="00C967AA" w:rsidRPr="0071451E" w:rsidRDefault="00C967AA" w:rsidP="00C967AA">
      <w:pPr>
        <w:rPr>
          <w:lang w:val="en-AU"/>
        </w:rPr>
      </w:pPr>
      <w:r w:rsidRPr="0071451E">
        <w:rPr>
          <w:lang w:val="en-AU"/>
        </w:rPr>
        <w:t>The language used in this paper is set out below</w:t>
      </w:r>
      <w:r>
        <w:rPr>
          <w:lang w:val="en-AU"/>
        </w:rPr>
        <w:t>.</w:t>
      </w:r>
    </w:p>
    <w:tbl>
      <w:tblPr>
        <w:tblStyle w:val="TableGrid"/>
        <w:tblW w:w="0" w:type="auto"/>
        <w:tblLook w:val="04A0" w:firstRow="1" w:lastRow="0" w:firstColumn="1" w:lastColumn="0" w:noHBand="0" w:noVBand="1"/>
      </w:tblPr>
      <w:tblGrid>
        <w:gridCol w:w="2626"/>
        <w:gridCol w:w="6390"/>
      </w:tblGrid>
      <w:tr w:rsidR="00AC49A3" w14:paraId="3A34B8F1" w14:textId="77777777" w:rsidTr="005F2B9E">
        <w:tc>
          <w:tcPr>
            <w:tcW w:w="2626" w:type="dxa"/>
          </w:tcPr>
          <w:p w14:paraId="3F073C0D" w14:textId="77777777" w:rsidR="00AC49A3" w:rsidRPr="0071451E" w:rsidRDefault="00AC49A3" w:rsidP="005F2B9E">
            <w:pPr>
              <w:spacing w:before="120" w:after="120"/>
              <w:rPr>
                <w:b/>
              </w:rPr>
            </w:pPr>
            <w:r>
              <w:rPr>
                <w:b/>
              </w:rPr>
              <w:t xml:space="preserve">Adverse cost order </w:t>
            </w:r>
          </w:p>
        </w:tc>
        <w:tc>
          <w:tcPr>
            <w:tcW w:w="6390" w:type="dxa"/>
          </w:tcPr>
          <w:p w14:paraId="13979B7D" w14:textId="77777777" w:rsidR="00AC49A3" w:rsidRPr="00345988" w:rsidRDefault="00AC49A3" w:rsidP="005F2B9E">
            <w:pPr>
              <w:spacing w:before="120" w:after="120"/>
              <w:rPr>
                <w:rFonts w:ascii="Calibri" w:hAnsi="Calibri" w:cs="Calibri"/>
                <w:color w:val="000000"/>
                <w:lang w:val="en-AU"/>
              </w:rPr>
            </w:pPr>
            <w:r w:rsidRPr="00B15848">
              <w:rPr>
                <w:rFonts w:ascii="Calibri" w:hAnsi="Calibri" w:cs="Calibri"/>
                <w:color w:val="000000"/>
                <w:lang w:val="en-AU"/>
              </w:rPr>
              <w:t>A court order requiring a party to court proceedings to pay the other party’s costs in relation to court proceedings.</w:t>
            </w:r>
          </w:p>
        </w:tc>
      </w:tr>
      <w:tr w:rsidR="00C967AA" w14:paraId="00507368" w14:textId="77777777" w:rsidTr="00376F38">
        <w:tc>
          <w:tcPr>
            <w:tcW w:w="2626" w:type="dxa"/>
          </w:tcPr>
          <w:p w14:paraId="4E9EE670" w14:textId="77777777" w:rsidR="00C967AA" w:rsidRPr="0071451E" w:rsidRDefault="00C967AA" w:rsidP="00376F38">
            <w:pPr>
              <w:spacing w:before="120" w:after="120"/>
              <w:rPr>
                <w:b/>
              </w:rPr>
            </w:pPr>
            <w:r w:rsidRPr="0071451E">
              <w:rPr>
                <w:b/>
              </w:rPr>
              <w:t>Applicant</w:t>
            </w:r>
          </w:p>
        </w:tc>
        <w:tc>
          <w:tcPr>
            <w:tcW w:w="6390" w:type="dxa"/>
          </w:tcPr>
          <w:p w14:paraId="40FB35EC" w14:textId="489A2B68" w:rsidR="00C967AA" w:rsidRPr="00345988" w:rsidRDefault="00F77F5E" w:rsidP="00376F38">
            <w:pPr>
              <w:spacing w:before="120" w:after="120"/>
            </w:pPr>
            <w:r>
              <w:rPr>
                <w:rFonts w:ascii="Calibri" w:hAnsi="Calibri" w:cs="Calibri"/>
                <w:color w:val="000000"/>
                <w:lang w:val="en-AU"/>
              </w:rPr>
              <w:t>A</w:t>
            </w:r>
            <w:r w:rsidR="00146C9E">
              <w:rPr>
                <w:rFonts w:ascii="Calibri" w:hAnsi="Calibri" w:cs="Calibri"/>
                <w:color w:val="000000"/>
                <w:lang w:val="en-AU"/>
              </w:rPr>
              <w:t xml:space="preserve"> person </w:t>
            </w:r>
            <w:r w:rsidR="00FF6561">
              <w:rPr>
                <w:rFonts w:ascii="Calibri" w:hAnsi="Calibri" w:cs="Calibri"/>
                <w:color w:val="000000"/>
                <w:lang w:val="en-AU"/>
              </w:rPr>
              <w:t xml:space="preserve">(or representative of a person, for example where a representative organisation makes a complaint on behalf of a person or several persons) </w:t>
            </w:r>
            <w:r w:rsidR="00146C9E">
              <w:rPr>
                <w:rFonts w:ascii="Calibri" w:hAnsi="Calibri" w:cs="Calibri"/>
                <w:color w:val="000000"/>
                <w:lang w:val="en-AU"/>
              </w:rPr>
              <w:t xml:space="preserve">who has </w:t>
            </w:r>
            <w:r>
              <w:rPr>
                <w:rFonts w:ascii="Calibri" w:hAnsi="Calibri" w:cs="Calibri"/>
                <w:color w:val="000000"/>
                <w:lang w:val="en-AU"/>
              </w:rPr>
              <w:t xml:space="preserve">allegedly </w:t>
            </w:r>
            <w:r w:rsidR="00146C9E">
              <w:rPr>
                <w:rFonts w:ascii="Calibri" w:hAnsi="Calibri" w:cs="Calibri"/>
                <w:color w:val="000000"/>
                <w:lang w:val="en-AU"/>
              </w:rPr>
              <w:t xml:space="preserve">been discriminated against and is making a complaint to the </w:t>
            </w:r>
            <w:r w:rsidR="00A323FD">
              <w:rPr>
                <w:rFonts w:ascii="Calibri" w:hAnsi="Calibri" w:cs="Calibri"/>
                <w:color w:val="000000"/>
                <w:lang w:val="en-AU"/>
              </w:rPr>
              <w:t xml:space="preserve">Australian Human Rights </w:t>
            </w:r>
            <w:r w:rsidR="00146C9E">
              <w:rPr>
                <w:rFonts w:ascii="Calibri" w:hAnsi="Calibri" w:cs="Calibri"/>
                <w:color w:val="000000"/>
                <w:lang w:val="en-AU"/>
              </w:rPr>
              <w:t>Commission</w:t>
            </w:r>
            <w:r>
              <w:rPr>
                <w:rFonts w:ascii="Calibri" w:hAnsi="Calibri" w:cs="Calibri"/>
                <w:color w:val="000000"/>
                <w:lang w:val="en-AU"/>
              </w:rPr>
              <w:t xml:space="preserve">, </w:t>
            </w:r>
            <w:r w:rsidR="00146C9E">
              <w:rPr>
                <w:rFonts w:ascii="Calibri" w:hAnsi="Calibri" w:cs="Calibri"/>
                <w:color w:val="000000"/>
                <w:lang w:val="en-AU"/>
              </w:rPr>
              <w:t>tribunal</w:t>
            </w:r>
            <w:r>
              <w:rPr>
                <w:rFonts w:ascii="Calibri" w:hAnsi="Calibri" w:cs="Calibri"/>
                <w:color w:val="000000"/>
                <w:lang w:val="en-AU"/>
              </w:rPr>
              <w:t xml:space="preserve"> or court</w:t>
            </w:r>
            <w:r w:rsidR="00C967AA" w:rsidRPr="00345988">
              <w:rPr>
                <w:rFonts w:ascii="Calibri" w:hAnsi="Calibri" w:cs="Calibri"/>
                <w:color w:val="000000"/>
                <w:lang w:val="en-AU"/>
              </w:rPr>
              <w:t xml:space="preserve">. </w:t>
            </w:r>
          </w:p>
        </w:tc>
      </w:tr>
      <w:tr w:rsidR="00AC49A3" w14:paraId="34034C0C" w14:textId="77777777" w:rsidTr="00376F38">
        <w:tc>
          <w:tcPr>
            <w:tcW w:w="2626" w:type="dxa"/>
          </w:tcPr>
          <w:p w14:paraId="11E8B342" w14:textId="611132C1" w:rsidR="00AC49A3" w:rsidRPr="0071451E" w:rsidRDefault="00AC49A3" w:rsidP="00376F38">
            <w:pPr>
              <w:spacing w:before="120" w:after="120"/>
              <w:rPr>
                <w:b/>
              </w:rPr>
            </w:pPr>
            <w:r>
              <w:rPr>
                <w:b/>
              </w:rPr>
              <w:t>‘Applicant choice’ cost model</w:t>
            </w:r>
          </w:p>
        </w:tc>
        <w:tc>
          <w:tcPr>
            <w:tcW w:w="6390" w:type="dxa"/>
          </w:tcPr>
          <w:p w14:paraId="273193E4" w14:textId="598CC3AB" w:rsidR="00AC49A3" w:rsidRDefault="0044478A" w:rsidP="00376F38">
            <w:pPr>
              <w:spacing w:before="120" w:after="120"/>
              <w:rPr>
                <w:rFonts w:ascii="Calibri" w:hAnsi="Calibri" w:cs="Calibri"/>
                <w:color w:val="000000"/>
                <w:lang w:val="en-AU"/>
              </w:rPr>
            </w:pPr>
            <w:r>
              <w:rPr>
                <w:lang w:val="en-AU"/>
              </w:rPr>
              <w:t>Under t</w:t>
            </w:r>
            <w:r w:rsidR="00AC49A3">
              <w:rPr>
                <w:lang w:val="en-AU"/>
              </w:rPr>
              <w:t>his model</w:t>
            </w:r>
            <w:r>
              <w:rPr>
                <w:lang w:val="en-AU"/>
              </w:rPr>
              <w:t>,</w:t>
            </w:r>
            <w:r w:rsidR="00AC49A3">
              <w:rPr>
                <w:lang w:val="en-AU"/>
              </w:rPr>
              <w:t xml:space="preserve"> at the outset of court proceedings </w:t>
            </w:r>
            <w:r>
              <w:rPr>
                <w:lang w:val="en-AU"/>
              </w:rPr>
              <w:t xml:space="preserve">an applicant would be able </w:t>
            </w:r>
            <w:r w:rsidR="00AC49A3">
              <w:rPr>
                <w:lang w:val="en-AU"/>
              </w:rPr>
              <w:t>to elect one of two options as to how costs are resolved. The</w:t>
            </w:r>
            <w:r>
              <w:rPr>
                <w:lang w:val="en-AU"/>
              </w:rPr>
              <w:t>y</w:t>
            </w:r>
            <w:r w:rsidR="00AC49A3">
              <w:rPr>
                <w:lang w:val="en-AU"/>
              </w:rPr>
              <w:t xml:space="preserve"> could choose either a ‘costs follow the event’ model (whereby the unsuccessful party has costs awarded against them) or a </w:t>
            </w:r>
            <w:r w:rsidR="00F56950">
              <w:rPr>
                <w:lang w:val="en-AU"/>
              </w:rPr>
              <w:t>‘</w:t>
            </w:r>
            <w:r w:rsidR="00AC49A3">
              <w:rPr>
                <w:lang w:val="en-AU"/>
              </w:rPr>
              <w:t>hard cost neutrality</w:t>
            </w:r>
            <w:r w:rsidR="00F56950">
              <w:rPr>
                <w:lang w:val="en-AU"/>
              </w:rPr>
              <w:t>’</w:t>
            </w:r>
            <w:r w:rsidR="00AC49A3">
              <w:rPr>
                <w:lang w:val="en-AU"/>
              </w:rPr>
              <w:t xml:space="preserve"> model (whereby each party bears their own costs, unless a party acts unreasonably or vexatiously)</w:t>
            </w:r>
            <w:r>
              <w:rPr>
                <w:lang w:val="en-AU"/>
              </w:rPr>
              <w:t xml:space="preserve">. </w:t>
            </w:r>
          </w:p>
        </w:tc>
      </w:tr>
      <w:tr w:rsidR="00D719ED" w14:paraId="2767A391" w14:textId="77777777" w:rsidTr="00376F38">
        <w:tc>
          <w:tcPr>
            <w:tcW w:w="2626" w:type="dxa"/>
          </w:tcPr>
          <w:p w14:paraId="02B35D98" w14:textId="3C917136" w:rsidR="00D719ED" w:rsidRDefault="00D719ED" w:rsidP="00376F38">
            <w:pPr>
              <w:spacing w:before="120" w:after="120"/>
              <w:rPr>
                <w:b/>
              </w:rPr>
            </w:pPr>
            <w:r>
              <w:rPr>
                <w:b/>
              </w:rPr>
              <w:t xml:space="preserve">‘Asymmetrical’ or ‘equal access’ cost model </w:t>
            </w:r>
          </w:p>
        </w:tc>
        <w:tc>
          <w:tcPr>
            <w:tcW w:w="6390" w:type="dxa"/>
          </w:tcPr>
          <w:p w14:paraId="361A3B74" w14:textId="26512B57" w:rsidR="00D719ED" w:rsidRPr="00B15848" w:rsidRDefault="00AC49A3" w:rsidP="00376F38">
            <w:pPr>
              <w:spacing w:before="120" w:after="120"/>
              <w:rPr>
                <w:rFonts w:ascii="Calibri" w:hAnsi="Calibri" w:cs="Calibri"/>
                <w:color w:val="000000"/>
                <w:lang w:val="en-AU"/>
              </w:rPr>
            </w:pPr>
            <w:r>
              <w:rPr>
                <w:rFonts w:cstheme="minorHAnsi"/>
                <w:lang w:val="en-AU"/>
              </w:rPr>
              <w:t xml:space="preserve">Under this model, </w:t>
            </w:r>
            <w:r w:rsidRPr="00C46877">
              <w:rPr>
                <w:rFonts w:cstheme="minorHAnsi"/>
              </w:rPr>
              <w:t>if an applicant is unsuccessful, each party</w:t>
            </w:r>
            <w:r>
              <w:rPr>
                <w:rFonts w:cstheme="minorHAnsi"/>
              </w:rPr>
              <w:t xml:space="preserve"> would</w:t>
            </w:r>
            <w:r w:rsidRPr="00C46877">
              <w:rPr>
                <w:rFonts w:cstheme="minorHAnsi"/>
              </w:rPr>
              <w:t xml:space="preserve"> bear their own costs. However, if an applicant is successful, the respondent w</w:t>
            </w:r>
            <w:r>
              <w:rPr>
                <w:rFonts w:cstheme="minorHAnsi"/>
              </w:rPr>
              <w:t>ould</w:t>
            </w:r>
            <w:r w:rsidRPr="00C46877">
              <w:rPr>
                <w:rFonts w:cstheme="minorHAnsi"/>
              </w:rPr>
              <w:t xml:space="preserve"> be liable for the</w:t>
            </w:r>
            <w:r>
              <w:rPr>
                <w:rFonts w:cstheme="minorHAnsi"/>
              </w:rPr>
              <w:t xml:space="preserve"> applicant’s</w:t>
            </w:r>
            <w:r w:rsidRPr="00C46877">
              <w:rPr>
                <w:rFonts w:cstheme="minorHAnsi"/>
              </w:rPr>
              <w:t xml:space="preserve"> costs.</w:t>
            </w:r>
          </w:p>
        </w:tc>
      </w:tr>
      <w:tr w:rsidR="00C967AA" w14:paraId="2AA99AE0" w14:textId="77777777" w:rsidTr="00376F38">
        <w:tc>
          <w:tcPr>
            <w:tcW w:w="2626" w:type="dxa"/>
          </w:tcPr>
          <w:p w14:paraId="1F37BE6C" w14:textId="77777777" w:rsidR="00C967AA" w:rsidRDefault="00C967AA" w:rsidP="00376F38">
            <w:pPr>
              <w:spacing w:before="120" w:after="120"/>
              <w:rPr>
                <w:b/>
              </w:rPr>
            </w:pPr>
            <w:r>
              <w:rPr>
                <w:b/>
              </w:rPr>
              <w:t xml:space="preserve">Civil proceedings </w:t>
            </w:r>
          </w:p>
        </w:tc>
        <w:tc>
          <w:tcPr>
            <w:tcW w:w="6390" w:type="dxa"/>
          </w:tcPr>
          <w:p w14:paraId="3890EB8F" w14:textId="0437460B" w:rsidR="00C967AA" w:rsidRPr="00B15848" w:rsidRDefault="00C967AA" w:rsidP="00376F38">
            <w:pPr>
              <w:spacing w:before="120" w:after="120"/>
              <w:rPr>
                <w:rFonts w:ascii="Calibri" w:hAnsi="Calibri" w:cs="Calibri"/>
                <w:color w:val="000000"/>
                <w:lang w:val="en-AU"/>
              </w:rPr>
            </w:pPr>
            <w:r>
              <w:rPr>
                <w:rFonts w:ascii="Calibri" w:hAnsi="Calibri" w:cs="Calibri"/>
                <w:color w:val="000000"/>
                <w:lang w:val="en-AU"/>
              </w:rPr>
              <w:t xml:space="preserve">A civil proceeding is any proceedings before a court or tribunal that are not criminal proceedings. </w:t>
            </w:r>
          </w:p>
        </w:tc>
      </w:tr>
      <w:tr w:rsidR="00C967AA" w14:paraId="19E37D4F" w14:textId="77777777" w:rsidTr="00376F38">
        <w:tc>
          <w:tcPr>
            <w:tcW w:w="2626" w:type="dxa"/>
          </w:tcPr>
          <w:p w14:paraId="47A7599E" w14:textId="5961A50C" w:rsidR="00C967AA" w:rsidRDefault="00C967AA" w:rsidP="00376F38">
            <w:pPr>
              <w:spacing w:before="120" w:after="120"/>
              <w:rPr>
                <w:b/>
              </w:rPr>
            </w:pPr>
            <w:r>
              <w:rPr>
                <w:b/>
              </w:rPr>
              <w:t>‘Cost-capping’ order</w:t>
            </w:r>
            <w:r w:rsidR="003B2446">
              <w:rPr>
                <w:b/>
              </w:rPr>
              <w:t xml:space="preserve"> and </w:t>
            </w:r>
            <w:r>
              <w:rPr>
                <w:b/>
              </w:rPr>
              <w:t>‘</w:t>
            </w:r>
            <w:r w:rsidR="003B2446">
              <w:rPr>
                <w:b/>
              </w:rPr>
              <w:t>m</w:t>
            </w:r>
            <w:r>
              <w:rPr>
                <w:b/>
              </w:rPr>
              <w:t>aximum costs’ order</w:t>
            </w:r>
          </w:p>
        </w:tc>
        <w:tc>
          <w:tcPr>
            <w:tcW w:w="6390" w:type="dxa"/>
          </w:tcPr>
          <w:p w14:paraId="7A25DEDB" w14:textId="47D813E9" w:rsidR="00C967AA" w:rsidRPr="00345988" w:rsidRDefault="00C967AA" w:rsidP="00376F38">
            <w:pPr>
              <w:spacing w:before="120" w:after="120"/>
              <w:rPr>
                <w:rFonts w:ascii="Calibri" w:hAnsi="Calibri" w:cs="Calibri"/>
                <w:color w:val="000000"/>
                <w:lang w:val="en-AU"/>
              </w:rPr>
            </w:pPr>
            <w:r>
              <w:rPr>
                <w:rFonts w:ascii="Calibri" w:hAnsi="Calibri" w:cs="Calibri"/>
                <w:color w:val="000000"/>
                <w:lang w:val="en-AU"/>
              </w:rPr>
              <w:t xml:space="preserve">A ‘cost-capping’ or ‘maximum costs’ order can be made </w:t>
            </w:r>
            <w:r w:rsidR="00144198">
              <w:rPr>
                <w:rFonts w:ascii="Calibri" w:hAnsi="Calibri" w:cs="Calibri"/>
                <w:color w:val="000000"/>
                <w:lang w:val="en-AU"/>
              </w:rPr>
              <w:t xml:space="preserve">by a court </w:t>
            </w:r>
            <w:r>
              <w:rPr>
                <w:rFonts w:ascii="Calibri" w:hAnsi="Calibri" w:cs="Calibri"/>
                <w:color w:val="000000"/>
                <w:lang w:val="en-AU"/>
              </w:rPr>
              <w:t xml:space="preserve">at the start of a matter to limit the costs the applicant is liable to pay the </w:t>
            </w:r>
            <w:r w:rsidR="00144198">
              <w:rPr>
                <w:rFonts w:ascii="Calibri" w:hAnsi="Calibri" w:cs="Calibri"/>
                <w:color w:val="000000"/>
                <w:lang w:val="en-AU"/>
              </w:rPr>
              <w:t>respondent</w:t>
            </w:r>
            <w:r>
              <w:rPr>
                <w:rFonts w:ascii="Calibri" w:hAnsi="Calibri" w:cs="Calibri"/>
                <w:color w:val="000000"/>
                <w:lang w:val="en-AU"/>
              </w:rPr>
              <w:t xml:space="preserve"> if they </w:t>
            </w:r>
            <w:r w:rsidR="00144198">
              <w:rPr>
                <w:rFonts w:ascii="Calibri" w:hAnsi="Calibri" w:cs="Calibri"/>
                <w:color w:val="000000"/>
                <w:lang w:val="en-AU"/>
              </w:rPr>
              <w:t>are not successful in the</w:t>
            </w:r>
            <w:r>
              <w:rPr>
                <w:rFonts w:ascii="Calibri" w:hAnsi="Calibri" w:cs="Calibri"/>
                <w:color w:val="000000"/>
                <w:lang w:val="en-AU"/>
              </w:rPr>
              <w:t xml:space="preserve"> proceeding</w:t>
            </w:r>
            <w:r w:rsidR="00144198">
              <w:rPr>
                <w:rFonts w:ascii="Calibri" w:hAnsi="Calibri" w:cs="Calibri"/>
                <w:color w:val="000000"/>
                <w:lang w:val="en-AU"/>
              </w:rPr>
              <w:t>s</w:t>
            </w:r>
            <w:r>
              <w:rPr>
                <w:rFonts w:ascii="Calibri" w:hAnsi="Calibri" w:cs="Calibri"/>
                <w:color w:val="000000"/>
                <w:lang w:val="en-AU"/>
              </w:rPr>
              <w:t xml:space="preserve">. </w:t>
            </w:r>
          </w:p>
        </w:tc>
      </w:tr>
      <w:tr w:rsidR="00082ECC" w14:paraId="72C84536" w14:textId="77777777" w:rsidTr="00376F38">
        <w:tc>
          <w:tcPr>
            <w:tcW w:w="2626" w:type="dxa"/>
          </w:tcPr>
          <w:p w14:paraId="433F6933" w14:textId="4EB070E6" w:rsidR="00082ECC" w:rsidRDefault="00082ECC" w:rsidP="00376F38">
            <w:pPr>
              <w:spacing w:before="120" w:after="120"/>
              <w:rPr>
                <w:b/>
              </w:rPr>
            </w:pPr>
            <w:r>
              <w:rPr>
                <w:b/>
              </w:rPr>
              <w:t>Costs follow the event</w:t>
            </w:r>
          </w:p>
        </w:tc>
        <w:tc>
          <w:tcPr>
            <w:tcW w:w="6390" w:type="dxa"/>
          </w:tcPr>
          <w:p w14:paraId="72B3B233" w14:textId="11A532B1" w:rsidR="00082ECC" w:rsidRDefault="00082ECC" w:rsidP="00376F38">
            <w:pPr>
              <w:spacing w:before="120" w:after="120"/>
              <w:rPr>
                <w:rFonts w:ascii="Calibri" w:hAnsi="Calibri" w:cs="Calibri"/>
                <w:color w:val="000000"/>
                <w:lang w:val="en-AU"/>
              </w:rPr>
            </w:pPr>
            <w:r>
              <w:rPr>
                <w:rFonts w:ascii="Calibri" w:hAnsi="Calibri" w:cs="Calibri"/>
                <w:color w:val="000000"/>
                <w:lang w:val="en-AU"/>
              </w:rPr>
              <w:t>Used to describe where a cour</w:t>
            </w:r>
            <w:r w:rsidR="001A6745">
              <w:rPr>
                <w:rFonts w:ascii="Calibri" w:hAnsi="Calibri" w:cs="Calibri"/>
                <w:color w:val="000000"/>
                <w:lang w:val="en-AU"/>
              </w:rPr>
              <w:t>t awards costs following the conclusion of proceedings according to the party that was successful. The party that is unsuccessful bears the costs of the other party (in addition to their own</w:t>
            </w:r>
            <w:r w:rsidR="008270AF">
              <w:rPr>
                <w:rFonts w:ascii="Calibri" w:hAnsi="Calibri" w:cs="Calibri"/>
                <w:color w:val="000000"/>
                <w:lang w:val="en-AU"/>
              </w:rPr>
              <w:t xml:space="preserve"> costs</w:t>
            </w:r>
            <w:r w:rsidR="001A6745">
              <w:rPr>
                <w:rFonts w:ascii="Calibri" w:hAnsi="Calibri" w:cs="Calibri"/>
                <w:color w:val="000000"/>
                <w:lang w:val="en-AU"/>
              </w:rPr>
              <w:t xml:space="preserve">). </w:t>
            </w:r>
          </w:p>
        </w:tc>
      </w:tr>
      <w:tr w:rsidR="00C967AA" w14:paraId="493D834E" w14:textId="77777777" w:rsidTr="00376F38">
        <w:tc>
          <w:tcPr>
            <w:tcW w:w="2626" w:type="dxa"/>
          </w:tcPr>
          <w:p w14:paraId="474AFC04" w14:textId="77777777" w:rsidR="00C967AA" w:rsidRDefault="00C967AA" w:rsidP="00376F38">
            <w:pPr>
              <w:spacing w:before="120" w:after="120"/>
              <w:rPr>
                <w:b/>
              </w:rPr>
            </w:pPr>
            <w:r>
              <w:rPr>
                <w:b/>
              </w:rPr>
              <w:t>Cost protection models</w:t>
            </w:r>
          </w:p>
        </w:tc>
        <w:tc>
          <w:tcPr>
            <w:tcW w:w="6390" w:type="dxa"/>
          </w:tcPr>
          <w:p w14:paraId="22B307C3" w14:textId="6B2A4E18" w:rsidR="00C967AA" w:rsidRPr="00345988" w:rsidRDefault="00376F38" w:rsidP="00376F38">
            <w:pPr>
              <w:spacing w:before="120" w:after="120"/>
              <w:rPr>
                <w:rFonts w:ascii="Calibri" w:hAnsi="Calibri" w:cs="Calibri"/>
                <w:color w:val="000000"/>
                <w:lang w:val="en-AU"/>
              </w:rPr>
            </w:pPr>
            <w:r>
              <w:rPr>
                <w:rFonts w:ascii="Calibri" w:hAnsi="Calibri" w:cs="Calibri"/>
                <w:color w:val="000000"/>
                <w:lang w:val="en-AU"/>
              </w:rPr>
              <w:t>Legislative provisions that determine how costs are to be awarded in particular cases. See for example ‘hard cost neutrality’</w:t>
            </w:r>
            <w:r w:rsidR="00A323FD">
              <w:rPr>
                <w:rFonts w:ascii="Calibri" w:hAnsi="Calibri" w:cs="Calibri"/>
                <w:color w:val="000000"/>
                <w:lang w:val="en-AU"/>
              </w:rPr>
              <w:t>.</w:t>
            </w:r>
          </w:p>
        </w:tc>
      </w:tr>
      <w:tr w:rsidR="00C967AA" w14:paraId="7D0CF89F" w14:textId="77777777" w:rsidTr="00376F38">
        <w:tc>
          <w:tcPr>
            <w:tcW w:w="2626" w:type="dxa"/>
          </w:tcPr>
          <w:p w14:paraId="57E31B68" w14:textId="77777777" w:rsidR="00C967AA" w:rsidRDefault="00C967AA" w:rsidP="00376F38">
            <w:pPr>
              <w:spacing w:before="120" w:after="120"/>
              <w:rPr>
                <w:b/>
              </w:rPr>
            </w:pPr>
            <w:r>
              <w:rPr>
                <w:b/>
              </w:rPr>
              <w:t>Conciliation</w:t>
            </w:r>
          </w:p>
        </w:tc>
        <w:tc>
          <w:tcPr>
            <w:tcW w:w="6390" w:type="dxa"/>
          </w:tcPr>
          <w:p w14:paraId="3E9F36FA" w14:textId="1BFCF511" w:rsidR="00C967AA" w:rsidRPr="00345988" w:rsidRDefault="00C967AA" w:rsidP="00376F38">
            <w:pPr>
              <w:spacing w:before="120" w:after="120"/>
              <w:rPr>
                <w:rFonts w:ascii="Calibri" w:hAnsi="Calibri" w:cs="Calibri"/>
                <w:color w:val="000000"/>
                <w:lang w:val="en-AU"/>
              </w:rPr>
            </w:pPr>
            <w:r w:rsidRPr="00C615D9">
              <w:rPr>
                <w:rFonts w:ascii="Calibri" w:hAnsi="Calibri" w:cs="Calibri"/>
                <w:color w:val="000000"/>
                <w:lang w:val="en-AU"/>
              </w:rPr>
              <w:t xml:space="preserve">Conciliation </w:t>
            </w:r>
            <w:r w:rsidR="00A323FD">
              <w:rPr>
                <w:rFonts w:ascii="Calibri" w:hAnsi="Calibri" w:cs="Calibri"/>
                <w:color w:val="000000"/>
                <w:lang w:val="en-AU"/>
              </w:rPr>
              <w:t xml:space="preserve">in the context of the Australian Human Rights Commission enables </w:t>
            </w:r>
            <w:r w:rsidRPr="00C615D9">
              <w:rPr>
                <w:rFonts w:ascii="Calibri" w:hAnsi="Calibri" w:cs="Calibri"/>
                <w:color w:val="000000"/>
                <w:lang w:val="en-AU"/>
              </w:rPr>
              <w:t>the person who made the complaint (the complainant) and the person or organisation being complained about (the respondent) to talk about the issues in the complaint and try to resolve the matter themselves. Conciliation is not like a court hearing.</w:t>
            </w:r>
          </w:p>
        </w:tc>
      </w:tr>
      <w:tr w:rsidR="00C967AA" w14:paraId="39D577D1" w14:textId="77777777" w:rsidTr="00376F38">
        <w:tc>
          <w:tcPr>
            <w:tcW w:w="2626" w:type="dxa"/>
          </w:tcPr>
          <w:p w14:paraId="75AAE9DD" w14:textId="49F9135C" w:rsidR="00C967AA" w:rsidRDefault="00C967AA" w:rsidP="00376F38">
            <w:pPr>
              <w:spacing w:before="120" w:after="120"/>
              <w:rPr>
                <w:b/>
              </w:rPr>
            </w:pPr>
            <w:r>
              <w:rPr>
                <w:b/>
              </w:rPr>
              <w:lastRenderedPageBreak/>
              <w:t>Court</w:t>
            </w:r>
            <w:r w:rsidR="00F4180E">
              <w:rPr>
                <w:b/>
              </w:rPr>
              <w:t>(s)</w:t>
            </w:r>
          </w:p>
        </w:tc>
        <w:tc>
          <w:tcPr>
            <w:tcW w:w="6390" w:type="dxa"/>
          </w:tcPr>
          <w:p w14:paraId="38DAB819" w14:textId="76B0642D" w:rsidR="00C967AA" w:rsidRPr="00345988" w:rsidRDefault="00D11A35" w:rsidP="00376F38">
            <w:pPr>
              <w:spacing w:before="120" w:after="120"/>
              <w:rPr>
                <w:rFonts w:ascii="Calibri" w:hAnsi="Calibri" w:cs="Calibri"/>
                <w:color w:val="000000"/>
                <w:lang w:val="en-AU"/>
              </w:rPr>
            </w:pPr>
            <w:r>
              <w:rPr>
                <w:rFonts w:ascii="Calibri" w:hAnsi="Calibri" w:cs="Calibri"/>
                <w:color w:val="000000"/>
                <w:lang w:val="en-AU"/>
              </w:rPr>
              <w:t>Most often used to refe</w:t>
            </w:r>
            <w:r w:rsidR="00CC2E1D">
              <w:rPr>
                <w:rFonts w:ascii="Calibri" w:hAnsi="Calibri" w:cs="Calibri"/>
                <w:color w:val="000000"/>
                <w:lang w:val="en-AU"/>
              </w:rPr>
              <w:t>r</w:t>
            </w:r>
            <w:r>
              <w:rPr>
                <w:rFonts w:ascii="Calibri" w:hAnsi="Calibri" w:cs="Calibri"/>
                <w:color w:val="000000"/>
                <w:lang w:val="en-AU"/>
              </w:rPr>
              <w:t xml:space="preserve"> to the</w:t>
            </w:r>
            <w:r w:rsidR="00CC2E1D">
              <w:rPr>
                <w:rFonts w:ascii="Calibri" w:hAnsi="Calibri" w:cs="Calibri"/>
                <w:color w:val="000000"/>
                <w:lang w:val="en-AU"/>
              </w:rPr>
              <w:t xml:space="preserve"> </w:t>
            </w:r>
            <w:r w:rsidR="00C967AA">
              <w:rPr>
                <w:rFonts w:ascii="Calibri" w:hAnsi="Calibri" w:cs="Calibri"/>
                <w:color w:val="000000"/>
                <w:lang w:val="en-AU"/>
              </w:rPr>
              <w:t>Federal Court of Australia and the Federal Circuit and Family Court of Australia</w:t>
            </w:r>
            <w:r w:rsidR="00566C9D">
              <w:rPr>
                <w:rFonts w:ascii="Calibri" w:hAnsi="Calibri" w:cs="Calibri"/>
                <w:color w:val="000000"/>
                <w:lang w:val="en-AU"/>
              </w:rPr>
              <w:t>, given they hear unlawful discrimination matters at the Commonwealth level</w:t>
            </w:r>
            <w:r w:rsidR="00C967AA">
              <w:rPr>
                <w:rFonts w:ascii="Calibri" w:hAnsi="Calibri" w:cs="Calibri"/>
                <w:color w:val="000000"/>
                <w:lang w:val="en-AU"/>
              </w:rPr>
              <w:t>.</w:t>
            </w:r>
          </w:p>
        </w:tc>
      </w:tr>
      <w:tr w:rsidR="00C967AA" w14:paraId="0981A2DE" w14:textId="77777777" w:rsidTr="00376F38">
        <w:tc>
          <w:tcPr>
            <w:tcW w:w="2626" w:type="dxa"/>
          </w:tcPr>
          <w:p w14:paraId="4D625382" w14:textId="6287B850" w:rsidR="00C967AA" w:rsidRDefault="00C967AA" w:rsidP="00376F38">
            <w:pPr>
              <w:spacing w:before="120" w:after="120"/>
              <w:rPr>
                <w:b/>
              </w:rPr>
            </w:pPr>
            <w:r>
              <w:rPr>
                <w:b/>
              </w:rPr>
              <w:t xml:space="preserve">‘Hard cost neutrality’ model </w:t>
            </w:r>
          </w:p>
        </w:tc>
        <w:tc>
          <w:tcPr>
            <w:tcW w:w="6390" w:type="dxa"/>
          </w:tcPr>
          <w:p w14:paraId="502A801C" w14:textId="13136591" w:rsidR="00C967AA" w:rsidRPr="00F8777C" w:rsidRDefault="002A6B17" w:rsidP="00376F38">
            <w:pPr>
              <w:rPr>
                <w:lang w:val="en-AU"/>
              </w:rPr>
            </w:pPr>
            <w:r>
              <w:rPr>
                <w:lang w:val="en-AU"/>
              </w:rPr>
              <w:t>U</w:t>
            </w:r>
            <w:r w:rsidR="00C967AA">
              <w:rPr>
                <w:lang w:val="en-AU"/>
              </w:rPr>
              <w:t>n</w:t>
            </w:r>
            <w:r>
              <w:rPr>
                <w:lang w:val="en-AU"/>
              </w:rPr>
              <w:t>der</w:t>
            </w:r>
            <w:r w:rsidR="00C967AA">
              <w:rPr>
                <w:lang w:val="en-AU"/>
              </w:rPr>
              <w:t xml:space="preserve"> </w:t>
            </w:r>
            <w:r w:rsidR="000B092B">
              <w:rPr>
                <w:lang w:val="en-AU"/>
              </w:rPr>
              <w:t>this</w:t>
            </w:r>
            <w:r w:rsidR="00C967AA" w:rsidRPr="00683549">
              <w:rPr>
                <w:lang w:val="en-AU"/>
              </w:rPr>
              <w:t xml:space="preserve"> model</w:t>
            </w:r>
            <w:r w:rsidR="00C967AA">
              <w:rPr>
                <w:lang w:val="en-AU"/>
              </w:rPr>
              <w:t xml:space="preserve">, the </w:t>
            </w:r>
            <w:r w:rsidR="00C967AA" w:rsidRPr="00683549">
              <w:rPr>
                <w:lang w:val="en-AU"/>
              </w:rPr>
              <w:t>default position is that each party bears their own costs, except where either party has acted vexatiously or unreasonably</w:t>
            </w:r>
            <w:r w:rsidR="00C967AA">
              <w:rPr>
                <w:lang w:val="en-AU"/>
              </w:rPr>
              <w:t xml:space="preserve">. </w:t>
            </w:r>
            <w:r w:rsidR="00C967AA" w:rsidRPr="009C2412">
              <w:rPr>
                <w:lang w:val="en-AU"/>
              </w:rPr>
              <w:t xml:space="preserve">If either party has acted vexatiously or unreasonably, they can be ordered to pay the costs of the other party. </w:t>
            </w:r>
          </w:p>
        </w:tc>
      </w:tr>
      <w:tr w:rsidR="00C967AA" w14:paraId="337BDD81" w14:textId="77777777" w:rsidTr="00376F38">
        <w:tc>
          <w:tcPr>
            <w:tcW w:w="2626" w:type="dxa"/>
          </w:tcPr>
          <w:p w14:paraId="4D51D951" w14:textId="77777777" w:rsidR="00C967AA" w:rsidRPr="0071451E" w:rsidRDefault="00C967AA" w:rsidP="00376F38">
            <w:pPr>
              <w:spacing w:before="120" w:after="120"/>
              <w:rPr>
                <w:b/>
              </w:rPr>
            </w:pPr>
            <w:r>
              <w:rPr>
                <w:b/>
              </w:rPr>
              <w:t>No costs order</w:t>
            </w:r>
          </w:p>
        </w:tc>
        <w:tc>
          <w:tcPr>
            <w:tcW w:w="6390" w:type="dxa"/>
          </w:tcPr>
          <w:p w14:paraId="580ADAE1" w14:textId="16AC76F2" w:rsidR="00C967AA" w:rsidRPr="0071451E" w:rsidRDefault="00376F38" w:rsidP="00376F38">
            <w:pPr>
              <w:spacing w:before="120" w:after="120"/>
              <w:rPr>
                <w:rFonts w:ascii="Calibri" w:hAnsi="Calibri" w:cs="Calibri"/>
                <w:color w:val="000000"/>
                <w:highlight w:val="yellow"/>
                <w:lang w:val="en-AU"/>
              </w:rPr>
            </w:pPr>
            <w:r>
              <w:rPr>
                <w:rFonts w:ascii="Calibri" w:hAnsi="Calibri" w:cs="Calibri"/>
                <w:color w:val="000000"/>
                <w:lang w:val="en-AU"/>
              </w:rPr>
              <w:t xml:space="preserve">An order by a </w:t>
            </w:r>
            <w:r w:rsidR="001A0457">
              <w:rPr>
                <w:rFonts w:ascii="Calibri" w:hAnsi="Calibri" w:cs="Calibri"/>
                <w:color w:val="000000"/>
                <w:lang w:val="en-AU"/>
              </w:rPr>
              <w:t>court that p</w:t>
            </w:r>
            <w:r w:rsidR="00C967AA" w:rsidRPr="004902EA">
              <w:rPr>
                <w:rFonts w:ascii="Calibri" w:hAnsi="Calibri" w:cs="Calibri"/>
                <w:color w:val="000000"/>
                <w:lang w:val="en-AU"/>
              </w:rPr>
              <w:t>arties</w:t>
            </w:r>
            <w:r w:rsidR="001A0457">
              <w:rPr>
                <w:rFonts w:ascii="Calibri" w:hAnsi="Calibri" w:cs="Calibri"/>
                <w:color w:val="000000"/>
                <w:lang w:val="en-AU"/>
              </w:rPr>
              <w:t xml:space="preserve"> </w:t>
            </w:r>
            <w:r w:rsidR="00A323FD">
              <w:rPr>
                <w:rFonts w:ascii="Calibri" w:hAnsi="Calibri" w:cs="Calibri"/>
                <w:color w:val="000000"/>
                <w:lang w:val="en-AU"/>
              </w:rPr>
              <w:t xml:space="preserve">to a proceeding </w:t>
            </w:r>
            <w:r w:rsidR="001A0457">
              <w:rPr>
                <w:rFonts w:ascii="Calibri" w:hAnsi="Calibri" w:cs="Calibri"/>
                <w:color w:val="000000"/>
                <w:lang w:val="en-AU"/>
              </w:rPr>
              <w:t>are to</w:t>
            </w:r>
            <w:r w:rsidR="00C967AA" w:rsidRPr="004902EA">
              <w:rPr>
                <w:rFonts w:ascii="Calibri" w:hAnsi="Calibri" w:cs="Calibri"/>
                <w:color w:val="000000"/>
                <w:lang w:val="en-AU"/>
              </w:rPr>
              <w:t xml:space="preserve"> bear their own costs.</w:t>
            </w:r>
          </w:p>
        </w:tc>
      </w:tr>
      <w:tr w:rsidR="00C967AA" w14:paraId="208413A6" w14:textId="77777777" w:rsidTr="00376F38">
        <w:tc>
          <w:tcPr>
            <w:tcW w:w="2626" w:type="dxa"/>
          </w:tcPr>
          <w:p w14:paraId="31ED69B1" w14:textId="77777777" w:rsidR="00C967AA" w:rsidRPr="00512DD3" w:rsidRDefault="00C967AA" w:rsidP="00376F38">
            <w:pPr>
              <w:spacing w:before="120" w:after="120"/>
              <w:rPr>
                <w:b/>
              </w:rPr>
            </w:pPr>
            <w:r w:rsidRPr="00512DD3">
              <w:rPr>
                <w:b/>
              </w:rPr>
              <w:t xml:space="preserve">Respondent </w:t>
            </w:r>
          </w:p>
        </w:tc>
        <w:tc>
          <w:tcPr>
            <w:tcW w:w="6390" w:type="dxa"/>
          </w:tcPr>
          <w:p w14:paraId="7BFC7E3E" w14:textId="68A5CC9E" w:rsidR="00C967AA" w:rsidRDefault="00C967AA" w:rsidP="00376F38">
            <w:pPr>
              <w:spacing w:before="120" w:after="120"/>
            </w:pPr>
            <w:r>
              <w:t xml:space="preserve">A </w:t>
            </w:r>
            <w:r w:rsidR="006A21BC">
              <w:t xml:space="preserve">person or </w:t>
            </w:r>
            <w:proofErr w:type="spellStart"/>
            <w:r w:rsidR="006A21BC">
              <w:t>organisation</w:t>
            </w:r>
            <w:proofErr w:type="spellEnd"/>
            <w:r w:rsidR="006A21BC">
              <w:t xml:space="preserve"> (or both, for example where a person and a corporate entity as an employer are named as respondents) </w:t>
            </w:r>
            <w:r>
              <w:t xml:space="preserve">that </w:t>
            </w:r>
            <w:r w:rsidR="002A6B17">
              <w:t>has</w:t>
            </w:r>
            <w:r>
              <w:t xml:space="preserve"> </w:t>
            </w:r>
            <w:r w:rsidR="006A21BC">
              <w:t>allegedly discriminated against the applicant</w:t>
            </w:r>
            <w:r>
              <w:t xml:space="preserve">. </w:t>
            </w:r>
          </w:p>
        </w:tc>
      </w:tr>
      <w:tr w:rsidR="00C967AA" w14:paraId="044DEAED" w14:textId="77777777" w:rsidTr="00376F38">
        <w:tc>
          <w:tcPr>
            <w:tcW w:w="2626" w:type="dxa"/>
          </w:tcPr>
          <w:p w14:paraId="05F29C5A" w14:textId="0BB6B2BA" w:rsidR="00C967AA" w:rsidRPr="00512DD3" w:rsidRDefault="00C967AA" w:rsidP="00376F38">
            <w:pPr>
              <w:spacing w:before="120" w:after="120"/>
              <w:rPr>
                <w:b/>
              </w:rPr>
            </w:pPr>
            <w:r>
              <w:rPr>
                <w:b/>
              </w:rPr>
              <w:t>‘Soft cost neutrality’ model</w:t>
            </w:r>
          </w:p>
        </w:tc>
        <w:tc>
          <w:tcPr>
            <w:tcW w:w="6390" w:type="dxa"/>
          </w:tcPr>
          <w:p w14:paraId="4764E264" w14:textId="173DBFEC" w:rsidR="00C967AA" w:rsidRPr="00FB208F" w:rsidRDefault="00C967AA" w:rsidP="00376F38">
            <w:pPr>
              <w:rPr>
                <w:lang w:val="en-AU"/>
              </w:rPr>
            </w:pPr>
            <w:r>
              <w:rPr>
                <w:lang w:val="en-AU"/>
              </w:rPr>
              <w:t xml:space="preserve">Under this model, the default position would be that parties bear their own costs, but the court would retain a broader discretion </w:t>
            </w:r>
            <w:r w:rsidR="000B092B">
              <w:rPr>
                <w:lang w:val="en-AU"/>
              </w:rPr>
              <w:t xml:space="preserve">(than under a ‘hard cost neutrality’ model) </w:t>
            </w:r>
            <w:r>
              <w:rPr>
                <w:lang w:val="en-AU"/>
              </w:rPr>
              <w:t>to award costs</w:t>
            </w:r>
            <w:r w:rsidRPr="00D12887">
              <w:rPr>
                <w:lang w:val="en-AU"/>
              </w:rPr>
              <w:t xml:space="preserve"> </w:t>
            </w:r>
            <w:r>
              <w:rPr>
                <w:lang w:val="en-AU"/>
              </w:rPr>
              <w:t xml:space="preserve">where they consider this would be in the interests of justice, in reference to a number of mandatory (but non-exhaustive) criteria. </w:t>
            </w:r>
          </w:p>
        </w:tc>
      </w:tr>
      <w:tr w:rsidR="00C967AA" w14:paraId="340BA249" w14:textId="77777777" w:rsidTr="00376F38">
        <w:tc>
          <w:tcPr>
            <w:tcW w:w="2626" w:type="dxa"/>
          </w:tcPr>
          <w:p w14:paraId="33A8DD64" w14:textId="77777777" w:rsidR="00C967AA" w:rsidRPr="00F8777C" w:rsidRDefault="00C967AA" w:rsidP="00376F38">
            <w:pPr>
              <w:spacing w:before="120" w:after="120"/>
              <w:rPr>
                <w:b/>
              </w:rPr>
            </w:pPr>
            <w:r w:rsidRPr="00F8777C">
              <w:rPr>
                <w:b/>
              </w:rPr>
              <w:t>Vexatious</w:t>
            </w:r>
          </w:p>
        </w:tc>
        <w:tc>
          <w:tcPr>
            <w:tcW w:w="6390" w:type="dxa"/>
          </w:tcPr>
          <w:p w14:paraId="7042217D" w14:textId="1739E1C5" w:rsidR="00C967AA" w:rsidRDefault="00C967AA" w:rsidP="00376F38">
            <w:pPr>
              <w:spacing w:before="120" w:after="120"/>
            </w:pPr>
            <w:r>
              <w:t>A</w:t>
            </w:r>
            <w:r w:rsidR="00C91AEA">
              <w:t xml:space="preserve"> complaint of discrimination </w:t>
            </w:r>
            <w:r>
              <w:t xml:space="preserve">that is brought without sufficient grounds for </w:t>
            </w:r>
            <w:r w:rsidR="00C91AEA">
              <w:t>success</w:t>
            </w:r>
            <w:r>
              <w:t xml:space="preserve">, purely to cause annoyance to the </w:t>
            </w:r>
            <w:r w:rsidR="00C91AEA">
              <w:t>respondent</w:t>
            </w:r>
            <w:r>
              <w:t xml:space="preserve">. </w:t>
            </w:r>
          </w:p>
        </w:tc>
      </w:tr>
      <w:tr w:rsidR="00C967AA" w14:paraId="1F7A8C23" w14:textId="77777777" w:rsidTr="00376F38">
        <w:tc>
          <w:tcPr>
            <w:tcW w:w="2626" w:type="dxa"/>
          </w:tcPr>
          <w:p w14:paraId="3D5D9752" w14:textId="77777777" w:rsidR="00C967AA" w:rsidRPr="00F8777C" w:rsidRDefault="00C967AA" w:rsidP="00376F38">
            <w:pPr>
              <w:spacing w:before="120" w:after="120"/>
              <w:rPr>
                <w:b/>
              </w:rPr>
            </w:pPr>
            <w:r w:rsidRPr="00F8777C">
              <w:rPr>
                <w:b/>
              </w:rPr>
              <w:t>Unmeritorious</w:t>
            </w:r>
          </w:p>
        </w:tc>
        <w:tc>
          <w:tcPr>
            <w:tcW w:w="6390" w:type="dxa"/>
          </w:tcPr>
          <w:p w14:paraId="4A830599" w14:textId="28D83FED" w:rsidR="00C967AA" w:rsidRDefault="00C91AEA" w:rsidP="00376F38">
            <w:pPr>
              <w:spacing w:before="120" w:after="120"/>
            </w:pPr>
            <w:r>
              <w:t>A complaint of discrimination that does not have sufficient grounds for success</w:t>
            </w:r>
            <w:r w:rsidR="00C967AA">
              <w:t xml:space="preserve">. </w:t>
            </w:r>
          </w:p>
        </w:tc>
      </w:tr>
    </w:tbl>
    <w:p w14:paraId="15D9D3C9" w14:textId="77777777" w:rsidR="00C967AA" w:rsidRDefault="00C967AA">
      <w:pPr>
        <w:rPr>
          <w:rFonts w:ascii="Calibri" w:eastAsia="SimSun" w:hAnsi="Calibri" w:cs="Calibri"/>
          <w:b/>
          <w:iCs/>
          <w:color w:val="4D738A"/>
          <w:w w:val="105"/>
          <w:kern w:val="40"/>
          <w:sz w:val="40"/>
          <w:szCs w:val="48"/>
          <w:lang w:val="en-AU"/>
        </w:rPr>
      </w:pPr>
      <w:r>
        <w:br w:type="page"/>
      </w:r>
    </w:p>
    <w:p w14:paraId="61366CE9" w14:textId="57C403FD" w:rsidR="00DB3722" w:rsidRDefault="004B13ED" w:rsidP="005306C8">
      <w:pPr>
        <w:pStyle w:val="Heading1"/>
      </w:pPr>
      <w:bookmarkStart w:id="19" w:name="_Toc127809098"/>
      <w:r w:rsidRPr="005306C8">
        <w:lastRenderedPageBreak/>
        <w:t>O</w:t>
      </w:r>
      <w:r w:rsidR="00DB3722" w:rsidRPr="005306C8">
        <w:t>verview</w:t>
      </w:r>
      <w:bookmarkEnd w:id="9"/>
      <w:bookmarkEnd w:id="10"/>
      <w:bookmarkEnd w:id="11"/>
      <w:bookmarkEnd w:id="12"/>
      <w:bookmarkEnd w:id="13"/>
      <w:bookmarkEnd w:id="14"/>
      <w:bookmarkEnd w:id="15"/>
      <w:bookmarkEnd w:id="16"/>
      <w:bookmarkEnd w:id="17"/>
      <w:bookmarkEnd w:id="19"/>
      <w:r w:rsidR="00DB3722" w:rsidRPr="005306C8">
        <w:t xml:space="preserve"> </w:t>
      </w:r>
    </w:p>
    <w:p w14:paraId="5DA2427F" w14:textId="78D70E35" w:rsidR="00C729BC" w:rsidRDefault="00C729BC" w:rsidP="00C729BC">
      <w:pPr>
        <w:rPr>
          <w:lang w:val="en-AU"/>
        </w:rPr>
      </w:pPr>
      <w:r w:rsidRPr="00C729BC">
        <w:rPr>
          <w:lang w:val="en-AU"/>
        </w:rPr>
        <w:t xml:space="preserve">The </w:t>
      </w:r>
      <w:proofErr w:type="spellStart"/>
      <w:r w:rsidRPr="00C729BC">
        <w:rPr>
          <w:lang w:val="en-AU"/>
        </w:rPr>
        <w:t>Respect@Work</w:t>
      </w:r>
      <w:proofErr w:type="spellEnd"/>
      <w:r w:rsidRPr="00C729BC">
        <w:rPr>
          <w:lang w:val="en-AU"/>
        </w:rPr>
        <w:t xml:space="preserve"> Report </w:t>
      </w:r>
      <w:r w:rsidR="00A519B2" w:rsidRPr="00C729BC">
        <w:rPr>
          <w:lang w:val="en-AU"/>
        </w:rPr>
        <w:t xml:space="preserve">released </w:t>
      </w:r>
      <w:r w:rsidR="00FC606B" w:rsidRPr="00C729BC">
        <w:rPr>
          <w:lang w:val="en-AU"/>
        </w:rPr>
        <w:t xml:space="preserve">in </w:t>
      </w:r>
      <w:r w:rsidR="00A519B2" w:rsidRPr="00C729BC">
        <w:rPr>
          <w:lang w:val="en-AU"/>
        </w:rPr>
        <w:t>2020</w:t>
      </w:r>
      <w:r w:rsidRPr="00C729BC">
        <w:rPr>
          <w:lang w:val="en-AU"/>
        </w:rPr>
        <w:t xml:space="preserve"> found that sexual harassment is a pervasive and widespread issue in Australian workplaces. It made 55 recommendations addressed to the Government, states and territories, employers and industry groups to prevent and address sexual harassment in Australian workplaces. The recommendations related to five key areas of focus: data and research, primary prevention, workplace prevention and response, support and advocacy, and legal and regulatory reform. </w:t>
      </w:r>
    </w:p>
    <w:p w14:paraId="330D121F" w14:textId="5E970380" w:rsidR="00C729BC" w:rsidRDefault="00C729BC" w:rsidP="00C729BC">
      <w:pPr>
        <w:rPr>
          <w:lang w:val="en-AU"/>
        </w:rPr>
      </w:pPr>
      <w:r w:rsidRPr="00C729BC">
        <w:rPr>
          <w:lang w:val="en-AU"/>
        </w:rPr>
        <w:t xml:space="preserve">The </w:t>
      </w:r>
      <w:r w:rsidR="002F7C43">
        <w:rPr>
          <w:lang w:val="en-AU"/>
        </w:rPr>
        <w:t>Fifth</w:t>
      </w:r>
      <w:r w:rsidRPr="00C729BC">
        <w:rPr>
          <w:lang w:val="en-AU"/>
        </w:rPr>
        <w:t xml:space="preserve"> National Survey</w:t>
      </w:r>
      <w:r>
        <w:rPr>
          <w:lang w:val="en-AU"/>
        </w:rPr>
        <w:t xml:space="preserve"> </w:t>
      </w:r>
      <w:r w:rsidR="002F7C43">
        <w:rPr>
          <w:lang w:val="en-AU"/>
        </w:rPr>
        <w:t>on Sexual Harassment in Australian Workplaces, released on 30 November</w:t>
      </w:r>
      <w:r w:rsidR="00AE737F">
        <w:rPr>
          <w:lang w:val="en-AU"/>
        </w:rPr>
        <w:t> </w:t>
      </w:r>
      <w:r w:rsidR="002F7C43">
        <w:rPr>
          <w:lang w:val="en-AU"/>
        </w:rPr>
        <w:t>2022, f</w:t>
      </w:r>
      <w:r>
        <w:rPr>
          <w:lang w:val="en-AU"/>
        </w:rPr>
        <w:t>ound</w:t>
      </w:r>
      <w:r w:rsidR="002F7C43">
        <w:rPr>
          <w:lang w:val="en-AU"/>
        </w:rPr>
        <w:t xml:space="preserve"> </w:t>
      </w:r>
      <w:r w:rsidR="002F7C43" w:rsidRPr="002F7C43">
        <w:rPr>
          <w:lang w:val="en-AU"/>
        </w:rPr>
        <w:t>approximately one in five Australians have experienced sexual harassment over the last 12 months, with one in three reporting such an experience over the past five years</w:t>
      </w:r>
      <w:r w:rsidR="002F7C43">
        <w:rPr>
          <w:lang w:val="en-AU"/>
        </w:rPr>
        <w:t>.</w:t>
      </w:r>
      <w:r w:rsidR="002F7C43">
        <w:rPr>
          <w:rStyle w:val="FootnoteReference"/>
          <w:lang w:val="en-AU"/>
        </w:rPr>
        <w:footnoteReference w:id="2"/>
      </w:r>
      <w:r w:rsidR="002F7C43">
        <w:rPr>
          <w:lang w:val="en-AU"/>
        </w:rPr>
        <w:t xml:space="preserve"> </w:t>
      </w:r>
      <w:r w:rsidR="002F7C43" w:rsidRPr="002F7C43">
        <w:rPr>
          <w:lang w:val="en-AU"/>
        </w:rPr>
        <w:t>The impact is disproportionately felt by women, with 41 per cent of women reporting experiences of sexual harassment, compared to 26 per cent of men.</w:t>
      </w:r>
      <w:r w:rsidR="002F7C43">
        <w:rPr>
          <w:rStyle w:val="FootnoteReference"/>
          <w:lang w:val="en-AU"/>
        </w:rPr>
        <w:footnoteReference w:id="3"/>
      </w:r>
    </w:p>
    <w:p w14:paraId="3E583EEF" w14:textId="5DC4DFD4" w:rsidR="00FA0EBF" w:rsidRPr="00C729BC" w:rsidRDefault="009F35CE" w:rsidP="009F35CE">
      <w:pPr>
        <w:rPr>
          <w:lang w:val="en-AU"/>
        </w:rPr>
      </w:pPr>
      <w:r w:rsidRPr="009A2D9A">
        <w:rPr>
          <w:lang w:val="en-AU"/>
        </w:rPr>
        <w:t xml:space="preserve">The Government is committed to </w:t>
      </w:r>
      <w:r w:rsidR="0092747E">
        <w:rPr>
          <w:lang w:val="en-AU"/>
        </w:rPr>
        <w:t>completing the</w:t>
      </w:r>
      <w:r w:rsidRPr="009A2D9A">
        <w:rPr>
          <w:lang w:val="en-AU"/>
        </w:rPr>
        <w:t xml:space="preserve"> implementation of all Respect@Work Report recommendations as a matter of priority. There has been significant progress</w:t>
      </w:r>
      <w:r>
        <w:rPr>
          <w:lang w:val="en-AU"/>
        </w:rPr>
        <w:t>, including the passage of the Respect at Work Bill 2022, the release of key resources on the Respect@Work website and further funding provided through the 2022-23 October Budget.</w:t>
      </w:r>
    </w:p>
    <w:p w14:paraId="23C2B5C1" w14:textId="195BDF10" w:rsidR="002F7C43" w:rsidRDefault="00697424" w:rsidP="00C729BC">
      <w:pPr>
        <w:rPr>
          <w:lang w:val="en-AU"/>
        </w:rPr>
      </w:pPr>
      <w:r>
        <w:rPr>
          <w:lang w:val="en-AU"/>
        </w:rPr>
        <w:t xml:space="preserve">In relation to </w:t>
      </w:r>
      <w:r w:rsidR="0092747E">
        <w:rPr>
          <w:lang w:val="en-AU"/>
        </w:rPr>
        <w:t xml:space="preserve">Commonwealth </w:t>
      </w:r>
      <w:r>
        <w:rPr>
          <w:lang w:val="en-AU"/>
        </w:rPr>
        <w:t>legislative reform, t</w:t>
      </w:r>
      <w:r w:rsidR="00C729BC" w:rsidRPr="00C729BC">
        <w:rPr>
          <w:lang w:val="en-AU"/>
        </w:rPr>
        <w:t>he Respect@Work Report made 13 recommendations</w:t>
      </w:r>
      <w:r>
        <w:rPr>
          <w:lang w:val="en-AU"/>
        </w:rPr>
        <w:t>,</w:t>
      </w:r>
      <w:r w:rsidR="00C729BC" w:rsidRPr="00C729BC">
        <w:rPr>
          <w:vertAlign w:val="superscript"/>
          <w:lang w:val="en-AU"/>
        </w:rPr>
        <w:t>5</w:t>
      </w:r>
      <w:r w:rsidR="00C729BC" w:rsidRPr="00C729BC">
        <w:rPr>
          <w:lang w:val="en-AU"/>
        </w:rPr>
        <w:t xml:space="preserve"> </w:t>
      </w:r>
      <w:r>
        <w:rPr>
          <w:lang w:val="en-AU"/>
        </w:rPr>
        <w:t>and a</w:t>
      </w:r>
      <w:r w:rsidR="002F7C43">
        <w:rPr>
          <w:lang w:val="en-AU"/>
        </w:rPr>
        <w:t>ll but one of these have now been implemented with the commencement of the following legislation:</w:t>
      </w:r>
    </w:p>
    <w:p w14:paraId="30C90689" w14:textId="52B3B29E" w:rsidR="002F7C43" w:rsidRDefault="002F7C43" w:rsidP="007922FB">
      <w:pPr>
        <w:pStyle w:val="ListParagraph"/>
        <w:numPr>
          <w:ilvl w:val="0"/>
          <w:numId w:val="7"/>
        </w:numPr>
        <w:ind w:left="714" w:hanging="357"/>
        <w:rPr>
          <w:lang w:val="en-AU"/>
        </w:rPr>
      </w:pPr>
      <w:r w:rsidRPr="002F7C43">
        <w:rPr>
          <w:i/>
          <w:lang w:val="en-AU"/>
        </w:rPr>
        <w:t>Sex Discrimination and Fair Work (Respect at Work) Amendment Act 2021</w:t>
      </w:r>
      <w:r w:rsidR="00905575">
        <w:rPr>
          <w:lang w:val="en-AU"/>
        </w:rPr>
        <w:t>, which commenced</w:t>
      </w:r>
      <w:r w:rsidRPr="002F7C43">
        <w:rPr>
          <w:lang w:val="en-AU"/>
        </w:rPr>
        <w:t xml:space="preserve"> on 11 September 2021</w:t>
      </w:r>
    </w:p>
    <w:p w14:paraId="14414A50" w14:textId="0CBF1B77" w:rsidR="002F7C43" w:rsidRDefault="002F7C43" w:rsidP="007922FB">
      <w:pPr>
        <w:pStyle w:val="ListParagraph"/>
        <w:numPr>
          <w:ilvl w:val="0"/>
          <w:numId w:val="7"/>
        </w:numPr>
        <w:ind w:left="714" w:hanging="357"/>
        <w:rPr>
          <w:lang w:val="en-AU"/>
        </w:rPr>
      </w:pPr>
      <w:r w:rsidRPr="002F7C43">
        <w:rPr>
          <w:i/>
          <w:lang w:val="en-AU"/>
        </w:rPr>
        <w:t>Anti-Discrimination and Human Rights Legislation Amendment (Respect at Work) Act 2022</w:t>
      </w:r>
      <w:r w:rsidR="00905575">
        <w:rPr>
          <w:lang w:val="en-AU"/>
        </w:rPr>
        <w:t>, which commenced</w:t>
      </w:r>
      <w:r w:rsidRPr="002F7C43">
        <w:rPr>
          <w:lang w:val="en-AU"/>
        </w:rPr>
        <w:t xml:space="preserve"> on 13 December 2022</w:t>
      </w:r>
      <w:r>
        <w:rPr>
          <w:lang w:val="en-AU"/>
        </w:rPr>
        <w:t>, and</w:t>
      </w:r>
    </w:p>
    <w:p w14:paraId="168A302E" w14:textId="6F09B316" w:rsidR="002F7C43" w:rsidRPr="002F7C43" w:rsidRDefault="002F7C43" w:rsidP="007922FB">
      <w:pPr>
        <w:pStyle w:val="ListParagraph"/>
        <w:numPr>
          <w:ilvl w:val="0"/>
          <w:numId w:val="7"/>
        </w:numPr>
        <w:ind w:left="714" w:hanging="357"/>
        <w:rPr>
          <w:lang w:val="en-AU"/>
        </w:rPr>
      </w:pPr>
      <w:r>
        <w:rPr>
          <w:i/>
          <w:lang w:val="en-AU"/>
        </w:rPr>
        <w:t xml:space="preserve">Fair Work </w:t>
      </w:r>
      <w:r w:rsidR="00905575">
        <w:rPr>
          <w:i/>
          <w:lang w:val="en-AU"/>
        </w:rPr>
        <w:t>Legislation Amendment (Secure Jobs, Better Pay) Act 2022</w:t>
      </w:r>
      <w:r w:rsidR="00905575">
        <w:rPr>
          <w:lang w:val="en-AU"/>
        </w:rPr>
        <w:t>, which commenced on 7</w:t>
      </w:r>
      <w:r w:rsidR="00AE737F">
        <w:rPr>
          <w:lang w:val="en-AU"/>
        </w:rPr>
        <w:t> </w:t>
      </w:r>
      <w:r w:rsidR="00905575">
        <w:rPr>
          <w:lang w:val="en-AU"/>
        </w:rPr>
        <w:t>December 2022.</w:t>
      </w:r>
    </w:p>
    <w:p w14:paraId="21554452" w14:textId="3EA1A1D3" w:rsidR="00A75889" w:rsidRDefault="00C729BC" w:rsidP="00B9333D">
      <w:r>
        <w:rPr>
          <w:lang w:val="en-AU"/>
        </w:rPr>
        <w:t>The remaining</w:t>
      </w:r>
      <w:r w:rsidR="00A519B2">
        <w:rPr>
          <w:lang w:val="en-AU"/>
        </w:rPr>
        <w:t xml:space="preserve"> </w:t>
      </w:r>
      <w:r w:rsidR="000C1AF1">
        <w:rPr>
          <w:lang w:val="en-AU"/>
        </w:rPr>
        <w:t>recommend</w:t>
      </w:r>
      <w:r w:rsidR="00ED7F3F">
        <w:rPr>
          <w:lang w:val="en-AU"/>
        </w:rPr>
        <w:t xml:space="preserve">ation that requires Commonwealth </w:t>
      </w:r>
      <w:r w:rsidR="00A519B2">
        <w:rPr>
          <w:lang w:val="en-AU"/>
        </w:rPr>
        <w:t xml:space="preserve">legislative action </w:t>
      </w:r>
      <w:r w:rsidR="00E079AF">
        <w:rPr>
          <w:lang w:val="en-AU"/>
        </w:rPr>
        <w:t>is</w:t>
      </w:r>
      <w:r w:rsidR="00A519B2">
        <w:rPr>
          <w:lang w:val="en-AU"/>
        </w:rPr>
        <w:t xml:space="preserve"> recommendation 25</w:t>
      </w:r>
      <w:r w:rsidR="00664826">
        <w:rPr>
          <w:lang w:val="en-AU"/>
        </w:rPr>
        <w:t>,</w:t>
      </w:r>
      <w:r w:rsidR="00A519B2">
        <w:rPr>
          <w:lang w:val="en-AU"/>
        </w:rPr>
        <w:t xml:space="preserve"> </w:t>
      </w:r>
      <w:r w:rsidR="00E079AF">
        <w:rPr>
          <w:lang w:val="en-AU"/>
        </w:rPr>
        <w:t xml:space="preserve">concerning a </w:t>
      </w:r>
      <w:r w:rsidR="00A519B2">
        <w:rPr>
          <w:lang w:val="en-AU"/>
        </w:rPr>
        <w:t>costs</w:t>
      </w:r>
      <w:r w:rsidR="00E079AF">
        <w:rPr>
          <w:lang w:val="en-AU"/>
        </w:rPr>
        <w:t xml:space="preserve"> protection provision for discrimination </w:t>
      </w:r>
      <w:r w:rsidR="00DA415C">
        <w:rPr>
          <w:lang w:val="en-AU"/>
        </w:rPr>
        <w:t xml:space="preserve">matters that proceed to court. </w:t>
      </w:r>
      <w:r w:rsidR="007C55F7">
        <w:rPr>
          <w:lang w:val="en-AU"/>
        </w:rPr>
        <w:t xml:space="preserve">The Respect@Work Report </w:t>
      </w:r>
      <w:r w:rsidR="00A75889">
        <w:t xml:space="preserve">heard that the risk of an adverse cost order acts as a disincentive to applicants considering pursuing their matters under the </w:t>
      </w:r>
      <w:r w:rsidR="00A75889" w:rsidRPr="00890DC9">
        <w:t>Sex Discrimination</w:t>
      </w:r>
      <w:r w:rsidR="00A75889" w:rsidRPr="009A2D9A">
        <w:rPr>
          <w:i/>
        </w:rPr>
        <w:t xml:space="preserve"> </w:t>
      </w:r>
      <w:r w:rsidR="00A75889">
        <w:t xml:space="preserve">Act in the federal courts. The </w:t>
      </w:r>
      <w:r w:rsidR="00AE737F">
        <w:t>Australian Human Rights Commission (</w:t>
      </w:r>
      <w:r w:rsidR="00A75889">
        <w:t>Commission</w:t>
      </w:r>
      <w:r w:rsidR="00AE737F">
        <w:t>)</w:t>
      </w:r>
      <w:r w:rsidR="00A75889">
        <w:t xml:space="preserve"> expressed its concern that this risk may deter applicants from initiating court proceedings and presents access to justice concerns, particularly for vulnerable members of the community.</w:t>
      </w:r>
    </w:p>
    <w:p w14:paraId="7AE416A4" w14:textId="63EB10A8" w:rsidR="009E2BF1" w:rsidRDefault="009E2BF1" w:rsidP="009E2BF1">
      <w:pPr>
        <w:rPr>
          <w:lang w:val="en-AU"/>
        </w:rPr>
      </w:pPr>
      <w:r w:rsidRPr="009E2BF1">
        <w:rPr>
          <w:lang w:val="en-AU"/>
        </w:rPr>
        <w:t xml:space="preserve">While the </w:t>
      </w:r>
      <w:proofErr w:type="spellStart"/>
      <w:r w:rsidRPr="009E2BF1">
        <w:rPr>
          <w:lang w:val="en-AU"/>
        </w:rPr>
        <w:t>Respect@Work</w:t>
      </w:r>
      <w:proofErr w:type="spellEnd"/>
      <w:r w:rsidRPr="009E2BF1">
        <w:rPr>
          <w:lang w:val="en-AU"/>
        </w:rPr>
        <w:t xml:space="preserve"> Report was</w:t>
      </w:r>
      <w:r w:rsidR="00882D88">
        <w:rPr>
          <w:lang w:val="en-AU"/>
        </w:rPr>
        <w:t xml:space="preserve"> particularly</w:t>
      </w:r>
      <w:r w:rsidRPr="009E2BF1">
        <w:rPr>
          <w:lang w:val="en-AU"/>
        </w:rPr>
        <w:t xml:space="preserve"> concerned with </w:t>
      </w:r>
      <w:r w:rsidRPr="009E2BF1">
        <w:t xml:space="preserve">the risk of an adverse cost order acting as a deterrent to applicants bringing complaints under the Sex Discrimination Act in the federal courts, the costs model that would be introduced to implement recommendation 25 would apply to all complaints of discrimination under Commonwealth anti-discrimination law, across all protected </w:t>
      </w:r>
      <w:r w:rsidRPr="009E2BF1">
        <w:lastRenderedPageBreak/>
        <w:t>attributes and all areas of public life covered by those laws – not just employment-related discrimination complaints, and not just complaints made under the Sex Discrimination Act.</w:t>
      </w:r>
    </w:p>
    <w:p w14:paraId="38510709" w14:textId="2E965970" w:rsidR="00B9333D" w:rsidRDefault="00B9333D" w:rsidP="00B9333D">
      <w:pPr>
        <w:rPr>
          <w:lang w:val="en-AU"/>
        </w:rPr>
      </w:pPr>
      <w:r>
        <w:rPr>
          <w:lang w:val="en-AU"/>
        </w:rPr>
        <w:t xml:space="preserve">Recommendation 25 of the Respect@Work Report recommended that a costs protection provision, consistent with section 570 of the Fair Work Act (a ‘hard costs neutrality’ model), be introduced to the AHRC Act. However, in its later publication </w:t>
      </w:r>
      <w:r w:rsidRPr="00FA3776">
        <w:rPr>
          <w:i/>
          <w:lang w:val="en-AU"/>
        </w:rPr>
        <w:t>Free and Equal: A reform agenda for federal discrimination laws</w:t>
      </w:r>
      <w:r>
        <w:rPr>
          <w:lang w:val="en-AU"/>
        </w:rPr>
        <w:t xml:space="preserve"> (December 2021), the Commission recommended a different model – a ‘soft costs neutrality’ model, based on a similar model adopted in the exposure draft of the Human Rights and Anti-Discrimination Bill 2012.</w:t>
      </w:r>
      <w:r w:rsidR="00294E61">
        <w:rPr>
          <w:rStyle w:val="FootnoteReference"/>
          <w:lang w:val="en-AU"/>
        </w:rPr>
        <w:footnoteReference w:id="4"/>
      </w:r>
      <w:r>
        <w:rPr>
          <w:lang w:val="en-AU"/>
        </w:rPr>
        <w:t xml:space="preserve"> </w:t>
      </w:r>
    </w:p>
    <w:p w14:paraId="699EC920" w14:textId="088D8CAE" w:rsidR="00875DD7" w:rsidRDefault="00B9333D" w:rsidP="00C523DA">
      <w:pPr>
        <w:rPr>
          <w:lang w:val="en-AU"/>
        </w:rPr>
      </w:pPr>
      <w:r>
        <w:rPr>
          <w:lang w:val="en-AU"/>
        </w:rPr>
        <w:t>The Respect at Work Bill 2022</w:t>
      </w:r>
      <w:r w:rsidR="003067EB">
        <w:rPr>
          <w:lang w:val="en-AU"/>
        </w:rPr>
        <w:t xml:space="preserve">, introduced to the Parliament on 27 September 2022, </w:t>
      </w:r>
      <w:r>
        <w:rPr>
          <w:lang w:val="en-AU"/>
        </w:rPr>
        <w:t>originally contained a ‘soft costs neutrality’ model (in Schedule 5 of the Bill).</w:t>
      </w:r>
      <w:r w:rsidR="00294E61">
        <w:rPr>
          <w:rStyle w:val="FootnoteReference"/>
          <w:lang w:val="en-AU"/>
        </w:rPr>
        <w:footnoteReference w:id="5"/>
      </w:r>
      <w:r>
        <w:rPr>
          <w:lang w:val="en-AU"/>
        </w:rPr>
        <w:t xml:space="preserve"> Th</w:t>
      </w:r>
      <w:r w:rsidR="000E3BD5">
        <w:rPr>
          <w:lang w:val="en-AU"/>
        </w:rPr>
        <w:t xml:space="preserve">is part of the Bill </w:t>
      </w:r>
      <w:r>
        <w:rPr>
          <w:lang w:val="en-AU"/>
        </w:rPr>
        <w:t xml:space="preserve">was removed </w:t>
      </w:r>
      <w:r w:rsidR="00020595">
        <w:rPr>
          <w:lang w:val="en-AU"/>
        </w:rPr>
        <w:t xml:space="preserve">while the Bill was before the Senate </w:t>
      </w:r>
      <w:r>
        <w:rPr>
          <w:lang w:val="en-AU"/>
        </w:rPr>
        <w:t xml:space="preserve">in response to concerns raised by </w:t>
      </w:r>
      <w:r w:rsidRPr="006C4688">
        <w:rPr>
          <w:lang w:val="en-AU"/>
        </w:rPr>
        <w:t>community legal sector representatives</w:t>
      </w:r>
      <w:r w:rsidR="00036DAB">
        <w:rPr>
          <w:lang w:val="en-AU"/>
        </w:rPr>
        <w:t>,</w:t>
      </w:r>
      <w:r w:rsidRPr="006C4688">
        <w:rPr>
          <w:lang w:val="en-AU"/>
        </w:rPr>
        <w:t xml:space="preserve"> legal professionals</w:t>
      </w:r>
      <w:r w:rsidR="00036DAB">
        <w:rPr>
          <w:lang w:val="en-AU"/>
        </w:rPr>
        <w:t xml:space="preserve"> and others</w:t>
      </w:r>
      <w:r>
        <w:rPr>
          <w:lang w:val="en-AU"/>
        </w:rPr>
        <w:t>.</w:t>
      </w:r>
      <w:r w:rsidR="008E3B8E">
        <w:rPr>
          <w:lang w:val="en-AU"/>
        </w:rPr>
        <w:t xml:space="preserve"> The Government subsequently </w:t>
      </w:r>
      <w:r w:rsidR="006C4688" w:rsidRPr="006C4688">
        <w:rPr>
          <w:lang w:val="en-AU"/>
        </w:rPr>
        <w:t>referred the issue of an appropriate costs model in discrimination proceedings to the Attorney-General’s Department for review</w:t>
      </w:r>
      <w:r w:rsidR="007554C4">
        <w:rPr>
          <w:lang w:val="en-AU"/>
        </w:rPr>
        <w:t>. This was</w:t>
      </w:r>
      <w:r w:rsidR="006C4688" w:rsidRPr="006C4688">
        <w:rPr>
          <w:lang w:val="en-AU"/>
        </w:rPr>
        <w:t xml:space="preserve"> in recognition of the concerns raised by stakeholders</w:t>
      </w:r>
      <w:r w:rsidR="00ED7F3F">
        <w:rPr>
          <w:lang w:val="en-AU"/>
        </w:rPr>
        <w:t xml:space="preserve"> in relation to the model put forward in the Respect at Work Bill 2022</w:t>
      </w:r>
      <w:r w:rsidR="006C4688" w:rsidRPr="006C4688">
        <w:rPr>
          <w:lang w:val="en-AU"/>
        </w:rPr>
        <w:t xml:space="preserve"> and the lack of </w:t>
      </w:r>
      <w:r>
        <w:rPr>
          <w:lang w:val="en-AU"/>
        </w:rPr>
        <w:t>consensus on</w:t>
      </w:r>
      <w:r w:rsidR="006C4688" w:rsidRPr="006C4688">
        <w:rPr>
          <w:lang w:val="en-AU"/>
        </w:rPr>
        <w:t xml:space="preserve"> the most appropriate costs model.</w:t>
      </w:r>
    </w:p>
    <w:p w14:paraId="6C70611A" w14:textId="588D43CE" w:rsidR="00E05F33" w:rsidRDefault="00E05F33" w:rsidP="005306C8">
      <w:pPr>
        <w:pStyle w:val="Heading1"/>
      </w:pPr>
      <w:bookmarkStart w:id="20" w:name="_Toc127809099"/>
      <w:r w:rsidRPr="005306C8">
        <w:t>Scope of this consultation process</w:t>
      </w:r>
      <w:bookmarkEnd w:id="20"/>
    </w:p>
    <w:p w14:paraId="6927B583" w14:textId="77777777" w:rsidR="002E5B7C" w:rsidRDefault="006C4688" w:rsidP="002E5B7C">
      <w:pPr>
        <w:rPr>
          <w:lang w:val="en-AU"/>
        </w:rPr>
      </w:pPr>
      <w:r>
        <w:rPr>
          <w:lang w:val="en-AU"/>
        </w:rPr>
        <w:t>This</w:t>
      </w:r>
      <w:r w:rsidR="00F44C9B">
        <w:rPr>
          <w:lang w:val="en-AU"/>
        </w:rPr>
        <w:t xml:space="preserve"> paper and associated consultation process </w:t>
      </w:r>
      <w:r w:rsidR="000858CC">
        <w:rPr>
          <w:lang w:val="en-AU"/>
        </w:rPr>
        <w:t xml:space="preserve">are concerned with </w:t>
      </w:r>
      <w:r w:rsidR="00F44C9B">
        <w:rPr>
          <w:lang w:val="en-AU"/>
        </w:rPr>
        <w:t xml:space="preserve">determining an appropriate costs protection model for </w:t>
      </w:r>
      <w:r w:rsidR="00654469">
        <w:rPr>
          <w:lang w:val="en-AU"/>
        </w:rPr>
        <w:t>Commonwealth anti-discrimination matters that proceed to court</w:t>
      </w:r>
      <w:r w:rsidR="00F44C9B">
        <w:rPr>
          <w:lang w:val="en-AU"/>
        </w:rPr>
        <w:t>.</w:t>
      </w:r>
      <w:r>
        <w:rPr>
          <w:lang w:val="en-AU"/>
        </w:rPr>
        <w:t xml:space="preserve"> </w:t>
      </w:r>
    </w:p>
    <w:p w14:paraId="7A4F9E5C" w14:textId="1A8DA058" w:rsidR="00D675C1" w:rsidRDefault="005874E7" w:rsidP="002E5B7C">
      <w:pPr>
        <w:rPr>
          <w:lang w:val="en-AU"/>
        </w:rPr>
      </w:pPr>
      <w:r>
        <w:rPr>
          <w:lang w:val="en-AU"/>
        </w:rPr>
        <w:t>D</w:t>
      </w:r>
      <w:r w:rsidR="00C76E47">
        <w:rPr>
          <w:lang w:val="en-AU"/>
        </w:rPr>
        <w:t>iscrimination proceedings</w:t>
      </w:r>
      <w:r>
        <w:rPr>
          <w:lang w:val="en-AU"/>
        </w:rPr>
        <w:t xml:space="preserve"> are</w:t>
      </w:r>
      <w:r w:rsidR="00C76E47">
        <w:rPr>
          <w:lang w:val="en-AU"/>
        </w:rPr>
        <w:t xml:space="preserve"> civil </w:t>
      </w:r>
      <w:r w:rsidR="00FC606B">
        <w:rPr>
          <w:lang w:val="en-AU"/>
        </w:rPr>
        <w:t>in nature</w:t>
      </w:r>
      <w:r>
        <w:rPr>
          <w:lang w:val="en-AU"/>
        </w:rPr>
        <w:t xml:space="preserve">. An applicant must first make a complaint to the Commission, which must </w:t>
      </w:r>
      <w:r w:rsidR="002E5B7C">
        <w:rPr>
          <w:lang w:val="en-AU"/>
        </w:rPr>
        <w:t xml:space="preserve">inquire into and attempt to </w:t>
      </w:r>
      <w:r>
        <w:rPr>
          <w:lang w:val="en-AU"/>
        </w:rPr>
        <w:t>conciliate</w:t>
      </w:r>
      <w:r w:rsidR="00654469">
        <w:rPr>
          <w:lang w:val="en-AU"/>
        </w:rPr>
        <w:t xml:space="preserve"> the complaint</w:t>
      </w:r>
      <w:r w:rsidR="00714F0E">
        <w:rPr>
          <w:lang w:val="en-AU"/>
        </w:rPr>
        <w:t>,</w:t>
      </w:r>
      <w:r w:rsidR="002E5B7C">
        <w:rPr>
          <w:lang w:val="en-AU"/>
        </w:rPr>
        <w:t xml:space="preserve"> unless the President </w:t>
      </w:r>
      <w:r w:rsidR="00D675C1">
        <w:rPr>
          <w:lang w:val="en-AU"/>
        </w:rPr>
        <w:t xml:space="preserve">of the Commission </w:t>
      </w:r>
      <w:r w:rsidR="002E5B7C">
        <w:rPr>
          <w:lang w:val="en-AU"/>
        </w:rPr>
        <w:t xml:space="preserve">is of the opinion that it should be terminated on one of a number of grounds. </w:t>
      </w:r>
    </w:p>
    <w:p w14:paraId="11EE6C05" w14:textId="1BE0A62B" w:rsidR="009B020E" w:rsidRPr="000A016A" w:rsidRDefault="002E5B7C" w:rsidP="00721259">
      <w:pPr>
        <w:rPr>
          <w:lang w:val="en-AU"/>
        </w:rPr>
      </w:pPr>
      <w:r>
        <w:rPr>
          <w:lang w:val="en-AU"/>
        </w:rPr>
        <w:t>O</w:t>
      </w:r>
      <w:r w:rsidR="00654469">
        <w:rPr>
          <w:lang w:val="en-AU"/>
        </w:rPr>
        <w:t xml:space="preserve">nly where a complaint </w:t>
      </w:r>
      <w:r>
        <w:rPr>
          <w:lang w:val="en-AU"/>
        </w:rPr>
        <w:t xml:space="preserve">is terminated, either because </w:t>
      </w:r>
      <w:r w:rsidRPr="002E5B7C">
        <w:rPr>
          <w:lang w:val="en-AU"/>
        </w:rPr>
        <w:t>there is no reasonable prospect of the matter being resolved by conciliation or for another reason</w:t>
      </w:r>
      <w:r w:rsidR="00D675C1">
        <w:rPr>
          <w:lang w:val="en-AU"/>
        </w:rPr>
        <w:t>,</w:t>
      </w:r>
      <w:r w:rsidRPr="002E5B7C">
        <w:rPr>
          <w:lang w:val="en-AU"/>
        </w:rPr>
        <w:t xml:space="preserve"> </w:t>
      </w:r>
      <w:r w:rsidR="00654469">
        <w:rPr>
          <w:lang w:val="en-AU"/>
        </w:rPr>
        <w:t>can the matter</w:t>
      </w:r>
      <w:r w:rsidR="00FC606B">
        <w:rPr>
          <w:lang w:val="en-AU"/>
        </w:rPr>
        <w:t xml:space="preserve"> proceed to court</w:t>
      </w:r>
      <w:r w:rsidR="00654469">
        <w:rPr>
          <w:lang w:val="en-AU"/>
        </w:rPr>
        <w:t>.</w:t>
      </w:r>
      <w:r w:rsidR="00092C90">
        <w:rPr>
          <w:lang w:val="en-AU"/>
        </w:rPr>
        <w:t xml:space="preserve"> </w:t>
      </w:r>
      <w:r w:rsidR="000A0F81">
        <w:rPr>
          <w:lang w:val="en-AU"/>
        </w:rPr>
        <w:t>Depending on the nature of the termination, a</w:t>
      </w:r>
      <w:r w:rsidR="00D675C1">
        <w:rPr>
          <w:lang w:val="en-AU"/>
        </w:rPr>
        <w:t xml:space="preserve">pplicants </w:t>
      </w:r>
      <w:r w:rsidR="000A0F81">
        <w:rPr>
          <w:lang w:val="en-AU"/>
        </w:rPr>
        <w:t xml:space="preserve">may be </w:t>
      </w:r>
      <w:r w:rsidR="00D675C1">
        <w:rPr>
          <w:lang w:val="en-AU"/>
        </w:rPr>
        <w:t>required to seek leave of the relevant court to proceed with the matter to court</w:t>
      </w:r>
      <w:r w:rsidR="00AE737F">
        <w:rPr>
          <w:lang w:val="en-AU"/>
        </w:rPr>
        <w:t>,</w:t>
      </w:r>
      <w:r w:rsidR="00D675C1">
        <w:rPr>
          <w:lang w:val="en-AU"/>
        </w:rPr>
        <w:t xml:space="preserve"> unless the President of the Commission </w:t>
      </w:r>
      <w:r w:rsidR="000A016A">
        <w:rPr>
          <w:lang w:val="en-AU"/>
        </w:rPr>
        <w:t xml:space="preserve">has </w:t>
      </w:r>
      <w:r w:rsidR="00D675C1">
        <w:rPr>
          <w:lang w:val="en-AU"/>
        </w:rPr>
        <w:t xml:space="preserve">terminated the complaint </w:t>
      </w:r>
      <w:r w:rsidR="000A016A">
        <w:rPr>
          <w:lang w:val="en-AU"/>
        </w:rPr>
        <w:t xml:space="preserve">on </w:t>
      </w:r>
      <w:r w:rsidR="00721259">
        <w:rPr>
          <w:lang w:val="en-AU"/>
        </w:rPr>
        <w:t xml:space="preserve">certain </w:t>
      </w:r>
      <w:r w:rsidR="000A016A">
        <w:rPr>
          <w:lang w:val="en-AU"/>
        </w:rPr>
        <w:t>grounds</w:t>
      </w:r>
      <w:r w:rsidR="009B020E" w:rsidRPr="000A016A">
        <w:rPr>
          <w:lang w:val="en-AU"/>
        </w:rPr>
        <w:t>.</w:t>
      </w:r>
      <w:r w:rsidR="009B020E" w:rsidRPr="000A016A">
        <w:rPr>
          <w:rStyle w:val="FootnoteReference"/>
          <w:lang w:val="en-AU"/>
        </w:rPr>
        <w:footnoteReference w:id="6"/>
      </w:r>
      <w:r w:rsidR="009B020E" w:rsidRPr="000A016A">
        <w:rPr>
          <w:lang w:val="en-AU"/>
        </w:rPr>
        <w:t xml:space="preserve"> </w:t>
      </w:r>
      <w:r w:rsidR="000A0F81">
        <w:rPr>
          <w:lang w:val="en-AU"/>
        </w:rPr>
        <w:t xml:space="preserve">There are some grounds for termination where leave is not required to proceed to court, including where there is no reasonable prospect of the matter being resolved by conciliation. </w:t>
      </w:r>
    </w:p>
    <w:p w14:paraId="5E0C97D2" w14:textId="28C08C7B" w:rsidR="000A016A" w:rsidRDefault="000A016A" w:rsidP="002E5B7C">
      <w:pPr>
        <w:rPr>
          <w:lang w:val="en-AU"/>
        </w:rPr>
      </w:pPr>
      <w:r>
        <w:rPr>
          <w:lang w:val="en-AU"/>
        </w:rPr>
        <w:t>The costs model to be implemented at the conclusion of this consultation would apply to discrimination proceedings</w:t>
      </w:r>
      <w:r w:rsidR="00714F0E">
        <w:rPr>
          <w:lang w:val="en-AU"/>
        </w:rPr>
        <w:t xml:space="preserve"> under Commonwealth law</w:t>
      </w:r>
      <w:r>
        <w:rPr>
          <w:lang w:val="en-AU"/>
        </w:rPr>
        <w:t xml:space="preserve"> before the court (specifically, the Federal Court of Australia and the Federal Circuit and Family Court of Australia) during judicial consideration of a discrimination matter. </w:t>
      </w:r>
    </w:p>
    <w:p w14:paraId="32AD2D34" w14:textId="5592DD9E" w:rsidR="004B2121" w:rsidRDefault="004B2121" w:rsidP="004B2121">
      <w:pPr>
        <w:pStyle w:val="Heading1"/>
      </w:pPr>
      <w:bookmarkStart w:id="21" w:name="_Toc127809100"/>
      <w:r w:rsidRPr="005306C8">
        <w:lastRenderedPageBreak/>
        <w:t>How can you engage with the consultation process?</w:t>
      </w:r>
      <w:bookmarkEnd w:id="21"/>
    </w:p>
    <w:p w14:paraId="76DA8C4E" w14:textId="759B2E58" w:rsidR="004B2121" w:rsidRDefault="00AA495C" w:rsidP="00786763">
      <w:pPr>
        <w:rPr>
          <w:lang w:val="en-AU"/>
        </w:rPr>
      </w:pPr>
      <w:r w:rsidRPr="00AA495C">
        <w:rPr>
          <w:lang w:val="en-AU"/>
        </w:rPr>
        <w:t>Individuals and organisations are invited to</w:t>
      </w:r>
      <w:r w:rsidRPr="00786763">
        <w:rPr>
          <w:lang w:val="en-AU"/>
        </w:rPr>
        <w:t xml:space="preserve"> </w:t>
      </w:r>
      <w:r w:rsidR="006F5986">
        <w:rPr>
          <w:lang w:val="en-AU"/>
        </w:rPr>
        <w:t xml:space="preserve">provide </w:t>
      </w:r>
      <w:r w:rsidR="00785EBB">
        <w:rPr>
          <w:lang w:val="en-AU"/>
        </w:rPr>
        <w:t xml:space="preserve">submissions </w:t>
      </w:r>
      <w:r w:rsidR="004D6985">
        <w:rPr>
          <w:lang w:val="en-AU"/>
        </w:rPr>
        <w:t xml:space="preserve">based on </w:t>
      </w:r>
      <w:r w:rsidR="00654469">
        <w:rPr>
          <w:lang w:val="en-AU"/>
        </w:rPr>
        <w:t xml:space="preserve">the issues covered by </w:t>
      </w:r>
      <w:r w:rsidR="004D6985">
        <w:rPr>
          <w:lang w:val="en-AU"/>
        </w:rPr>
        <w:t xml:space="preserve">this consultation paper </w:t>
      </w:r>
      <w:r w:rsidR="006F5986">
        <w:rPr>
          <w:lang w:val="en-AU"/>
        </w:rPr>
        <w:t xml:space="preserve">through the </w:t>
      </w:r>
      <w:r w:rsidR="006F5986" w:rsidRPr="006F5986">
        <w:rPr>
          <w:lang w:val="en-AU"/>
        </w:rPr>
        <w:t>Attorney-General</w:t>
      </w:r>
      <w:r w:rsidR="006F5986">
        <w:rPr>
          <w:lang w:val="en-AU"/>
        </w:rPr>
        <w:t>’</w:t>
      </w:r>
      <w:r w:rsidR="006F5986" w:rsidRPr="006F5986">
        <w:rPr>
          <w:lang w:val="en-AU"/>
        </w:rPr>
        <w:t>s Department</w:t>
      </w:r>
      <w:r w:rsidR="006F5986">
        <w:rPr>
          <w:lang w:val="en-AU"/>
        </w:rPr>
        <w:t xml:space="preserve"> website </w:t>
      </w:r>
      <w:r w:rsidR="009F166F">
        <w:rPr>
          <w:highlight w:val="yellow"/>
          <w:lang w:val="en-AU"/>
        </w:rPr>
        <w:t>at X</w:t>
      </w:r>
      <w:r w:rsidR="004D6985" w:rsidRPr="004D6985">
        <w:rPr>
          <w:lang w:val="en-AU"/>
        </w:rPr>
        <w:t xml:space="preserve"> by </w:t>
      </w:r>
      <w:r w:rsidR="00510316" w:rsidRPr="009F166F">
        <w:rPr>
          <w:lang w:val="en-AU"/>
        </w:rPr>
        <w:t>14</w:t>
      </w:r>
      <w:r w:rsidR="00384EDB" w:rsidRPr="009F166F">
        <w:rPr>
          <w:lang w:val="en-AU"/>
        </w:rPr>
        <w:t xml:space="preserve"> April</w:t>
      </w:r>
      <w:r w:rsidR="00082B1F" w:rsidRPr="009F166F">
        <w:rPr>
          <w:lang w:val="en-AU"/>
        </w:rPr>
        <w:t xml:space="preserve"> 2023</w:t>
      </w:r>
      <w:r w:rsidR="004D6985" w:rsidRPr="009F166F">
        <w:rPr>
          <w:lang w:val="en-AU"/>
        </w:rPr>
        <w:t>.</w:t>
      </w:r>
      <w:r w:rsidR="004D6985">
        <w:rPr>
          <w:lang w:val="en-AU"/>
        </w:rPr>
        <w:t xml:space="preserve"> </w:t>
      </w:r>
    </w:p>
    <w:p w14:paraId="38ABFF3B" w14:textId="77777777" w:rsidR="004B2121" w:rsidRDefault="004B2121" w:rsidP="004B2121">
      <w:pPr>
        <w:pStyle w:val="Heading1"/>
      </w:pPr>
      <w:bookmarkStart w:id="22" w:name="_Toc127809101"/>
      <w:r w:rsidRPr="005306C8">
        <w:t>Seeking support</w:t>
      </w:r>
      <w:bookmarkEnd w:id="22"/>
    </w:p>
    <w:p w14:paraId="396B3E05" w14:textId="2005D504" w:rsidR="004B2121" w:rsidRPr="008B68F3" w:rsidRDefault="004B2121" w:rsidP="004B2121">
      <w:pPr>
        <w:rPr>
          <w:lang w:val="en-AU"/>
        </w:rPr>
      </w:pPr>
      <w:r w:rsidRPr="008B68F3">
        <w:rPr>
          <w:lang w:val="en-AU"/>
        </w:rPr>
        <w:t xml:space="preserve">If you or someone you know needs support or advice, you can contact 1800RESPECT for free, national telephone advice. For information and referrals on discrimination issues, you can contact the Australian Human Rights Commission on 1800 656 419 or email infoservice@humanrights.gov.au or visit their website at https://humanrights.gov.au/complaints/make-complaint </w:t>
      </w:r>
    </w:p>
    <w:p w14:paraId="3C187144" w14:textId="19C5576F" w:rsidR="00ED7F3F" w:rsidRDefault="00ED7F3F" w:rsidP="00770C6E">
      <w:pPr>
        <w:pStyle w:val="Heading1"/>
      </w:pPr>
      <w:bookmarkStart w:id="23" w:name="_Toc127809102"/>
      <w:r>
        <w:t>Why costs reform?</w:t>
      </w:r>
      <w:bookmarkEnd w:id="23"/>
      <w:r>
        <w:t xml:space="preserve"> </w:t>
      </w:r>
    </w:p>
    <w:p w14:paraId="1B40F091" w14:textId="6700B0F1" w:rsidR="00C26146" w:rsidRDefault="00A3204B" w:rsidP="00A3204B">
      <w:pPr>
        <w:spacing w:before="120" w:after="120" w:line="276" w:lineRule="auto"/>
      </w:pPr>
      <w:r>
        <w:t>The costs associated with litigation required to assert an individual’s rights</w:t>
      </w:r>
      <w:r w:rsidR="002C7677">
        <w:t xml:space="preserve"> under discrimination law</w:t>
      </w:r>
      <w:r>
        <w:t xml:space="preserve"> have long been reported as a disincentive to individuals pursuing such litigation.</w:t>
      </w:r>
      <w:r w:rsidR="00C54187">
        <w:rPr>
          <w:rStyle w:val="FootnoteReference"/>
        </w:rPr>
        <w:footnoteReference w:id="7"/>
      </w:r>
      <w:r>
        <w:t xml:space="preserve"> </w:t>
      </w:r>
      <w:r w:rsidR="006266F4">
        <w:t>These costs</w:t>
      </w:r>
      <w:r w:rsidR="006266F4">
        <w:noBreakHyphen/>
        <w:t xml:space="preserve">related </w:t>
      </w:r>
      <w:r w:rsidR="00C46F26">
        <w:t xml:space="preserve">issues </w:t>
      </w:r>
      <w:r w:rsidR="006266F4">
        <w:t>include the risk of an adverse costs order (that is, an order that the applicant pay the respondent’s costs</w:t>
      </w:r>
      <w:r w:rsidR="00627CA8">
        <w:t>, or part of their costs</w:t>
      </w:r>
      <w:r w:rsidR="006266F4">
        <w:t>)</w:t>
      </w:r>
      <w:r w:rsidR="00627CA8">
        <w:t>,</w:t>
      </w:r>
      <w:r w:rsidR="006266F4">
        <w:t xml:space="preserve"> the costs of the litigation itself</w:t>
      </w:r>
      <w:r w:rsidR="00627CA8">
        <w:t xml:space="preserve"> and the damages likely to be awarded if an applicant is successful</w:t>
      </w:r>
      <w:r w:rsidR="006266F4">
        <w:t xml:space="preserve">. </w:t>
      </w:r>
    </w:p>
    <w:p w14:paraId="63BCBE1A" w14:textId="590F24FE" w:rsidR="006266F4" w:rsidRDefault="006F37A9" w:rsidP="00A3204B">
      <w:pPr>
        <w:spacing w:before="120" w:after="120" w:line="276" w:lineRule="auto"/>
      </w:pPr>
      <w:r>
        <w:t>There are</w:t>
      </w:r>
      <w:r w:rsidR="006266F4">
        <w:t xml:space="preserve"> many other barriers to</w:t>
      </w:r>
      <w:r>
        <w:t xml:space="preserve"> applicants</w:t>
      </w:r>
      <w:r w:rsidR="00627CA8">
        <w:t xml:space="preserve"> pursuing litigation, and </w:t>
      </w:r>
      <w:r w:rsidR="00C46F26">
        <w:t xml:space="preserve">the risk of </w:t>
      </w:r>
      <w:r w:rsidR="00E230F1">
        <w:t>costs also</w:t>
      </w:r>
      <w:r w:rsidR="00627CA8">
        <w:t xml:space="preserve"> exist for a respondent who does not have a choice whether to pursue litigation.</w:t>
      </w:r>
    </w:p>
    <w:p w14:paraId="2B4E3D2C" w14:textId="480C181D" w:rsidR="00F9096E" w:rsidRDefault="00C26146" w:rsidP="00A3204B">
      <w:pPr>
        <w:spacing w:before="120" w:after="120" w:line="276" w:lineRule="auto"/>
      </w:pPr>
      <w:r>
        <w:t xml:space="preserve">The Commission’s </w:t>
      </w:r>
      <w:r w:rsidR="00F9096E">
        <w:t xml:space="preserve">Free and Equal </w:t>
      </w:r>
      <w:r>
        <w:t xml:space="preserve">paper </w:t>
      </w:r>
      <w:r w:rsidR="00B32B39">
        <w:t xml:space="preserve">reiterates that ‘the costs that may be incurred in unlawful discrimination proceedings in the </w:t>
      </w:r>
      <w:r w:rsidR="00C46F26">
        <w:t xml:space="preserve">federal </w:t>
      </w:r>
      <w:r w:rsidR="00B32B39">
        <w:t>courts have been identified as a significant deterrent to bringing such proceedings’ and catalogues a series of past reviews into the issue.</w:t>
      </w:r>
      <w:r w:rsidR="00B32B39">
        <w:rPr>
          <w:rStyle w:val="FootnoteReference"/>
        </w:rPr>
        <w:footnoteReference w:id="8"/>
      </w:r>
      <w:r w:rsidR="00B76D62">
        <w:t xml:space="preserve"> The paper also notes this is an issue for respondents.</w:t>
      </w:r>
      <w:r w:rsidR="00B76D62">
        <w:rPr>
          <w:rStyle w:val="FootnoteReference"/>
        </w:rPr>
        <w:footnoteReference w:id="9"/>
      </w:r>
    </w:p>
    <w:p w14:paraId="0A3EAF15" w14:textId="32459AA2" w:rsidR="00A3204B" w:rsidRDefault="00857564" w:rsidP="00A3204B">
      <w:pPr>
        <w:spacing w:before="120" w:after="120" w:line="276" w:lineRule="auto"/>
      </w:pPr>
      <w:r>
        <w:t>In relation to sexual harassment in particular, t</w:t>
      </w:r>
      <w:r w:rsidR="00A3204B">
        <w:t>he Respect@Work Report heard that the risk of</w:t>
      </w:r>
      <w:r w:rsidR="00A35C3B">
        <w:t xml:space="preserve"> an</w:t>
      </w:r>
      <w:r w:rsidR="00A3204B">
        <w:t xml:space="preserve"> adverse cost</w:t>
      </w:r>
      <w:r w:rsidR="00C46F26">
        <w:t>s</w:t>
      </w:r>
      <w:r w:rsidR="00A3204B">
        <w:t xml:space="preserve"> order acts as a disincentive to applicants </w:t>
      </w:r>
      <w:r w:rsidR="00721259">
        <w:t xml:space="preserve">who are </w:t>
      </w:r>
      <w:r w:rsidR="00A3204B">
        <w:t>considering pursuing their matters</w:t>
      </w:r>
      <w:r>
        <w:t xml:space="preserve"> under the Sex Discrimination Act</w:t>
      </w:r>
      <w:r w:rsidR="00A3204B">
        <w:t xml:space="preserve"> in the federal courts. </w:t>
      </w:r>
      <w:r w:rsidR="002821DF">
        <w:t>The report</w:t>
      </w:r>
      <w:r w:rsidR="00A3204B">
        <w:t xml:space="preserve"> noted the current practice, in which costs</w:t>
      </w:r>
      <w:r w:rsidR="00A35C3B">
        <w:t xml:space="preserve"> generally</w:t>
      </w:r>
      <w:r w:rsidR="00A3204B">
        <w:t xml:space="preserve"> follow the event</w:t>
      </w:r>
      <w:r w:rsidR="00FA4BA4">
        <w:t xml:space="preserve"> (see overview of current framework below)</w:t>
      </w:r>
      <w:r w:rsidR="00A3204B">
        <w:t>, means that applicants may be liable for the costs of both parties if they are unsuccessful. Th</w:t>
      </w:r>
      <w:r>
        <w:t xml:space="preserve">e Commission expressed its concern </w:t>
      </w:r>
      <w:r>
        <w:lastRenderedPageBreak/>
        <w:t>that this risk</w:t>
      </w:r>
      <w:r w:rsidR="00E34FD5">
        <w:t xml:space="preserve"> may</w:t>
      </w:r>
      <w:r w:rsidR="00A3204B">
        <w:t xml:space="preserve"> deter applicants from initiating court proceedings and presents access to justice concerns, particularly for vulnerable members of the community.</w:t>
      </w:r>
      <w:r w:rsidR="00E34FD5">
        <w:rPr>
          <w:rStyle w:val="FootnoteReference"/>
        </w:rPr>
        <w:footnoteReference w:id="10"/>
      </w:r>
    </w:p>
    <w:p w14:paraId="057583D5" w14:textId="1305E821" w:rsidR="0060037E" w:rsidRDefault="0060037E" w:rsidP="00A3204B">
      <w:pPr>
        <w:spacing w:before="120" w:after="120" w:line="276" w:lineRule="auto"/>
      </w:pPr>
      <w:r>
        <w:t xml:space="preserve">This section </w:t>
      </w:r>
      <w:r w:rsidR="008502AE">
        <w:t xml:space="preserve">situates the need for costs reform within a discussion of </w:t>
      </w:r>
      <w:r w:rsidR="00904B92">
        <w:t>how the current legal framework for resolving costs in discrimination matters at the federal level operates</w:t>
      </w:r>
      <w:r w:rsidR="008502AE">
        <w:t>.</w:t>
      </w:r>
      <w:r w:rsidR="00904B92">
        <w:t xml:space="preserve"> It also compares how the anti-discrimination framework operates at the federal level with the state and territory level</w:t>
      </w:r>
      <w:r w:rsidR="007A40D6">
        <w:t>, given the significant difference in opportunities for applicants to pursue their matter in a no or low-costs jurisdiction</w:t>
      </w:r>
      <w:r w:rsidR="00904B92">
        <w:t xml:space="preserve">. </w:t>
      </w:r>
    </w:p>
    <w:p w14:paraId="53338EA1" w14:textId="0206024B" w:rsidR="0060037E" w:rsidRDefault="0060037E" w:rsidP="0060037E">
      <w:pPr>
        <w:pStyle w:val="Heading2"/>
      </w:pPr>
      <w:bookmarkStart w:id="24" w:name="_Toc127809103"/>
      <w:r>
        <w:t>Overview of current framework</w:t>
      </w:r>
      <w:bookmarkEnd w:id="24"/>
      <w:r>
        <w:t xml:space="preserve"> </w:t>
      </w:r>
    </w:p>
    <w:p w14:paraId="79F64BCF" w14:textId="64A6FA6D" w:rsidR="009730C9" w:rsidRDefault="0060037E" w:rsidP="00BA46EA">
      <w:pPr>
        <w:spacing w:before="120" w:after="120" w:line="276" w:lineRule="auto"/>
        <w:rPr>
          <w:rFonts w:cstheme="minorHAnsi"/>
        </w:rPr>
      </w:pPr>
      <w:r w:rsidRPr="00F41B9E">
        <w:rPr>
          <w:rFonts w:cstheme="minorHAnsi"/>
        </w:rPr>
        <w:t>There are currently no specific provisions guiding how costs are awarded in discrimination matters before a federal court. Costs are awarded according to the general discretion of the court, as provided for by relevant provisions in each federal court’s statute,</w:t>
      </w:r>
      <w:r w:rsidRPr="00390B39">
        <w:rPr>
          <w:vertAlign w:val="superscript"/>
        </w:rPr>
        <w:footnoteReference w:id="11"/>
      </w:r>
      <w:r w:rsidRPr="00F41B9E">
        <w:rPr>
          <w:rFonts w:cstheme="minorHAnsi"/>
        </w:rPr>
        <w:t xml:space="preserve"> which are referred to in</w:t>
      </w:r>
      <w:r>
        <w:rPr>
          <w:rFonts w:cstheme="minorHAnsi"/>
        </w:rPr>
        <w:t xml:space="preserve"> notes below</w:t>
      </w:r>
      <w:r w:rsidRPr="00F41B9E">
        <w:rPr>
          <w:rFonts w:cstheme="minorHAnsi"/>
        </w:rPr>
        <w:t xml:space="preserve"> subsection 46</w:t>
      </w:r>
      <w:proofErr w:type="gramStart"/>
      <w:r w:rsidRPr="00F41B9E">
        <w:rPr>
          <w:rFonts w:cstheme="minorHAnsi"/>
        </w:rPr>
        <w:t>PO(</w:t>
      </w:r>
      <w:proofErr w:type="gramEnd"/>
      <w:r w:rsidRPr="00F41B9E">
        <w:rPr>
          <w:rFonts w:cstheme="minorHAnsi"/>
        </w:rPr>
        <w:t xml:space="preserve">4) of the AHRC Act. </w:t>
      </w:r>
      <w:r>
        <w:rPr>
          <w:rFonts w:cstheme="minorHAnsi"/>
        </w:rPr>
        <w:t>These provisions provide the courts with broad discretion to award costs as they see fit. In the case of the Federal Court of Australia in particular, the relevant provision provides a non-exhaustive list of options for the way</w:t>
      </w:r>
      <w:r w:rsidR="004E57FA">
        <w:rPr>
          <w:rFonts w:cstheme="minorHAnsi"/>
        </w:rPr>
        <w:t>s</w:t>
      </w:r>
      <w:r>
        <w:rPr>
          <w:rFonts w:cstheme="minorHAnsi"/>
        </w:rPr>
        <w:t xml:space="preserve"> in which the court can award costs, including making a</w:t>
      </w:r>
      <w:r w:rsidRPr="00390B39">
        <w:rPr>
          <w:rFonts w:cstheme="minorHAnsi"/>
        </w:rPr>
        <w:t>n award of costs at any stage in a proceeding</w:t>
      </w:r>
      <w:r>
        <w:rPr>
          <w:rFonts w:cstheme="minorHAnsi"/>
        </w:rPr>
        <w:t xml:space="preserve"> </w:t>
      </w:r>
      <w:r w:rsidRPr="00390B39">
        <w:rPr>
          <w:rFonts w:cstheme="minorHAnsi"/>
        </w:rPr>
        <w:t>whether before, during or after any hearing or trial</w:t>
      </w:r>
      <w:r w:rsidR="004E57FA">
        <w:rPr>
          <w:rFonts w:cstheme="minorHAnsi"/>
        </w:rPr>
        <w:t>,</w:t>
      </w:r>
      <w:r>
        <w:rPr>
          <w:rFonts w:cstheme="minorHAnsi"/>
        </w:rPr>
        <w:t xml:space="preserve"> and awarding costs </w:t>
      </w:r>
      <w:r w:rsidRPr="00390B39">
        <w:rPr>
          <w:rFonts w:cstheme="minorHAnsi"/>
        </w:rPr>
        <w:t xml:space="preserve">in </w:t>
      </w:r>
      <w:proofErr w:type="spellStart"/>
      <w:r w:rsidRPr="00390B39">
        <w:rPr>
          <w:rFonts w:cstheme="minorHAnsi"/>
        </w:rPr>
        <w:t>favour</w:t>
      </w:r>
      <w:proofErr w:type="spellEnd"/>
      <w:r w:rsidRPr="00390B39">
        <w:rPr>
          <w:rFonts w:cstheme="minorHAnsi"/>
        </w:rPr>
        <w:t xml:space="preserve"> of or against a party whether or not the party is successful in the proceeding</w:t>
      </w:r>
      <w:r>
        <w:rPr>
          <w:rFonts w:cstheme="minorHAnsi"/>
        </w:rPr>
        <w:t>.</w:t>
      </w:r>
      <w:r>
        <w:rPr>
          <w:rStyle w:val="FootnoteReference"/>
          <w:rFonts w:cstheme="minorHAnsi"/>
        </w:rPr>
        <w:footnoteReference w:id="12"/>
      </w:r>
      <w:r>
        <w:rPr>
          <w:rFonts w:cstheme="minorHAnsi"/>
        </w:rPr>
        <w:t xml:space="preserve"> </w:t>
      </w:r>
    </w:p>
    <w:p w14:paraId="54EBF6EB" w14:textId="033E586F" w:rsidR="00BA46EA" w:rsidRDefault="009730C9" w:rsidP="00BA46EA">
      <w:pPr>
        <w:spacing w:before="120" w:after="120" w:line="276" w:lineRule="auto"/>
        <w:rPr>
          <w:rFonts w:cstheme="minorHAnsi"/>
        </w:rPr>
      </w:pPr>
      <w:r>
        <w:rPr>
          <w:rFonts w:cstheme="minorHAnsi"/>
        </w:rPr>
        <w:t>T</w:t>
      </w:r>
      <w:r w:rsidR="00904B92">
        <w:rPr>
          <w:rFonts w:cstheme="minorHAnsi"/>
        </w:rPr>
        <w:t xml:space="preserve">he Federal Court Rules provide the </w:t>
      </w:r>
      <w:r w:rsidR="00C47DA5">
        <w:rPr>
          <w:rFonts w:cstheme="minorHAnsi"/>
        </w:rPr>
        <w:t xml:space="preserve">Court </w:t>
      </w:r>
      <w:r w:rsidR="00904B92">
        <w:rPr>
          <w:rFonts w:cstheme="minorHAnsi"/>
        </w:rPr>
        <w:t>with the power to issue a ‘cost</w:t>
      </w:r>
      <w:r w:rsidR="00904B92">
        <w:rPr>
          <w:rFonts w:cstheme="minorHAnsi"/>
        </w:rPr>
        <w:noBreakHyphen/>
        <w:t>capping’ or ‘maximum costs’ order,</w:t>
      </w:r>
      <w:r w:rsidR="00BA46EA">
        <w:rPr>
          <w:rStyle w:val="FootnoteReference"/>
          <w:rFonts w:cstheme="minorHAnsi"/>
        </w:rPr>
        <w:footnoteReference w:id="13"/>
      </w:r>
      <w:r w:rsidR="00904B92">
        <w:rPr>
          <w:rFonts w:cstheme="minorHAnsi"/>
        </w:rPr>
        <w:t xml:space="preserve"> which parties can seek from the </w:t>
      </w:r>
      <w:r w:rsidR="00C47DA5">
        <w:rPr>
          <w:rFonts w:cstheme="minorHAnsi"/>
        </w:rPr>
        <w:t xml:space="preserve">Court </w:t>
      </w:r>
      <w:r w:rsidR="00904B92">
        <w:rPr>
          <w:rFonts w:cstheme="minorHAnsi"/>
        </w:rPr>
        <w:t>or can be issued proactively</w:t>
      </w:r>
      <w:r w:rsidR="00904B92" w:rsidRPr="00904B92">
        <w:rPr>
          <w:rFonts w:cstheme="minorHAnsi"/>
        </w:rPr>
        <w:t xml:space="preserve"> </w:t>
      </w:r>
      <w:r w:rsidR="00904B92">
        <w:rPr>
          <w:rFonts w:cstheme="minorHAnsi"/>
        </w:rPr>
        <w:t xml:space="preserve">by the </w:t>
      </w:r>
      <w:r w:rsidR="00C47DA5">
        <w:rPr>
          <w:rFonts w:cstheme="minorHAnsi"/>
        </w:rPr>
        <w:t xml:space="preserve">Court </w:t>
      </w:r>
      <w:r w:rsidR="00904B92">
        <w:rPr>
          <w:rFonts w:cstheme="minorHAnsi"/>
        </w:rPr>
        <w:t>on its own motion.</w:t>
      </w:r>
      <w:r w:rsidR="00904B92">
        <w:rPr>
          <w:rStyle w:val="FootnoteReference"/>
          <w:rFonts w:cstheme="minorHAnsi"/>
        </w:rPr>
        <w:footnoteReference w:id="14"/>
      </w:r>
      <w:r w:rsidR="00904B92">
        <w:rPr>
          <w:rFonts w:cstheme="minorHAnsi"/>
        </w:rPr>
        <w:t xml:space="preserve"> In </w:t>
      </w:r>
      <w:r w:rsidR="00BA46EA">
        <w:rPr>
          <w:rFonts w:cstheme="minorHAnsi"/>
        </w:rPr>
        <w:t>determining</w:t>
      </w:r>
      <w:r w:rsidR="00904B92">
        <w:rPr>
          <w:rFonts w:cstheme="minorHAnsi"/>
        </w:rPr>
        <w:t xml:space="preserve"> whether such an order is appropriate, the </w:t>
      </w:r>
      <w:r w:rsidR="00C47DA5">
        <w:rPr>
          <w:rFonts w:cstheme="minorHAnsi"/>
        </w:rPr>
        <w:t xml:space="preserve">Court </w:t>
      </w:r>
      <w:r w:rsidR="00904B92">
        <w:rPr>
          <w:rFonts w:cstheme="minorHAnsi"/>
        </w:rPr>
        <w:t xml:space="preserve">will </w:t>
      </w:r>
      <w:r w:rsidR="00BA46EA">
        <w:rPr>
          <w:rFonts w:cstheme="minorHAnsi"/>
        </w:rPr>
        <w:t xml:space="preserve">consider </w:t>
      </w:r>
      <w:r w:rsidR="00BA46EA" w:rsidRPr="00BA46EA">
        <w:rPr>
          <w:rFonts w:cstheme="minorHAnsi"/>
        </w:rPr>
        <w:t>a range of matters, including the consequences of making such an order from the perspective of all parties, the timing of the application, the complexity of the factual or legal issues raised, the amount of damages raised, the nature of the remedies sought, the impact on the parties of making such an order and whether there is a public interest element to the case</w:t>
      </w:r>
      <w:r w:rsidR="00BA46EA">
        <w:rPr>
          <w:rFonts w:cstheme="minorHAnsi"/>
        </w:rPr>
        <w:t>.</w:t>
      </w:r>
      <w:r w:rsidR="00BA46EA">
        <w:rPr>
          <w:rStyle w:val="FootnoteReference"/>
          <w:rFonts w:cstheme="minorHAnsi"/>
        </w:rPr>
        <w:footnoteReference w:id="15"/>
      </w:r>
    </w:p>
    <w:p w14:paraId="01118C1B" w14:textId="147A4D95" w:rsidR="009730C9" w:rsidRDefault="009730C9" w:rsidP="00BA46EA">
      <w:pPr>
        <w:spacing w:before="120" w:after="120" w:line="276" w:lineRule="auto"/>
        <w:rPr>
          <w:rFonts w:cstheme="minorHAnsi"/>
        </w:rPr>
      </w:pPr>
      <w:r>
        <w:rPr>
          <w:rFonts w:cstheme="minorHAnsi"/>
        </w:rPr>
        <w:t xml:space="preserve">As part of their broad discretion, the courts can also issue no costs order </w:t>
      </w:r>
      <w:r w:rsidR="00C47DA5">
        <w:rPr>
          <w:rFonts w:cstheme="minorHAnsi"/>
        </w:rPr>
        <w:t>which means that</w:t>
      </w:r>
      <w:r w:rsidR="003677B8">
        <w:rPr>
          <w:rFonts w:cstheme="minorHAnsi"/>
        </w:rPr>
        <w:t xml:space="preserve"> costs are not to be awarded, leaving each </w:t>
      </w:r>
      <w:r w:rsidR="006F37A9">
        <w:rPr>
          <w:rFonts w:cstheme="minorHAnsi"/>
        </w:rPr>
        <w:t>party</w:t>
      </w:r>
      <w:r w:rsidR="003677B8">
        <w:rPr>
          <w:rFonts w:cstheme="minorHAnsi"/>
        </w:rPr>
        <w:t xml:space="preserve"> to bear their own costs. </w:t>
      </w:r>
    </w:p>
    <w:p w14:paraId="19C094B1" w14:textId="77777777" w:rsidR="004640E4" w:rsidRDefault="004640E4" w:rsidP="004640E4">
      <w:pPr>
        <w:pStyle w:val="Heading2"/>
      </w:pPr>
      <w:bookmarkStart w:id="25" w:name="_Toc127809104"/>
      <w:r>
        <w:lastRenderedPageBreak/>
        <w:t>Issues with the current legal framework</w:t>
      </w:r>
      <w:bookmarkEnd w:id="25"/>
    </w:p>
    <w:p w14:paraId="16EB795A" w14:textId="30430299" w:rsidR="00D55F2A" w:rsidRDefault="004E57FA" w:rsidP="0060037E">
      <w:pPr>
        <w:spacing w:before="120" w:after="120" w:line="276" w:lineRule="auto"/>
        <w:rPr>
          <w:rFonts w:cstheme="minorHAnsi"/>
        </w:rPr>
      </w:pPr>
      <w:r>
        <w:rPr>
          <w:rFonts w:cstheme="minorHAnsi"/>
        </w:rPr>
        <w:t>In</w:t>
      </w:r>
      <w:r w:rsidR="0060037E">
        <w:rPr>
          <w:rFonts w:cstheme="minorHAnsi"/>
        </w:rPr>
        <w:t xml:space="preserve"> discrimination proceedings</w:t>
      </w:r>
      <w:r w:rsidR="00763DFE">
        <w:rPr>
          <w:rFonts w:cstheme="minorHAnsi"/>
        </w:rPr>
        <w:t xml:space="preserve">, </w:t>
      </w:r>
      <w:r>
        <w:rPr>
          <w:rFonts w:cstheme="minorHAnsi"/>
        </w:rPr>
        <w:t xml:space="preserve">it is most common for the courts to </w:t>
      </w:r>
      <w:r w:rsidR="0060037E">
        <w:rPr>
          <w:rFonts w:cstheme="minorHAnsi"/>
        </w:rPr>
        <w:t xml:space="preserve">either make no costs orders or </w:t>
      </w:r>
      <w:r w:rsidR="0060037E" w:rsidRPr="00F41B9E">
        <w:rPr>
          <w:rFonts w:cstheme="minorHAnsi"/>
        </w:rPr>
        <w:t xml:space="preserve">follow the practice of awarding costs </w:t>
      </w:r>
      <w:r w:rsidR="0060037E">
        <w:rPr>
          <w:rFonts w:cstheme="minorHAnsi"/>
        </w:rPr>
        <w:t>‘</w:t>
      </w:r>
      <w:r w:rsidR="0060037E" w:rsidRPr="00F41B9E">
        <w:rPr>
          <w:rFonts w:cstheme="minorHAnsi"/>
        </w:rPr>
        <w:t>after the event</w:t>
      </w:r>
      <w:r w:rsidR="0060037E">
        <w:rPr>
          <w:rFonts w:cstheme="minorHAnsi"/>
        </w:rPr>
        <w:t>’</w:t>
      </w:r>
      <w:r w:rsidR="0060037E" w:rsidRPr="00F41B9E">
        <w:rPr>
          <w:rFonts w:cstheme="minorHAnsi"/>
        </w:rPr>
        <w:t xml:space="preserve"> according to </w:t>
      </w:r>
      <w:r w:rsidR="0060037E">
        <w:rPr>
          <w:rFonts w:cstheme="minorHAnsi"/>
        </w:rPr>
        <w:t>which party</w:t>
      </w:r>
      <w:r w:rsidR="0060037E" w:rsidRPr="00F41B9E">
        <w:rPr>
          <w:rFonts w:cstheme="minorHAnsi"/>
        </w:rPr>
        <w:t xml:space="preserve"> was successful.</w:t>
      </w:r>
      <w:r w:rsidR="007F73F1">
        <w:rPr>
          <w:rStyle w:val="FootnoteReference"/>
          <w:rFonts w:cstheme="minorHAnsi"/>
        </w:rPr>
        <w:footnoteReference w:id="16"/>
      </w:r>
      <w:r w:rsidR="0060037E" w:rsidRPr="00F41B9E">
        <w:rPr>
          <w:rFonts w:cstheme="minorHAnsi"/>
        </w:rPr>
        <w:t xml:space="preserve"> </w:t>
      </w:r>
      <w:r w:rsidR="0060037E">
        <w:rPr>
          <w:rFonts w:cstheme="minorHAnsi"/>
        </w:rPr>
        <w:t>In the case of no costs orders, this means that parties bear their own costs; in the case of awarding costs ‘after the event’, t</w:t>
      </w:r>
      <w:r w:rsidR="0060037E" w:rsidRPr="00F41B9E">
        <w:rPr>
          <w:rFonts w:cstheme="minorHAnsi"/>
        </w:rPr>
        <w:t xml:space="preserve">his means that the unsuccessful party, whether the applicant or respondent, </w:t>
      </w:r>
      <w:r w:rsidR="0060037E">
        <w:rPr>
          <w:rFonts w:cstheme="minorHAnsi"/>
        </w:rPr>
        <w:t xml:space="preserve">is </w:t>
      </w:r>
      <w:r w:rsidR="0060037E" w:rsidRPr="00F41B9E">
        <w:rPr>
          <w:rFonts w:cstheme="minorHAnsi"/>
        </w:rPr>
        <w:t xml:space="preserve">required to pay the costs of </w:t>
      </w:r>
      <w:r w:rsidR="0060037E">
        <w:rPr>
          <w:rFonts w:cstheme="minorHAnsi"/>
        </w:rPr>
        <w:t>the respondent (as well as their own)</w:t>
      </w:r>
      <w:r w:rsidR="0060037E" w:rsidRPr="00F41B9E">
        <w:rPr>
          <w:rFonts w:cstheme="minorHAnsi"/>
        </w:rPr>
        <w:t xml:space="preserve">. </w:t>
      </w:r>
    </w:p>
    <w:p w14:paraId="2669D7D3" w14:textId="2A897A13" w:rsidR="00D55F2A" w:rsidRDefault="00BB3E0C" w:rsidP="00551F25">
      <w:pPr>
        <w:spacing w:before="120" w:after="120" w:line="276" w:lineRule="auto"/>
        <w:rPr>
          <w:rFonts w:cstheme="minorHAnsi"/>
          <w:lang w:val="en-AU"/>
        </w:rPr>
      </w:pPr>
      <w:r>
        <w:rPr>
          <w:rFonts w:cstheme="minorHAnsi"/>
        </w:rPr>
        <w:t>A</w:t>
      </w:r>
      <w:r w:rsidR="00D55F2A">
        <w:rPr>
          <w:rFonts w:cstheme="minorHAnsi"/>
          <w:lang w:val="en-AU"/>
        </w:rPr>
        <w:t>cross federal discrimination proceedings, while no costs orders are the most common order (regardless of outcome), the number of costs orders made against applicants has increased over time, and costs orders are made less frequently against respondents.</w:t>
      </w:r>
      <w:r w:rsidR="00D55F2A">
        <w:rPr>
          <w:rStyle w:val="FootnoteReference"/>
          <w:rFonts w:cstheme="minorHAnsi"/>
          <w:lang w:val="en-AU"/>
        </w:rPr>
        <w:footnoteReference w:id="17"/>
      </w:r>
      <w:r w:rsidR="00D55F2A">
        <w:rPr>
          <w:rFonts w:cstheme="minorHAnsi"/>
          <w:lang w:val="en-AU"/>
        </w:rPr>
        <w:t xml:space="preserve"> In relation to sexual harassment proceedings in particular</w:t>
      </w:r>
      <w:r w:rsidR="00743D0D">
        <w:rPr>
          <w:rFonts w:cstheme="minorHAnsi"/>
          <w:lang w:val="en-AU"/>
        </w:rPr>
        <w:t xml:space="preserve">, </w:t>
      </w:r>
      <w:r w:rsidR="007D6A25">
        <w:rPr>
          <w:rFonts w:cstheme="minorHAnsi"/>
          <w:lang w:val="en-AU"/>
        </w:rPr>
        <w:t>ANU</w:t>
      </w:r>
      <w:r w:rsidR="00087BDD">
        <w:rPr>
          <w:rFonts w:cstheme="minorHAnsi"/>
          <w:lang w:val="en-AU"/>
        </w:rPr>
        <w:t xml:space="preserve"> </w:t>
      </w:r>
      <w:r w:rsidR="00176B2B">
        <w:rPr>
          <w:rFonts w:cstheme="minorHAnsi"/>
          <w:lang w:val="en-AU"/>
        </w:rPr>
        <w:t>research</w:t>
      </w:r>
      <w:r w:rsidR="007D6A25">
        <w:rPr>
          <w:rFonts w:cstheme="minorHAnsi"/>
          <w:lang w:val="en-AU"/>
        </w:rPr>
        <w:t xml:space="preserve"> </w:t>
      </w:r>
      <w:r w:rsidR="001A212F">
        <w:rPr>
          <w:rFonts w:cstheme="minorHAnsi"/>
          <w:lang w:val="en-AU"/>
        </w:rPr>
        <w:t xml:space="preserve">has </w:t>
      </w:r>
      <w:r w:rsidR="00743D0D">
        <w:rPr>
          <w:rFonts w:cstheme="minorHAnsi"/>
          <w:lang w:val="en-AU"/>
        </w:rPr>
        <w:t>identified that</w:t>
      </w:r>
      <w:r w:rsidR="00D55F2A">
        <w:rPr>
          <w:rFonts w:cstheme="minorHAnsi"/>
          <w:lang w:val="en-AU"/>
        </w:rPr>
        <w:t xml:space="preserve"> </w:t>
      </w:r>
      <w:r w:rsidR="00D55F2A">
        <w:rPr>
          <w:rFonts w:cstheme="minorHAnsi"/>
        </w:rPr>
        <w:t>s</w:t>
      </w:r>
      <w:r w:rsidR="00D55F2A" w:rsidRPr="00F41B9E">
        <w:rPr>
          <w:rFonts w:cstheme="minorHAnsi"/>
        </w:rPr>
        <w:t xml:space="preserve">ince 2001, </w:t>
      </w:r>
      <w:r w:rsidR="00D55F2A">
        <w:rPr>
          <w:rFonts w:cstheme="minorHAnsi"/>
        </w:rPr>
        <w:t>applica</w:t>
      </w:r>
      <w:r w:rsidR="00D55F2A" w:rsidRPr="00F41B9E">
        <w:rPr>
          <w:rFonts w:cstheme="minorHAnsi"/>
        </w:rPr>
        <w:t xml:space="preserve">nts have been ordered to pay the respondent’s costs in 56% of cases where the </w:t>
      </w:r>
      <w:r w:rsidR="00D55F2A">
        <w:rPr>
          <w:rFonts w:cstheme="minorHAnsi"/>
        </w:rPr>
        <w:t xml:space="preserve">applicant </w:t>
      </w:r>
      <w:r w:rsidR="00D55F2A" w:rsidRPr="00F41B9E">
        <w:rPr>
          <w:rFonts w:cstheme="minorHAnsi"/>
        </w:rPr>
        <w:t>was unsuccessful</w:t>
      </w:r>
      <w:r w:rsidR="00D55F2A">
        <w:rPr>
          <w:rFonts w:cstheme="minorHAnsi"/>
        </w:rPr>
        <w:t xml:space="preserve"> and sometimes even when the applica</w:t>
      </w:r>
      <w:r w:rsidR="001A212F">
        <w:rPr>
          <w:rFonts w:cstheme="minorHAnsi"/>
        </w:rPr>
        <w:t>n</w:t>
      </w:r>
      <w:r w:rsidR="00D55F2A">
        <w:rPr>
          <w:rFonts w:cstheme="minorHAnsi"/>
        </w:rPr>
        <w:t>t was successful</w:t>
      </w:r>
      <w:r w:rsidR="00D55F2A" w:rsidRPr="00F41B9E">
        <w:rPr>
          <w:rFonts w:cstheme="minorHAnsi"/>
        </w:rPr>
        <w:t>.</w:t>
      </w:r>
      <w:r w:rsidR="00D55F2A">
        <w:rPr>
          <w:rStyle w:val="FootnoteReference"/>
          <w:rFonts w:cstheme="minorHAnsi"/>
        </w:rPr>
        <w:footnoteReference w:id="18"/>
      </w:r>
      <w:r w:rsidR="00D55F2A">
        <w:rPr>
          <w:rFonts w:cstheme="minorHAnsi"/>
          <w:lang w:val="en-AU"/>
        </w:rPr>
        <w:t xml:space="preserve"> </w:t>
      </w:r>
      <w:r w:rsidR="006F37A9">
        <w:rPr>
          <w:rFonts w:cstheme="minorHAnsi"/>
          <w:lang w:val="en-AU"/>
        </w:rPr>
        <w:t>The ANU observed that s</w:t>
      </w:r>
      <w:r w:rsidR="00545291">
        <w:rPr>
          <w:rFonts w:cstheme="minorHAnsi"/>
          <w:lang w:val="en-AU"/>
        </w:rPr>
        <w:t xml:space="preserve">ince </w:t>
      </w:r>
      <w:r w:rsidR="006F37A9">
        <w:rPr>
          <w:rFonts w:cstheme="minorHAnsi"/>
          <w:lang w:val="en-AU"/>
        </w:rPr>
        <w:t>adjudicative proceedings moved to the courts</w:t>
      </w:r>
      <w:r w:rsidR="00545291">
        <w:rPr>
          <w:rFonts w:cstheme="minorHAnsi"/>
          <w:lang w:val="en-AU"/>
        </w:rPr>
        <w:t>, costs orders at the federal level have increased considerably.</w:t>
      </w:r>
      <w:r w:rsidR="00545291">
        <w:rPr>
          <w:rStyle w:val="FootnoteReference"/>
          <w:rFonts w:cstheme="minorHAnsi"/>
          <w:lang w:val="en-AU"/>
        </w:rPr>
        <w:footnoteReference w:id="19"/>
      </w:r>
    </w:p>
    <w:p w14:paraId="74958B06" w14:textId="43CC907C" w:rsidR="009C471D" w:rsidRDefault="00743D0D" w:rsidP="0060037E">
      <w:pPr>
        <w:spacing w:before="120" w:after="120" w:line="276" w:lineRule="auto"/>
        <w:rPr>
          <w:rFonts w:cstheme="minorHAnsi"/>
        </w:rPr>
      </w:pPr>
      <w:r>
        <w:rPr>
          <w:rFonts w:cstheme="minorHAnsi"/>
        </w:rPr>
        <w:t xml:space="preserve">Although </w:t>
      </w:r>
      <w:r w:rsidR="009C471D">
        <w:rPr>
          <w:rFonts w:cstheme="minorHAnsi"/>
        </w:rPr>
        <w:t xml:space="preserve"> courts </w:t>
      </w:r>
      <w:r>
        <w:rPr>
          <w:rFonts w:cstheme="minorHAnsi"/>
        </w:rPr>
        <w:t>have the</w:t>
      </w:r>
      <w:r w:rsidR="009C471D">
        <w:rPr>
          <w:rFonts w:cstheme="minorHAnsi"/>
        </w:rPr>
        <w:t xml:space="preserve"> power to issue cost-capping orders, </w:t>
      </w:r>
      <w:r w:rsidR="006F37A9">
        <w:rPr>
          <w:rFonts w:cstheme="minorHAnsi"/>
        </w:rPr>
        <w:t xml:space="preserve">which </w:t>
      </w:r>
      <w:r w:rsidR="009C471D">
        <w:rPr>
          <w:rFonts w:cstheme="minorHAnsi"/>
        </w:rPr>
        <w:t>put a limit on the costs that can be recovered, these are rarely made</w:t>
      </w:r>
      <w:r w:rsidR="002D34EC">
        <w:rPr>
          <w:rFonts w:cstheme="minorHAnsi"/>
        </w:rPr>
        <w:t>.</w:t>
      </w:r>
      <w:r w:rsidR="002D34EC">
        <w:rPr>
          <w:rStyle w:val="FootnoteReference"/>
          <w:rFonts w:cstheme="minorHAnsi"/>
        </w:rPr>
        <w:footnoteReference w:id="20"/>
      </w:r>
      <w:r w:rsidR="002D34EC">
        <w:rPr>
          <w:rFonts w:cstheme="minorHAnsi"/>
        </w:rPr>
        <w:t xml:space="preserve"> T</w:t>
      </w:r>
      <w:r w:rsidR="009C471D" w:rsidRPr="00E0134B">
        <w:rPr>
          <w:rFonts w:ascii="Calibri" w:hAnsi="Calibri" w:cs="Calibri"/>
          <w:color w:val="000000"/>
          <w:lang w:val="en-AU"/>
        </w:rPr>
        <w:t>he courts have been cautious to award costs at an early stage in the proceedings on the basis that parties should be given a reasonable opportunity to get their case in order or otherwise they may be deterred from taking action.</w:t>
      </w:r>
      <w:r w:rsidR="009C471D">
        <w:rPr>
          <w:rStyle w:val="FootnoteReference"/>
          <w:rFonts w:ascii="Calibri" w:hAnsi="Calibri" w:cs="Calibri"/>
          <w:color w:val="000000"/>
          <w:lang w:val="en-AU"/>
        </w:rPr>
        <w:footnoteReference w:id="21"/>
      </w:r>
      <w:r w:rsidR="009C471D" w:rsidRPr="00E0134B">
        <w:rPr>
          <w:rFonts w:ascii="Calibri" w:hAnsi="Calibri" w:cs="Calibri"/>
          <w:color w:val="000000"/>
          <w:sz w:val="14"/>
          <w:szCs w:val="14"/>
          <w:lang w:val="en-AU"/>
        </w:rPr>
        <w:t xml:space="preserve"> </w:t>
      </w:r>
      <w:r w:rsidR="009C471D">
        <w:rPr>
          <w:rFonts w:ascii="Calibri" w:hAnsi="Calibri" w:cs="Calibri"/>
          <w:color w:val="000000"/>
          <w:lang w:val="en-AU"/>
        </w:rPr>
        <w:t xml:space="preserve">These orders </w:t>
      </w:r>
      <w:r w:rsidR="009C471D" w:rsidRPr="00E0134B">
        <w:rPr>
          <w:rFonts w:ascii="Calibri" w:hAnsi="Calibri" w:cs="Calibri"/>
          <w:color w:val="000000"/>
          <w:lang w:val="en-AU"/>
        </w:rPr>
        <w:t xml:space="preserve">appear to be limited to cases where the court must determine an </w:t>
      </w:r>
      <w:r>
        <w:rPr>
          <w:rFonts w:ascii="Calibri" w:hAnsi="Calibri" w:cs="Calibri"/>
          <w:color w:val="000000"/>
          <w:lang w:val="en-AU"/>
        </w:rPr>
        <w:t xml:space="preserve">issue of </w:t>
      </w:r>
      <w:r w:rsidR="009C471D" w:rsidRPr="00E0134B">
        <w:rPr>
          <w:rFonts w:ascii="Calibri" w:hAnsi="Calibri" w:cs="Calibri"/>
          <w:color w:val="000000"/>
          <w:lang w:val="en-AU"/>
        </w:rPr>
        <w:t>public interest, with an impact extending beyond the dispute between the parties in question</w:t>
      </w:r>
      <w:r w:rsidR="009C471D">
        <w:rPr>
          <w:rFonts w:ascii="Calibri" w:hAnsi="Calibri" w:cs="Calibri"/>
          <w:color w:val="000000"/>
          <w:lang w:val="en-AU"/>
        </w:rPr>
        <w:t>.</w:t>
      </w:r>
      <w:r w:rsidR="009C471D">
        <w:rPr>
          <w:rStyle w:val="FootnoteReference"/>
          <w:rFonts w:ascii="Calibri" w:hAnsi="Calibri" w:cs="Calibri"/>
          <w:color w:val="000000"/>
          <w:lang w:val="en-AU"/>
        </w:rPr>
        <w:footnoteReference w:id="22"/>
      </w:r>
    </w:p>
    <w:p w14:paraId="7129A202" w14:textId="2DDEB943" w:rsidR="00A3204B" w:rsidRPr="008009D4" w:rsidRDefault="006F37A9" w:rsidP="00A3204B">
      <w:pPr>
        <w:rPr>
          <w:lang w:val="en-AU"/>
        </w:rPr>
      </w:pPr>
      <w:r>
        <w:rPr>
          <w:lang w:val="en-AU"/>
        </w:rPr>
        <w:t>T</w:t>
      </w:r>
      <w:r w:rsidR="00D71224">
        <w:rPr>
          <w:lang w:val="en-AU"/>
        </w:rPr>
        <w:t>he current framework of broad judicial discretion does not provide applicants and respondents in discrimination matters at the federal level with sufficient certainty as to how costs will be awarded</w:t>
      </w:r>
      <w:r w:rsidR="00895E6A">
        <w:rPr>
          <w:lang w:val="en-AU"/>
        </w:rPr>
        <w:t>. The</w:t>
      </w:r>
      <w:r w:rsidR="00D71224">
        <w:rPr>
          <w:lang w:val="en-AU"/>
        </w:rPr>
        <w:t xml:space="preserve"> risk of an adverse costs order </w:t>
      </w:r>
      <w:r w:rsidR="00895E6A">
        <w:rPr>
          <w:lang w:val="en-AU"/>
        </w:rPr>
        <w:t>is s</w:t>
      </w:r>
      <w:r w:rsidR="00D71224">
        <w:rPr>
          <w:lang w:val="en-AU"/>
        </w:rPr>
        <w:t>ignifican</w:t>
      </w:r>
      <w:r w:rsidR="00895E6A">
        <w:rPr>
          <w:lang w:val="en-AU"/>
        </w:rPr>
        <w:t>t for parties and</w:t>
      </w:r>
      <w:r w:rsidR="00D71224">
        <w:rPr>
          <w:lang w:val="en-AU"/>
        </w:rPr>
        <w:t xml:space="preserve"> operat</w:t>
      </w:r>
      <w:r w:rsidR="00895E6A">
        <w:rPr>
          <w:lang w:val="en-AU"/>
        </w:rPr>
        <w:t>es</w:t>
      </w:r>
      <w:r w:rsidR="00D71224">
        <w:rPr>
          <w:lang w:val="en-AU"/>
        </w:rPr>
        <w:t xml:space="preserve"> as a clear disincentive to pursuing litigation. In the absence of clear legislative provision to provide this certainty, neither the judiciary nor the legal profession (responsible for representing applicants) </w:t>
      </w:r>
      <w:r w:rsidR="008009D4">
        <w:rPr>
          <w:lang w:val="en-AU"/>
        </w:rPr>
        <w:t>are using the</w:t>
      </w:r>
      <w:r w:rsidR="001A212F">
        <w:rPr>
          <w:lang w:val="en-AU"/>
        </w:rPr>
        <w:t xml:space="preserve"> existing</w:t>
      </w:r>
      <w:r w:rsidR="008009D4">
        <w:rPr>
          <w:lang w:val="en-AU"/>
        </w:rPr>
        <w:t xml:space="preserve"> discretion in a way that would overcome this uncertainty</w:t>
      </w:r>
      <w:r w:rsidR="00895E6A">
        <w:rPr>
          <w:lang w:val="en-AU"/>
        </w:rPr>
        <w:t xml:space="preserve"> and disincentive</w:t>
      </w:r>
      <w:r w:rsidR="008009D4">
        <w:rPr>
          <w:lang w:val="en-AU"/>
        </w:rPr>
        <w:t xml:space="preserve">. </w:t>
      </w:r>
      <w:r w:rsidR="00A3204B">
        <w:rPr>
          <w:lang w:val="en-AU"/>
        </w:rPr>
        <w:t xml:space="preserve">The costs risk associated with litigation therefore continues to represent a significant barrier to applicants, as found by the Respect@Work </w:t>
      </w:r>
      <w:r w:rsidR="00A3204B">
        <w:rPr>
          <w:lang w:val="en-AU"/>
        </w:rPr>
        <w:lastRenderedPageBreak/>
        <w:t>Report in relation to sexual harassment matters in particular,</w:t>
      </w:r>
      <w:r w:rsidR="00A3204B">
        <w:rPr>
          <w:rStyle w:val="FootnoteReference"/>
          <w:lang w:val="en-AU"/>
        </w:rPr>
        <w:footnoteReference w:id="23"/>
      </w:r>
      <w:r w:rsidR="00A3204B">
        <w:rPr>
          <w:lang w:val="en-AU"/>
        </w:rPr>
        <w:t xml:space="preserve"> and by other reports in relation to discrimination matters more generally.</w:t>
      </w:r>
      <w:r w:rsidR="00A3204B">
        <w:rPr>
          <w:rStyle w:val="FootnoteReference"/>
          <w:lang w:val="en-AU"/>
        </w:rPr>
        <w:footnoteReference w:id="24"/>
      </w:r>
      <w:r w:rsidR="008009D4">
        <w:rPr>
          <w:lang w:val="en-AU"/>
        </w:rPr>
        <w:t xml:space="preserve"> As </w:t>
      </w:r>
      <w:proofErr w:type="spellStart"/>
      <w:r w:rsidR="008009D4" w:rsidRPr="009E5BDC">
        <w:rPr>
          <w:lang w:val="en-AU"/>
        </w:rPr>
        <w:t>Heerey</w:t>
      </w:r>
      <w:proofErr w:type="spellEnd"/>
      <w:r w:rsidR="008009D4" w:rsidRPr="009E5BDC">
        <w:rPr>
          <w:lang w:val="en-AU"/>
        </w:rPr>
        <w:t xml:space="preserve"> J</w:t>
      </w:r>
      <w:r w:rsidR="008009D4">
        <w:rPr>
          <w:lang w:val="en-AU"/>
        </w:rPr>
        <w:t xml:space="preserve"> indicated in </w:t>
      </w:r>
      <w:proofErr w:type="spellStart"/>
      <w:r w:rsidR="008009D4" w:rsidRPr="009E5BDC">
        <w:rPr>
          <w:i/>
          <w:lang w:val="en-AU"/>
        </w:rPr>
        <w:t>Fetherston</w:t>
      </w:r>
      <w:proofErr w:type="spellEnd"/>
      <w:r w:rsidR="008009D4" w:rsidRPr="009E5BDC">
        <w:rPr>
          <w:i/>
          <w:lang w:val="en-AU"/>
        </w:rPr>
        <w:t xml:space="preserve"> v Peninsula Health (No 2)</w:t>
      </w:r>
      <w:r w:rsidR="008009D4">
        <w:rPr>
          <w:lang w:val="en-AU"/>
        </w:rPr>
        <w:t>:</w:t>
      </w:r>
      <w:r w:rsidR="008009D4">
        <w:rPr>
          <w:rStyle w:val="FootnoteReference"/>
          <w:lang w:val="en-AU"/>
        </w:rPr>
        <w:footnoteReference w:id="25"/>
      </w:r>
    </w:p>
    <w:p w14:paraId="1FA75386" w14:textId="0D0BB593" w:rsidR="00A3204B" w:rsidRDefault="00A3204B" w:rsidP="008009D4">
      <w:pPr>
        <w:ind w:left="720"/>
        <w:rPr>
          <w:lang w:val="en-AU"/>
        </w:rPr>
      </w:pPr>
      <w:r w:rsidRPr="009E5BDC">
        <w:rPr>
          <w:lang w:val="en-AU"/>
        </w:rPr>
        <w:t xml:space="preserve">While the Disability Discrimination Act is without doubt beneficial legislation, its characterisation as such does not mean that this Court is to apply any different approach as to costs. In conferring jurisdiction under a particular statute Parliament may conclude that policy considerations warrant a special provision as to costs, for example that there be no order as to costs or that costs only be awarded in certain circumstances, such as, for example, where a proceeding has been instituted vexatiously or without reasonable cause: </w:t>
      </w:r>
      <w:r w:rsidRPr="009E5BDC">
        <w:rPr>
          <w:i/>
          <w:lang w:val="en-AU"/>
        </w:rPr>
        <w:t>Workplace Relations Act 1996</w:t>
      </w:r>
      <w:r w:rsidRPr="009E5BDC">
        <w:rPr>
          <w:lang w:val="en-AU"/>
        </w:rPr>
        <w:t xml:space="preserve"> (</w:t>
      </w:r>
      <w:proofErr w:type="spellStart"/>
      <w:r w:rsidRPr="009E5BDC">
        <w:rPr>
          <w:lang w:val="en-AU"/>
        </w:rPr>
        <w:t>Cth</w:t>
      </w:r>
      <w:proofErr w:type="spellEnd"/>
      <w:r w:rsidRPr="009E5BDC">
        <w:rPr>
          <w:lang w:val="en-AU"/>
        </w:rPr>
        <w:t xml:space="preserve">) s 347. </w:t>
      </w:r>
      <w:r w:rsidRPr="00CF4713">
        <w:rPr>
          <w:lang w:val="en-AU"/>
        </w:rPr>
        <w:t>The absence of any such provision applicable to the present case confirms that the usual principles as to costs are to apply.</w:t>
      </w:r>
      <w:r w:rsidR="00CD4BF3">
        <w:rPr>
          <w:rStyle w:val="FootnoteReference"/>
          <w:lang w:val="en-AU"/>
        </w:rPr>
        <w:footnoteReference w:id="26"/>
      </w:r>
    </w:p>
    <w:p w14:paraId="2854A987" w14:textId="6D001A07" w:rsidR="00A3204B" w:rsidRDefault="00A3204B" w:rsidP="00A3204B">
      <w:pPr>
        <w:rPr>
          <w:lang w:val="en-AU"/>
        </w:rPr>
      </w:pPr>
      <w:r>
        <w:rPr>
          <w:lang w:val="en-AU"/>
        </w:rPr>
        <w:t xml:space="preserve">Exacerbating the costs risk that applicants face in bringing discrimination proceedings to court is the risk that any damages </w:t>
      </w:r>
      <w:r w:rsidR="001A212F">
        <w:rPr>
          <w:lang w:val="en-AU"/>
        </w:rPr>
        <w:t xml:space="preserve">they are </w:t>
      </w:r>
      <w:r>
        <w:rPr>
          <w:lang w:val="en-AU"/>
        </w:rPr>
        <w:t>awarded if</w:t>
      </w:r>
      <w:r w:rsidR="00895E6A">
        <w:rPr>
          <w:lang w:val="en-AU"/>
        </w:rPr>
        <w:t xml:space="preserve"> they are</w:t>
      </w:r>
      <w:r>
        <w:rPr>
          <w:lang w:val="en-AU"/>
        </w:rPr>
        <w:t xml:space="preserve"> successful may not be significant </w:t>
      </w:r>
      <w:r w:rsidR="001A212F">
        <w:rPr>
          <w:lang w:val="en-AU"/>
        </w:rPr>
        <w:t>enough to</w:t>
      </w:r>
      <w:r>
        <w:rPr>
          <w:lang w:val="en-AU"/>
        </w:rPr>
        <w:t xml:space="preserve"> cover their own legal costs </w:t>
      </w:r>
      <w:r w:rsidR="00895E6A">
        <w:rPr>
          <w:lang w:val="en-AU"/>
        </w:rPr>
        <w:t>in the absence of an adverse costs order</w:t>
      </w:r>
      <w:r>
        <w:rPr>
          <w:lang w:val="en-AU"/>
        </w:rPr>
        <w:t xml:space="preserve">. </w:t>
      </w:r>
      <w:r w:rsidR="00CD4BF3">
        <w:rPr>
          <w:lang w:val="en-AU"/>
        </w:rPr>
        <w:t xml:space="preserve">The intersection between costs and damages is discussed later in this paper. </w:t>
      </w:r>
    </w:p>
    <w:p w14:paraId="52F85684" w14:textId="442690BB" w:rsidR="00A3204B" w:rsidRDefault="00A3204B" w:rsidP="00A3204B">
      <w:pPr>
        <w:rPr>
          <w:lang w:val="en-AU"/>
        </w:rPr>
      </w:pPr>
      <w:r>
        <w:rPr>
          <w:lang w:val="en-AU"/>
        </w:rPr>
        <w:t xml:space="preserve">Further contributing to the uncertainty applicants face is the small number of cases that actually proceed to court, resulting in low levels of jurisprudence and arguably judicial expertise and specialisation in this area of law. As </w:t>
      </w:r>
      <w:r w:rsidR="00CD4BF3">
        <w:rPr>
          <w:lang w:val="en-AU"/>
        </w:rPr>
        <w:t xml:space="preserve">the </w:t>
      </w:r>
      <w:r>
        <w:rPr>
          <w:lang w:val="en-AU"/>
        </w:rPr>
        <w:t xml:space="preserve">Free and Equal </w:t>
      </w:r>
      <w:r w:rsidR="00CD4BF3">
        <w:rPr>
          <w:lang w:val="en-AU"/>
        </w:rPr>
        <w:t xml:space="preserve">paper </w:t>
      </w:r>
      <w:r>
        <w:rPr>
          <w:lang w:val="en-AU"/>
        </w:rPr>
        <w:t>outlines, this means less certainty for applicants as to their prospects for success and therefore less appetite to risk the costs involved.</w:t>
      </w:r>
      <w:r>
        <w:rPr>
          <w:rStyle w:val="FootnoteReference"/>
          <w:lang w:val="en-AU"/>
        </w:rPr>
        <w:footnoteReference w:id="27"/>
      </w:r>
      <w:r>
        <w:rPr>
          <w:lang w:val="en-AU"/>
        </w:rPr>
        <w:t xml:space="preserve"> </w:t>
      </w:r>
    </w:p>
    <w:p w14:paraId="776D2CBA" w14:textId="013A5B27" w:rsidR="00CD4BF3" w:rsidRPr="001A212F" w:rsidRDefault="00CD4BF3" w:rsidP="00CD4BF3">
      <w:pPr>
        <w:rPr>
          <w:lang w:val="en-AU"/>
        </w:rPr>
      </w:pPr>
      <w:r>
        <w:rPr>
          <w:lang w:val="en-AU"/>
        </w:rPr>
        <w:t xml:space="preserve">These issues have led to the adoption of specific costs protection models in other areas of legislative regulation, such as workplace relations (the Fair Work Act) and </w:t>
      </w:r>
      <w:proofErr w:type="spellStart"/>
      <w:r>
        <w:rPr>
          <w:lang w:val="en-AU"/>
        </w:rPr>
        <w:t>whistleblower</w:t>
      </w:r>
      <w:proofErr w:type="spellEnd"/>
      <w:r>
        <w:rPr>
          <w:lang w:val="en-AU"/>
        </w:rPr>
        <w:t xml:space="preserve"> protection (the Public </w:t>
      </w:r>
      <w:r w:rsidRPr="001A212F">
        <w:rPr>
          <w:lang w:val="en-AU"/>
        </w:rPr>
        <w:t xml:space="preserve">Interest Disclosure Act and Corporations Act). </w:t>
      </w:r>
    </w:p>
    <w:p w14:paraId="5A2B231D" w14:textId="65F3A6B8" w:rsidR="00284AF6" w:rsidRPr="001A212F" w:rsidRDefault="00284AF6" w:rsidP="00CD4BF3">
      <w:pPr>
        <w:rPr>
          <w:lang w:val="en-AU"/>
        </w:rPr>
      </w:pPr>
      <w:r w:rsidRPr="001A212F">
        <w:rPr>
          <w:lang w:val="en-AU"/>
        </w:rPr>
        <w:t>In further recognition of the</w:t>
      </w:r>
      <w:r w:rsidR="001A212F" w:rsidRPr="001A212F">
        <w:rPr>
          <w:lang w:val="en-AU"/>
        </w:rPr>
        <w:t>se</w:t>
      </w:r>
      <w:r w:rsidRPr="001A212F">
        <w:rPr>
          <w:lang w:val="en-AU"/>
        </w:rPr>
        <w:t xml:space="preserve"> issue</w:t>
      </w:r>
      <w:r w:rsidR="001A212F" w:rsidRPr="001A212F">
        <w:rPr>
          <w:lang w:val="en-AU"/>
        </w:rPr>
        <w:t>s</w:t>
      </w:r>
      <w:r w:rsidRPr="001A212F">
        <w:rPr>
          <w:lang w:val="en-AU"/>
        </w:rPr>
        <w:t xml:space="preserve">, the Victorian </w:t>
      </w:r>
      <w:r w:rsidR="00895E6A">
        <w:rPr>
          <w:lang w:val="en-AU"/>
        </w:rPr>
        <w:t xml:space="preserve">Civil and </w:t>
      </w:r>
      <w:r w:rsidRPr="001A212F">
        <w:t>Administrative Tribunal has ruled that costs orders should not be made lightly in the human rights jurisdiction so as not to deter applicants from bringing complaints before the Tribunal.</w:t>
      </w:r>
      <w:r w:rsidRPr="001A212F">
        <w:rPr>
          <w:rStyle w:val="FootnoteReference"/>
        </w:rPr>
        <w:footnoteReference w:id="28"/>
      </w:r>
    </w:p>
    <w:p w14:paraId="36C787B0" w14:textId="3E07C319" w:rsidR="00460E05" w:rsidRDefault="002F70D3" w:rsidP="00CD4BF3">
      <w:pPr>
        <w:rPr>
          <w:lang w:val="en-AU"/>
        </w:rPr>
      </w:pPr>
      <w:r w:rsidRPr="001A212F">
        <w:rPr>
          <w:lang w:val="en-AU"/>
        </w:rPr>
        <w:t xml:space="preserve">In this context, </w:t>
      </w:r>
      <w:r w:rsidR="00460E05" w:rsidRPr="001A212F">
        <w:rPr>
          <w:lang w:val="en-AU"/>
        </w:rPr>
        <w:t>legislat</w:t>
      </w:r>
      <w:r w:rsidR="00F8760C" w:rsidRPr="001A212F">
        <w:rPr>
          <w:lang w:val="en-AU"/>
        </w:rPr>
        <w:t>ing</w:t>
      </w:r>
      <w:r w:rsidR="00460E05" w:rsidRPr="001A212F">
        <w:rPr>
          <w:lang w:val="en-AU"/>
        </w:rPr>
        <w:t xml:space="preserve"> for a </w:t>
      </w:r>
      <w:r w:rsidR="00F8760C" w:rsidRPr="001A212F">
        <w:rPr>
          <w:lang w:val="en-AU"/>
        </w:rPr>
        <w:t>specific</w:t>
      </w:r>
      <w:r w:rsidR="00F8760C">
        <w:rPr>
          <w:lang w:val="en-AU"/>
        </w:rPr>
        <w:t xml:space="preserve"> c</w:t>
      </w:r>
      <w:r w:rsidR="00460E05">
        <w:rPr>
          <w:lang w:val="en-AU"/>
        </w:rPr>
        <w:t xml:space="preserve">osts model </w:t>
      </w:r>
      <w:r w:rsidR="00F8760C">
        <w:rPr>
          <w:lang w:val="en-AU"/>
        </w:rPr>
        <w:t xml:space="preserve">applicable to discrimination proceedings </w:t>
      </w:r>
      <w:r w:rsidR="00460E05">
        <w:rPr>
          <w:lang w:val="en-AU"/>
        </w:rPr>
        <w:t xml:space="preserve">would </w:t>
      </w:r>
      <w:r w:rsidR="00F8760C">
        <w:rPr>
          <w:lang w:val="en-AU"/>
        </w:rPr>
        <w:t xml:space="preserve">be a significant reform. It would </w:t>
      </w:r>
      <w:r w:rsidR="00460E05">
        <w:rPr>
          <w:lang w:val="en-AU"/>
        </w:rPr>
        <w:t xml:space="preserve">provide certainty </w:t>
      </w:r>
      <w:r>
        <w:rPr>
          <w:lang w:val="en-AU"/>
        </w:rPr>
        <w:t>to</w:t>
      </w:r>
      <w:r w:rsidR="00F8760C">
        <w:rPr>
          <w:lang w:val="en-AU"/>
        </w:rPr>
        <w:t xml:space="preserve"> all </w:t>
      </w:r>
      <w:r>
        <w:rPr>
          <w:lang w:val="en-AU"/>
        </w:rPr>
        <w:t xml:space="preserve">parties to discrimination </w:t>
      </w:r>
      <w:r w:rsidR="00284AF6">
        <w:rPr>
          <w:lang w:val="en-AU"/>
        </w:rPr>
        <w:t xml:space="preserve">matters </w:t>
      </w:r>
      <w:r w:rsidR="00734CE1">
        <w:rPr>
          <w:lang w:val="en-AU"/>
        </w:rPr>
        <w:t>at the outset of any matter as to how costs will be awarded</w:t>
      </w:r>
      <w:r w:rsidR="00284AF6">
        <w:rPr>
          <w:lang w:val="en-AU"/>
        </w:rPr>
        <w:t xml:space="preserve"> </w:t>
      </w:r>
      <w:r w:rsidR="00895E6A">
        <w:rPr>
          <w:lang w:val="en-AU"/>
        </w:rPr>
        <w:t xml:space="preserve">with the aim of </w:t>
      </w:r>
      <w:r w:rsidR="00284AF6">
        <w:rPr>
          <w:lang w:val="en-AU"/>
        </w:rPr>
        <w:t>increas</w:t>
      </w:r>
      <w:r w:rsidR="00895E6A">
        <w:rPr>
          <w:lang w:val="en-AU"/>
        </w:rPr>
        <w:t>ing</w:t>
      </w:r>
      <w:r w:rsidR="00284AF6">
        <w:rPr>
          <w:lang w:val="en-AU"/>
        </w:rPr>
        <w:t xml:space="preserve"> access to justice</w:t>
      </w:r>
      <w:r w:rsidR="00734CE1">
        <w:rPr>
          <w:lang w:val="en-AU"/>
        </w:rPr>
        <w:t xml:space="preserve">. </w:t>
      </w:r>
    </w:p>
    <w:p w14:paraId="30FD57BF" w14:textId="27B0A173" w:rsidR="008A7C91" w:rsidRDefault="008A7C91" w:rsidP="008A7C91">
      <w:pPr>
        <w:pStyle w:val="Heading2"/>
      </w:pPr>
      <w:bookmarkStart w:id="26" w:name="_Toc127809105"/>
      <w:r>
        <w:lastRenderedPageBreak/>
        <w:t>Comparison of federal and state and territory jurisdictions</w:t>
      </w:r>
      <w:bookmarkEnd w:id="26"/>
    </w:p>
    <w:p w14:paraId="05FE8A84" w14:textId="11538DE5" w:rsidR="002B1D60" w:rsidRDefault="002B1D60" w:rsidP="008A7C91">
      <w:pPr>
        <w:rPr>
          <w:lang w:val="en-AU"/>
        </w:rPr>
      </w:pPr>
      <w:r>
        <w:rPr>
          <w:lang w:val="en-AU"/>
        </w:rPr>
        <w:t>There is an important difference between the federal and state and territory level</w:t>
      </w:r>
      <w:r w:rsidR="001600C9">
        <w:rPr>
          <w:lang w:val="en-AU"/>
        </w:rPr>
        <w:t xml:space="preserve"> in relation to resolving discrimination matters.  </w:t>
      </w:r>
    </w:p>
    <w:p w14:paraId="3BEFBCB2" w14:textId="0C8AA078" w:rsidR="00015C68" w:rsidRDefault="008A7C91" w:rsidP="008A7C91">
      <w:pPr>
        <w:rPr>
          <w:lang w:val="en-AU"/>
        </w:rPr>
      </w:pPr>
      <w:r>
        <w:rPr>
          <w:lang w:val="en-AU"/>
        </w:rPr>
        <w:t>At the state and territory level, once a discrimination complaint has been made to the relevant human rights or equal opportunity body</w:t>
      </w:r>
      <w:r w:rsidR="00015C68">
        <w:rPr>
          <w:lang w:val="en-AU"/>
        </w:rPr>
        <w:t xml:space="preserve"> without successful resolution</w:t>
      </w:r>
      <w:r>
        <w:rPr>
          <w:lang w:val="en-AU"/>
        </w:rPr>
        <w:t>, it proceeds to a tribunal or board (such as the Victorian Human Rights and Equal Opportunity Commission, the NSW Anti-Discrimination Board or the W</w:t>
      </w:r>
      <w:r w:rsidR="00503C3A">
        <w:rPr>
          <w:lang w:val="en-AU"/>
        </w:rPr>
        <w:t xml:space="preserve">estern </w:t>
      </w:r>
      <w:r>
        <w:rPr>
          <w:lang w:val="en-AU"/>
        </w:rPr>
        <w:t>A</w:t>
      </w:r>
      <w:r w:rsidR="00503C3A">
        <w:rPr>
          <w:lang w:val="en-AU"/>
        </w:rPr>
        <w:t>ustralian</w:t>
      </w:r>
      <w:r>
        <w:rPr>
          <w:lang w:val="en-AU"/>
        </w:rPr>
        <w:t xml:space="preserve"> Equal Opportunity Commission). This is an intermedia</w:t>
      </w:r>
      <w:r w:rsidR="004A45FE">
        <w:rPr>
          <w:lang w:val="en-AU"/>
        </w:rPr>
        <w:t>te</w:t>
      </w:r>
      <w:r>
        <w:rPr>
          <w:lang w:val="en-AU"/>
        </w:rPr>
        <w:t xml:space="preserve"> </w:t>
      </w:r>
      <w:r w:rsidR="004A45FE">
        <w:rPr>
          <w:lang w:val="en-AU"/>
        </w:rPr>
        <w:t xml:space="preserve">adjudicative </w:t>
      </w:r>
      <w:r>
        <w:rPr>
          <w:lang w:val="en-AU"/>
        </w:rPr>
        <w:t xml:space="preserve">stage </w:t>
      </w:r>
      <w:r w:rsidR="00015C68">
        <w:rPr>
          <w:lang w:val="en-AU"/>
        </w:rPr>
        <w:t xml:space="preserve">available to resolve the matter </w:t>
      </w:r>
      <w:r>
        <w:rPr>
          <w:lang w:val="en-AU"/>
        </w:rPr>
        <w:t xml:space="preserve">before </w:t>
      </w:r>
      <w:r w:rsidR="00015C68">
        <w:rPr>
          <w:lang w:val="en-AU"/>
        </w:rPr>
        <w:t>it</w:t>
      </w:r>
      <w:r>
        <w:rPr>
          <w:lang w:val="en-AU"/>
        </w:rPr>
        <w:t xml:space="preserve"> proceeds to court, designed to keep costs minimal. </w:t>
      </w:r>
    </w:p>
    <w:p w14:paraId="021C1727" w14:textId="257FA045" w:rsidR="008A7C91" w:rsidRDefault="008A7C91" w:rsidP="008A7C91">
      <w:pPr>
        <w:rPr>
          <w:lang w:val="en-AU"/>
        </w:rPr>
      </w:pPr>
      <w:r>
        <w:rPr>
          <w:lang w:val="en-AU"/>
        </w:rPr>
        <w:t xml:space="preserve">At the federal level, </w:t>
      </w:r>
      <w:r w:rsidR="00895E6A">
        <w:rPr>
          <w:lang w:val="en-AU"/>
        </w:rPr>
        <w:t xml:space="preserve">there is no </w:t>
      </w:r>
      <w:r>
        <w:rPr>
          <w:lang w:val="en-AU"/>
        </w:rPr>
        <w:t>intermedia</w:t>
      </w:r>
      <w:r w:rsidR="004A45FE">
        <w:rPr>
          <w:lang w:val="en-AU"/>
        </w:rPr>
        <w:t>te</w:t>
      </w:r>
      <w:r>
        <w:rPr>
          <w:lang w:val="en-AU"/>
        </w:rPr>
        <w:t xml:space="preserve"> low-cost stage. Matters proceed from the Commission to the courts, where the complexity</w:t>
      </w:r>
      <w:r w:rsidR="00015C68">
        <w:rPr>
          <w:lang w:val="en-AU"/>
        </w:rPr>
        <w:t xml:space="preserve"> of the litigation process and consequently cost</w:t>
      </w:r>
      <w:r w:rsidR="00895E6A">
        <w:rPr>
          <w:lang w:val="en-AU"/>
        </w:rPr>
        <w:t>s</w:t>
      </w:r>
      <w:r w:rsidR="00015C68">
        <w:rPr>
          <w:lang w:val="en-AU"/>
        </w:rPr>
        <w:t xml:space="preserve"> </w:t>
      </w:r>
      <w:r>
        <w:rPr>
          <w:lang w:val="en-AU"/>
        </w:rPr>
        <w:t>increase</w:t>
      </w:r>
      <w:r w:rsidR="00450C73">
        <w:rPr>
          <w:lang w:val="en-AU"/>
        </w:rPr>
        <w:t>.</w:t>
      </w:r>
      <w:r w:rsidR="001A212F">
        <w:rPr>
          <w:rStyle w:val="FootnoteReference"/>
          <w:lang w:val="en-AU"/>
        </w:rPr>
        <w:footnoteReference w:id="29"/>
      </w:r>
      <w:r w:rsidR="00450C73">
        <w:rPr>
          <w:lang w:val="en-AU"/>
        </w:rPr>
        <w:t xml:space="preserve"> </w:t>
      </w:r>
      <w:r>
        <w:rPr>
          <w:lang w:val="en-AU"/>
        </w:rPr>
        <w:t>Th</w:t>
      </w:r>
      <w:r w:rsidR="00450C73">
        <w:rPr>
          <w:lang w:val="en-AU"/>
        </w:rPr>
        <w:t xml:space="preserve">e lack of a no costs jurisdiction at the federal level </w:t>
      </w:r>
      <w:r w:rsidR="00015C68">
        <w:rPr>
          <w:lang w:val="en-AU"/>
        </w:rPr>
        <w:t>exacerbates the need for costs reform to provide certainty for parties to discrimination matters</w:t>
      </w:r>
      <w:r w:rsidR="00CD03A4">
        <w:rPr>
          <w:lang w:val="en-AU"/>
        </w:rPr>
        <w:t xml:space="preserve"> before embarking on what is often a high cost, high risk process</w:t>
      </w:r>
      <w:r>
        <w:rPr>
          <w:lang w:val="en-AU"/>
        </w:rPr>
        <w:t>.</w:t>
      </w:r>
    </w:p>
    <w:p w14:paraId="7F5A52B3" w14:textId="5EBD5426" w:rsidR="00134A2D" w:rsidRPr="001F7E7E" w:rsidRDefault="00015C68" w:rsidP="00622E8D">
      <w:pPr>
        <w:rPr>
          <w:lang w:val="en-AU"/>
        </w:rPr>
      </w:pPr>
      <w:r>
        <w:rPr>
          <w:lang w:val="en-AU"/>
        </w:rPr>
        <w:t>Across the majority of states and territories, the costs model adopted for tribunals to apply at the intermedia</w:t>
      </w:r>
      <w:r w:rsidR="004A45FE">
        <w:rPr>
          <w:lang w:val="en-AU"/>
        </w:rPr>
        <w:t>te</w:t>
      </w:r>
      <w:r>
        <w:rPr>
          <w:lang w:val="en-AU"/>
        </w:rPr>
        <w:t xml:space="preserve"> stage is soft costs neutrality – whereby the default position is that parties bear their own costs, but the tribunal retains discretion to awards costs otherwise where it considers this appropriate</w:t>
      </w:r>
      <w:r w:rsidR="009D674A">
        <w:rPr>
          <w:lang w:val="en-AU"/>
        </w:rPr>
        <w:t xml:space="preserve"> (often in reference to a list of prescribed factors</w:t>
      </w:r>
      <w:r w:rsidR="004C05B4">
        <w:rPr>
          <w:lang w:val="en-AU"/>
        </w:rPr>
        <w:t xml:space="preserve"> – exhaustive or non-exhaustive</w:t>
      </w:r>
      <w:r w:rsidR="009D674A">
        <w:rPr>
          <w:lang w:val="en-AU"/>
        </w:rPr>
        <w:t>)</w:t>
      </w:r>
      <w:r>
        <w:rPr>
          <w:lang w:val="en-AU"/>
        </w:rPr>
        <w:t>.</w:t>
      </w:r>
      <w:r w:rsidR="00D226ED">
        <w:rPr>
          <w:lang w:val="en-AU"/>
        </w:rPr>
        <w:t xml:space="preserve"> </w:t>
      </w:r>
      <w:r w:rsidR="00622E8D">
        <w:rPr>
          <w:lang w:val="en-AU"/>
        </w:rPr>
        <w:t>This model is discussed in further detail later in the paper.</w:t>
      </w:r>
    </w:p>
    <w:p w14:paraId="288830EE" w14:textId="592F8F30" w:rsidR="00770C6E" w:rsidRDefault="000E3D55" w:rsidP="00770C6E">
      <w:pPr>
        <w:pStyle w:val="Heading1"/>
      </w:pPr>
      <w:bookmarkStart w:id="27" w:name="_Toc127809106"/>
      <w:r>
        <w:t>The h</w:t>
      </w:r>
      <w:r w:rsidR="007A66DE">
        <w:t>uman rights and anti-discrimination c</w:t>
      </w:r>
      <w:r w:rsidR="00D94D13">
        <w:t>ontext</w:t>
      </w:r>
      <w:bookmarkEnd w:id="27"/>
      <w:r w:rsidR="00B47642">
        <w:t xml:space="preserve"> </w:t>
      </w:r>
    </w:p>
    <w:p w14:paraId="55F14BB6" w14:textId="77777777" w:rsidR="002B0E1A" w:rsidRDefault="002B0E1A" w:rsidP="002B0E1A">
      <w:pPr>
        <w:pStyle w:val="Heading2"/>
      </w:pPr>
      <w:bookmarkStart w:id="28" w:name="_Toc127809107"/>
      <w:r>
        <w:t>Overview</w:t>
      </w:r>
      <w:bookmarkEnd w:id="28"/>
      <w:r>
        <w:t xml:space="preserve"> </w:t>
      </w:r>
    </w:p>
    <w:p w14:paraId="0E3C0929" w14:textId="2AAB38AF" w:rsidR="008E6E8F" w:rsidRDefault="008E6E8F" w:rsidP="008E6E8F">
      <w:pPr>
        <w:rPr>
          <w:lang w:val="en-AU"/>
        </w:rPr>
      </w:pPr>
      <w:r>
        <w:rPr>
          <w:lang w:val="en-AU"/>
        </w:rPr>
        <w:t>At the federal level, discrimination complaints are made to the Commission. The Commission is a ‘no</w:t>
      </w:r>
      <w:r w:rsidR="00FD2034">
        <w:rPr>
          <w:lang w:val="en-AU"/>
        </w:rPr>
        <w:t> </w:t>
      </w:r>
      <w:r>
        <w:rPr>
          <w:lang w:val="en-AU"/>
        </w:rPr>
        <w:t>costs’ conciliation jurisdiction. This means that applicants and respondents do not need legal representation to be involved in conciliation (though they may wish to arrange for this, noting the AHRC Act permits them to be represented with the consent of the person presiding over the conciliation).</w:t>
      </w:r>
      <w:r w:rsidR="00FA750E">
        <w:rPr>
          <w:rStyle w:val="FootnoteReference"/>
          <w:lang w:val="en-AU"/>
        </w:rPr>
        <w:footnoteReference w:id="30"/>
      </w:r>
      <w:r>
        <w:rPr>
          <w:lang w:val="en-AU"/>
        </w:rPr>
        <w:t xml:space="preserve"> </w:t>
      </w:r>
    </w:p>
    <w:p w14:paraId="2EB20DBA" w14:textId="51429B2B" w:rsidR="008E6E8F" w:rsidRDefault="008E6E8F" w:rsidP="008E6E8F">
      <w:pPr>
        <w:rPr>
          <w:lang w:val="en-AU"/>
        </w:rPr>
      </w:pPr>
      <w:r>
        <w:rPr>
          <w:lang w:val="en-AU"/>
        </w:rPr>
        <w:t xml:space="preserve">Conciliation is an informal complaint resolution process that gives the complainant and respondent the opportunity to </w:t>
      </w:r>
      <w:r w:rsidR="00FD2034">
        <w:rPr>
          <w:lang w:val="en-AU"/>
        </w:rPr>
        <w:t>attempt</w:t>
      </w:r>
      <w:r>
        <w:rPr>
          <w:lang w:val="en-AU"/>
        </w:rPr>
        <w:t xml:space="preserve"> to resolve the matter with the help of an impartial conciliator. The Commission does not perform the role of a court, and does not have the power to award costs at the conclusion of conciliation. </w:t>
      </w:r>
    </w:p>
    <w:p w14:paraId="65C724C4" w14:textId="009B6733" w:rsidR="002A28DE" w:rsidRDefault="008E6E8F" w:rsidP="00277F7B">
      <w:pPr>
        <w:rPr>
          <w:lang w:val="en-AU"/>
        </w:rPr>
      </w:pPr>
      <w:r>
        <w:rPr>
          <w:lang w:val="en-AU"/>
        </w:rPr>
        <w:t>The grounds upon which complaints of discrimination can be made to the Commission are contained in five key Acts:</w:t>
      </w:r>
    </w:p>
    <w:p w14:paraId="2F90AD34" w14:textId="58747CA6" w:rsidR="008E6E8F" w:rsidRDefault="008E6E8F" w:rsidP="008E6E8F">
      <w:pPr>
        <w:pStyle w:val="ListParagraph"/>
        <w:numPr>
          <w:ilvl w:val="0"/>
          <w:numId w:val="20"/>
        </w:numPr>
        <w:rPr>
          <w:lang w:val="en-AU"/>
        </w:rPr>
      </w:pPr>
      <w:r>
        <w:rPr>
          <w:lang w:val="en-AU"/>
        </w:rPr>
        <w:t>the Age Discrimination Act</w:t>
      </w:r>
    </w:p>
    <w:p w14:paraId="6191EE00" w14:textId="07165CB2" w:rsidR="008E6E8F" w:rsidRDefault="008E6E8F" w:rsidP="008E6E8F">
      <w:pPr>
        <w:pStyle w:val="ListParagraph"/>
        <w:numPr>
          <w:ilvl w:val="0"/>
          <w:numId w:val="20"/>
        </w:numPr>
        <w:rPr>
          <w:lang w:val="en-AU"/>
        </w:rPr>
      </w:pPr>
      <w:r>
        <w:rPr>
          <w:lang w:val="en-AU"/>
        </w:rPr>
        <w:t>the AHRC Act</w:t>
      </w:r>
      <w:r w:rsidR="005F2B9E">
        <w:rPr>
          <w:rStyle w:val="FootnoteReference"/>
          <w:lang w:val="en-AU"/>
        </w:rPr>
        <w:footnoteReference w:id="31"/>
      </w:r>
    </w:p>
    <w:p w14:paraId="0E36005D" w14:textId="40443035" w:rsidR="008E6E8F" w:rsidRDefault="008E6E8F" w:rsidP="008E6E8F">
      <w:pPr>
        <w:pStyle w:val="ListParagraph"/>
        <w:numPr>
          <w:ilvl w:val="0"/>
          <w:numId w:val="20"/>
        </w:numPr>
        <w:rPr>
          <w:lang w:val="en-AU"/>
        </w:rPr>
      </w:pPr>
      <w:r>
        <w:rPr>
          <w:lang w:val="en-AU"/>
        </w:rPr>
        <w:lastRenderedPageBreak/>
        <w:t xml:space="preserve">the Disability Discrimination Act </w:t>
      </w:r>
    </w:p>
    <w:p w14:paraId="12BA37CF" w14:textId="0DD052E8" w:rsidR="008E6E8F" w:rsidRDefault="008E6E8F" w:rsidP="008E6E8F">
      <w:pPr>
        <w:pStyle w:val="ListParagraph"/>
        <w:numPr>
          <w:ilvl w:val="0"/>
          <w:numId w:val="20"/>
        </w:numPr>
        <w:rPr>
          <w:lang w:val="en-AU"/>
        </w:rPr>
      </w:pPr>
      <w:r>
        <w:rPr>
          <w:lang w:val="en-AU"/>
        </w:rPr>
        <w:t>the Racial Discrimination Act, and</w:t>
      </w:r>
    </w:p>
    <w:p w14:paraId="5C95CA15" w14:textId="0D507B4E" w:rsidR="008E6E8F" w:rsidRPr="008E6E8F" w:rsidRDefault="008E6E8F" w:rsidP="008E6E8F">
      <w:pPr>
        <w:pStyle w:val="ListParagraph"/>
        <w:numPr>
          <w:ilvl w:val="0"/>
          <w:numId w:val="20"/>
        </w:numPr>
        <w:rPr>
          <w:lang w:val="en-AU"/>
        </w:rPr>
      </w:pPr>
      <w:r>
        <w:rPr>
          <w:lang w:val="en-AU"/>
        </w:rPr>
        <w:t>the Sex Discrimination Act.</w:t>
      </w:r>
    </w:p>
    <w:p w14:paraId="34209385" w14:textId="228573FC" w:rsidR="008E6E8F" w:rsidRDefault="00277F7B" w:rsidP="00277F7B">
      <w:pPr>
        <w:rPr>
          <w:lang w:val="en-AU"/>
        </w:rPr>
      </w:pPr>
      <w:r>
        <w:rPr>
          <w:lang w:val="en-AU"/>
        </w:rPr>
        <w:t xml:space="preserve">The costs protection model </w:t>
      </w:r>
      <w:r w:rsidR="008E6E8F">
        <w:rPr>
          <w:lang w:val="en-AU"/>
        </w:rPr>
        <w:t xml:space="preserve">would </w:t>
      </w:r>
      <w:r>
        <w:rPr>
          <w:lang w:val="en-AU"/>
        </w:rPr>
        <w:t>apply to all Commonwealth anti</w:t>
      </w:r>
      <w:r w:rsidR="00FD2034">
        <w:rPr>
          <w:lang w:val="en-AU"/>
        </w:rPr>
        <w:noBreakHyphen/>
      </w:r>
      <w:r>
        <w:rPr>
          <w:lang w:val="en-AU"/>
        </w:rPr>
        <w:t>discrimination laws – not just the Sex Discrimination Act</w:t>
      </w:r>
      <w:r w:rsidR="001175D8">
        <w:rPr>
          <w:lang w:val="en-AU"/>
        </w:rPr>
        <w:t>, and not just those relating to sexual or sex-based harassment</w:t>
      </w:r>
      <w:r w:rsidR="00EC3710">
        <w:rPr>
          <w:lang w:val="en-AU"/>
        </w:rPr>
        <w:t xml:space="preserve"> in the workplace</w:t>
      </w:r>
      <w:r>
        <w:rPr>
          <w:lang w:val="en-AU"/>
        </w:rPr>
        <w:t xml:space="preserve">. </w:t>
      </w:r>
    </w:p>
    <w:p w14:paraId="3E9F555F" w14:textId="2C90C736" w:rsidR="00277F7B" w:rsidRDefault="00277F7B" w:rsidP="00277F7B">
      <w:pPr>
        <w:rPr>
          <w:lang w:val="en-AU"/>
        </w:rPr>
      </w:pPr>
      <w:r>
        <w:rPr>
          <w:lang w:val="en-AU"/>
        </w:rPr>
        <w:t>It is therefore important to consider how the model w</w:t>
      </w:r>
      <w:r w:rsidR="00EC3710">
        <w:rPr>
          <w:lang w:val="en-AU"/>
        </w:rPr>
        <w:t>ould</w:t>
      </w:r>
      <w:r>
        <w:rPr>
          <w:lang w:val="en-AU"/>
        </w:rPr>
        <w:t xml:space="preserve"> operate across the breadth of matters pursued under these laws</w:t>
      </w:r>
      <w:r w:rsidR="00EC3710">
        <w:rPr>
          <w:lang w:val="en-AU"/>
        </w:rPr>
        <w:t>, which prohibit discrimination on a range of grounds and in a range of areas of public life including education, goods, services and facilities</w:t>
      </w:r>
      <w:r w:rsidR="00EC3710" w:rsidRPr="0047129F">
        <w:rPr>
          <w:lang w:val="en-AU"/>
        </w:rPr>
        <w:t>, accommodation and clubs</w:t>
      </w:r>
      <w:r w:rsidR="00973676" w:rsidRPr="0047129F">
        <w:rPr>
          <w:lang w:val="en-AU"/>
        </w:rPr>
        <w:t>.</w:t>
      </w:r>
      <w:r w:rsidR="009648C5" w:rsidRPr="0047129F">
        <w:rPr>
          <w:lang w:val="en-AU"/>
        </w:rPr>
        <w:t xml:space="preserve"> In addition, a significant proportion of complaints made to the Commission are intersectional in nature, meaning they raise issues across a number of protected grounds under Commonwealth discrimination law (often across multiple Acts). </w:t>
      </w:r>
      <w:r w:rsidR="006127C0" w:rsidRPr="0047129F">
        <w:rPr>
          <w:lang w:val="en-AU"/>
        </w:rPr>
        <w:t>Th</w:t>
      </w:r>
      <w:r w:rsidR="0028625C" w:rsidRPr="0047129F">
        <w:rPr>
          <w:lang w:val="en-AU"/>
        </w:rPr>
        <w:t>e Commission advises that thi</w:t>
      </w:r>
      <w:r w:rsidR="006127C0" w:rsidRPr="0047129F">
        <w:rPr>
          <w:lang w:val="en-AU"/>
        </w:rPr>
        <w:t xml:space="preserve">s is particularly </w:t>
      </w:r>
      <w:r w:rsidR="007D6A25">
        <w:rPr>
          <w:lang w:val="en-AU"/>
        </w:rPr>
        <w:t>prevalent</w:t>
      </w:r>
      <w:r w:rsidR="006127C0" w:rsidRPr="0047129F">
        <w:rPr>
          <w:lang w:val="en-AU"/>
        </w:rPr>
        <w:t xml:space="preserve"> in the area of employment.</w:t>
      </w:r>
      <w:r w:rsidR="00EB1E37">
        <w:rPr>
          <w:lang w:val="en-AU"/>
        </w:rPr>
        <w:t xml:space="preserve"> For example, a complaint may allege that both sex and racial discrimination occurred as part of an employment decision to dismiss someone from their job.</w:t>
      </w:r>
    </w:p>
    <w:p w14:paraId="5C58F77E" w14:textId="41EDFEBE" w:rsidR="00E62254" w:rsidRDefault="000B2D26" w:rsidP="00277F7B">
      <w:pPr>
        <w:rPr>
          <w:lang w:val="en-AU"/>
        </w:rPr>
      </w:pPr>
      <w:r>
        <w:rPr>
          <w:lang w:val="en-AU"/>
        </w:rPr>
        <w:t xml:space="preserve">As many advocates have </w:t>
      </w:r>
      <w:r w:rsidR="007F2D83">
        <w:rPr>
          <w:lang w:val="en-AU"/>
        </w:rPr>
        <w:t>report</w:t>
      </w:r>
      <w:r>
        <w:rPr>
          <w:lang w:val="en-AU"/>
        </w:rPr>
        <w:t>ed</w:t>
      </w:r>
      <w:r w:rsidR="00E73804">
        <w:rPr>
          <w:lang w:val="en-AU"/>
        </w:rPr>
        <w:t>, v</w:t>
      </w:r>
      <w:r w:rsidR="00973676">
        <w:rPr>
          <w:lang w:val="en-AU"/>
        </w:rPr>
        <w:t>ery few discrimination complaints proceed to court</w:t>
      </w:r>
      <w:r w:rsidR="00E73804">
        <w:rPr>
          <w:lang w:val="en-AU"/>
        </w:rPr>
        <w:t xml:space="preserve"> for a range of reasons, many associated with known barriers to</w:t>
      </w:r>
      <w:r>
        <w:rPr>
          <w:lang w:val="en-AU"/>
        </w:rPr>
        <w:t xml:space="preserve"> accessing</w:t>
      </w:r>
      <w:r w:rsidR="00E73804">
        <w:rPr>
          <w:lang w:val="en-AU"/>
        </w:rPr>
        <w:t xml:space="preserve"> justice</w:t>
      </w:r>
      <w:r w:rsidR="006D5C9C">
        <w:rPr>
          <w:lang w:val="en-AU"/>
        </w:rPr>
        <w:t xml:space="preserve">, including </w:t>
      </w:r>
      <w:r>
        <w:rPr>
          <w:lang w:val="en-AU"/>
        </w:rPr>
        <w:t xml:space="preserve">awareness of rights, awareness of avenues for exercising rights, access to legal representation, costs involved in conciliation and litigation </w:t>
      </w:r>
      <w:r w:rsidR="006D5C9C">
        <w:rPr>
          <w:lang w:val="en-AU"/>
        </w:rPr>
        <w:t xml:space="preserve">both </w:t>
      </w:r>
      <w:r>
        <w:rPr>
          <w:lang w:val="en-AU"/>
        </w:rPr>
        <w:t>financial and otherwise</w:t>
      </w:r>
      <w:r w:rsidR="006D5C9C">
        <w:rPr>
          <w:lang w:val="en-AU"/>
        </w:rPr>
        <w:t>,</w:t>
      </w:r>
      <w:r w:rsidR="0022170A">
        <w:rPr>
          <w:lang w:val="en-AU"/>
        </w:rPr>
        <w:t xml:space="preserve"> and these can </w:t>
      </w:r>
      <w:r>
        <w:rPr>
          <w:lang w:val="en-AU"/>
        </w:rPr>
        <w:t>push</w:t>
      </w:r>
      <w:r w:rsidR="0022170A">
        <w:rPr>
          <w:lang w:val="en-AU"/>
        </w:rPr>
        <w:t xml:space="preserve"> applicants</w:t>
      </w:r>
      <w:r>
        <w:rPr>
          <w:lang w:val="en-AU"/>
        </w:rPr>
        <w:t xml:space="preserve"> to settle</w:t>
      </w:r>
      <w:r w:rsidR="0022170A">
        <w:rPr>
          <w:lang w:val="en-AU"/>
        </w:rPr>
        <w:t xml:space="preserve"> privately</w:t>
      </w:r>
      <w:r>
        <w:rPr>
          <w:lang w:val="en-AU"/>
        </w:rPr>
        <w:t xml:space="preserve"> outside of court. </w:t>
      </w:r>
      <w:r w:rsidR="0022170A">
        <w:rPr>
          <w:lang w:val="en-AU"/>
        </w:rPr>
        <w:t xml:space="preserve">In addition, many matters are conciliated successfully before the Commission. </w:t>
      </w:r>
    </w:p>
    <w:p w14:paraId="625290B2" w14:textId="5D9EE7D2" w:rsidR="00861769" w:rsidRDefault="00861769" w:rsidP="00277F7B">
      <w:pPr>
        <w:rPr>
          <w:lang w:val="en-AU"/>
        </w:rPr>
      </w:pPr>
      <w:r>
        <w:rPr>
          <w:lang w:val="en-AU"/>
        </w:rPr>
        <w:t xml:space="preserve">The Respect at Work Act 2022 </w:t>
      </w:r>
      <w:r>
        <w:t xml:space="preserve">introduced new provisions </w:t>
      </w:r>
      <w:r w:rsidR="003A7678">
        <w:t>in</w:t>
      </w:r>
      <w:r>
        <w:t xml:space="preserve">to the </w:t>
      </w:r>
      <w:r w:rsidR="00142C2B">
        <w:t>AHRC</w:t>
      </w:r>
      <w:r>
        <w:t xml:space="preserve"> Act to enable representative bodies to make representative applications </w:t>
      </w:r>
      <w:r w:rsidR="00142C2B">
        <w:t xml:space="preserve">to court (subsequent to making representative complaints to the Commission) </w:t>
      </w:r>
      <w:r>
        <w:t xml:space="preserve">on behalf of people who have experienced unlawful discrimination. While the impact of those provisions is not yet known, the ability of representative bodies to bring representative complaints </w:t>
      </w:r>
      <w:r w:rsidR="00142C2B">
        <w:t xml:space="preserve">to court </w:t>
      </w:r>
      <w:r>
        <w:t xml:space="preserve">creates a new pathway for </w:t>
      </w:r>
      <w:r w:rsidR="00142C2B">
        <w:t xml:space="preserve">complaints of unlawful </w:t>
      </w:r>
      <w:r>
        <w:t>discrimination to proceed to court</w:t>
      </w:r>
      <w:r w:rsidR="00C803D3">
        <w:t>, avoiding some of these barriers to applicants</w:t>
      </w:r>
      <w:r w:rsidR="006B47BB">
        <w:t>’</w:t>
      </w:r>
      <w:r w:rsidR="00C803D3">
        <w:t xml:space="preserve"> access</w:t>
      </w:r>
      <w:r w:rsidR="006B47BB">
        <w:t xml:space="preserve"> to</w:t>
      </w:r>
      <w:r w:rsidR="00C803D3">
        <w:t xml:space="preserve"> justice</w:t>
      </w:r>
      <w:r w:rsidR="00142C2B">
        <w:t>.</w:t>
      </w:r>
    </w:p>
    <w:p w14:paraId="326DD901" w14:textId="19558CE1" w:rsidR="00F5427C" w:rsidRDefault="008E6E8F" w:rsidP="00277F7B">
      <w:pPr>
        <w:rPr>
          <w:lang w:val="en-AU"/>
        </w:rPr>
      </w:pPr>
      <w:r>
        <w:rPr>
          <w:lang w:val="en-AU"/>
        </w:rPr>
        <w:t>The way that c</w:t>
      </w:r>
      <w:r w:rsidR="00F5427C">
        <w:rPr>
          <w:lang w:val="en-AU"/>
        </w:rPr>
        <w:t xml:space="preserve">osts are </w:t>
      </w:r>
      <w:r>
        <w:rPr>
          <w:lang w:val="en-AU"/>
        </w:rPr>
        <w:t xml:space="preserve">awarded in a discrimination matter is </w:t>
      </w:r>
      <w:r w:rsidR="00F5427C">
        <w:rPr>
          <w:lang w:val="en-AU"/>
        </w:rPr>
        <w:t xml:space="preserve">one </w:t>
      </w:r>
      <w:r>
        <w:rPr>
          <w:lang w:val="en-AU"/>
        </w:rPr>
        <w:t xml:space="preserve">aspect </w:t>
      </w:r>
      <w:r w:rsidR="00F5427C">
        <w:rPr>
          <w:lang w:val="en-AU"/>
        </w:rPr>
        <w:t xml:space="preserve">of </w:t>
      </w:r>
      <w:r>
        <w:rPr>
          <w:lang w:val="en-AU"/>
        </w:rPr>
        <w:t xml:space="preserve">procedural discretion amidst </w:t>
      </w:r>
      <w:r w:rsidR="006D5C9C">
        <w:rPr>
          <w:lang w:val="en-AU"/>
        </w:rPr>
        <w:t>the</w:t>
      </w:r>
      <w:r w:rsidR="00F5427C">
        <w:rPr>
          <w:lang w:val="en-AU"/>
        </w:rPr>
        <w:t xml:space="preserve"> broader </w:t>
      </w:r>
      <w:r w:rsidR="007B71C3">
        <w:rPr>
          <w:lang w:val="en-AU"/>
        </w:rPr>
        <w:t xml:space="preserve">context of taking legal action, which </w:t>
      </w:r>
      <w:r w:rsidR="00F5427C">
        <w:rPr>
          <w:lang w:val="en-AU"/>
        </w:rPr>
        <w:t>includ</w:t>
      </w:r>
      <w:r w:rsidR="007B71C3">
        <w:rPr>
          <w:lang w:val="en-AU"/>
        </w:rPr>
        <w:t>es</w:t>
      </w:r>
      <w:r w:rsidR="00F5427C">
        <w:rPr>
          <w:lang w:val="en-AU"/>
        </w:rPr>
        <w:t xml:space="preserve"> </w:t>
      </w:r>
      <w:r>
        <w:rPr>
          <w:lang w:val="en-AU"/>
        </w:rPr>
        <w:t xml:space="preserve">the other barriers applicants face and awards of </w:t>
      </w:r>
      <w:r w:rsidR="00F5427C">
        <w:rPr>
          <w:lang w:val="en-AU"/>
        </w:rPr>
        <w:t>damages</w:t>
      </w:r>
      <w:r>
        <w:rPr>
          <w:lang w:val="en-AU"/>
        </w:rPr>
        <w:t xml:space="preserve"> (see further discussion later in th</w:t>
      </w:r>
      <w:r w:rsidR="00A60798">
        <w:rPr>
          <w:lang w:val="en-AU"/>
        </w:rPr>
        <w:t>is</w:t>
      </w:r>
      <w:r>
        <w:rPr>
          <w:lang w:val="en-AU"/>
        </w:rPr>
        <w:t xml:space="preserve"> paper). </w:t>
      </w:r>
    </w:p>
    <w:p w14:paraId="0E4FA5E5" w14:textId="7D33B714" w:rsidR="0070636A" w:rsidRDefault="0070636A" w:rsidP="00277F7B">
      <w:pPr>
        <w:rPr>
          <w:lang w:val="en-AU"/>
        </w:rPr>
      </w:pPr>
      <w:r>
        <w:rPr>
          <w:lang w:val="en-AU"/>
        </w:rPr>
        <w:t xml:space="preserve">Recent research conducted by the ANU has demonstrated that the number of </w:t>
      </w:r>
      <w:r w:rsidRPr="005062E2">
        <w:rPr>
          <w:lang w:val="en-AU"/>
        </w:rPr>
        <w:t>case</w:t>
      </w:r>
      <w:r>
        <w:rPr>
          <w:lang w:val="en-AU"/>
        </w:rPr>
        <w:t>s proceeding to court for a</w:t>
      </w:r>
      <w:r w:rsidRPr="005062E2">
        <w:rPr>
          <w:lang w:val="en-AU"/>
        </w:rPr>
        <w:t xml:space="preserve">ll types of </w:t>
      </w:r>
      <w:r w:rsidRPr="00DF3956">
        <w:rPr>
          <w:lang w:val="en-AU"/>
        </w:rPr>
        <w:t>discrimination at the federal level are</w:t>
      </w:r>
      <w:r w:rsidRPr="005062E2">
        <w:rPr>
          <w:lang w:val="en-AU"/>
        </w:rPr>
        <w:t xml:space="preserve"> declining</w:t>
      </w:r>
      <w:r>
        <w:rPr>
          <w:lang w:val="en-AU"/>
        </w:rPr>
        <w:t>.</w:t>
      </w:r>
      <w:r>
        <w:rPr>
          <w:rStyle w:val="FootnoteReference"/>
          <w:lang w:val="en-AU"/>
        </w:rPr>
        <w:footnoteReference w:id="32"/>
      </w:r>
      <w:r w:rsidR="00F36851">
        <w:rPr>
          <w:lang w:val="en-AU"/>
        </w:rPr>
        <w:t xml:space="preserve"> Of the complaints made to the Commission and proceeding to the courts, disability discrimination</w:t>
      </w:r>
      <w:r w:rsidR="003E6E0E">
        <w:rPr>
          <w:lang w:val="en-AU"/>
        </w:rPr>
        <w:t xml:space="preserve"> represents the overwhelming majority of </w:t>
      </w:r>
      <w:r w:rsidR="00F36851">
        <w:rPr>
          <w:lang w:val="en-AU"/>
        </w:rPr>
        <w:t xml:space="preserve">matters. </w:t>
      </w:r>
    </w:p>
    <w:p w14:paraId="2086A846" w14:textId="5C0048BB" w:rsidR="00265513" w:rsidRPr="00277F7B" w:rsidRDefault="00265513" w:rsidP="00277F7B">
      <w:pPr>
        <w:rPr>
          <w:lang w:val="en-AU"/>
        </w:rPr>
      </w:pPr>
      <w:r>
        <w:rPr>
          <w:lang w:val="en-AU"/>
        </w:rPr>
        <w:t xml:space="preserve">The information </w:t>
      </w:r>
      <w:r w:rsidR="00906F7D">
        <w:rPr>
          <w:lang w:val="en-AU"/>
        </w:rPr>
        <w:t xml:space="preserve">below </w:t>
      </w:r>
      <w:r>
        <w:rPr>
          <w:lang w:val="en-AU"/>
        </w:rPr>
        <w:t xml:space="preserve">about </w:t>
      </w:r>
      <w:r w:rsidR="00226C76">
        <w:rPr>
          <w:lang w:val="en-AU"/>
        </w:rPr>
        <w:t xml:space="preserve">the types of </w:t>
      </w:r>
      <w:r>
        <w:rPr>
          <w:lang w:val="en-AU"/>
        </w:rPr>
        <w:t xml:space="preserve">matters </w:t>
      </w:r>
      <w:r w:rsidR="0070636A">
        <w:rPr>
          <w:lang w:val="en-AU"/>
        </w:rPr>
        <w:t xml:space="preserve">that have come </w:t>
      </w:r>
      <w:r>
        <w:rPr>
          <w:lang w:val="en-AU"/>
        </w:rPr>
        <w:t xml:space="preserve">before the Commission and the courts </w:t>
      </w:r>
      <w:r w:rsidR="00906F7D">
        <w:rPr>
          <w:lang w:val="en-AU"/>
        </w:rPr>
        <w:t xml:space="preserve">provides some insight into the </w:t>
      </w:r>
      <w:r w:rsidR="00EC3710">
        <w:rPr>
          <w:lang w:val="en-AU"/>
        </w:rPr>
        <w:t xml:space="preserve">proportion of complaints made under Commonwealth discrimination </w:t>
      </w:r>
      <w:r w:rsidR="00715EC0">
        <w:rPr>
          <w:lang w:val="en-AU"/>
        </w:rPr>
        <w:t>laws</w:t>
      </w:r>
      <w:r w:rsidR="007D6A25">
        <w:rPr>
          <w:lang w:val="en-AU"/>
        </w:rPr>
        <w:t xml:space="preserve"> </w:t>
      </w:r>
      <w:r w:rsidR="00EC3710">
        <w:rPr>
          <w:lang w:val="en-AU"/>
        </w:rPr>
        <w:t>and the types of respondents involved</w:t>
      </w:r>
      <w:r w:rsidR="00906F7D">
        <w:rPr>
          <w:lang w:val="en-AU"/>
        </w:rPr>
        <w:t>.</w:t>
      </w:r>
    </w:p>
    <w:p w14:paraId="0A129FA8" w14:textId="15F20D88" w:rsidR="00A663C7" w:rsidRDefault="00A663C7" w:rsidP="00A663C7">
      <w:pPr>
        <w:pStyle w:val="Heading2"/>
      </w:pPr>
      <w:bookmarkStart w:id="29" w:name="_Toc127809108"/>
      <w:r>
        <w:lastRenderedPageBreak/>
        <w:t>Complaints before the Commission</w:t>
      </w:r>
      <w:bookmarkEnd w:id="29"/>
      <w:r>
        <w:t xml:space="preserve"> </w:t>
      </w:r>
    </w:p>
    <w:p w14:paraId="0B124B19" w14:textId="7ADFB25F" w:rsidR="007F1106" w:rsidRDefault="0056247F" w:rsidP="00DA3267">
      <w:pPr>
        <w:rPr>
          <w:lang w:val="en-AU"/>
        </w:rPr>
      </w:pPr>
      <w:r>
        <w:rPr>
          <w:lang w:val="en-AU"/>
        </w:rPr>
        <w:t xml:space="preserve">The majority of complaints to the Commission each year are made under the Disability Discrimination Act. In 2021-22 for example, </w:t>
      </w:r>
      <w:r w:rsidR="007F1106">
        <w:rPr>
          <w:lang w:val="en-AU"/>
        </w:rPr>
        <w:t>52</w:t>
      </w:r>
      <w:r w:rsidR="001530FC">
        <w:rPr>
          <w:lang w:val="en-AU"/>
        </w:rPr>
        <w:t xml:space="preserve"> per cent</w:t>
      </w:r>
      <w:r w:rsidR="007F1106">
        <w:rPr>
          <w:lang w:val="en-AU"/>
        </w:rPr>
        <w:t xml:space="preserve"> </w:t>
      </w:r>
      <w:r>
        <w:rPr>
          <w:lang w:val="en-AU"/>
        </w:rPr>
        <w:t xml:space="preserve">of </w:t>
      </w:r>
      <w:r w:rsidR="007F1106">
        <w:rPr>
          <w:lang w:val="en-AU"/>
        </w:rPr>
        <w:t>co</w:t>
      </w:r>
      <w:r>
        <w:rPr>
          <w:lang w:val="en-AU"/>
        </w:rPr>
        <w:t>mplaints made to the Commission</w:t>
      </w:r>
      <w:r w:rsidR="007F1106">
        <w:rPr>
          <w:lang w:val="en-AU"/>
        </w:rPr>
        <w:t xml:space="preserve"> </w:t>
      </w:r>
      <w:r>
        <w:rPr>
          <w:lang w:val="en-AU"/>
        </w:rPr>
        <w:t>were made under the Disability Discrimination Act</w:t>
      </w:r>
      <w:r w:rsidR="00BF5FCE">
        <w:rPr>
          <w:lang w:val="en-AU"/>
        </w:rPr>
        <w:t xml:space="preserve"> (noting this was higher than usual due to COVID-related complaints)</w:t>
      </w:r>
      <w:r>
        <w:rPr>
          <w:lang w:val="en-AU"/>
        </w:rPr>
        <w:t>.</w:t>
      </w:r>
      <w:r>
        <w:rPr>
          <w:rStyle w:val="FootnoteReference"/>
          <w:lang w:val="en-AU"/>
        </w:rPr>
        <w:footnoteReference w:id="33"/>
      </w:r>
      <w:r>
        <w:rPr>
          <w:lang w:val="en-AU"/>
        </w:rPr>
        <w:t xml:space="preserve"> </w:t>
      </w:r>
      <w:r w:rsidR="007F1106">
        <w:rPr>
          <w:lang w:val="en-AU"/>
        </w:rPr>
        <w:t>In 2020-21 the proportion of complaints made under the Disability Discrimination Act was 37</w:t>
      </w:r>
      <w:r w:rsidR="001530FC">
        <w:rPr>
          <w:lang w:val="en-AU"/>
        </w:rPr>
        <w:t xml:space="preserve"> per cent</w:t>
      </w:r>
      <w:r w:rsidR="007F1106">
        <w:rPr>
          <w:lang w:val="en-AU"/>
        </w:rPr>
        <w:t xml:space="preserve"> and in 2019-20, 44</w:t>
      </w:r>
      <w:r w:rsidR="001530FC">
        <w:rPr>
          <w:lang w:val="en-AU"/>
        </w:rPr>
        <w:t xml:space="preserve"> per cent</w:t>
      </w:r>
      <w:r w:rsidR="007F1106">
        <w:rPr>
          <w:lang w:val="en-AU"/>
        </w:rPr>
        <w:t>.</w:t>
      </w:r>
    </w:p>
    <w:p w14:paraId="339E97C1" w14:textId="65197A1E" w:rsidR="007F1106" w:rsidRPr="007F1106" w:rsidRDefault="007F1106" w:rsidP="00651C53">
      <w:pPr>
        <w:keepNext/>
        <w:rPr>
          <w:b/>
        </w:rPr>
      </w:pPr>
      <w:r w:rsidRPr="007F1106">
        <w:rPr>
          <w:b/>
        </w:rPr>
        <w:t>Table 10: Complaints received by Act over the past five years</w:t>
      </w:r>
      <w:r>
        <w:rPr>
          <w:rStyle w:val="FootnoteReference"/>
          <w:b/>
        </w:rPr>
        <w:footnoteReference w:id="34"/>
      </w:r>
      <w:r w:rsidRPr="007F1106">
        <w:rPr>
          <w:b/>
        </w:rPr>
        <w:t xml:space="preserve"> </w:t>
      </w:r>
    </w:p>
    <w:tbl>
      <w:tblPr>
        <w:tblStyle w:val="TableGrid"/>
        <w:tblW w:w="0" w:type="auto"/>
        <w:tblLook w:val="04A0" w:firstRow="1" w:lastRow="0" w:firstColumn="1" w:lastColumn="0" w:noHBand="0" w:noVBand="1"/>
      </w:tblPr>
      <w:tblGrid>
        <w:gridCol w:w="1880"/>
        <w:gridCol w:w="719"/>
        <w:gridCol w:w="711"/>
        <w:gridCol w:w="719"/>
        <w:gridCol w:w="711"/>
        <w:gridCol w:w="853"/>
        <w:gridCol w:w="711"/>
        <w:gridCol w:w="900"/>
        <w:gridCol w:w="718"/>
        <w:gridCol w:w="719"/>
        <w:gridCol w:w="714"/>
      </w:tblGrid>
      <w:tr w:rsidR="00944A7A" w14:paraId="59E3EA16" w14:textId="55CBB52B" w:rsidTr="00944A7A">
        <w:tc>
          <w:tcPr>
            <w:tcW w:w="2011" w:type="dxa"/>
            <w:tcBorders>
              <w:top w:val="nil"/>
              <w:left w:val="nil"/>
            </w:tcBorders>
          </w:tcPr>
          <w:p w14:paraId="63C074CF" w14:textId="77777777" w:rsidR="004D7994" w:rsidRDefault="004D7994" w:rsidP="00651C53">
            <w:pPr>
              <w:keepNext/>
              <w:spacing w:before="120" w:after="120"/>
            </w:pPr>
          </w:p>
        </w:tc>
        <w:tc>
          <w:tcPr>
            <w:tcW w:w="1430" w:type="dxa"/>
            <w:gridSpan w:val="2"/>
          </w:tcPr>
          <w:p w14:paraId="283F6E44" w14:textId="3AF67C1C" w:rsidR="004D7994" w:rsidRPr="007F1106" w:rsidRDefault="004D7994" w:rsidP="00651C53">
            <w:pPr>
              <w:keepNext/>
              <w:spacing w:before="120" w:after="120"/>
              <w:jc w:val="center"/>
              <w:rPr>
                <w:b/>
              </w:rPr>
            </w:pPr>
            <w:r w:rsidRPr="007F1106">
              <w:rPr>
                <w:b/>
              </w:rPr>
              <w:t>2017-18</w:t>
            </w:r>
          </w:p>
        </w:tc>
        <w:tc>
          <w:tcPr>
            <w:tcW w:w="1430" w:type="dxa"/>
            <w:gridSpan w:val="2"/>
          </w:tcPr>
          <w:p w14:paraId="0C09D5B1" w14:textId="6631B189" w:rsidR="004D7994" w:rsidRPr="007F1106" w:rsidRDefault="004D7994" w:rsidP="00651C53">
            <w:pPr>
              <w:keepNext/>
              <w:spacing w:before="120" w:after="120"/>
              <w:jc w:val="center"/>
              <w:rPr>
                <w:b/>
              </w:rPr>
            </w:pPr>
            <w:r w:rsidRPr="007F1106">
              <w:rPr>
                <w:b/>
              </w:rPr>
              <w:t>2018-19</w:t>
            </w:r>
          </w:p>
        </w:tc>
        <w:tc>
          <w:tcPr>
            <w:tcW w:w="1366" w:type="dxa"/>
            <w:gridSpan w:val="2"/>
          </w:tcPr>
          <w:p w14:paraId="683657FF" w14:textId="615C7962" w:rsidR="004D7994" w:rsidRPr="007F1106" w:rsidRDefault="004D7994" w:rsidP="00651C53">
            <w:pPr>
              <w:keepNext/>
              <w:spacing w:before="120" w:after="120"/>
              <w:jc w:val="center"/>
              <w:rPr>
                <w:b/>
              </w:rPr>
            </w:pPr>
            <w:r w:rsidRPr="007F1106">
              <w:rPr>
                <w:b/>
              </w:rPr>
              <w:t>2019-20</w:t>
            </w:r>
          </w:p>
        </w:tc>
        <w:tc>
          <w:tcPr>
            <w:tcW w:w="1684" w:type="dxa"/>
            <w:gridSpan w:val="2"/>
          </w:tcPr>
          <w:p w14:paraId="57F70DCF" w14:textId="690948DA" w:rsidR="004D7994" w:rsidRPr="007F1106" w:rsidRDefault="004D7994" w:rsidP="00651C53">
            <w:pPr>
              <w:keepNext/>
              <w:spacing w:before="120" w:after="120"/>
              <w:jc w:val="center"/>
              <w:rPr>
                <w:b/>
              </w:rPr>
            </w:pPr>
            <w:r w:rsidRPr="007F1106">
              <w:rPr>
                <w:b/>
              </w:rPr>
              <w:t>2020-21</w:t>
            </w:r>
          </w:p>
        </w:tc>
        <w:tc>
          <w:tcPr>
            <w:tcW w:w="1434" w:type="dxa"/>
            <w:gridSpan w:val="2"/>
          </w:tcPr>
          <w:p w14:paraId="02F227D0" w14:textId="3EC98202" w:rsidR="004D7994" w:rsidRPr="007F1106" w:rsidRDefault="004D7994" w:rsidP="00651C53">
            <w:pPr>
              <w:keepNext/>
              <w:spacing w:before="120" w:after="120"/>
              <w:jc w:val="center"/>
              <w:rPr>
                <w:b/>
              </w:rPr>
            </w:pPr>
            <w:r w:rsidRPr="007F1106">
              <w:rPr>
                <w:b/>
              </w:rPr>
              <w:t>2021-22</w:t>
            </w:r>
          </w:p>
        </w:tc>
      </w:tr>
      <w:tr w:rsidR="00944A7A" w14:paraId="17F7F3CF" w14:textId="7FB41AEA" w:rsidTr="00944A7A">
        <w:tc>
          <w:tcPr>
            <w:tcW w:w="2011" w:type="dxa"/>
          </w:tcPr>
          <w:p w14:paraId="179842E2" w14:textId="2DA73885" w:rsidR="004D7994" w:rsidRDefault="004D7994" w:rsidP="00D345B2">
            <w:pPr>
              <w:spacing w:before="120" w:after="120"/>
            </w:pPr>
            <w:r>
              <w:t>Disability Discrimination Act</w:t>
            </w:r>
          </w:p>
        </w:tc>
        <w:tc>
          <w:tcPr>
            <w:tcW w:w="719" w:type="dxa"/>
          </w:tcPr>
          <w:p w14:paraId="474A995D" w14:textId="7E1D9B85" w:rsidR="004D7994" w:rsidRDefault="004D7994" w:rsidP="00D345B2">
            <w:pPr>
              <w:spacing w:before="120" w:after="120"/>
            </w:pPr>
            <w:r>
              <w:t>869</w:t>
            </w:r>
          </w:p>
        </w:tc>
        <w:tc>
          <w:tcPr>
            <w:tcW w:w="711" w:type="dxa"/>
          </w:tcPr>
          <w:p w14:paraId="02F6CC83" w14:textId="54F5126B" w:rsidR="004D7994" w:rsidRPr="007D5E85" w:rsidRDefault="000F41E8" w:rsidP="00D345B2">
            <w:pPr>
              <w:spacing w:before="120" w:after="120"/>
            </w:pPr>
            <w:r w:rsidRPr="007D5E85">
              <w:t>42</w:t>
            </w:r>
            <w:r w:rsidR="004D7994" w:rsidRPr="007D5E85">
              <w:t>%</w:t>
            </w:r>
          </w:p>
        </w:tc>
        <w:tc>
          <w:tcPr>
            <w:tcW w:w="719" w:type="dxa"/>
          </w:tcPr>
          <w:p w14:paraId="13EA66A5" w14:textId="677808CF" w:rsidR="004D7994" w:rsidRDefault="004D7994" w:rsidP="00D345B2">
            <w:pPr>
              <w:spacing w:before="120" w:after="120"/>
            </w:pPr>
            <w:r>
              <w:t>891</w:t>
            </w:r>
          </w:p>
        </w:tc>
        <w:tc>
          <w:tcPr>
            <w:tcW w:w="711" w:type="dxa"/>
          </w:tcPr>
          <w:p w14:paraId="4978B6F2" w14:textId="454B58C0" w:rsidR="004D7994" w:rsidRDefault="000F41E8" w:rsidP="00D345B2">
            <w:pPr>
              <w:spacing w:before="120" w:after="120"/>
            </w:pPr>
            <w:r w:rsidRPr="007D5E85">
              <w:t>44</w:t>
            </w:r>
            <w:r w:rsidR="004D7994" w:rsidRPr="007D5E85">
              <w:t>%</w:t>
            </w:r>
          </w:p>
        </w:tc>
        <w:tc>
          <w:tcPr>
            <w:tcW w:w="900" w:type="dxa"/>
          </w:tcPr>
          <w:p w14:paraId="227083F6" w14:textId="71D20B3F" w:rsidR="004D7994" w:rsidRDefault="000F41E8" w:rsidP="00D345B2">
            <w:pPr>
              <w:spacing w:before="120" w:after="120"/>
            </w:pPr>
            <w:r w:rsidRPr="007D5E85">
              <w:t>1006</w:t>
            </w:r>
          </w:p>
        </w:tc>
        <w:tc>
          <w:tcPr>
            <w:tcW w:w="466" w:type="dxa"/>
          </w:tcPr>
          <w:p w14:paraId="2430CE4B" w14:textId="105B3912" w:rsidR="004D7994" w:rsidRDefault="000F41E8" w:rsidP="00D345B2">
            <w:pPr>
              <w:spacing w:before="120" w:after="120"/>
            </w:pPr>
            <w:r w:rsidRPr="007D5E85">
              <w:t>44</w:t>
            </w:r>
            <w:r w:rsidR="004D7994" w:rsidRPr="007D5E85">
              <w:t>%</w:t>
            </w:r>
          </w:p>
        </w:tc>
        <w:tc>
          <w:tcPr>
            <w:tcW w:w="964" w:type="dxa"/>
          </w:tcPr>
          <w:p w14:paraId="51833ACD" w14:textId="5A846558" w:rsidR="004D7994" w:rsidRDefault="004D7994" w:rsidP="00D345B2">
            <w:pPr>
              <w:spacing w:before="120" w:after="120"/>
            </w:pPr>
            <w:r>
              <w:t>1,163</w:t>
            </w:r>
          </w:p>
        </w:tc>
        <w:tc>
          <w:tcPr>
            <w:tcW w:w="720" w:type="dxa"/>
          </w:tcPr>
          <w:p w14:paraId="707BC578" w14:textId="41125811" w:rsidR="004D7994" w:rsidRDefault="000F41E8" w:rsidP="00D345B2">
            <w:pPr>
              <w:spacing w:before="120" w:after="120"/>
            </w:pPr>
            <w:r w:rsidRPr="007D5E85">
              <w:t>37</w:t>
            </w:r>
            <w:r w:rsidR="004D7994" w:rsidRPr="007D5E85">
              <w:t>%</w:t>
            </w:r>
          </w:p>
        </w:tc>
        <w:tc>
          <w:tcPr>
            <w:tcW w:w="719" w:type="dxa"/>
          </w:tcPr>
          <w:p w14:paraId="32739A6C" w14:textId="23C5A5F1" w:rsidR="004D7994" w:rsidRDefault="004D7994" w:rsidP="00D345B2">
            <w:pPr>
              <w:spacing w:before="120" w:after="120"/>
            </w:pPr>
            <w:r>
              <w:t>1,960</w:t>
            </w:r>
          </w:p>
        </w:tc>
        <w:tc>
          <w:tcPr>
            <w:tcW w:w="715" w:type="dxa"/>
          </w:tcPr>
          <w:p w14:paraId="3B797F04" w14:textId="102262A4" w:rsidR="004D7994" w:rsidRDefault="005D58F1" w:rsidP="00D345B2">
            <w:pPr>
              <w:spacing w:before="120" w:after="120"/>
            </w:pPr>
            <w:r w:rsidRPr="007D5E85">
              <w:t>52</w:t>
            </w:r>
            <w:r w:rsidR="004D7994" w:rsidRPr="007D5E85">
              <w:t>%</w:t>
            </w:r>
          </w:p>
        </w:tc>
      </w:tr>
      <w:tr w:rsidR="00944A7A" w14:paraId="7B521D6C" w14:textId="5125DA31" w:rsidTr="00944A7A">
        <w:tc>
          <w:tcPr>
            <w:tcW w:w="2011" w:type="dxa"/>
          </w:tcPr>
          <w:p w14:paraId="1E51061F" w14:textId="6C207985" w:rsidR="004D7994" w:rsidRDefault="004D7994" w:rsidP="00D345B2">
            <w:pPr>
              <w:spacing w:before="120" w:after="120"/>
            </w:pPr>
            <w:r>
              <w:t>Sex Discrimination Act</w:t>
            </w:r>
          </w:p>
        </w:tc>
        <w:tc>
          <w:tcPr>
            <w:tcW w:w="719" w:type="dxa"/>
          </w:tcPr>
          <w:p w14:paraId="25649666" w14:textId="79094001" w:rsidR="004D7994" w:rsidRDefault="004D7994" w:rsidP="00D345B2">
            <w:pPr>
              <w:spacing w:before="120" w:after="120"/>
            </w:pPr>
            <w:r>
              <w:t>552</w:t>
            </w:r>
          </w:p>
        </w:tc>
        <w:tc>
          <w:tcPr>
            <w:tcW w:w="711" w:type="dxa"/>
          </w:tcPr>
          <w:p w14:paraId="1371B619" w14:textId="4D748479" w:rsidR="004D7994" w:rsidRPr="007D5E85" w:rsidRDefault="000F41E8" w:rsidP="00D345B2">
            <w:pPr>
              <w:spacing w:before="120" w:after="120"/>
            </w:pPr>
            <w:r w:rsidRPr="007D5E85">
              <w:t>27</w:t>
            </w:r>
            <w:r w:rsidR="004D7994" w:rsidRPr="007D5E85">
              <w:t>%</w:t>
            </w:r>
          </w:p>
        </w:tc>
        <w:tc>
          <w:tcPr>
            <w:tcW w:w="719" w:type="dxa"/>
          </w:tcPr>
          <w:p w14:paraId="1EEA974E" w14:textId="267FE49A" w:rsidR="004D7994" w:rsidRDefault="004D7994" w:rsidP="00D345B2">
            <w:pPr>
              <w:spacing w:before="120" w:after="120"/>
            </w:pPr>
            <w:r>
              <w:t>520</w:t>
            </w:r>
          </w:p>
        </w:tc>
        <w:tc>
          <w:tcPr>
            <w:tcW w:w="711" w:type="dxa"/>
          </w:tcPr>
          <w:p w14:paraId="166DFE8A" w14:textId="54F6E4CE" w:rsidR="004D7994" w:rsidRDefault="000F41E8" w:rsidP="00D345B2">
            <w:pPr>
              <w:spacing w:before="120" w:after="120"/>
            </w:pPr>
            <w:r w:rsidRPr="007D5E85">
              <w:t>26</w:t>
            </w:r>
            <w:r w:rsidR="004D7994" w:rsidRPr="007D5E85">
              <w:t>%</w:t>
            </w:r>
          </w:p>
        </w:tc>
        <w:tc>
          <w:tcPr>
            <w:tcW w:w="900" w:type="dxa"/>
          </w:tcPr>
          <w:p w14:paraId="28BB536B" w14:textId="08B80394" w:rsidR="004D7994" w:rsidRDefault="004D7994" w:rsidP="00D345B2">
            <w:pPr>
              <w:spacing w:before="120" w:after="120"/>
            </w:pPr>
            <w:r>
              <w:t>479</w:t>
            </w:r>
          </w:p>
        </w:tc>
        <w:tc>
          <w:tcPr>
            <w:tcW w:w="466" w:type="dxa"/>
          </w:tcPr>
          <w:p w14:paraId="2C03B681" w14:textId="73F67229" w:rsidR="004D7994" w:rsidRDefault="000F41E8" w:rsidP="00D345B2">
            <w:pPr>
              <w:spacing w:before="120" w:after="120"/>
            </w:pPr>
            <w:r w:rsidRPr="007D5E85">
              <w:t>21</w:t>
            </w:r>
            <w:r w:rsidR="004D7994" w:rsidRPr="007D5E85">
              <w:t>%</w:t>
            </w:r>
          </w:p>
        </w:tc>
        <w:tc>
          <w:tcPr>
            <w:tcW w:w="964" w:type="dxa"/>
          </w:tcPr>
          <w:p w14:paraId="357BFFAC" w14:textId="23310E70" w:rsidR="004D7994" w:rsidRDefault="004D7994" w:rsidP="00D345B2">
            <w:pPr>
              <w:spacing w:before="120" w:after="120"/>
            </w:pPr>
            <w:r>
              <w:t>504</w:t>
            </w:r>
          </w:p>
        </w:tc>
        <w:tc>
          <w:tcPr>
            <w:tcW w:w="720" w:type="dxa"/>
          </w:tcPr>
          <w:p w14:paraId="5DB53A63" w14:textId="19A36805" w:rsidR="004D7994" w:rsidRDefault="005D58F1" w:rsidP="00D345B2">
            <w:pPr>
              <w:spacing w:before="120" w:after="120"/>
            </w:pPr>
            <w:r w:rsidRPr="007D5E85">
              <w:t>16</w:t>
            </w:r>
            <w:r w:rsidR="004D7994" w:rsidRPr="007D5E85">
              <w:t>%</w:t>
            </w:r>
          </w:p>
        </w:tc>
        <w:tc>
          <w:tcPr>
            <w:tcW w:w="719" w:type="dxa"/>
          </w:tcPr>
          <w:p w14:paraId="710C2E1E" w14:textId="0FA8E711" w:rsidR="004D7994" w:rsidRDefault="004D7994" w:rsidP="00D345B2">
            <w:pPr>
              <w:spacing w:before="120" w:after="120"/>
            </w:pPr>
            <w:r>
              <w:t>597</w:t>
            </w:r>
          </w:p>
        </w:tc>
        <w:tc>
          <w:tcPr>
            <w:tcW w:w="715" w:type="dxa"/>
          </w:tcPr>
          <w:p w14:paraId="34305B53" w14:textId="29F2D97A" w:rsidR="004D7994" w:rsidRDefault="005D58F1" w:rsidP="00D345B2">
            <w:pPr>
              <w:spacing w:before="120" w:after="120"/>
            </w:pPr>
            <w:r w:rsidRPr="007D5E85">
              <w:t>16</w:t>
            </w:r>
            <w:r w:rsidR="004D7994" w:rsidRPr="007D5E85">
              <w:t>%</w:t>
            </w:r>
          </w:p>
        </w:tc>
      </w:tr>
      <w:tr w:rsidR="00944A7A" w14:paraId="29331DE7" w14:textId="0B0C874D" w:rsidTr="00944A7A">
        <w:tc>
          <w:tcPr>
            <w:tcW w:w="2011" w:type="dxa"/>
          </w:tcPr>
          <w:p w14:paraId="183FA110" w14:textId="41A9DEC7" w:rsidR="004D7994" w:rsidRDefault="004D7994" w:rsidP="00D345B2">
            <w:pPr>
              <w:spacing w:before="120" w:after="120"/>
            </w:pPr>
            <w:r>
              <w:t>Racial Discrimination Act</w:t>
            </w:r>
          </w:p>
        </w:tc>
        <w:tc>
          <w:tcPr>
            <w:tcW w:w="719" w:type="dxa"/>
          </w:tcPr>
          <w:p w14:paraId="5C129AC8" w14:textId="56368F9D" w:rsidR="004D7994" w:rsidRDefault="004D7994" w:rsidP="00D345B2">
            <w:pPr>
              <w:spacing w:before="120" w:after="120"/>
            </w:pPr>
            <w:r>
              <w:t>290</w:t>
            </w:r>
          </w:p>
        </w:tc>
        <w:tc>
          <w:tcPr>
            <w:tcW w:w="711" w:type="dxa"/>
          </w:tcPr>
          <w:p w14:paraId="30C8253C" w14:textId="5FBB20FF" w:rsidR="004D7994" w:rsidRPr="007D5E85" w:rsidRDefault="000F41E8" w:rsidP="00D345B2">
            <w:pPr>
              <w:spacing w:before="120" w:after="120"/>
            </w:pPr>
            <w:r w:rsidRPr="007D5E85">
              <w:t>14</w:t>
            </w:r>
            <w:r w:rsidR="004D7994" w:rsidRPr="007D5E85">
              <w:t>%</w:t>
            </w:r>
          </w:p>
        </w:tc>
        <w:tc>
          <w:tcPr>
            <w:tcW w:w="719" w:type="dxa"/>
          </w:tcPr>
          <w:p w14:paraId="50C8DECB" w14:textId="38F52CE5" w:rsidR="004D7994" w:rsidRDefault="004D7994" w:rsidP="00D345B2">
            <w:pPr>
              <w:spacing w:before="120" w:after="120"/>
            </w:pPr>
            <w:r>
              <w:t>332</w:t>
            </w:r>
          </w:p>
        </w:tc>
        <w:tc>
          <w:tcPr>
            <w:tcW w:w="711" w:type="dxa"/>
          </w:tcPr>
          <w:p w14:paraId="5283964F" w14:textId="116884CC" w:rsidR="004D7994" w:rsidRDefault="000F41E8" w:rsidP="00D345B2">
            <w:pPr>
              <w:spacing w:before="120" w:after="120"/>
            </w:pPr>
            <w:r w:rsidRPr="007D5E85">
              <w:t>16</w:t>
            </w:r>
            <w:r w:rsidR="004D7994" w:rsidRPr="007D5E85">
              <w:t>%</w:t>
            </w:r>
          </w:p>
        </w:tc>
        <w:tc>
          <w:tcPr>
            <w:tcW w:w="900" w:type="dxa"/>
          </w:tcPr>
          <w:p w14:paraId="4518006A" w14:textId="4867D5D8" w:rsidR="004D7994" w:rsidRDefault="004D7994" w:rsidP="00D345B2">
            <w:pPr>
              <w:spacing w:before="120" w:after="120"/>
            </w:pPr>
            <w:r>
              <w:t>403</w:t>
            </w:r>
          </w:p>
        </w:tc>
        <w:tc>
          <w:tcPr>
            <w:tcW w:w="466" w:type="dxa"/>
          </w:tcPr>
          <w:p w14:paraId="58058EF3" w14:textId="0A7EAA47" w:rsidR="004D7994" w:rsidRDefault="000F41E8" w:rsidP="00D345B2">
            <w:pPr>
              <w:spacing w:before="120" w:after="120"/>
            </w:pPr>
            <w:r w:rsidRPr="007D5E85">
              <w:t>17</w:t>
            </w:r>
            <w:r w:rsidR="004D7994" w:rsidRPr="007D5E85">
              <w:t>%</w:t>
            </w:r>
          </w:p>
        </w:tc>
        <w:tc>
          <w:tcPr>
            <w:tcW w:w="964" w:type="dxa"/>
          </w:tcPr>
          <w:p w14:paraId="44D4C736" w14:textId="2CA1D8C3" w:rsidR="004D7994" w:rsidRDefault="004D7994" w:rsidP="00D345B2">
            <w:pPr>
              <w:spacing w:before="120" w:after="120"/>
            </w:pPr>
            <w:r>
              <w:t>523</w:t>
            </w:r>
          </w:p>
        </w:tc>
        <w:tc>
          <w:tcPr>
            <w:tcW w:w="720" w:type="dxa"/>
          </w:tcPr>
          <w:p w14:paraId="45B5FD87" w14:textId="4AE80081" w:rsidR="004D7994" w:rsidRDefault="005D58F1" w:rsidP="00D345B2">
            <w:pPr>
              <w:spacing w:before="120" w:after="120"/>
            </w:pPr>
            <w:r w:rsidRPr="007D5E85">
              <w:t>17</w:t>
            </w:r>
            <w:r w:rsidR="004D7994" w:rsidRPr="007D5E85">
              <w:t>%</w:t>
            </w:r>
          </w:p>
        </w:tc>
        <w:tc>
          <w:tcPr>
            <w:tcW w:w="719" w:type="dxa"/>
          </w:tcPr>
          <w:p w14:paraId="31EB4141" w14:textId="64485371" w:rsidR="004D7994" w:rsidRDefault="004D7994" w:rsidP="00D345B2">
            <w:pPr>
              <w:spacing w:before="120" w:after="120"/>
            </w:pPr>
            <w:r>
              <w:t>464</w:t>
            </w:r>
          </w:p>
        </w:tc>
        <w:tc>
          <w:tcPr>
            <w:tcW w:w="715" w:type="dxa"/>
          </w:tcPr>
          <w:p w14:paraId="7AAF41A0" w14:textId="339DA518" w:rsidR="004D7994" w:rsidRDefault="005D58F1" w:rsidP="00D345B2">
            <w:pPr>
              <w:spacing w:before="120" w:after="120"/>
            </w:pPr>
            <w:r w:rsidRPr="007D5E85">
              <w:t>12</w:t>
            </w:r>
            <w:r w:rsidR="004D7994" w:rsidRPr="007D5E85">
              <w:t>%</w:t>
            </w:r>
          </w:p>
        </w:tc>
      </w:tr>
      <w:tr w:rsidR="00944A7A" w14:paraId="7171C8D9" w14:textId="1ADEDB45" w:rsidTr="00944A7A">
        <w:tc>
          <w:tcPr>
            <w:tcW w:w="2011" w:type="dxa"/>
          </w:tcPr>
          <w:p w14:paraId="290EDEBE" w14:textId="0CECD4B0" w:rsidR="004D7994" w:rsidRDefault="004D7994" w:rsidP="00D345B2">
            <w:pPr>
              <w:spacing w:before="120" w:after="120"/>
            </w:pPr>
            <w:r>
              <w:t>Age Discrimination Act</w:t>
            </w:r>
          </w:p>
        </w:tc>
        <w:tc>
          <w:tcPr>
            <w:tcW w:w="719" w:type="dxa"/>
          </w:tcPr>
          <w:p w14:paraId="3A83DEDD" w14:textId="5DE10CF8" w:rsidR="004D7994" w:rsidRDefault="004D7994" w:rsidP="00D345B2">
            <w:pPr>
              <w:spacing w:before="120" w:after="120"/>
            </w:pPr>
            <w:r>
              <w:t>172</w:t>
            </w:r>
          </w:p>
        </w:tc>
        <w:tc>
          <w:tcPr>
            <w:tcW w:w="711" w:type="dxa"/>
          </w:tcPr>
          <w:p w14:paraId="015C3361" w14:textId="28EDC2AF" w:rsidR="004D7994" w:rsidRPr="007D5E85" w:rsidRDefault="000F41E8" w:rsidP="00D345B2">
            <w:pPr>
              <w:spacing w:before="120" w:after="120"/>
            </w:pPr>
            <w:r w:rsidRPr="007D5E85">
              <w:t>8</w:t>
            </w:r>
            <w:r w:rsidR="004D7994" w:rsidRPr="007D5E85">
              <w:t>%</w:t>
            </w:r>
          </w:p>
        </w:tc>
        <w:tc>
          <w:tcPr>
            <w:tcW w:w="719" w:type="dxa"/>
          </w:tcPr>
          <w:p w14:paraId="700994D5" w14:textId="6504B9E3" w:rsidR="004D7994" w:rsidRDefault="004D7994" w:rsidP="00D345B2">
            <w:pPr>
              <w:spacing w:before="120" w:after="120"/>
            </w:pPr>
            <w:r>
              <w:t>137</w:t>
            </w:r>
          </w:p>
        </w:tc>
        <w:tc>
          <w:tcPr>
            <w:tcW w:w="711" w:type="dxa"/>
          </w:tcPr>
          <w:p w14:paraId="20B19A70" w14:textId="71BB3756" w:rsidR="004D7994" w:rsidRDefault="000F41E8" w:rsidP="00D345B2">
            <w:pPr>
              <w:spacing w:before="120" w:after="120"/>
            </w:pPr>
            <w:r w:rsidRPr="007D5E85">
              <w:t>7</w:t>
            </w:r>
            <w:r w:rsidR="004D7994" w:rsidRPr="007D5E85">
              <w:t>%</w:t>
            </w:r>
          </w:p>
        </w:tc>
        <w:tc>
          <w:tcPr>
            <w:tcW w:w="900" w:type="dxa"/>
          </w:tcPr>
          <w:p w14:paraId="3A9F9355" w14:textId="4EB56A08" w:rsidR="004D7994" w:rsidRDefault="004D7994" w:rsidP="00D345B2">
            <w:pPr>
              <w:spacing w:before="120" w:after="120"/>
            </w:pPr>
            <w:r>
              <w:t>168</w:t>
            </w:r>
          </w:p>
        </w:tc>
        <w:tc>
          <w:tcPr>
            <w:tcW w:w="466" w:type="dxa"/>
          </w:tcPr>
          <w:p w14:paraId="2E367CDD" w14:textId="56680274" w:rsidR="004D7994" w:rsidRDefault="000F41E8" w:rsidP="00D345B2">
            <w:pPr>
              <w:spacing w:before="120" w:after="120"/>
            </w:pPr>
            <w:r w:rsidRPr="007D5E85">
              <w:t>7</w:t>
            </w:r>
            <w:r w:rsidR="004D7994" w:rsidRPr="007D5E85">
              <w:t>%</w:t>
            </w:r>
          </w:p>
        </w:tc>
        <w:tc>
          <w:tcPr>
            <w:tcW w:w="964" w:type="dxa"/>
          </w:tcPr>
          <w:p w14:paraId="16E409B6" w14:textId="1408BC8F" w:rsidR="004D7994" w:rsidRDefault="004D7994" w:rsidP="00D345B2">
            <w:pPr>
              <w:spacing w:before="120" w:after="120"/>
            </w:pPr>
            <w:r>
              <w:t>191</w:t>
            </w:r>
          </w:p>
        </w:tc>
        <w:tc>
          <w:tcPr>
            <w:tcW w:w="720" w:type="dxa"/>
          </w:tcPr>
          <w:p w14:paraId="423DE0DE" w14:textId="416833F3" w:rsidR="004D7994" w:rsidRDefault="005D58F1" w:rsidP="00D345B2">
            <w:pPr>
              <w:spacing w:before="120" w:after="120"/>
            </w:pPr>
            <w:r w:rsidRPr="007D5E85">
              <w:t>6</w:t>
            </w:r>
            <w:r w:rsidR="004D7994" w:rsidRPr="007D5E85">
              <w:t>%</w:t>
            </w:r>
          </w:p>
        </w:tc>
        <w:tc>
          <w:tcPr>
            <w:tcW w:w="719" w:type="dxa"/>
          </w:tcPr>
          <w:p w14:paraId="455538D3" w14:textId="17521009" w:rsidR="004D7994" w:rsidRDefault="004D7994" w:rsidP="00D345B2">
            <w:pPr>
              <w:spacing w:before="120" w:after="120"/>
            </w:pPr>
            <w:r>
              <w:t>217</w:t>
            </w:r>
          </w:p>
        </w:tc>
        <w:tc>
          <w:tcPr>
            <w:tcW w:w="715" w:type="dxa"/>
          </w:tcPr>
          <w:p w14:paraId="728E94E5" w14:textId="41D36B93" w:rsidR="004D7994" w:rsidRDefault="005D58F1" w:rsidP="00D345B2">
            <w:pPr>
              <w:spacing w:before="120" w:after="120"/>
            </w:pPr>
            <w:r w:rsidRPr="007D5E85">
              <w:t>6</w:t>
            </w:r>
            <w:r w:rsidR="004D7994" w:rsidRPr="007D5E85">
              <w:t>%</w:t>
            </w:r>
          </w:p>
        </w:tc>
      </w:tr>
      <w:tr w:rsidR="00944A7A" w14:paraId="0ACF4006" w14:textId="400066BE" w:rsidTr="00944A7A">
        <w:tc>
          <w:tcPr>
            <w:tcW w:w="2011" w:type="dxa"/>
          </w:tcPr>
          <w:p w14:paraId="353310A3" w14:textId="1694F8A7" w:rsidR="004D7994" w:rsidRDefault="004D7994" w:rsidP="00D345B2">
            <w:pPr>
              <w:spacing w:before="120" w:after="120"/>
            </w:pPr>
            <w:r>
              <w:t>AHRC Act</w:t>
            </w:r>
            <w:r>
              <w:rPr>
                <w:rStyle w:val="FootnoteReference"/>
              </w:rPr>
              <w:footnoteReference w:id="35"/>
            </w:r>
          </w:p>
        </w:tc>
        <w:tc>
          <w:tcPr>
            <w:tcW w:w="719" w:type="dxa"/>
          </w:tcPr>
          <w:p w14:paraId="031214F6" w14:textId="3B0B014C" w:rsidR="004D7994" w:rsidRDefault="004D7994" w:rsidP="00D345B2">
            <w:pPr>
              <w:spacing w:before="120" w:after="120"/>
            </w:pPr>
            <w:r>
              <w:t>163</w:t>
            </w:r>
          </w:p>
        </w:tc>
        <w:tc>
          <w:tcPr>
            <w:tcW w:w="711" w:type="dxa"/>
          </w:tcPr>
          <w:p w14:paraId="3FA45185" w14:textId="44528A91" w:rsidR="004D7994" w:rsidRPr="007D5E85" w:rsidRDefault="000F41E8" w:rsidP="00D345B2">
            <w:pPr>
              <w:spacing w:before="120" w:after="120"/>
            </w:pPr>
            <w:r w:rsidRPr="007D5E85">
              <w:t>8</w:t>
            </w:r>
            <w:r w:rsidR="004D7994" w:rsidRPr="007D5E85">
              <w:t>%</w:t>
            </w:r>
          </w:p>
        </w:tc>
        <w:tc>
          <w:tcPr>
            <w:tcW w:w="719" w:type="dxa"/>
          </w:tcPr>
          <w:p w14:paraId="67BAC960" w14:textId="60EEAE5F" w:rsidR="004D7994" w:rsidRDefault="004D7994" w:rsidP="00D345B2">
            <w:pPr>
              <w:spacing w:before="120" w:after="120"/>
            </w:pPr>
            <w:r>
              <w:t>157</w:t>
            </w:r>
          </w:p>
        </w:tc>
        <w:tc>
          <w:tcPr>
            <w:tcW w:w="711" w:type="dxa"/>
          </w:tcPr>
          <w:p w14:paraId="6B1BEF31" w14:textId="3646C50B" w:rsidR="004D7994" w:rsidRDefault="000F41E8" w:rsidP="00D345B2">
            <w:pPr>
              <w:spacing w:before="120" w:after="120"/>
            </w:pPr>
            <w:r w:rsidRPr="007D5E85">
              <w:t>8</w:t>
            </w:r>
            <w:r w:rsidR="004D7994" w:rsidRPr="007D5E85">
              <w:t>%</w:t>
            </w:r>
          </w:p>
        </w:tc>
        <w:tc>
          <w:tcPr>
            <w:tcW w:w="900" w:type="dxa"/>
          </w:tcPr>
          <w:p w14:paraId="03CC67EF" w14:textId="4F181CF6" w:rsidR="004D7994" w:rsidRDefault="004D7994" w:rsidP="00D345B2">
            <w:pPr>
              <w:spacing w:before="120" w:after="120"/>
            </w:pPr>
            <w:r>
              <w:t>251</w:t>
            </w:r>
          </w:p>
        </w:tc>
        <w:tc>
          <w:tcPr>
            <w:tcW w:w="466" w:type="dxa"/>
          </w:tcPr>
          <w:p w14:paraId="325AAD92" w14:textId="11724B97" w:rsidR="004D7994" w:rsidRDefault="000F41E8" w:rsidP="00D345B2">
            <w:pPr>
              <w:spacing w:before="120" w:after="120"/>
            </w:pPr>
            <w:r w:rsidRPr="007D5E85">
              <w:t>11</w:t>
            </w:r>
            <w:r w:rsidR="004D7994" w:rsidRPr="007D5E85">
              <w:t>%</w:t>
            </w:r>
          </w:p>
        </w:tc>
        <w:tc>
          <w:tcPr>
            <w:tcW w:w="964" w:type="dxa"/>
          </w:tcPr>
          <w:p w14:paraId="53BBF033" w14:textId="36FA1093" w:rsidR="004D7994" w:rsidRDefault="004D7994" w:rsidP="00D345B2">
            <w:pPr>
              <w:spacing w:before="120" w:after="120"/>
            </w:pPr>
            <w:r>
              <w:t>732</w:t>
            </w:r>
          </w:p>
        </w:tc>
        <w:tc>
          <w:tcPr>
            <w:tcW w:w="720" w:type="dxa"/>
          </w:tcPr>
          <w:p w14:paraId="6494A4ED" w14:textId="51A7BF7B" w:rsidR="004D7994" w:rsidRDefault="005D58F1" w:rsidP="00D345B2">
            <w:pPr>
              <w:spacing w:before="120" w:after="120"/>
            </w:pPr>
            <w:r w:rsidRPr="007D5E85">
              <w:t>24</w:t>
            </w:r>
            <w:r w:rsidR="004D7994" w:rsidRPr="007D5E85">
              <w:t>%</w:t>
            </w:r>
          </w:p>
        </w:tc>
        <w:tc>
          <w:tcPr>
            <w:tcW w:w="719" w:type="dxa"/>
          </w:tcPr>
          <w:p w14:paraId="6BFAAD17" w14:textId="10A9FE7C" w:rsidR="004D7994" w:rsidRDefault="004D7994" w:rsidP="00D345B2">
            <w:pPr>
              <w:spacing w:before="120" w:after="120"/>
            </w:pPr>
            <w:r>
              <w:t>498</w:t>
            </w:r>
          </w:p>
        </w:tc>
        <w:tc>
          <w:tcPr>
            <w:tcW w:w="715" w:type="dxa"/>
          </w:tcPr>
          <w:p w14:paraId="6A726D4C" w14:textId="3F6D8D74" w:rsidR="004D7994" w:rsidRDefault="005D58F1" w:rsidP="00D345B2">
            <w:pPr>
              <w:spacing w:before="120" w:after="120"/>
            </w:pPr>
            <w:r w:rsidRPr="007D5E85">
              <w:t>13</w:t>
            </w:r>
            <w:r w:rsidR="004D7994" w:rsidRPr="007D5E85">
              <w:t>%</w:t>
            </w:r>
          </w:p>
        </w:tc>
      </w:tr>
      <w:tr w:rsidR="00944A7A" w:rsidRPr="007F1106" w14:paraId="13F625EC" w14:textId="1BB8C994" w:rsidTr="00944A7A">
        <w:tc>
          <w:tcPr>
            <w:tcW w:w="2011" w:type="dxa"/>
          </w:tcPr>
          <w:p w14:paraId="4BD7D29D" w14:textId="252A0824" w:rsidR="004D7994" w:rsidRPr="007F1106" w:rsidRDefault="004D7994" w:rsidP="00D345B2">
            <w:pPr>
              <w:spacing w:before="120" w:after="120"/>
              <w:rPr>
                <w:b/>
              </w:rPr>
            </w:pPr>
            <w:r w:rsidRPr="007F1106">
              <w:rPr>
                <w:b/>
              </w:rPr>
              <w:t>Total</w:t>
            </w:r>
            <w:r w:rsidR="00325F41">
              <w:rPr>
                <w:rStyle w:val="FootnoteReference"/>
                <w:b/>
              </w:rPr>
              <w:footnoteReference w:id="36"/>
            </w:r>
          </w:p>
        </w:tc>
        <w:tc>
          <w:tcPr>
            <w:tcW w:w="719" w:type="dxa"/>
          </w:tcPr>
          <w:p w14:paraId="31B79FDC" w14:textId="71606343" w:rsidR="004D7994" w:rsidRPr="007F1106" w:rsidRDefault="004D7994" w:rsidP="00D345B2">
            <w:pPr>
              <w:spacing w:before="120" w:after="120"/>
              <w:rPr>
                <w:b/>
              </w:rPr>
            </w:pPr>
            <w:r w:rsidRPr="007F1106">
              <w:rPr>
                <w:b/>
              </w:rPr>
              <w:t>2,046</w:t>
            </w:r>
          </w:p>
        </w:tc>
        <w:tc>
          <w:tcPr>
            <w:tcW w:w="711" w:type="dxa"/>
          </w:tcPr>
          <w:p w14:paraId="21C8E6A3" w14:textId="7BD9A714" w:rsidR="004D7994" w:rsidRPr="007F1106" w:rsidRDefault="004D7994" w:rsidP="00D345B2">
            <w:pPr>
              <w:spacing w:before="120" w:after="120"/>
              <w:rPr>
                <w:b/>
              </w:rPr>
            </w:pPr>
            <w:r>
              <w:rPr>
                <w:b/>
              </w:rPr>
              <w:t>100%</w:t>
            </w:r>
          </w:p>
        </w:tc>
        <w:tc>
          <w:tcPr>
            <w:tcW w:w="719" w:type="dxa"/>
          </w:tcPr>
          <w:p w14:paraId="6C7C980E" w14:textId="79C8A758" w:rsidR="004D7994" w:rsidRPr="007F1106" w:rsidRDefault="004D7994" w:rsidP="00D345B2">
            <w:pPr>
              <w:spacing w:before="120" w:after="120"/>
              <w:rPr>
                <w:b/>
              </w:rPr>
            </w:pPr>
            <w:r w:rsidRPr="007F1106">
              <w:rPr>
                <w:b/>
              </w:rPr>
              <w:t>2,037</w:t>
            </w:r>
          </w:p>
        </w:tc>
        <w:tc>
          <w:tcPr>
            <w:tcW w:w="711" w:type="dxa"/>
          </w:tcPr>
          <w:p w14:paraId="44B68EF0" w14:textId="2C57503C" w:rsidR="004D7994" w:rsidRPr="007F1106" w:rsidRDefault="004D7994" w:rsidP="00D345B2">
            <w:pPr>
              <w:spacing w:before="120" w:after="120"/>
              <w:rPr>
                <w:b/>
              </w:rPr>
            </w:pPr>
            <w:r>
              <w:rPr>
                <w:b/>
              </w:rPr>
              <w:t>100%</w:t>
            </w:r>
          </w:p>
        </w:tc>
        <w:tc>
          <w:tcPr>
            <w:tcW w:w="900" w:type="dxa"/>
          </w:tcPr>
          <w:p w14:paraId="02E248D3" w14:textId="07A0F3D3" w:rsidR="004D7994" w:rsidRPr="007F1106" w:rsidRDefault="004D7994" w:rsidP="00D345B2">
            <w:pPr>
              <w:spacing w:before="120" w:after="120"/>
              <w:rPr>
                <w:b/>
              </w:rPr>
            </w:pPr>
            <w:r w:rsidRPr="007F1106">
              <w:rPr>
                <w:b/>
              </w:rPr>
              <w:t>2,307</w:t>
            </w:r>
          </w:p>
        </w:tc>
        <w:tc>
          <w:tcPr>
            <w:tcW w:w="466" w:type="dxa"/>
          </w:tcPr>
          <w:p w14:paraId="0BA5BB3D" w14:textId="173787B9" w:rsidR="004D7994" w:rsidRPr="007F1106" w:rsidRDefault="004D7994" w:rsidP="00D345B2">
            <w:pPr>
              <w:spacing w:before="120" w:after="120"/>
              <w:rPr>
                <w:b/>
              </w:rPr>
            </w:pPr>
            <w:r>
              <w:rPr>
                <w:b/>
              </w:rPr>
              <w:t>100%</w:t>
            </w:r>
          </w:p>
        </w:tc>
        <w:tc>
          <w:tcPr>
            <w:tcW w:w="964" w:type="dxa"/>
          </w:tcPr>
          <w:p w14:paraId="3E108452" w14:textId="08E9C7E1" w:rsidR="004D7994" w:rsidRPr="007F1106" w:rsidRDefault="004D7994" w:rsidP="00D345B2">
            <w:pPr>
              <w:spacing w:before="120" w:after="120"/>
              <w:rPr>
                <w:b/>
              </w:rPr>
            </w:pPr>
            <w:r w:rsidRPr="007F1106">
              <w:rPr>
                <w:b/>
              </w:rPr>
              <w:t>3,113</w:t>
            </w:r>
          </w:p>
        </w:tc>
        <w:tc>
          <w:tcPr>
            <w:tcW w:w="720" w:type="dxa"/>
          </w:tcPr>
          <w:p w14:paraId="64901F6D" w14:textId="33CC30A3" w:rsidR="004D7994" w:rsidRPr="007F1106" w:rsidRDefault="004D7994" w:rsidP="00D345B2">
            <w:pPr>
              <w:spacing w:before="120" w:after="120"/>
              <w:rPr>
                <w:b/>
              </w:rPr>
            </w:pPr>
            <w:r>
              <w:rPr>
                <w:b/>
              </w:rPr>
              <w:t>100%</w:t>
            </w:r>
          </w:p>
        </w:tc>
        <w:tc>
          <w:tcPr>
            <w:tcW w:w="719" w:type="dxa"/>
          </w:tcPr>
          <w:p w14:paraId="1AB10414" w14:textId="770060D7" w:rsidR="004D7994" w:rsidRPr="007F1106" w:rsidRDefault="004D7994" w:rsidP="00D345B2">
            <w:pPr>
              <w:spacing w:before="120" w:after="120"/>
              <w:rPr>
                <w:b/>
              </w:rPr>
            </w:pPr>
            <w:r w:rsidRPr="007F1106">
              <w:rPr>
                <w:b/>
              </w:rPr>
              <w:t>3,736</w:t>
            </w:r>
          </w:p>
        </w:tc>
        <w:tc>
          <w:tcPr>
            <w:tcW w:w="715" w:type="dxa"/>
          </w:tcPr>
          <w:p w14:paraId="1B19F588" w14:textId="3B72B6FB" w:rsidR="004D7994" w:rsidRPr="007F1106" w:rsidRDefault="004D7994" w:rsidP="00D345B2">
            <w:pPr>
              <w:spacing w:before="120" w:after="120"/>
              <w:rPr>
                <w:b/>
              </w:rPr>
            </w:pPr>
            <w:r>
              <w:rPr>
                <w:b/>
              </w:rPr>
              <w:t>100%</w:t>
            </w:r>
          </w:p>
        </w:tc>
      </w:tr>
    </w:tbl>
    <w:p w14:paraId="158213CB" w14:textId="77777777" w:rsidR="007F1106" w:rsidRDefault="007F1106" w:rsidP="0033421C">
      <w:pPr>
        <w:rPr>
          <w:lang w:val="en-AU"/>
        </w:rPr>
      </w:pPr>
    </w:p>
    <w:p w14:paraId="085529C5" w14:textId="32869514" w:rsidR="00DA3267" w:rsidRPr="00D474E2" w:rsidRDefault="00C41C14" w:rsidP="00DA3267">
      <w:r w:rsidRPr="00D474E2">
        <w:t>In terms of the kind of respondents</w:t>
      </w:r>
      <w:r w:rsidR="00DA3267" w:rsidRPr="00D474E2">
        <w:t xml:space="preserve"> that are named as part of </w:t>
      </w:r>
      <w:r w:rsidRPr="00D474E2">
        <w:t xml:space="preserve">the complaints made to the Commission (some of which then proceed to court), the majority of these are private enterprises </w:t>
      </w:r>
      <w:r w:rsidR="00DA3267" w:rsidRPr="00D474E2">
        <w:t xml:space="preserve">ranging in size from </w:t>
      </w:r>
      <w:r w:rsidR="00A60798">
        <w:t>fewer</w:t>
      </w:r>
      <w:r w:rsidR="00DA3267" w:rsidRPr="00D474E2">
        <w:t xml:space="preserve"> than 5 employees through to more than 500 employees</w:t>
      </w:r>
      <w:r w:rsidRPr="00D474E2">
        <w:t xml:space="preserve">. </w:t>
      </w:r>
    </w:p>
    <w:p w14:paraId="71E010E1" w14:textId="7D1C2AD2" w:rsidR="004C19DC" w:rsidRPr="00D474E2" w:rsidRDefault="00C41C14" w:rsidP="00DA3267">
      <w:r w:rsidRPr="00D474E2">
        <w:t xml:space="preserve">The second highest proportion of respondents are Commonwealth government agencies, </w:t>
      </w:r>
      <w:r w:rsidR="00DA3267" w:rsidRPr="00D474E2">
        <w:t xml:space="preserve">followed by </w:t>
      </w:r>
      <w:r w:rsidRPr="00D474E2">
        <w:t xml:space="preserve">state and territory government agencies. The complaints against these respondents are most typically in the area of employment, then goods, services and facilities, education and </w:t>
      </w:r>
      <w:r w:rsidR="004C19DC" w:rsidRPr="00D474E2">
        <w:t xml:space="preserve">finally </w:t>
      </w:r>
      <w:r w:rsidRPr="00D474E2">
        <w:t xml:space="preserve">accommodation. </w:t>
      </w:r>
    </w:p>
    <w:p w14:paraId="450A3F33" w14:textId="30A1D399" w:rsidR="00C41C14" w:rsidRPr="00D474E2" w:rsidRDefault="007922FB" w:rsidP="00603086">
      <w:pPr>
        <w:keepNext/>
        <w:rPr>
          <w:rFonts w:cstheme="minorHAnsi"/>
        </w:rPr>
      </w:pPr>
      <w:r w:rsidRPr="00D474E2">
        <w:lastRenderedPageBreak/>
        <w:t xml:space="preserve">The following list </w:t>
      </w:r>
      <w:r w:rsidR="004C19DC" w:rsidRPr="00D474E2">
        <w:t xml:space="preserve">provides an overview </w:t>
      </w:r>
      <w:r w:rsidRPr="00D474E2">
        <w:t xml:space="preserve">of </w:t>
      </w:r>
      <w:r w:rsidR="004C19DC" w:rsidRPr="00D474E2">
        <w:t xml:space="preserve">the </w:t>
      </w:r>
      <w:r w:rsidRPr="00D474E2">
        <w:t xml:space="preserve">types of respondents </w:t>
      </w:r>
      <w:r w:rsidR="004C19DC" w:rsidRPr="00D474E2">
        <w:t xml:space="preserve">to complaints made to the Commission, giving </w:t>
      </w:r>
      <w:r w:rsidRPr="00D474E2">
        <w:t xml:space="preserve">a sense of the breadth of entities and individuals that are </w:t>
      </w:r>
      <w:r w:rsidRPr="00D474E2">
        <w:rPr>
          <w:rFonts w:cstheme="minorHAnsi"/>
        </w:rPr>
        <w:t>involved:</w:t>
      </w:r>
    </w:p>
    <w:p w14:paraId="6F3753AD" w14:textId="5DE2472A" w:rsidR="007922FB" w:rsidRPr="00D474E2" w:rsidRDefault="00C14DF3" w:rsidP="007922FB">
      <w:pPr>
        <w:pStyle w:val="ListParagraph"/>
        <w:numPr>
          <w:ilvl w:val="0"/>
          <w:numId w:val="11"/>
        </w:numPr>
        <w:spacing w:before="120" w:after="120" w:line="240" w:lineRule="auto"/>
        <w:contextualSpacing w:val="0"/>
        <w:rPr>
          <w:rFonts w:eastAsia="Times New Roman" w:cstheme="minorHAnsi"/>
        </w:rPr>
      </w:pPr>
      <w:r>
        <w:rPr>
          <w:rFonts w:eastAsia="Times New Roman" w:cstheme="minorHAnsi"/>
        </w:rPr>
        <w:t>e</w:t>
      </w:r>
      <w:r w:rsidR="00C41C14" w:rsidRPr="00D474E2">
        <w:rPr>
          <w:rFonts w:eastAsia="Times New Roman" w:cstheme="minorHAnsi"/>
        </w:rPr>
        <w:t>ducation providers</w:t>
      </w:r>
      <w:r w:rsidR="007922FB" w:rsidRPr="00D474E2">
        <w:rPr>
          <w:rFonts w:eastAsia="Times New Roman" w:cstheme="minorHAnsi"/>
        </w:rPr>
        <w:t>:</w:t>
      </w:r>
      <w:r w:rsidR="00C41C14" w:rsidRPr="00D474E2">
        <w:rPr>
          <w:rFonts w:eastAsia="Times New Roman" w:cstheme="minorHAnsi"/>
        </w:rPr>
        <w:t xml:space="preserve"> including </w:t>
      </w:r>
      <w:r w:rsidR="007922FB" w:rsidRPr="00D474E2">
        <w:rPr>
          <w:rFonts w:eastAsia="Times New Roman" w:cstheme="minorHAnsi"/>
        </w:rPr>
        <w:t xml:space="preserve">state education departments, </w:t>
      </w:r>
      <w:r w:rsidR="00C41C14" w:rsidRPr="00D474E2">
        <w:rPr>
          <w:rFonts w:eastAsia="Times New Roman" w:cstheme="minorHAnsi"/>
        </w:rPr>
        <w:t>individual school principals</w:t>
      </w:r>
      <w:r w:rsidR="007922FB" w:rsidRPr="00D474E2">
        <w:rPr>
          <w:rFonts w:eastAsia="Times New Roman" w:cstheme="minorHAnsi"/>
        </w:rPr>
        <w:t>,</w:t>
      </w:r>
      <w:r w:rsidR="00C41C14" w:rsidRPr="00D474E2">
        <w:rPr>
          <w:rFonts w:eastAsia="Times New Roman" w:cstheme="minorHAnsi"/>
        </w:rPr>
        <w:t xml:space="preserve"> tertiary institutions</w:t>
      </w:r>
      <w:r w:rsidR="007922FB" w:rsidRPr="00D474E2">
        <w:rPr>
          <w:rFonts w:eastAsia="Times New Roman" w:cstheme="minorHAnsi"/>
        </w:rPr>
        <w:t>,</w:t>
      </w:r>
      <w:r w:rsidR="00C41C14" w:rsidRPr="00D474E2">
        <w:rPr>
          <w:rFonts w:eastAsia="Times New Roman" w:cstheme="minorHAnsi"/>
        </w:rPr>
        <w:t xml:space="preserve"> private and religious schools</w:t>
      </w:r>
      <w:r w:rsidR="007922FB" w:rsidRPr="00D474E2">
        <w:rPr>
          <w:rFonts w:eastAsia="Times New Roman" w:cstheme="minorHAnsi"/>
        </w:rPr>
        <w:t>,</w:t>
      </w:r>
      <w:r w:rsidR="00C41C14" w:rsidRPr="00D474E2">
        <w:rPr>
          <w:rFonts w:eastAsia="Times New Roman" w:cstheme="minorHAnsi"/>
        </w:rPr>
        <w:t xml:space="preserve"> </w:t>
      </w:r>
      <w:r w:rsidR="007922FB" w:rsidRPr="00D474E2">
        <w:rPr>
          <w:rFonts w:eastAsia="Times New Roman" w:cstheme="minorHAnsi"/>
        </w:rPr>
        <w:t xml:space="preserve">individual </w:t>
      </w:r>
      <w:r w:rsidR="00C41C14" w:rsidRPr="00D474E2">
        <w:rPr>
          <w:rFonts w:eastAsia="Times New Roman" w:cstheme="minorHAnsi"/>
        </w:rPr>
        <w:t>teachers</w:t>
      </w:r>
    </w:p>
    <w:p w14:paraId="07BD5631" w14:textId="0B7FE83E" w:rsidR="007922FB" w:rsidRPr="00D474E2" w:rsidRDefault="00C14DF3" w:rsidP="007922FB">
      <w:pPr>
        <w:pStyle w:val="ListParagraph"/>
        <w:numPr>
          <w:ilvl w:val="0"/>
          <w:numId w:val="11"/>
        </w:numPr>
        <w:spacing w:before="120" w:after="120" w:line="240" w:lineRule="auto"/>
        <w:contextualSpacing w:val="0"/>
        <w:rPr>
          <w:rFonts w:eastAsia="Times New Roman" w:cstheme="minorHAnsi"/>
        </w:rPr>
      </w:pPr>
      <w:r>
        <w:rPr>
          <w:rFonts w:eastAsia="Times New Roman" w:cstheme="minorHAnsi"/>
        </w:rPr>
        <w:t>h</w:t>
      </w:r>
      <w:r w:rsidR="00C41C14" w:rsidRPr="00D474E2">
        <w:rPr>
          <w:rFonts w:eastAsia="Times New Roman" w:cstheme="minorHAnsi"/>
        </w:rPr>
        <w:t>ealth providers</w:t>
      </w:r>
      <w:r w:rsidR="007922FB" w:rsidRPr="00D474E2">
        <w:rPr>
          <w:rFonts w:eastAsia="Times New Roman" w:cstheme="minorHAnsi"/>
        </w:rPr>
        <w:t>:</w:t>
      </w:r>
      <w:r w:rsidR="00C41C14" w:rsidRPr="00D474E2">
        <w:rPr>
          <w:rFonts w:eastAsia="Times New Roman" w:cstheme="minorHAnsi"/>
        </w:rPr>
        <w:t xml:space="preserve"> including medical </w:t>
      </w:r>
      <w:proofErr w:type="spellStart"/>
      <w:r w:rsidR="00C41C14" w:rsidRPr="00D474E2">
        <w:rPr>
          <w:rFonts w:eastAsia="Times New Roman" w:cstheme="minorHAnsi"/>
        </w:rPr>
        <w:t>centres</w:t>
      </w:r>
      <w:proofErr w:type="spellEnd"/>
      <w:r w:rsidR="00C41C14" w:rsidRPr="00D474E2">
        <w:rPr>
          <w:rFonts w:eastAsia="Times New Roman" w:cstheme="minorHAnsi"/>
        </w:rPr>
        <w:t>, individual doctors, nurses and other health professionals</w:t>
      </w:r>
      <w:r w:rsidR="007922FB" w:rsidRPr="00D474E2">
        <w:rPr>
          <w:rFonts w:eastAsia="Times New Roman" w:cstheme="minorHAnsi"/>
        </w:rPr>
        <w:t xml:space="preserve">, </w:t>
      </w:r>
      <w:r w:rsidR="00C41C14" w:rsidRPr="00D474E2">
        <w:rPr>
          <w:rFonts w:eastAsia="Times New Roman" w:cstheme="minorHAnsi"/>
        </w:rPr>
        <w:t>chemists</w:t>
      </w:r>
      <w:r w:rsidR="007922FB" w:rsidRPr="00D474E2">
        <w:rPr>
          <w:rFonts w:eastAsia="Times New Roman" w:cstheme="minorHAnsi"/>
        </w:rPr>
        <w:t>, private and public</w:t>
      </w:r>
      <w:r w:rsidR="00C41C14" w:rsidRPr="00D474E2">
        <w:rPr>
          <w:rFonts w:eastAsia="Times New Roman" w:cstheme="minorHAnsi"/>
        </w:rPr>
        <w:t xml:space="preserve"> hospitals</w:t>
      </w:r>
    </w:p>
    <w:p w14:paraId="1E8F8086" w14:textId="43B55CB3" w:rsidR="00C41C14" w:rsidRPr="00D474E2" w:rsidRDefault="00C14DF3" w:rsidP="007922FB">
      <w:pPr>
        <w:pStyle w:val="ListParagraph"/>
        <w:numPr>
          <w:ilvl w:val="0"/>
          <w:numId w:val="11"/>
        </w:numPr>
        <w:spacing w:before="120" w:after="120" w:line="240" w:lineRule="auto"/>
        <w:contextualSpacing w:val="0"/>
        <w:rPr>
          <w:rFonts w:eastAsia="Times New Roman" w:cstheme="minorHAnsi"/>
        </w:rPr>
      </w:pPr>
      <w:r>
        <w:rPr>
          <w:rFonts w:eastAsia="Times New Roman" w:cstheme="minorHAnsi"/>
        </w:rPr>
        <w:t>r</w:t>
      </w:r>
      <w:r w:rsidR="00C41C14" w:rsidRPr="00D474E2">
        <w:rPr>
          <w:rFonts w:eastAsia="Times New Roman" w:cstheme="minorHAnsi"/>
        </w:rPr>
        <w:t>etail</w:t>
      </w:r>
      <w:r w:rsidR="007922FB" w:rsidRPr="00D474E2">
        <w:rPr>
          <w:rFonts w:eastAsia="Times New Roman" w:cstheme="minorHAnsi"/>
        </w:rPr>
        <w:t>: including</w:t>
      </w:r>
      <w:r w:rsidR="00C41C14" w:rsidRPr="00D474E2">
        <w:rPr>
          <w:rFonts w:eastAsia="Times New Roman" w:cstheme="minorHAnsi"/>
        </w:rPr>
        <w:t xml:space="preserve"> supermarkets, food outlets</w:t>
      </w:r>
      <w:r w:rsidR="007922FB" w:rsidRPr="00D474E2">
        <w:rPr>
          <w:rFonts w:eastAsia="Times New Roman" w:cstheme="minorHAnsi"/>
        </w:rPr>
        <w:t xml:space="preserve"> (such as</w:t>
      </w:r>
      <w:r w:rsidR="00C41C14" w:rsidRPr="00D474E2">
        <w:rPr>
          <w:rFonts w:eastAsia="Times New Roman" w:cstheme="minorHAnsi"/>
        </w:rPr>
        <w:t xml:space="preserve"> bakeries</w:t>
      </w:r>
      <w:r w:rsidR="007922FB" w:rsidRPr="00D474E2">
        <w:rPr>
          <w:rFonts w:eastAsia="Times New Roman" w:cstheme="minorHAnsi"/>
        </w:rPr>
        <w:t>), beauty salons</w:t>
      </w:r>
      <w:r w:rsidR="00C41C14" w:rsidRPr="00D474E2">
        <w:rPr>
          <w:rFonts w:eastAsia="Times New Roman" w:cstheme="minorHAnsi"/>
        </w:rPr>
        <w:t xml:space="preserve"> and building equipment providers</w:t>
      </w:r>
    </w:p>
    <w:p w14:paraId="02424457" w14:textId="0BAACE44" w:rsidR="00C41C14" w:rsidRPr="00D474E2" w:rsidRDefault="00C14DF3" w:rsidP="007922FB">
      <w:pPr>
        <w:pStyle w:val="ListParagraph"/>
        <w:numPr>
          <w:ilvl w:val="0"/>
          <w:numId w:val="11"/>
        </w:numPr>
        <w:spacing w:before="120" w:after="120" w:line="240" w:lineRule="auto"/>
        <w:contextualSpacing w:val="0"/>
        <w:rPr>
          <w:rFonts w:eastAsia="Times New Roman" w:cstheme="minorHAnsi"/>
        </w:rPr>
      </w:pPr>
      <w:r>
        <w:rPr>
          <w:rFonts w:eastAsia="Times New Roman" w:cstheme="minorHAnsi"/>
        </w:rPr>
        <w:t>h</w:t>
      </w:r>
      <w:r w:rsidR="00C41C14" w:rsidRPr="00D474E2">
        <w:rPr>
          <w:rFonts w:eastAsia="Times New Roman" w:cstheme="minorHAnsi"/>
        </w:rPr>
        <w:t>ospitality</w:t>
      </w:r>
      <w:r w:rsidR="007922FB" w:rsidRPr="00D474E2">
        <w:rPr>
          <w:rFonts w:eastAsia="Times New Roman" w:cstheme="minorHAnsi"/>
        </w:rPr>
        <w:t xml:space="preserve">: including </w:t>
      </w:r>
      <w:r w:rsidR="00C41C14" w:rsidRPr="00D474E2">
        <w:rPr>
          <w:rFonts w:eastAsia="Times New Roman" w:cstheme="minorHAnsi"/>
        </w:rPr>
        <w:t>cafes (</w:t>
      </w:r>
      <w:r w:rsidR="007922FB" w:rsidRPr="00D474E2">
        <w:rPr>
          <w:rFonts w:eastAsia="Times New Roman" w:cstheme="minorHAnsi"/>
        </w:rPr>
        <w:t>often</w:t>
      </w:r>
      <w:r w:rsidR="00C41C14" w:rsidRPr="00D474E2">
        <w:rPr>
          <w:rFonts w:eastAsia="Times New Roman" w:cstheme="minorHAnsi"/>
        </w:rPr>
        <w:t xml:space="preserve"> small owner</w:t>
      </w:r>
      <w:r w:rsidR="007922FB" w:rsidRPr="00D474E2">
        <w:rPr>
          <w:rFonts w:eastAsia="Times New Roman" w:cstheme="minorHAnsi"/>
        </w:rPr>
        <w:t>-</w:t>
      </w:r>
      <w:r w:rsidR="00C41C14" w:rsidRPr="00D474E2">
        <w:rPr>
          <w:rFonts w:eastAsia="Times New Roman" w:cstheme="minorHAnsi"/>
        </w:rPr>
        <w:t xml:space="preserve">operated businesses), restaurants, hotels, clubs </w:t>
      </w:r>
    </w:p>
    <w:p w14:paraId="43445ECD" w14:textId="506DC5DA" w:rsidR="00C41C14" w:rsidRPr="00D474E2" w:rsidRDefault="00C14DF3" w:rsidP="007922FB">
      <w:pPr>
        <w:pStyle w:val="ListParagraph"/>
        <w:numPr>
          <w:ilvl w:val="0"/>
          <w:numId w:val="11"/>
        </w:numPr>
        <w:spacing w:before="120" w:after="120" w:line="240" w:lineRule="auto"/>
        <w:contextualSpacing w:val="0"/>
        <w:rPr>
          <w:rFonts w:eastAsia="Times New Roman" w:cstheme="minorHAnsi"/>
        </w:rPr>
      </w:pPr>
      <w:r>
        <w:rPr>
          <w:rFonts w:eastAsia="Times New Roman" w:cstheme="minorHAnsi"/>
        </w:rPr>
        <w:t>f</w:t>
      </w:r>
      <w:r w:rsidR="00C41C14" w:rsidRPr="00D474E2">
        <w:rPr>
          <w:rFonts w:eastAsia="Times New Roman" w:cstheme="minorHAnsi"/>
        </w:rPr>
        <w:t xml:space="preserve">inancial and insurance services </w:t>
      </w:r>
    </w:p>
    <w:p w14:paraId="30F5A3DC" w14:textId="69B974A3" w:rsidR="00C41C14" w:rsidRPr="00D474E2" w:rsidRDefault="00C14DF3" w:rsidP="007922FB">
      <w:pPr>
        <w:pStyle w:val="ListParagraph"/>
        <w:numPr>
          <w:ilvl w:val="0"/>
          <w:numId w:val="11"/>
        </w:numPr>
        <w:spacing w:before="120" w:after="120" w:line="240" w:lineRule="auto"/>
        <w:contextualSpacing w:val="0"/>
        <w:rPr>
          <w:rFonts w:eastAsia="Times New Roman" w:cstheme="minorHAnsi"/>
        </w:rPr>
      </w:pPr>
      <w:r>
        <w:rPr>
          <w:rFonts w:eastAsia="Times New Roman" w:cstheme="minorHAnsi"/>
        </w:rPr>
        <w:t>a</w:t>
      </w:r>
      <w:r w:rsidR="00C41C14" w:rsidRPr="00D474E2">
        <w:rPr>
          <w:rFonts w:eastAsia="Times New Roman" w:cstheme="minorHAnsi"/>
        </w:rPr>
        <w:t>ccommodation providers</w:t>
      </w:r>
      <w:r w:rsidR="007922FB" w:rsidRPr="00D474E2">
        <w:rPr>
          <w:rFonts w:eastAsia="Times New Roman" w:cstheme="minorHAnsi"/>
        </w:rPr>
        <w:t>:</w:t>
      </w:r>
      <w:r w:rsidR="00C41C14" w:rsidRPr="00D474E2">
        <w:rPr>
          <w:rFonts w:eastAsia="Times New Roman" w:cstheme="minorHAnsi"/>
        </w:rPr>
        <w:t xml:space="preserve"> including caravan parks, motels</w:t>
      </w:r>
      <w:r w:rsidR="007922FB" w:rsidRPr="00D474E2">
        <w:rPr>
          <w:rFonts w:eastAsia="Times New Roman" w:cstheme="minorHAnsi"/>
        </w:rPr>
        <w:t>,</w:t>
      </w:r>
      <w:r w:rsidR="00C41C14" w:rsidRPr="00D474E2">
        <w:rPr>
          <w:rFonts w:eastAsia="Times New Roman" w:cstheme="minorHAnsi"/>
        </w:rPr>
        <w:t xml:space="preserve"> hotels and short</w:t>
      </w:r>
      <w:r w:rsidR="007922FB" w:rsidRPr="00D474E2">
        <w:rPr>
          <w:rFonts w:eastAsia="Times New Roman" w:cstheme="minorHAnsi"/>
        </w:rPr>
        <w:t>-</w:t>
      </w:r>
      <w:r w:rsidR="00C41C14" w:rsidRPr="00D474E2">
        <w:rPr>
          <w:rFonts w:eastAsia="Times New Roman" w:cstheme="minorHAnsi"/>
        </w:rPr>
        <w:t>term rental companies</w:t>
      </w:r>
    </w:p>
    <w:p w14:paraId="5A9C010B" w14:textId="7A18E19B" w:rsidR="00C41C14" w:rsidRPr="00D474E2" w:rsidRDefault="00C14DF3" w:rsidP="007922FB">
      <w:pPr>
        <w:pStyle w:val="ListParagraph"/>
        <w:numPr>
          <w:ilvl w:val="0"/>
          <w:numId w:val="11"/>
        </w:numPr>
        <w:spacing w:before="120" w:after="120" w:line="240" w:lineRule="auto"/>
        <w:contextualSpacing w:val="0"/>
        <w:rPr>
          <w:rFonts w:eastAsia="Times New Roman" w:cstheme="minorHAnsi"/>
        </w:rPr>
      </w:pPr>
      <w:r>
        <w:rPr>
          <w:rFonts w:eastAsia="Times New Roman" w:cstheme="minorHAnsi"/>
        </w:rPr>
        <w:t>t</w:t>
      </w:r>
      <w:r w:rsidR="00C41C14" w:rsidRPr="00D474E2">
        <w:rPr>
          <w:rFonts w:eastAsia="Times New Roman" w:cstheme="minorHAnsi"/>
        </w:rPr>
        <w:t>ransport providers</w:t>
      </w:r>
      <w:r w:rsidR="007922FB" w:rsidRPr="00D474E2">
        <w:rPr>
          <w:rFonts w:eastAsia="Times New Roman" w:cstheme="minorHAnsi"/>
        </w:rPr>
        <w:t>:</w:t>
      </w:r>
      <w:r w:rsidR="00C41C14" w:rsidRPr="00D474E2">
        <w:rPr>
          <w:rFonts w:eastAsia="Times New Roman" w:cstheme="minorHAnsi"/>
        </w:rPr>
        <w:t xml:space="preserve"> inc</w:t>
      </w:r>
      <w:r w:rsidR="007922FB" w:rsidRPr="00D474E2">
        <w:rPr>
          <w:rFonts w:eastAsia="Times New Roman" w:cstheme="minorHAnsi"/>
        </w:rPr>
        <w:t>luding</w:t>
      </w:r>
      <w:r w:rsidR="00C41C14" w:rsidRPr="00D474E2">
        <w:rPr>
          <w:rFonts w:eastAsia="Times New Roman" w:cstheme="minorHAnsi"/>
        </w:rPr>
        <w:t xml:space="preserve"> state government</w:t>
      </w:r>
      <w:r w:rsidR="007922FB" w:rsidRPr="00D474E2">
        <w:rPr>
          <w:rFonts w:eastAsia="Times New Roman" w:cstheme="minorHAnsi"/>
        </w:rPr>
        <w:t xml:space="preserve"> providers</w:t>
      </w:r>
      <w:r w:rsidR="00C41C14" w:rsidRPr="00D474E2">
        <w:rPr>
          <w:rFonts w:eastAsia="Times New Roman" w:cstheme="minorHAnsi"/>
        </w:rPr>
        <w:t>, private bus companies, taxi and ride share services</w:t>
      </w:r>
      <w:r w:rsidR="00E86C1D" w:rsidRPr="00D474E2">
        <w:rPr>
          <w:rFonts w:eastAsia="Times New Roman" w:cstheme="minorHAnsi"/>
        </w:rPr>
        <w:t>, and</w:t>
      </w:r>
    </w:p>
    <w:p w14:paraId="798383A6" w14:textId="73CFFFA5" w:rsidR="00C41C14" w:rsidRPr="00D474E2" w:rsidRDefault="00C14DF3" w:rsidP="007922FB">
      <w:pPr>
        <w:pStyle w:val="ListParagraph"/>
        <w:numPr>
          <w:ilvl w:val="0"/>
          <w:numId w:val="11"/>
        </w:numPr>
        <w:spacing w:before="120" w:after="120" w:line="240" w:lineRule="auto"/>
        <w:contextualSpacing w:val="0"/>
        <w:rPr>
          <w:rFonts w:eastAsia="Times New Roman" w:cstheme="minorHAnsi"/>
        </w:rPr>
      </w:pPr>
      <w:r>
        <w:rPr>
          <w:rFonts w:eastAsia="Times New Roman" w:cstheme="minorHAnsi"/>
        </w:rPr>
        <w:t>a</w:t>
      </w:r>
      <w:r w:rsidR="00C41C14" w:rsidRPr="00D474E2">
        <w:rPr>
          <w:rFonts w:eastAsia="Times New Roman" w:cstheme="minorHAnsi"/>
        </w:rPr>
        <w:t>irlines</w:t>
      </w:r>
      <w:r w:rsidR="00E86C1D" w:rsidRPr="00D474E2">
        <w:rPr>
          <w:rFonts w:eastAsia="Times New Roman" w:cstheme="minorHAnsi"/>
        </w:rPr>
        <w:t>.</w:t>
      </w:r>
    </w:p>
    <w:p w14:paraId="4BF4327F" w14:textId="13274CB2" w:rsidR="00C41C14" w:rsidRPr="00D474E2" w:rsidRDefault="001B7C42" w:rsidP="001B7C42">
      <w:r w:rsidRPr="00D474E2">
        <w:t>The Commission advised that i</w:t>
      </w:r>
      <w:r w:rsidR="00043DBF" w:rsidRPr="00D474E2">
        <w:t>ndividuals are commonly named as respondents to discrimination complaints concerning education</w:t>
      </w:r>
      <w:r w:rsidRPr="00D474E2">
        <w:t>-based discrimination</w:t>
      </w:r>
      <w:r w:rsidR="00043DBF" w:rsidRPr="00D474E2">
        <w:t>, sexual harassment, racial hatred, victimisation and disability discrimination in employment complaints</w:t>
      </w:r>
      <w:r w:rsidR="008A6FB2">
        <w:t>, but less so in sex discrimination complaints</w:t>
      </w:r>
      <w:r w:rsidR="00043DBF" w:rsidRPr="00D474E2">
        <w:t xml:space="preserve">. </w:t>
      </w:r>
      <w:r w:rsidR="002D3B9E" w:rsidRPr="002D3B9E">
        <w:t xml:space="preserve">For example, in </w:t>
      </w:r>
      <w:r w:rsidR="002D3B9E">
        <w:t xml:space="preserve">discrimination complaints </w:t>
      </w:r>
      <w:r w:rsidR="008A6FB2">
        <w:t xml:space="preserve">made </w:t>
      </w:r>
      <w:r w:rsidR="002D3B9E">
        <w:t xml:space="preserve">under the Disability Discrimination Act in the area of </w:t>
      </w:r>
      <w:r w:rsidR="002D3B9E" w:rsidRPr="002D3B9E">
        <w:t>employment, individual staff or managers who are responsible for relaying organisational positions about employment decisions are often named as individual respondents in circumstances where a similar complaint under the S</w:t>
      </w:r>
      <w:r w:rsidR="008A6FB2">
        <w:t xml:space="preserve">ex </w:t>
      </w:r>
      <w:r w:rsidR="002D3B9E" w:rsidRPr="002D3B9E">
        <w:t>D</w:t>
      </w:r>
      <w:r w:rsidR="008A6FB2">
        <w:t xml:space="preserve">iscrimination </w:t>
      </w:r>
      <w:r w:rsidR="002D3B9E" w:rsidRPr="002D3B9E">
        <w:t>A</w:t>
      </w:r>
      <w:r w:rsidR="008A6FB2">
        <w:t>ct</w:t>
      </w:r>
      <w:r w:rsidR="002D3B9E" w:rsidRPr="002D3B9E">
        <w:t xml:space="preserve"> would only allow the ‘employer’ (</w:t>
      </w:r>
      <w:r w:rsidR="008A6FB2">
        <w:t>that is,</w:t>
      </w:r>
      <w:r w:rsidR="002D3B9E" w:rsidRPr="002D3B9E">
        <w:t xml:space="preserve"> the organisation) to be named</w:t>
      </w:r>
      <w:r w:rsidR="008A6FB2">
        <w:t xml:space="preserve"> as the respondent</w:t>
      </w:r>
      <w:r w:rsidR="002D3B9E" w:rsidRPr="002D3B9E">
        <w:t>.</w:t>
      </w:r>
      <w:r w:rsidR="008A6FB2">
        <w:rPr>
          <w:rStyle w:val="FootnoteReference"/>
        </w:rPr>
        <w:footnoteReference w:id="37"/>
      </w:r>
      <w:r w:rsidR="002D3B9E" w:rsidRPr="00D474E2" w:rsidDel="00662432">
        <w:t xml:space="preserve"> </w:t>
      </w:r>
    </w:p>
    <w:p w14:paraId="5EA08D66" w14:textId="65B602E2" w:rsidR="00DA3267" w:rsidRPr="000C7FC1" w:rsidRDefault="00DA3267" w:rsidP="000C7FC1">
      <w:r w:rsidRPr="00C16545">
        <w:t xml:space="preserve">In terms of applicants who seek legal advice </w:t>
      </w:r>
      <w:r w:rsidR="007B71C3">
        <w:t>or</w:t>
      </w:r>
      <w:r w:rsidRPr="00C16545">
        <w:t xml:space="preserve"> representation as part of making a complaint to the Commission, the Commission has advised that complaints under the Sex Discrimination Act in the area of employment are the most heavily legally represented of all complaints. For example, in the 2021-22 reporting period, approximately 65</w:t>
      </w:r>
      <w:r w:rsidR="00BB103B">
        <w:t xml:space="preserve"> per cent</w:t>
      </w:r>
      <w:r w:rsidRPr="00C16545">
        <w:t xml:space="preserve"> of sexual harassment in employment complaints had legal representation at some point. This compares with legal representation being </w:t>
      </w:r>
      <w:r w:rsidR="00662432">
        <w:t>engaged</w:t>
      </w:r>
      <w:r w:rsidRPr="00C16545">
        <w:t xml:space="preserve"> in 27% of complaints overall.</w:t>
      </w:r>
    </w:p>
    <w:p w14:paraId="2420EA13" w14:textId="7C84A8E8" w:rsidR="00A663C7" w:rsidRDefault="00A663C7" w:rsidP="00A663C7">
      <w:pPr>
        <w:pStyle w:val="Heading2"/>
      </w:pPr>
      <w:bookmarkStart w:id="30" w:name="_Toc127809109"/>
      <w:r>
        <w:t>Complaints that proceed to court</w:t>
      </w:r>
      <w:bookmarkEnd w:id="30"/>
      <w:r>
        <w:t xml:space="preserve"> </w:t>
      </w:r>
    </w:p>
    <w:p w14:paraId="2C98D2B5" w14:textId="246C57EA" w:rsidR="001C423C" w:rsidRDefault="001C423C" w:rsidP="007E0023">
      <w:r>
        <w:t>As noted above, o</w:t>
      </w:r>
      <w:r w:rsidRPr="001C423C">
        <w:t xml:space="preserve">nly a very small number </w:t>
      </w:r>
      <w:r w:rsidR="00C2629A">
        <w:t xml:space="preserve">(on average 2-4 per cent) </w:t>
      </w:r>
      <w:r w:rsidRPr="001C423C">
        <w:t xml:space="preserve">of </w:t>
      </w:r>
      <w:proofErr w:type="spellStart"/>
      <w:r w:rsidRPr="001C423C">
        <w:t>finalised</w:t>
      </w:r>
      <w:proofErr w:type="spellEnd"/>
      <w:r w:rsidRPr="001C423C">
        <w:t xml:space="preserve"> complaints</w:t>
      </w:r>
      <w:r>
        <w:t xml:space="preserve"> </w:t>
      </w:r>
      <w:r w:rsidR="00F30919">
        <w:t xml:space="preserve">are the subject of </w:t>
      </w:r>
      <w:r w:rsidRPr="001C423C">
        <w:t xml:space="preserve">an application to </w:t>
      </w:r>
      <w:r>
        <w:t xml:space="preserve">proceed to </w:t>
      </w:r>
      <w:r w:rsidRPr="001C423C">
        <w:t>court</w:t>
      </w:r>
      <w:r>
        <w:t>.</w:t>
      </w:r>
      <w:r w:rsidR="00102CE0">
        <w:rPr>
          <w:rStyle w:val="FootnoteReference"/>
        </w:rPr>
        <w:footnoteReference w:id="38"/>
      </w:r>
      <w:r>
        <w:t xml:space="preserve"> </w:t>
      </w:r>
    </w:p>
    <w:p w14:paraId="67A13090" w14:textId="0C5E0909" w:rsidR="001C423C" w:rsidRDefault="001C423C" w:rsidP="001C423C">
      <w:pPr>
        <w:rPr>
          <w:lang w:val="en-AU"/>
        </w:rPr>
      </w:pPr>
      <w:r>
        <w:lastRenderedPageBreak/>
        <w:t xml:space="preserve">In relation to </w:t>
      </w:r>
      <w:r w:rsidR="00F30919">
        <w:t>sexual harassment specifically, t</w:t>
      </w:r>
      <w:r>
        <w:rPr>
          <w:lang w:val="en-AU"/>
        </w:rPr>
        <w:t xml:space="preserve">he </w:t>
      </w:r>
      <w:r>
        <w:t xml:space="preserve">Fourth National Survey found </w:t>
      </w:r>
      <w:r w:rsidR="00C60BEF">
        <w:t xml:space="preserve">that </w:t>
      </w:r>
      <w:r>
        <w:t>2</w:t>
      </w:r>
      <w:r w:rsidR="00C2629A">
        <w:t xml:space="preserve"> per cent</w:t>
      </w:r>
      <w:r>
        <w:t xml:space="preserve"> of </w:t>
      </w:r>
      <w:r w:rsidR="00102CE0">
        <w:t xml:space="preserve">sexual harassment </w:t>
      </w:r>
      <w:r>
        <w:t>complaints were</w:t>
      </w:r>
      <w:r w:rsidR="004F3C29">
        <w:t xml:space="preserve"> reported as</w:t>
      </w:r>
      <w:r>
        <w:t xml:space="preserve"> resolved in court</w:t>
      </w:r>
      <w:r w:rsidR="004F3C29">
        <w:t xml:space="preserve"> (based on survey participants’ answers)</w:t>
      </w:r>
      <w:r w:rsidR="00F30919">
        <w:t>, and the Fifth National Survey found that 3</w:t>
      </w:r>
      <w:r w:rsidR="00C2629A">
        <w:t xml:space="preserve"> per cent</w:t>
      </w:r>
      <w:r w:rsidR="00F30919">
        <w:t xml:space="preserve"> were</w:t>
      </w:r>
      <w:r w:rsidR="004F3C29">
        <w:t xml:space="preserve"> reported as resolved in court</w:t>
      </w:r>
      <w:r w:rsidR="00F30919">
        <w:t>.</w:t>
      </w:r>
      <w:r w:rsidR="00F30919">
        <w:rPr>
          <w:rStyle w:val="FootnoteReference"/>
        </w:rPr>
        <w:footnoteReference w:id="39"/>
      </w:r>
      <w:r w:rsidR="002F11DE">
        <w:t xml:space="preserve"> The Respect@Work Report and recent ANU research indicates that of t</w:t>
      </w:r>
      <w:r>
        <w:t xml:space="preserve">he </w:t>
      </w:r>
      <w:r w:rsidR="007B71C3">
        <w:t>individuals</w:t>
      </w:r>
      <w:r>
        <w:t xml:space="preserve"> that d</w:t>
      </w:r>
      <w:r w:rsidR="002F11DE">
        <w:t>o</w:t>
      </w:r>
      <w:r>
        <w:t xml:space="preserve"> make a formal complaint of sexual harassment</w:t>
      </w:r>
      <w:r w:rsidR="002F11DE">
        <w:t xml:space="preserve"> (noting many do not)</w:t>
      </w:r>
      <w:r>
        <w:t>, only a small number pursue court proceedings</w:t>
      </w:r>
      <w:r w:rsidR="002F11DE">
        <w:t>, and</w:t>
      </w:r>
      <w:r>
        <w:t xml:space="preserve"> most sexual harassment cases are settled privately outside of court proceedings.</w:t>
      </w:r>
      <w:r>
        <w:rPr>
          <w:rStyle w:val="FootnoteReference"/>
        </w:rPr>
        <w:footnoteReference w:id="40"/>
      </w:r>
    </w:p>
    <w:p w14:paraId="51490255" w14:textId="16A3FFCB" w:rsidR="00DC039E" w:rsidRDefault="00546ED7" w:rsidP="007E0023">
      <w:r>
        <w:t>At the federal level, complaints made under the Disability Discrimination Act</w:t>
      </w:r>
      <w:r w:rsidR="0008164E">
        <w:t xml:space="preserve"> ma</w:t>
      </w:r>
      <w:r>
        <w:t>k</w:t>
      </w:r>
      <w:r w:rsidR="0008164E">
        <w:t xml:space="preserve">e up the largest number of </w:t>
      </w:r>
      <w:r w:rsidR="00CA74A8">
        <w:t>matters proceeding to court</w:t>
      </w:r>
      <w:r>
        <w:t>,</w:t>
      </w:r>
      <w:r>
        <w:rPr>
          <w:rStyle w:val="FootnoteReference"/>
        </w:rPr>
        <w:footnoteReference w:id="41"/>
      </w:r>
      <w:r>
        <w:t xml:space="preserve"> consistent with being the majority of the complaints made to the Commission</w:t>
      </w:r>
      <w:r w:rsidR="00CA74A8">
        <w:t>.</w:t>
      </w:r>
      <w:r w:rsidR="00DC039E">
        <w:t xml:space="preserve"> </w:t>
      </w:r>
    </w:p>
    <w:p w14:paraId="60CCE230" w14:textId="0AB5C3DB" w:rsidR="007E0023" w:rsidRDefault="00693BD9" w:rsidP="007E0023">
      <w:pPr>
        <w:rPr>
          <w:lang w:val="en-AU"/>
        </w:rPr>
      </w:pPr>
      <w:r>
        <w:rPr>
          <w:lang w:val="en-AU"/>
        </w:rPr>
        <w:t xml:space="preserve">Research conducted by the </w:t>
      </w:r>
      <w:r w:rsidR="007E0023">
        <w:rPr>
          <w:lang w:val="en-AU"/>
        </w:rPr>
        <w:t xml:space="preserve">ANU </w:t>
      </w:r>
      <w:r>
        <w:rPr>
          <w:lang w:val="en-AU"/>
        </w:rPr>
        <w:t xml:space="preserve">has </w:t>
      </w:r>
      <w:r w:rsidR="007E0023">
        <w:rPr>
          <w:lang w:val="en-AU"/>
        </w:rPr>
        <w:t xml:space="preserve">identified a total of 1,979 cases </w:t>
      </w:r>
      <w:r>
        <w:rPr>
          <w:lang w:val="en-AU"/>
        </w:rPr>
        <w:t xml:space="preserve">that </w:t>
      </w:r>
      <w:r w:rsidR="007E0023">
        <w:rPr>
          <w:lang w:val="en-AU"/>
        </w:rPr>
        <w:t xml:space="preserve">were brought under discrimination laws across Australia (Commonwealth, state and territory) between 1984 </w:t>
      </w:r>
      <w:r>
        <w:rPr>
          <w:lang w:val="en-AU"/>
        </w:rPr>
        <w:t>and</w:t>
      </w:r>
      <w:r w:rsidR="007E0023">
        <w:rPr>
          <w:lang w:val="en-AU"/>
        </w:rPr>
        <w:t xml:space="preserve"> 2021 relating to all federally-protected attributes. </w:t>
      </w:r>
      <w:r w:rsidR="00DC039E">
        <w:rPr>
          <w:lang w:val="en-AU"/>
        </w:rPr>
        <w:t>T</w:t>
      </w:r>
      <w:r w:rsidR="007E0023">
        <w:rPr>
          <w:lang w:val="en-AU"/>
        </w:rPr>
        <w:t xml:space="preserve">he following provides a breakdown of the </w:t>
      </w:r>
      <w:r>
        <w:rPr>
          <w:lang w:val="en-AU"/>
        </w:rPr>
        <w:t xml:space="preserve">numbers of </w:t>
      </w:r>
      <w:r w:rsidR="007E0023">
        <w:rPr>
          <w:lang w:val="en-AU"/>
        </w:rPr>
        <w:t xml:space="preserve">cases </w:t>
      </w:r>
      <w:r>
        <w:rPr>
          <w:lang w:val="en-AU"/>
        </w:rPr>
        <w:t xml:space="preserve">by complaint type </w:t>
      </w:r>
      <w:r w:rsidR="00DC039E">
        <w:rPr>
          <w:lang w:val="en-AU"/>
        </w:rPr>
        <w:t>at the federal level</w:t>
      </w:r>
      <w:r w:rsidR="007E0023">
        <w:rPr>
          <w:lang w:val="en-AU"/>
        </w:rPr>
        <w:t>:</w:t>
      </w:r>
    </w:p>
    <w:tbl>
      <w:tblPr>
        <w:tblStyle w:val="TableGrid"/>
        <w:tblW w:w="0" w:type="auto"/>
        <w:tblInd w:w="1413" w:type="dxa"/>
        <w:tblLook w:val="04A0" w:firstRow="1" w:lastRow="0" w:firstColumn="1" w:lastColumn="0" w:noHBand="0" w:noVBand="1"/>
      </w:tblPr>
      <w:tblGrid>
        <w:gridCol w:w="4961"/>
        <w:gridCol w:w="851"/>
      </w:tblGrid>
      <w:tr w:rsidR="007B71C3" w14:paraId="25825D10" w14:textId="77777777" w:rsidTr="00DD74AB">
        <w:tc>
          <w:tcPr>
            <w:tcW w:w="4961" w:type="dxa"/>
          </w:tcPr>
          <w:p w14:paraId="2F8FFDDA" w14:textId="77777777" w:rsidR="007B71C3" w:rsidRDefault="007B71C3" w:rsidP="00DD74AB">
            <w:pPr>
              <w:spacing w:before="120" w:after="120"/>
              <w:rPr>
                <w:lang w:val="en-AU"/>
              </w:rPr>
            </w:pPr>
            <w:r>
              <w:rPr>
                <w:lang w:val="en-AU"/>
              </w:rPr>
              <w:t>Disability discrimination</w:t>
            </w:r>
          </w:p>
        </w:tc>
        <w:tc>
          <w:tcPr>
            <w:tcW w:w="851" w:type="dxa"/>
          </w:tcPr>
          <w:p w14:paraId="420A7048" w14:textId="77777777" w:rsidR="007B71C3" w:rsidRDefault="007B71C3" w:rsidP="00DD74AB">
            <w:pPr>
              <w:spacing w:before="120" w:after="120"/>
              <w:rPr>
                <w:lang w:val="en-AU"/>
              </w:rPr>
            </w:pPr>
            <w:r>
              <w:rPr>
                <w:lang w:val="en-AU"/>
              </w:rPr>
              <w:t>313</w:t>
            </w:r>
          </w:p>
        </w:tc>
      </w:tr>
      <w:tr w:rsidR="007E0023" w14:paraId="5528AD32" w14:textId="77777777" w:rsidTr="00DC039E">
        <w:tc>
          <w:tcPr>
            <w:tcW w:w="4961" w:type="dxa"/>
          </w:tcPr>
          <w:p w14:paraId="52A8A384" w14:textId="6055A052" w:rsidR="007E0023" w:rsidRDefault="007E0023" w:rsidP="00D345B2">
            <w:pPr>
              <w:spacing w:before="120" w:after="120"/>
              <w:rPr>
                <w:lang w:val="en-AU"/>
              </w:rPr>
            </w:pPr>
            <w:r>
              <w:rPr>
                <w:lang w:val="en-AU"/>
              </w:rPr>
              <w:t xml:space="preserve">Sexual harassment </w:t>
            </w:r>
          </w:p>
        </w:tc>
        <w:tc>
          <w:tcPr>
            <w:tcW w:w="851" w:type="dxa"/>
          </w:tcPr>
          <w:p w14:paraId="2A95F019" w14:textId="43C47287" w:rsidR="007E0023" w:rsidRDefault="007E0023" w:rsidP="00D345B2">
            <w:pPr>
              <w:spacing w:before="120" w:after="120"/>
              <w:rPr>
                <w:lang w:val="en-AU"/>
              </w:rPr>
            </w:pPr>
            <w:r>
              <w:rPr>
                <w:lang w:val="en-AU"/>
              </w:rPr>
              <w:t>193</w:t>
            </w:r>
          </w:p>
        </w:tc>
      </w:tr>
      <w:tr w:rsidR="007E0023" w14:paraId="43299D30" w14:textId="77777777" w:rsidTr="00DC039E">
        <w:tc>
          <w:tcPr>
            <w:tcW w:w="4961" w:type="dxa"/>
          </w:tcPr>
          <w:p w14:paraId="14894742" w14:textId="3F05AD1C" w:rsidR="007E0023" w:rsidRDefault="007E0023" w:rsidP="00D345B2">
            <w:pPr>
              <w:spacing w:before="120" w:after="120"/>
              <w:rPr>
                <w:lang w:val="en-AU"/>
              </w:rPr>
            </w:pPr>
            <w:r>
              <w:rPr>
                <w:lang w:val="en-AU"/>
              </w:rPr>
              <w:t>Sex discrimination (excluding sexual harassment)</w:t>
            </w:r>
          </w:p>
        </w:tc>
        <w:tc>
          <w:tcPr>
            <w:tcW w:w="851" w:type="dxa"/>
          </w:tcPr>
          <w:p w14:paraId="717F7E9F" w14:textId="4E92C61A" w:rsidR="007E0023" w:rsidRDefault="007E0023" w:rsidP="00D345B2">
            <w:pPr>
              <w:spacing w:before="120" w:after="120"/>
              <w:rPr>
                <w:lang w:val="en-AU"/>
              </w:rPr>
            </w:pPr>
            <w:r>
              <w:rPr>
                <w:lang w:val="en-AU"/>
              </w:rPr>
              <w:t>182</w:t>
            </w:r>
          </w:p>
        </w:tc>
      </w:tr>
      <w:tr w:rsidR="007E0023" w14:paraId="18BF18FB" w14:textId="77777777" w:rsidTr="00DC039E">
        <w:tc>
          <w:tcPr>
            <w:tcW w:w="4961" w:type="dxa"/>
          </w:tcPr>
          <w:p w14:paraId="383A2FA0" w14:textId="7EE2FE60" w:rsidR="007E0023" w:rsidRDefault="00DC039E" w:rsidP="00D345B2">
            <w:pPr>
              <w:spacing w:before="120" w:after="120"/>
              <w:rPr>
                <w:lang w:val="en-AU"/>
              </w:rPr>
            </w:pPr>
            <w:r>
              <w:rPr>
                <w:lang w:val="en-AU"/>
              </w:rPr>
              <w:t>Race discrimination</w:t>
            </w:r>
            <w:r>
              <w:rPr>
                <w:rStyle w:val="FootnoteReference"/>
                <w:lang w:val="en-AU"/>
              </w:rPr>
              <w:footnoteReference w:id="42"/>
            </w:r>
          </w:p>
        </w:tc>
        <w:tc>
          <w:tcPr>
            <w:tcW w:w="851" w:type="dxa"/>
          </w:tcPr>
          <w:p w14:paraId="2B41DCC4" w14:textId="241612D4" w:rsidR="007E0023" w:rsidRDefault="00DC039E" w:rsidP="00D345B2">
            <w:pPr>
              <w:spacing w:before="120" w:after="120"/>
              <w:rPr>
                <w:lang w:val="en-AU"/>
              </w:rPr>
            </w:pPr>
            <w:r>
              <w:rPr>
                <w:lang w:val="en-AU"/>
              </w:rPr>
              <w:t>143</w:t>
            </w:r>
          </w:p>
        </w:tc>
      </w:tr>
      <w:tr w:rsidR="00DC039E" w14:paraId="03B48530" w14:textId="77777777" w:rsidTr="00DC039E">
        <w:tc>
          <w:tcPr>
            <w:tcW w:w="4961" w:type="dxa"/>
          </w:tcPr>
          <w:p w14:paraId="51ADB3EA" w14:textId="193B1825" w:rsidR="00DC039E" w:rsidRDefault="00DC039E" w:rsidP="00D345B2">
            <w:pPr>
              <w:spacing w:before="120" w:after="120"/>
              <w:rPr>
                <w:lang w:val="en-AU"/>
              </w:rPr>
            </w:pPr>
            <w:r>
              <w:rPr>
                <w:lang w:val="en-AU"/>
              </w:rPr>
              <w:t>Age discrimination</w:t>
            </w:r>
          </w:p>
        </w:tc>
        <w:tc>
          <w:tcPr>
            <w:tcW w:w="851" w:type="dxa"/>
          </w:tcPr>
          <w:p w14:paraId="0FDBF0E0" w14:textId="0B19FBF1" w:rsidR="00DC039E" w:rsidRDefault="00DC039E" w:rsidP="00D345B2">
            <w:pPr>
              <w:spacing w:before="120" w:after="120"/>
              <w:rPr>
                <w:lang w:val="en-AU"/>
              </w:rPr>
            </w:pPr>
            <w:r>
              <w:rPr>
                <w:lang w:val="en-AU"/>
              </w:rPr>
              <w:t>7</w:t>
            </w:r>
          </w:p>
        </w:tc>
      </w:tr>
      <w:tr w:rsidR="00DC039E" w14:paraId="35D89602" w14:textId="77777777" w:rsidTr="00DC039E">
        <w:tc>
          <w:tcPr>
            <w:tcW w:w="4961" w:type="dxa"/>
          </w:tcPr>
          <w:p w14:paraId="588019CF" w14:textId="3D12B59D" w:rsidR="00DC039E" w:rsidRPr="00DC039E" w:rsidRDefault="00DC039E" w:rsidP="00D345B2">
            <w:pPr>
              <w:spacing w:before="120" w:after="120"/>
              <w:rPr>
                <w:b/>
                <w:lang w:val="en-AU"/>
              </w:rPr>
            </w:pPr>
            <w:r w:rsidRPr="00DC039E">
              <w:rPr>
                <w:b/>
                <w:lang w:val="en-AU"/>
              </w:rPr>
              <w:t>Total</w:t>
            </w:r>
          </w:p>
        </w:tc>
        <w:tc>
          <w:tcPr>
            <w:tcW w:w="851" w:type="dxa"/>
          </w:tcPr>
          <w:p w14:paraId="456B062C" w14:textId="10290A68" w:rsidR="00DC039E" w:rsidRPr="00DC039E" w:rsidRDefault="00DC039E" w:rsidP="00D345B2">
            <w:pPr>
              <w:spacing w:before="120" w:after="120"/>
              <w:rPr>
                <w:b/>
                <w:lang w:val="en-AU"/>
              </w:rPr>
            </w:pPr>
            <w:r w:rsidRPr="00DC039E">
              <w:rPr>
                <w:b/>
                <w:lang w:val="en-AU"/>
              </w:rPr>
              <w:t>838</w:t>
            </w:r>
          </w:p>
        </w:tc>
      </w:tr>
    </w:tbl>
    <w:p w14:paraId="4D4C2774" w14:textId="77777777" w:rsidR="007E0023" w:rsidRDefault="007E0023" w:rsidP="007E0023">
      <w:pPr>
        <w:rPr>
          <w:lang w:val="en-AU"/>
        </w:rPr>
      </w:pPr>
    </w:p>
    <w:p w14:paraId="219A45C6" w14:textId="36739100" w:rsidR="004F2B03" w:rsidRDefault="004F2B03" w:rsidP="00603086">
      <w:pPr>
        <w:pStyle w:val="Heading1"/>
      </w:pPr>
      <w:bookmarkStart w:id="31" w:name="_Toc127809110"/>
      <w:r>
        <w:lastRenderedPageBreak/>
        <w:t>How costs are dealt with in other jurisdictions</w:t>
      </w:r>
      <w:bookmarkEnd w:id="31"/>
      <w:r>
        <w:t xml:space="preserve"> </w:t>
      </w:r>
    </w:p>
    <w:p w14:paraId="735AD55C" w14:textId="77777777" w:rsidR="00AE1BBE" w:rsidRDefault="00AE1BBE" w:rsidP="00603086">
      <w:pPr>
        <w:keepNext/>
        <w:rPr>
          <w:lang w:val="en-AU"/>
        </w:rPr>
      </w:pPr>
      <w:r>
        <w:rPr>
          <w:lang w:val="en-AU"/>
        </w:rPr>
        <w:t xml:space="preserve">A number of cost protection models exist across Australia at the state and territory level as well as in other Commonwealth legislative frameworks. </w:t>
      </w:r>
    </w:p>
    <w:p w14:paraId="017CD051" w14:textId="77777777" w:rsidR="007A6B63" w:rsidRDefault="007A6B63" w:rsidP="007A6B63">
      <w:pPr>
        <w:pStyle w:val="Heading2"/>
      </w:pPr>
      <w:bookmarkStart w:id="32" w:name="_Toc127809111"/>
      <w:r>
        <w:t>Australia</w:t>
      </w:r>
      <w:bookmarkEnd w:id="32"/>
    </w:p>
    <w:p w14:paraId="39B76907" w14:textId="7FC08DBF" w:rsidR="007A6B63" w:rsidRDefault="007A6B63" w:rsidP="007A6B63">
      <w:pPr>
        <w:rPr>
          <w:lang w:val="en-AU"/>
        </w:rPr>
      </w:pPr>
      <w:r>
        <w:rPr>
          <w:lang w:val="en-AU"/>
        </w:rPr>
        <w:t>The models relevant</w:t>
      </w:r>
      <w:r w:rsidR="002E726D">
        <w:rPr>
          <w:lang w:val="en-AU"/>
        </w:rPr>
        <w:t xml:space="preserve"> to discrimination matters</w:t>
      </w:r>
      <w:r>
        <w:rPr>
          <w:lang w:val="en-AU"/>
        </w:rPr>
        <w:t xml:space="preserve"> in Australia at the federal level and the states and territories are summarised in the table below</w:t>
      </w:r>
      <w:r w:rsidR="002E726D">
        <w:rPr>
          <w:lang w:val="en-AU"/>
        </w:rPr>
        <w:t>. Furt</w:t>
      </w:r>
      <w:r>
        <w:rPr>
          <w:lang w:val="en-AU"/>
        </w:rPr>
        <w:t>her detail on the current framework at the federal level</w:t>
      </w:r>
      <w:r w:rsidR="002E726D">
        <w:rPr>
          <w:lang w:val="en-AU"/>
        </w:rPr>
        <w:t xml:space="preserve"> is provided</w:t>
      </w:r>
      <w:r>
        <w:rPr>
          <w:lang w:val="en-AU"/>
        </w:rPr>
        <w:t xml:space="preserve"> above and</w:t>
      </w:r>
      <w:r w:rsidR="002E726D">
        <w:rPr>
          <w:lang w:val="en-AU"/>
        </w:rPr>
        <w:t xml:space="preserve"> a description of </w:t>
      </w:r>
      <w:r>
        <w:rPr>
          <w:lang w:val="en-AU"/>
        </w:rPr>
        <w:t xml:space="preserve">the </w:t>
      </w:r>
      <w:r w:rsidR="002E726D">
        <w:rPr>
          <w:lang w:val="en-AU"/>
        </w:rPr>
        <w:t xml:space="preserve">different costs </w:t>
      </w:r>
      <w:r>
        <w:rPr>
          <w:lang w:val="en-AU"/>
        </w:rPr>
        <w:t xml:space="preserve">model types </w:t>
      </w:r>
      <w:r w:rsidR="002E726D">
        <w:rPr>
          <w:lang w:val="en-AU"/>
        </w:rPr>
        <w:t>is provided further below</w:t>
      </w:r>
      <w:r>
        <w:rPr>
          <w:lang w:val="en-AU"/>
        </w:rPr>
        <w:t xml:space="preserve">. </w:t>
      </w:r>
    </w:p>
    <w:p w14:paraId="190AE195" w14:textId="770EBFC3" w:rsidR="00E5266B" w:rsidRDefault="00E5266B" w:rsidP="007A6B63">
      <w:pPr>
        <w:rPr>
          <w:lang w:val="en-AU"/>
        </w:rPr>
      </w:pPr>
      <w:r>
        <w:rPr>
          <w:lang w:val="en-AU"/>
        </w:rPr>
        <w:t xml:space="preserve">As </w:t>
      </w:r>
      <w:r w:rsidR="007B71C3">
        <w:rPr>
          <w:lang w:val="en-AU"/>
        </w:rPr>
        <w:t>set out in</w:t>
      </w:r>
      <w:r>
        <w:rPr>
          <w:lang w:val="en-AU"/>
        </w:rPr>
        <w:t xml:space="preserve"> the table below, the majority of Australian states and territories have a soft costs neutrality model for dealing with costs in discrimination matters before tribunals. Under this model, the default position is that parties bear their own costs, but the court</w:t>
      </w:r>
      <w:r w:rsidR="002A6AF1">
        <w:rPr>
          <w:lang w:val="en-AU"/>
        </w:rPr>
        <w:t xml:space="preserve"> or tribunal </w:t>
      </w:r>
      <w:r>
        <w:rPr>
          <w:lang w:val="en-AU"/>
        </w:rPr>
        <w:t xml:space="preserve">retains discretion to award costs otherwise, often in accordance with a list of guiding factors. </w:t>
      </w:r>
    </w:p>
    <w:p w14:paraId="35A03632" w14:textId="77777777" w:rsidR="00734A2E" w:rsidRDefault="00734A2E" w:rsidP="009B705A">
      <w:pPr>
        <w:keepNext/>
        <w:spacing w:before="120" w:after="120"/>
        <w:rPr>
          <w:b/>
          <w:caps/>
          <w:lang w:val="en-AU"/>
        </w:rPr>
        <w:sectPr w:rsidR="00734A2E" w:rsidSect="00DB3722">
          <w:footerReference w:type="default" r:id="rId8"/>
          <w:pgSz w:w="12240" w:h="15840"/>
          <w:pgMar w:top="1440" w:right="1440" w:bottom="1440" w:left="1440" w:header="720" w:footer="720" w:gutter="0"/>
          <w:cols w:space="720"/>
          <w:docGrid w:linePitch="360"/>
        </w:sectPr>
      </w:pPr>
    </w:p>
    <w:tbl>
      <w:tblPr>
        <w:tblStyle w:val="TableGrid"/>
        <w:tblW w:w="14034" w:type="dxa"/>
        <w:tblInd w:w="-572" w:type="dxa"/>
        <w:tblLayout w:type="fixed"/>
        <w:tblLook w:val="04A0" w:firstRow="1" w:lastRow="0" w:firstColumn="1" w:lastColumn="0" w:noHBand="0" w:noVBand="1"/>
      </w:tblPr>
      <w:tblGrid>
        <w:gridCol w:w="1701"/>
        <w:gridCol w:w="1701"/>
        <w:gridCol w:w="7938"/>
        <w:gridCol w:w="2694"/>
      </w:tblGrid>
      <w:tr w:rsidR="002656AD" w:rsidRPr="00D226ED" w14:paraId="51FAE5BB" w14:textId="6B0A72D2" w:rsidTr="002656AD">
        <w:trPr>
          <w:trHeight w:val="606"/>
        </w:trPr>
        <w:tc>
          <w:tcPr>
            <w:tcW w:w="1701" w:type="dxa"/>
            <w:shd w:val="clear" w:color="auto" w:fill="D9D9D9" w:themeFill="background1" w:themeFillShade="D9"/>
          </w:tcPr>
          <w:p w14:paraId="4C450BD5" w14:textId="1EAB887F" w:rsidR="002656AD" w:rsidRPr="0077736B" w:rsidRDefault="002656AD" w:rsidP="009B705A">
            <w:pPr>
              <w:keepNext/>
              <w:spacing w:before="120" w:after="120"/>
              <w:rPr>
                <w:b/>
                <w:caps/>
                <w:lang w:val="en-AU"/>
              </w:rPr>
            </w:pPr>
            <w:r w:rsidRPr="0077736B">
              <w:rPr>
                <w:b/>
                <w:caps/>
                <w:lang w:val="en-AU"/>
              </w:rPr>
              <w:lastRenderedPageBreak/>
              <w:t xml:space="preserve">Jurisdiction </w:t>
            </w:r>
          </w:p>
        </w:tc>
        <w:tc>
          <w:tcPr>
            <w:tcW w:w="1701" w:type="dxa"/>
            <w:shd w:val="clear" w:color="auto" w:fill="D9D9D9" w:themeFill="background1" w:themeFillShade="D9"/>
          </w:tcPr>
          <w:p w14:paraId="0FE3BF80" w14:textId="165AEC4F" w:rsidR="002656AD" w:rsidRPr="0077736B" w:rsidRDefault="002656AD" w:rsidP="009B705A">
            <w:pPr>
              <w:keepNext/>
              <w:spacing w:before="120" w:after="120"/>
              <w:rPr>
                <w:b/>
                <w:caps/>
                <w:lang w:val="en-AU"/>
              </w:rPr>
            </w:pPr>
            <w:r w:rsidRPr="0077736B">
              <w:rPr>
                <w:b/>
                <w:caps/>
                <w:lang w:val="en-AU"/>
              </w:rPr>
              <w:t>Model</w:t>
            </w:r>
          </w:p>
        </w:tc>
        <w:tc>
          <w:tcPr>
            <w:tcW w:w="7938" w:type="dxa"/>
            <w:shd w:val="clear" w:color="auto" w:fill="D9D9D9" w:themeFill="background1" w:themeFillShade="D9"/>
          </w:tcPr>
          <w:p w14:paraId="15DE5E3B" w14:textId="77AD70F2" w:rsidR="002656AD" w:rsidRPr="0077736B" w:rsidRDefault="002656AD" w:rsidP="009B705A">
            <w:pPr>
              <w:keepNext/>
              <w:spacing w:before="120" w:after="120"/>
              <w:rPr>
                <w:b/>
                <w:caps/>
                <w:lang w:val="en-AU"/>
              </w:rPr>
            </w:pPr>
            <w:r w:rsidRPr="0077736B">
              <w:rPr>
                <w:b/>
                <w:caps/>
                <w:lang w:val="en-AU"/>
              </w:rPr>
              <w:t>DESCRIPTION</w:t>
            </w:r>
          </w:p>
        </w:tc>
        <w:tc>
          <w:tcPr>
            <w:tcW w:w="2694" w:type="dxa"/>
            <w:shd w:val="clear" w:color="auto" w:fill="D9D9D9" w:themeFill="background1" w:themeFillShade="D9"/>
          </w:tcPr>
          <w:p w14:paraId="0AE3CDE4" w14:textId="07F0E337" w:rsidR="002656AD" w:rsidRPr="0077736B" w:rsidRDefault="002656AD" w:rsidP="009B705A">
            <w:pPr>
              <w:keepNext/>
              <w:spacing w:before="120" w:after="120"/>
              <w:rPr>
                <w:b/>
                <w:caps/>
                <w:lang w:val="en-AU"/>
              </w:rPr>
            </w:pPr>
            <w:r w:rsidRPr="0077736B">
              <w:rPr>
                <w:b/>
                <w:caps/>
                <w:lang w:val="en-AU"/>
              </w:rPr>
              <w:t>relevant legislation</w:t>
            </w:r>
          </w:p>
        </w:tc>
      </w:tr>
      <w:tr w:rsidR="002656AD" w14:paraId="0C53DFB8" w14:textId="2072F04D" w:rsidTr="002656AD">
        <w:trPr>
          <w:trHeight w:val="793"/>
        </w:trPr>
        <w:tc>
          <w:tcPr>
            <w:tcW w:w="1701" w:type="dxa"/>
          </w:tcPr>
          <w:p w14:paraId="214C13EC" w14:textId="77777777" w:rsidR="002656AD" w:rsidRDefault="002656AD" w:rsidP="009B705A">
            <w:pPr>
              <w:keepNext/>
              <w:spacing w:before="120" w:after="120"/>
              <w:rPr>
                <w:lang w:val="en-AU"/>
              </w:rPr>
            </w:pPr>
            <w:r>
              <w:rPr>
                <w:lang w:val="en-AU"/>
              </w:rPr>
              <w:t xml:space="preserve">Commonwealth </w:t>
            </w:r>
          </w:p>
        </w:tc>
        <w:tc>
          <w:tcPr>
            <w:tcW w:w="1701" w:type="dxa"/>
          </w:tcPr>
          <w:p w14:paraId="7EA5082B" w14:textId="77777777" w:rsidR="002656AD" w:rsidRDefault="002656AD" w:rsidP="009B705A">
            <w:pPr>
              <w:keepNext/>
              <w:spacing w:before="120" w:after="120"/>
              <w:rPr>
                <w:lang w:val="en-AU"/>
              </w:rPr>
            </w:pPr>
            <w:r>
              <w:rPr>
                <w:lang w:val="en-AU"/>
              </w:rPr>
              <w:t xml:space="preserve">Broad discretion  </w:t>
            </w:r>
          </w:p>
        </w:tc>
        <w:tc>
          <w:tcPr>
            <w:tcW w:w="7938" w:type="dxa"/>
          </w:tcPr>
          <w:p w14:paraId="2722A72D" w14:textId="40395474" w:rsidR="002656AD" w:rsidRPr="00FC0049" w:rsidRDefault="002656AD" w:rsidP="009B705A">
            <w:pPr>
              <w:keepNext/>
              <w:spacing w:before="120" w:after="120"/>
            </w:pPr>
            <w:r>
              <w:t>Federal courts have a broad discretion to make orders ‘as t</w:t>
            </w:r>
            <w:r w:rsidR="0008549F">
              <w:t>hey</w:t>
            </w:r>
            <w:r>
              <w:t xml:space="preserve"> think fit’, and generally follow the practice of awarding costs after the event according to who was successful. </w:t>
            </w:r>
          </w:p>
        </w:tc>
        <w:tc>
          <w:tcPr>
            <w:tcW w:w="2694" w:type="dxa"/>
          </w:tcPr>
          <w:p w14:paraId="74798F17" w14:textId="29A0DAD0" w:rsidR="002656AD" w:rsidRDefault="002656AD" w:rsidP="009B705A">
            <w:pPr>
              <w:keepNext/>
              <w:spacing w:before="120" w:after="120"/>
            </w:pPr>
            <w:r w:rsidRPr="00DF0192">
              <w:rPr>
                <w:i/>
                <w:lang w:val="en-AU"/>
              </w:rPr>
              <w:t>Australian Human Rights Commission Act 1986</w:t>
            </w:r>
            <w:r>
              <w:rPr>
                <w:lang w:val="en-AU"/>
              </w:rPr>
              <w:t xml:space="preserve"> (</w:t>
            </w:r>
            <w:proofErr w:type="spellStart"/>
            <w:r>
              <w:rPr>
                <w:lang w:val="en-AU"/>
              </w:rPr>
              <w:t>Cth</w:t>
            </w:r>
            <w:proofErr w:type="spellEnd"/>
            <w:r>
              <w:rPr>
                <w:lang w:val="en-AU"/>
              </w:rPr>
              <w:t xml:space="preserve">) s 46PO; </w:t>
            </w:r>
            <w:r w:rsidRPr="00D226ED">
              <w:rPr>
                <w:i/>
              </w:rPr>
              <w:t>Federal Court of Australia Act 1976</w:t>
            </w:r>
            <w:r>
              <w:rPr>
                <w:i/>
              </w:rPr>
              <w:t xml:space="preserve"> </w:t>
            </w:r>
            <w:r>
              <w:t xml:space="preserve">s 43; </w:t>
            </w:r>
            <w:r>
              <w:rPr>
                <w:i/>
                <w:iCs/>
                <w:color w:val="000000"/>
                <w:shd w:val="clear" w:color="auto" w:fill="FFFFFF"/>
              </w:rPr>
              <w:t xml:space="preserve">Federal Circuit and Family Court of Australia Act 2021 s </w:t>
            </w:r>
            <w:r>
              <w:rPr>
                <w:iCs/>
                <w:color w:val="000000"/>
                <w:shd w:val="clear" w:color="auto" w:fill="FFFFFF"/>
              </w:rPr>
              <w:t>214.</w:t>
            </w:r>
          </w:p>
        </w:tc>
      </w:tr>
      <w:tr w:rsidR="002656AD" w14:paraId="23825771" w14:textId="5CB2C1D5" w:rsidTr="002656AD">
        <w:trPr>
          <w:trHeight w:val="931"/>
        </w:trPr>
        <w:tc>
          <w:tcPr>
            <w:tcW w:w="1701" w:type="dxa"/>
          </w:tcPr>
          <w:p w14:paraId="08BA4846" w14:textId="287C94B3" w:rsidR="002656AD" w:rsidRDefault="002656AD" w:rsidP="00460E05">
            <w:pPr>
              <w:spacing w:before="120" w:after="120"/>
              <w:rPr>
                <w:lang w:val="en-AU"/>
              </w:rPr>
            </w:pPr>
            <w:r>
              <w:rPr>
                <w:lang w:val="en-AU"/>
              </w:rPr>
              <w:t xml:space="preserve">Australian Capital Territory </w:t>
            </w:r>
          </w:p>
        </w:tc>
        <w:tc>
          <w:tcPr>
            <w:tcW w:w="1701" w:type="dxa"/>
          </w:tcPr>
          <w:p w14:paraId="6D736245" w14:textId="77777777" w:rsidR="002656AD" w:rsidRDefault="002656AD" w:rsidP="00460E05">
            <w:pPr>
              <w:spacing w:before="120" w:after="120"/>
              <w:rPr>
                <w:lang w:val="en-AU"/>
              </w:rPr>
            </w:pPr>
            <w:r>
              <w:rPr>
                <w:lang w:val="en-AU"/>
              </w:rPr>
              <w:t xml:space="preserve">Hybrid of hard costs neutrality and asymmetrical </w:t>
            </w:r>
          </w:p>
        </w:tc>
        <w:tc>
          <w:tcPr>
            <w:tcW w:w="7938" w:type="dxa"/>
          </w:tcPr>
          <w:p w14:paraId="696C8CE7" w14:textId="38EC4388" w:rsidR="002656AD" w:rsidRDefault="002656AD" w:rsidP="00193BE6">
            <w:pPr>
              <w:spacing w:before="120" w:after="120"/>
              <w:rPr>
                <w:lang w:val="en-AU"/>
              </w:rPr>
            </w:pPr>
            <w:r>
              <w:rPr>
                <w:lang w:val="en-AU"/>
              </w:rPr>
              <w:t>The general rule is that each party bears their own costs.</w:t>
            </w:r>
          </w:p>
          <w:p w14:paraId="12199240" w14:textId="7E3320F4" w:rsidR="002656AD" w:rsidRDefault="002656AD" w:rsidP="00193BE6">
            <w:pPr>
              <w:spacing w:before="120" w:after="120"/>
              <w:rPr>
                <w:lang w:val="en-AU"/>
              </w:rPr>
            </w:pPr>
            <w:r>
              <w:rPr>
                <w:lang w:val="en-AU"/>
              </w:rPr>
              <w:t>If the tribunal decides in favour of the applicant, the tribunal may order the other party to pay the applicant’s</w:t>
            </w:r>
            <w:r w:rsidR="00270A04">
              <w:rPr>
                <w:lang w:val="en-AU"/>
              </w:rPr>
              <w:t xml:space="preserve"> f</w:t>
            </w:r>
            <w:r>
              <w:rPr>
                <w:lang w:val="en-AU"/>
              </w:rPr>
              <w:t xml:space="preserve">iling fee and any other fee </w:t>
            </w:r>
            <w:r w:rsidR="0008549F">
              <w:rPr>
                <w:lang w:val="en-AU"/>
              </w:rPr>
              <w:t>‘</w:t>
            </w:r>
            <w:r>
              <w:rPr>
                <w:lang w:val="en-AU"/>
              </w:rPr>
              <w:t xml:space="preserve">necessary for the application’. </w:t>
            </w:r>
          </w:p>
          <w:p w14:paraId="689CD09F" w14:textId="2E826A64" w:rsidR="002656AD" w:rsidRPr="00FC0049" w:rsidRDefault="002656AD" w:rsidP="00193BE6">
            <w:pPr>
              <w:spacing w:before="120" w:after="120"/>
              <w:rPr>
                <w:lang w:val="en-AU"/>
              </w:rPr>
            </w:pPr>
            <w:r>
              <w:rPr>
                <w:lang w:val="en-AU"/>
              </w:rPr>
              <w:t xml:space="preserve">If the tribunal considers that a party caused unreasonable delay or obstruction during the application, the tribunal may order that party to pay the reasonable costs of the other party arising from that delay or obstruction. </w:t>
            </w:r>
          </w:p>
        </w:tc>
        <w:tc>
          <w:tcPr>
            <w:tcW w:w="2694" w:type="dxa"/>
          </w:tcPr>
          <w:p w14:paraId="50C2F506" w14:textId="6CF2DFD0" w:rsidR="002656AD" w:rsidRDefault="002656AD" w:rsidP="00193BE6">
            <w:pPr>
              <w:spacing w:before="120" w:after="120"/>
              <w:rPr>
                <w:lang w:val="en-AU"/>
              </w:rPr>
            </w:pPr>
            <w:r w:rsidRPr="00AD3D30">
              <w:rPr>
                <w:i/>
                <w:lang w:val="en-AU"/>
              </w:rPr>
              <w:t>ACT Civil and Administrative Tribunal Act</w:t>
            </w:r>
            <w:r>
              <w:rPr>
                <w:lang w:val="en-AU"/>
              </w:rPr>
              <w:t xml:space="preserve"> </w:t>
            </w:r>
            <w:r w:rsidRPr="00AD3D30">
              <w:rPr>
                <w:i/>
                <w:lang w:val="en-AU"/>
              </w:rPr>
              <w:t>2008</w:t>
            </w:r>
            <w:r>
              <w:rPr>
                <w:i/>
                <w:lang w:val="en-AU"/>
              </w:rPr>
              <w:t xml:space="preserve"> </w:t>
            </w:r>
            <w:r>
              <w:rPr>
                <w:lang w:val="en-AU"/>
              </w:rPr>
              <w:t>(ACT) s 48.</w:t>
            </w:r>
          </w:p>
        </w:tc>
      </w:tr>
      <w:tr w:rsidR="002656AD" w14:paraId="47EA31C8" w14:textId="7AB20996" w:rsidTr="002656AD">
        <w:trPr>
          <w:trHeight w:val="931"/>
        </w:trPr>
        <w:tc>
          <w:tcPr>
            <w:tcW w:w="1701" w:type="dxa"/>
          </w:tcPr>
          <w:p w14:paraId="5A61416C" w14:textId="4B25DF9C" w:rsidR="002656AD" w:rsidRDefault="002656AD" w:rsidP="00460E05">
            <w:pPr>
              <w:spacing w:before="120" w:after="120"/>
              <w:rPr>
                <w:lang w:val="en-AU"/>
              </w:rPr>
            </w:pPr>
            <w:r>
              <w:rPr>
                <w:lang w:val="en-AU"/>
              </w:rPr>
              <w:t>New South Wales</w:t>
            </w:r>
          </w:p>
        </w:tc>
        <w:tc>
          <w:tcPr>
            <w:tcW w:w="1701" w:type="dxa"/>
          </w:tcPr>
          <w:p w14:paraId="6017AEFD" w14:textId="77777777" w:rsidR="002656AD" w:rsidRDefault="002656AD" w:rsidP="00460E05">
            <w:pPr>
              <w:spacing w:before="120" w:after="120"/>
              <w:rPr>
                <w:lang w:val="en-AU"/>
              </w:rPr>
            </w:pPr>
            <w:r>
              <w:rPr>
                <w:lang w:val="en-AU"/>
              </w:rPr>
              <w:t>Soft costs neutrality</w:t>
            </w:r>
          </w:p>
        </w:tc>
        <w:tc>
          <w:tcPr>
            <w:tcW w:w="7938" w:type="dxa"/>
          </w:tcPr>
          <w:p w14:paraId="4F884FC3" w14:textId="77777777" w:rsidR="002656AD" w:rsidRDefault="002656AD" w:rsidP="00460E05">
            <w:pPr>
              <w:spacing w:before="120" w:after="120"/>
              <w:rPr>
                <w:lang w:val="en-AU"/>
              </w:rPr>
            </w:pPr>
            <w:r>
              <w:rPr>
                <w:lang w:val="en-AU"/>
              </w:rPr>
              <w:t>The general rule is that each party bears their own costs.</w:t>
            </w:r>
          </w:p>
          <w:p w14:paraId="04DC475E" w14:textId="28DBB13A" w:rsidR="002656AD" w:rsidRDefault="002656AD" w:rsidP="00460E05">
            <w:pPr>
              <w:spacing w:before="120" w:after="120"/>
              <w:rPr>
                <w:lang w:val="en-AU"/>
              </w:rPr>
            </w:pPr>
            <w:r>
              <w:rPr>
                <w:lang w:val="en-AU"/>
              </w:rPr>
              <w:t xml:space="preserve">However, </w:t>
            </w:r>
            <w:r w:rsidRPr="00316702">
              <w:rPr>
                <w:lang w:val="en-AU"/>
              </w:rPr>
              <w:t>the Tribunal may award costs ‘only if it is satisfied that there are special circumstances warranting an award of costs.’</w:t>
            </w:r>
            <w:r>
              <w:rPr>
                <w:lang w:val="en-AU"/>
              </w:rPr>
              <w:t xml:space="preserve"> In determining whether there are ‘special circumstances’, the tribunal </w:t>
            </w:r>
            <w:r w:rsidRPr="00DE2EFA">
              <w:rPr>
                <w:i/>
                <w:lang w:val="en-AU"/>
              </w:rPr>
              <w:t xml:space="preserve">may </w:t>
            </w:r>
            <w:r>
              <w:rPr>
                <w:lang w:val="en-AU"/>
              </w:rPr>
              <w:t>have regard to various factors, including:</w:t>
            </w:r>
          </w:p>
          <w:p w14:paraId="71BEEB31" w14:textId="499E8C55" w:rsidR="002656AD" w:rsidRDefault="002656AD" w:rsidP="00316702">
            <w:pPr>
              <w:pStyle w:val="ListParagraph"/>
              <w:numPr>
                <w:ilvl w:val="0"/>
                <w:numId w:val="34"/>
              </w:numPr>
            </w:pPr>
            <w:r>
              <w:t>whether a party’s conduct unnecessarily disadvantaged another party;</w:t>
            </w:r>
          </w:p>
          <w:p w14:paraId="4D9F10E0" w14:textId="5FA8A1FD" w:rsidR="002656AD" w:rsidRDefault="002656AD" w:rsidP="00316702">
            <w:pPr>
              <w:pStyle w:val="ListParagraph"/>
              <w:numPr>
                <w:ilvl w:val="0"/>
                <w:numId w:val="34"/>
              </w:numPr>
              <w:spacing w:before="120" w:after="120"/>
              <w:rPr>
                <w:lang w:val="en-AU"/>
              </w:rPr>
            </w:pPr>
            <w:r>
              <w:rPr>
                <w:lang w:val="en-AU"/>
              </w:rPr>
              <w:t>whether a party unreasonably prolong</w:t>
            </w:r>
            <w:r w:rsidR="00E901D7">
              <w:rPr>
                <w:lang w:val="en-AU"/>
              </w:rPr>
              <w:t xml:space="preserve">ed </w:t>
            </w:r>
            <w:r>
              <w:rPr>
                <w:lang w:val="en-AU"/>
              </w:rPr>
              <w:t>the proceedings;</w:t>
            </w:r>
          </w:p>
          <w:p w14:paraId="2AFB5891" w14:textId="2BBF8A39" w:rsidR="002656AD" w:rsidRDefault="002656AD" w:rsidP="00316702">
            <w:pPr>
              <w:pStyle w:val="ListParagraph"/>
              <w:numPr>
                <w:ilvl w:val="0"/>
                <w:numId w:val="34"/>
              </w:numPr>
              <w:spacing w:before="120" w:after="120"/>
              <w:rPr>
                <w:lang w:val="en-AU"/>
              </w:rPr>
            </w:pPr>
            <w:r>
              <w:rPr>
                <w:lang w:val="en-AU"/>
              </w:rPr>
              <w:t>the relative strengths of the parties’ claims;</w:t>
            </w:r>
          </w:p>
          <w:p w14:paraId="5C0A0116" w14:textId="6E267FA6" w:rsidR="002656AD" w:rsidRDefault="002656AD" w:rsidP="00316702">
            <w:pPr>
              <w:pStyle w:val="ListParagraph"/>
              <w:numPr>
                <w:ilvl w:val="0"/>
                <w:numId w:val="34"/>
              </w:numPr>
              <w:spacing w:before="120" w:after="120"/>
              <w:rPr>
                <w:lang w:val="en-AU"/>
              </w:rPr>
            </w:pPr>
            <w:r>
              <w:rPr>
                <w:lang w:val="en-AU"/>
              </w:rPr>
              <w:t>the nature and complexity of proceedings;</w:t>
            </w:r>
          </w:p>
          <w:p w14:paraId="39B03C7A" w14:textId="5D22D0B0" w:rsidR="002656AD" w:rsidRPr="00316702" w:rsidRDefault="002656AD" w:rsidP="00316702">
            <w:pPr>
              <w:pStyle w:val="ListParagraph"/>
              <w:numPr>
                <w:ilvl w:val="0"/>
                <w:numId w:val="34"/>
              </w:numPr>
              <w:spacing w:before="120" w:after="120"/>
              <w:rPr>
                <w:lang w:val="en-AU"/>
              </w:rPr>
            </w:pPr>
            <w:r>
              <w:rPr>
                <w:lang w:val="en-AU"/>
              </w:rPr>
              <w:t>whether</w:t>
            </w:r>
            <w:r w:rsidR="002D0D7B">
              <w:rPr>
                <w:lang w:val="en-AU"/>
              </w:rPr>
              <w:t xml:space="preserve"> the</w:t>
            </w:r>
            <w:r>
              <w:rPr>
                <w:lang w:val="en-AU"/>
              </w:rPr>
              <w:t xml:space="preserve"> proceedings were frivolous, vexatious or lacking in substance. </w:t>
            </w:r>
          </w:p>
        </w:tc>
        <w:tc>
          <w:tcPr>
            <w:tcW w:w="2694" w:type="dxa"/>
          </w:tcPr>
          <w:p w14:paraId="1B26B009" w14:textId="0644EFCE" w:rsidR="002656AD" w:rsidRDefault="002656AD" w:rsidP="00460E05">
            <w:pPr>
              <w:spacing w:before="120" w:after="120"/>
              <w:rPr>
                <w:lang w:val="en-AU"/>
              </w:rPr>
            </w:pPr>
            <w:r w:rsidRPr="00AD3D30">
              <w:rPr>
                <w:i/>
                <w:lang w:val="en-AU"/>
              </w:rPr>
              <w:t xml:space="preserve">Civil and Administrative Tribunal Act 2013 </w:t>
            </w:r>
            <w:r w:rsidRPr="00AD3D30">
              <w:rPr>
                <w:lang w:val="en-AU"/>
              </w:rPr>
              <w:t>(NSW)</w:t>
            </w:r>
            <w:r>
              <w:rPr>
                <w:lang w:val="en-AU"/>
              </w:rPr>
              <w:t xml:space="preserve"> s</w:t>
            </w:r>
            <w:r w:rsidR="00783153">
              <w:rPr>
                <w:lang w:val="en-AU"/>
              </w:rPr>
              <w:t> </w:t>
            </w:r>
            <w:r>
              <w:rPr>
                <w:lang w:val="en-AU"/>
              </w:rPr>
              <w:t>60.</w:t>
            </w:r>
          </w:p>
        </w:tc>
      </w:tr>
      <w:tr w:rsidR="002656AD" w14:paraId="679BC238" w14:textId="26A7637B" w:rsidTr="002656AD">
        <w:trPr>
          <w:trHeight w:val="931"/>
        </w:trPr>
        <w:tc>
          <w:tcPr>
            <w:tcW w:w="1701" w:type="dxa"/>
          </w:tcPr>
          <w:p w14:paraId="7E849A19" w14:textId="5AD58205" w:rsidR="002656AD" w:rsidRDefault="002656AD" w:rsidP="00460E05">
            <w:pPr>
              <w:spacing w:before="120" w:after="120"/>
              <w:rPr>
                <w:lang w:val="en-AU"/>
              </w:rPr>
            </w:pPr>
            <w:r>
              <w:rPr>
                <w:lang w:val="en-AU"/>
              </w:rPr>
              <w:t xml:space="preserve">Northern Territory </w:t>
            </w:r>
          </w:p>
        </w:tc>
        <w:tc>
          <w:tcPr>
            <w:tcW w:w="1701" w:type="dxa"/>
          </w:tcPr>
          <w:p w14:paraId="4018A61F" w14:textId="77777777" w:rsidR="002656AD" w:rsidRDefault="002656AD" w:rsidP="00460E05">
            <w:pPr>
              <w:spacing w:before="120" w:after="120"/>
              <w:rPr>
                <w:lang w:val="en-AU"/>
              </w:rPr>
            </w:pPr>
            <w:r>
              <w:rPr>
                <w:lang w:val="en-AU"/>
              </w:rPr>
              <w:t xml:space="preserve">Soft costs neutrality </w:t>
            </w:r>
          </w:p>
        </w:tc>
        <w:tc>
          <w:tcPr>
            <w:tcW w:w="7938" w:type="dxa"/>
          </w:tcPr>
          <w:p w14:paraId="5B9E173E" w14:textId="3D67F68F" w:rsidR="002656AD" w:rsidRDefault="002656AD" w:rsidP="00460E05">
            <w:pPr>
              <w:spacing w:before="120" w:after="120"/>
              <w:rPr>
                <w:lang w:val="en-AU"/>
              </w:rPr>
            </w:pPr>
            <w:r>
              <w:rPr>
                <w:lang w:val="en-AU"/>
              </w:rPr>
              <w:t xml:space="preserve">The general rule is that each party bears their own costs. </w:t>
            </w:r>
          </w:p>
          <w:p w14:paraId="4EE3F2AC" w14:textId="57DDF14B" w:rsidR="002656AD" w:rsidRDefault="002656AD" w:rsidP="00460E05">
            <w:pPr>
              <w:spacing w:before="120" w:after="120"/>
              <w:rPr>
                <w:lang w:val="en-AU"/>
              </w:rPr>
            </w:pPr>
            <w:r>
              <w:rPr>
                <w:lang w:val="en-AU"/>
              </w:rPr>
              <w:t>However, the tribunal may make a costs order</w:t>
            </w:r>
            <w:r w:rsidR="002D0D7B">
              <w:rPr>
                <w:lang w:val="en-AU"/>
              </w:rPr>
              <w:t>.</w:t>
            </w:r>
            <w:r>
              <w:rPr>
                <w:lang w:val="en-AU"/>
              </w:rPr>
              <w:t xml:space="preserve"> Before making a costs order, the tribunal </w:t>
            </w:r>
            <w:r w:rsidRPr="00DE2EFA">
              <w:rPr>
                <w:i/>
                <w:lang w:val="en-AU"/>
              </w:rPr>
              <w:t>must</w:t>
            </w:r>
            <w:r>
              <w:rPr>
                <w:lang w:val="en-AU"/>
              </w:rPr>
              <w:t xml:space="preserve"> </w:t>
            </w:r>
            <w:proofErr w:type="gramStart"/>
            <w:r>
              <w:rPr>
                <w:lang w:val="en-AU"/>
              </w:rPr>
              <w:t>take into account</w:t>
            </w:r>
            <w:proofErr w:type="gramEnd"/>
            <w:r>
              <w:rPr>
                <w:lang w:val="en-AU"/>
              </w:rPr>
              <w:t xml:space="preserve"> various factors, including: </w:t>
            </w:r>
          </w:p>
          <w:p w14:paraId="1E9D4F2B" w14:textId="3C129E1B" w:rsidR="002656AD" w:rsidRDefault="002656AD" w:rsidP="00FB7E64">
            <w:pPr>
              <w:pStyle w:val="ListParagraph"/>
              <w:numPr>
                <w:ilvl w:val="0"/>
                <w:numId w:val="35"/>
              </w:numPr>
            </w:pPr>
            <w:r>
              <w:lastRenderedPageBreak/>
              <w:t>the tribunal’s objectives of simplifying proceedings and keeping costs to parties to a minimum;</w:t>
            </w:r>
          </w:p>
          <w:p w14:paraId="10AF1FD3" w14:textId="77FE435E" w:rsidR="002656AD" w:rsidRPr="00FB7E64" w:rsidRDefault="002656AD" w:rsidP="00FB7E64">
            <w:pPr>
              <w:pStyle w:val="ListParagraph"/>
              <w:numPr>
                <w:ilvl w:val="0"/>
                <w:numId w:val="35"/>
              </w:numPr>
            </w:pPr>
            <w:r>
              <w:t>the need to ensure that proceedings are fair and that parties are not disadvantaged by proceedings that have little or no merit.</w:t>
            </w:r>
          </w:p>
        </w:tc>
        <w:tc>
          <w:tcPr>
            <w:tcW w:w="2694" w:type="dxa"/>
          </w:tcPr>
          <w:p w14:paraId="7EA0394D" w14:textId="3D526583" w:rsidR="002656AD" w:rsidRDefault="002656AD" w:rsidP="00460E05">
            <w:pPr>
              <w:spacing w:before="120" w:after="120"/>
              <w:rPr>
                <w:lang w:val="en-AU"/>
              </w:rPr>
            </w:pPr>
            <w:r w:rsidRPr="00AD3D30">
              <w:rPr>
                <w:i/>
                <w:lang w:val="en-AU"/>
              </w:rPr>
              <w:lastRenderedPageBreak/>
              <w:t xml:space="preserve">Northern Territory Civil </w:t>
            </w:r>
            <w:r>
              <w:rPr>
                <w:i/>
                <w:lang w:val="en-AU"/>
              </w:rPr>
              <w:t>a</w:t>
            </w:r>
            <w:r w:rsidRPr="00AD3D30">
              <w:rPr>
                <w:i/>
                <w:lang w:val="en-AU"/>
              </w:rPr>
              <w:t>nd Administrative Tribunal Act 2014</w:t>
            </w:r>
            <w:r>
              <w:rPr>
                <w:i/>
                <w:lang w:val="en-AU"/>
              </w:rPr>
              <w:t xml:space="preserve"> </w:t>
            </w:r>
            <w:r>
              <w:rPr>
                <w:lang w:val="en-AU"/>
              </w:rPr>
              <w:t>(NT) s 131-132.</w:t>
            </w:r>
          </w:p>
        </w:tc>
      </w:tr>
      <w:tr w:rsidR="002656AD" w14:paraId="32ED572D" w14:textId="12A60843" w:rsidTr="002656AD">
        <w:trPr>
          <w:trHeight w:val="931"/>
        </w:trPr>
        <w:tc>
          <w:tcPr>
            <w:tcW w:w="1701" w:type="dxa"/>
          </w:tcPr>
          <w:p w14:paraId="5D76DF98" w14:textId="5039B676" w:rsidR="002656AD" w:rsidRDefault="002656AD" w:rsidP="00460E05">
            <w:pPr>
              <w:spacing w:before="120" w:after="120"/>
              <w:rPr>
                <w:lang w:val="en-AU"/>
              </w:rPr>
            </w:pPr>
            <w:r>
              <w:rPr>
                <w:lang w:val="en-AU"/>
              </w:rPr>
              <w:t>Queensland</w:t>
            </w:r>
          </w:p>
        </w:tc>
        <w:tc>
          <w:tcPr>
            <w:tcW w:w="1701" w:type="dxa"/>
          </w:tcPr>
          <w:p w14:paraId="346CB0B9" w14:textId="77777777" w:rsidR="002656AD" w:rsidRDefault="002656AD" w:rsidP="00460E05">
            <w:pPr>
              <w:spacing w:before="120" w:after="120"/>
              <w:rPr>
                <w:lang w:val="en-AU"/>
              </w:rPr>
            </w:pPr>
            <w:r>
              <w:rPr>
                <w:lang w:val="en-AU"/>
              </w:rPr>
              <w:t>Soft costs neutrality</w:t>
            </w:r>
          </w:p>
        </w:tc>
        <w:tc>
          <w:tcPr>
            <w:tcW w:w="7938" w:type="dxa"/>
          </w:tcPr>
          <w:p w14:paraId="51086A98" w14:textId="173D6ED9" w:rsidR="002656AD" w:rsidRDefault="002656AD" w:rsidP="00460E05">
            <w:pPr>
              <w:spacing w:before="120" w:after="120"/>
              <w:rPr>
                <w:lang w:val="en-AU"/>
              </w:rPr>
            </w:pPr>
            <w:r>
              <w:rPr>
                <w:lang w:val="en-AU"/>
              </w:rPr>
              <w:t>The general rule is that each party bears their own costs.</w:t>
            </w:r>
          </w:p>
          <w:p w14:paraId="108B7975" w14:textId="07D338F9" w:rsidR="002656AD" w:rsidRDefault="002656AD" w:rsidP="00757119">
            <w:pPr>
              <w:spacing w:before="120"/>
              <w:rPr>
                <w:rStyle w:val="CommentReference"/>
                <w:sz w:val="22"/>
              </w:rPr>
            </w:pPr>
            <w:r>
              <w:t>However, the tribunal may make a costs order ‘if the tribunal considers the interests of justice require it to make the order.’</w:t>
            </w:r>
            <w:r>
              <w:rPr>
                <w:rStyle w:val="CommentReference"/>
              </w:rPr>
              <w:t xml:space="preserve"> </w:t>
            </w:r>
            <w:r>
              <w:rPr>
                <w:rStyle w:val="CommentReference"/>
                <w:sz w:val="22"/>
              </w:rPr>
              <w:t xml:space="preserve">In determining whether to make a costs order, the tribunal </w:t>
            </w:r>
            <w:r w:rsidRPr="00DE2EFA">
              <w:rPr>
                <w:rStyle w:val="CommentReference"/>
                <w:i/>
                <w:sz w:val="22"/>
              </w:rPr>
              <w:t xml:space="preserve">may </w:t>
            </w:r>
            <w:r>
              <w:rPr>
                <w:rStyle w:val="CommentReference"/>
                <w:sz w:val="22"/>
              </w:rPr>
              <w:t>have regard to various factors, including:</w:t>
            </w:r>
          </w:p>
          <w:p w14:paraId="7C152CF2" w14:textId="09FAAC64" w:rsidR="002656AD" w:rsidRDefault="002656AD" w:rsidP="00387734">
            <w:pPr>
              <w:pStyle w:val="ListParagraph"/>
              <w:numPr>
                <w:ilvl w:val="0"/>
                <w:numId w:val="37"/>
              </w:numPr>
            </w:pPr>
            <w:r>
              <w:t>whether a party’s conduct unnecessarily disadvantaged another party;</w:t>
            </w:r>
          </w:p>
          <w:p w14:paraId="536A31A8" w14:textId="2CC3BBDB" w:rsidR="002656AD" w:rsidRDefault="002656AD" w:rsidP="00387734">
            <w:pPr>
              <w:pStyle w:val="ListParagraph"/>
              <w:numPr>
                <w:ilvl w:val="0"/>
                <w:numId w:val="37"/>
              </w:numPr>
            </w:pPr>
            <w:r>
              <w:t xml:space="preserve">the nature and complexity of the proceeding; </w:t>
            </w:r>
          </w:p>
          <w:p w14:paraId="2BFFC9AE" w14:textId="766A7C76" w:rsidR="002656AD" w:rsidRDefault="002656AD" w:rsidP="00387734">
            <w:pPr>
              <w:pStyle w:val="ListParagraph"/>
              <w:numPr>
                <w:ilvl w:val="0"/>
                <w:numId w:val="37"/>
              </w:numPr>
            </w:pPr>
            <w:r>
              <w:t>the relative strengths of the parties’ claims;</w:t>
            </w:r>
          </w:p>
          <w:p w14:paraId="1A1648D6" w14:textId="7BCDDE36" w:rsidR="002656AD" w:rsidRDefault="002656AD" w:rsidP="00757119">
            <w:pPr>
              <w:pStyle w:val="ListParagraph"/>
              <w:numPr>
                <w:ilvl w:val="0"/>
                <w:numId w:val="37"/>
              </w:numPr>
            </w:pPr>
            <w:r>
              <w:t>the financial circumstances of the parties to the proceeding.</w:t>
            </w:r>
          </w:p>
          <w:p w14:paraId="267BE7A1" w14:textId="77777777" w:rsidR="002656AD" w:rsidRDefault="002656AD" w:rsidP="00387734"/>
          <w:p w14:paraId="182283EC" w14:textId="1D2B0E62" w:rsidR="002656AD" w:rsidRPr="00DE2EFA" w:rsidRDefault="002656AD" w:rsidP="002D0D7B">
            <w:pPr>
              <w:spacing w:after="160"/>
            </w:pPr>
            <w:r>
              <w:t>In some proceedings, the</w:t>
            </w:r>
            <w:r w:rsidR="002D0D7B">
              <w:t xml:space="preserve"> tribunal may</w:t>
            </w:r>
            <w:r>
              <w:t xml:space="preserve"> award ‘all reasonable’ costs if</w:t>
            </w:r>
            <w:r w:rsidR="002D0D7B">
              <w:t xml:space="preserve"> a party has refused a settlement offer by the other party, and </w:t>
            </w:r>
            <w:r>
              <w:t>the tribunal is of the opinion that</w:t>
            </w:r>
            <w:r w:rsidR="002D0D7B">
              <w:t xml:space="preserve"> its</w:t>
            </w:r>
            <w:r>
              <w:t xml:space="preserve"> decision is not more </w:t>
            </w:r>
            <w:proofErr w:type="spellStart"/>
            <w:r>
              <w:t>favourable</w:t>
            </w:r>
            <w:proofErr w:type="spellEnd"/>
            <w:r>
              <w:t xml:space="preserve"> </w:t>
            </w:r>
            <w:r w:rsidR="002D0D7B">
              <w:t xml:space="preserve">to the party </w:t>
            </w:r>
            <w:r>
              <w:t>than the offer.</w:t>
            </w:r>
          </w:p>
        </w:tc>
        <w:tc>
          <w:tcPr>
            <w:tcW w:w="2694" w:type="dxa"/>
          </w:tcPr>
          <w:p w14:paraId="0697AB5D" w14:textId="53F18E44" w:rsidR="002656AD" w:rsidRDefault="002656AD" w:rsidP="00460E05">
            <w:pPr>
              <w:spacing w:before="120" w:after="120"/>
              <w:rPr>
                <w:lang w:val="en-AU"/>
              </w:rPr>
            </w:pPr>
            <w:r w:rsidRPr="006170B3">
              <w:rPr>
                <w:i/>
                <w:lang w:val="en-AU"/>
              </w:rPr>
              <w:t>Queensland Civil and Administrative Tribunal Act 2009</w:t>
            </w:r>
            <w:r>
              <w:rPr>
                <w:lang w:val="en-AU"/>
              </w:rPr>
              <w:t xml:space="preserve"> (Qld) s 100, 102.</w:t>
            </w:r>
          </w:p>
        </w:tc>
      </w:tr>
      <w:tr w:rsidR="002656AD" w14:paraId="003917E5" w14:textId="5C00EFAF" w:rsidTr="002656AD">
        <w:trPr>
          <w:trHeight w:val="416"/>
        </w:trPr>
        <w:tc>
          <w:tcPr>
            <w:tcW w:w="1701" w:type="dxa"/>
          </w:tcPr>
          <w:p w14:paraId="56361A29" w14:textId="58D84784" w:rsidR="002656AD" w:rsidRDefault="002656AD" w:rsidP="00460E05">
            <w:pPr>
              <w:spacing w:before="120" w:after="120"/>
              <w:rPr>
                <w:lang w:val="en-AU"/>
              </w:rPr>
            </w:pPr>
            <w:r>
              <w:rPr>
                <w:lang w:val="en-AU"/>
              </w:rPr>
              <w:t>South Australia</w:t>
            </w:r>
          </w:p>
        </w:tc>
        <w:tc>
          <w:tcPr>
            <w:tcW w:w="1701" w:type="dxa"/>
          </w:tcPr>
          <w:p w14:paraId="7496754D" w14:textId="77777777" w:rsidR="002656AD" w:rsidRDefault="002656AD" w:rsidP="00460E05">
            <w:pPr>
              <w:spacing w:before="120" w:after="120"/>
              <w:rPr>
                <w:lang w:val="en-AU"/>
              </w:rPr>
            </w:pPr>
            <w:r>
              <w:rPr>
                <w:lang w:val="en-AU"/>
              </w:rPr>
              <w:t>Soft costs neutrality</w:t>
            </w:r>
          </w:p>
        </w:tc>
        <w:tc>
          <w:tcPr>
            <w:tcW w:w="7938" w:type="dxa"/>
          </w:tcPr>
          <w:p w14:paraId="5BBB09BB" w14:textId="3E7122F9" w:rsidR="002656AD" w:rsidRDefault="002656AD" w:rsidP="00460E05">
            <w:pPr>
              <w:spacing w:before="120" w:after="120"/>
              <w:rPr>
                <w:lang w:val="en-AU"/>
              </w:rPr>
            </w:pPr>
            <w:r>
              <w:rPr>
                <w:lang w:val="en-AU"/>
              </w:rPr>
              <w:t>The general rule is that each party bears their own costs.</w:t>
            </w:r>
          </w:p>
          <w:p w14:paraId="1E0AB43A" w14:textId="4A45424F" w:rsidR="002656AD" w:rsidRDefault="002656AD" w:rsidP="00460E05">
            <w:pPr>
              <w:spacing w:before="120" w:after="120"/>
            </w:pPr>
            <w:r>
              <w:rPr>
                <w:lang w:val="en-AU"/>
              </w:rPr>
              <w:t>However, the tribunal may make a costs order if it ‘</w:t>
            </w:r>
            <w:r>
              <w:t xml:space="preserve">thinks that it is appropriate to do so after </w:t>
            </w:r>
            <w:proofErr w:type="gramStart"/>
            <w:r>
              <w:t>taking into account</w:t>
            </w:r>
            <w:proofErr w:type="gramEnd"/>
            <w:r>
              <w:t xml:space="preserve">’ various factors, including: </w:t>
            </w:r>
          </w:p>
          <w:p w14:paraId="2210A0AF" w14:textId="1C8430B2" w:rsidR="002656AD" w:rsidRDefault="002656AD" w:rsidP="00757119">
            <w:pPr>
              <w:pStyle w:val="ListParagraph"/>
              <w:numPr>
                <w:ilvl w:val="0"/>
                <w:numId w:val="41"/>
              </w:numPr>
            </w:pPr>
            <w:r>
              <w:t xml:space="preserve">the tribunal’s objectives of simplifying proceedings and keeping costs to parties to a minimum;  </w:t>
            </w:r>
          </w:p>
          <w:p w14:paraId="25E485A7" w14:textId="5924D8D7" w:rsidR="002656AD" w:rsidRPr="00DE2EFA" w:rsidRDefault="002656AD" w:rsidP="00757119">
            <w:pPr>
              <w:pStyle w:val="ListParagraph"/>
              <w:numPr>
                <w:ilvl w:val="0"/>
                <w:numId w:val="41"/>
              </w:numPr>
              <w:spacing w:before="120" w:after="120"/>
              <w:rPr>
                <w:lang w:val="en-AU"/>
              </w:rPr>
            </w:pPr>
            <w:r>
              <w:t>the need to ensure that proceedings are fair and that parties are not disadvantaged by proceedings that have little or no merit.</w:t>
            </w:r>
          </w:p>
        </w:tc>
        <w:tc>
          <w:tcPr>
            <w:tcW w:w="2694" w:type="dxa"/>
          </w:tcPr>
          <w:p w14:paraId="2AF806A2" w14:textId="417D1E9B" w:rsidR="002656AD" w:rsidRDefault="002656AD" w:rsidP="00460E05">
            <w:pPr>
              <w:spacing w:before="120" w:after="120"/>
              <w:rPr>
                <w:lang w:val="en-AU"/>
              </w:rPr>
            </w:pPr>
            <w:r w:rsidRPr="006170B3">
              <w:rPr>
                <w:i/>
                <w:lang w:val="en-AU"/>
              </w:rPr>
              <w:t>South Australian Civil and Administrative Tribunal Act 2013</w:t>
            </w:r>
            <w:r>
              <w:rPr>
                <w:lang w:val="en-AU"/>
              </w:rPr>
              <w:t xml:space="preserve"> (SA) s 57.</w:t>
            </w:r>
          </w:p>
        </w:tc>
      </w:tr>
      <w:tr w:rsidR="002656AD" w14:paraId="08835292" w14:textId="449442DC" w:rsidTr="00022375">
        <w:trPr>
          <w:trHeight w:val="4526"/>
        </w:trPr>
        <w:tc>
          <w:tcPr>
            <w:tcW w:w="1701" w:type="dxa"/>
          </w:tcPr>
          <w:p w14:paraId="29564B83" w14:textId="2ED74713" w:rsidR="002656AD" w:rsidRDefault="002656AD" w:rsidP="00863138">
            <w:pPr>
              <w:spacing w:before="120"/>
              <w:rPr>
                <w:lang w:val="en-AU"/>
              </w:rPr>
            </w:pPr>
            <w:r>
              <w:rPr>
                <w:lang w:val="en-AU"/>
              </w:rPr>
              <w:lastRenderedPageBreak/>
              <w:t>Tasmania</w:t>
            </w:r>
          </w:p>
        </w:tc>
        <w:tc>
          <w:tcPr>
            <w:tcW w:w="1701" w:type="dxa"/>
          </w:tcPr>
          <w:p w14:paraId="6E9BB795" w14:textId="77777777" w:rsidR="002656AD" w:rsidRDefault="002656AD" w:rsidP="00863138">
            <w:pPr>
              <w:spacing w:before="120"/>
              <w:rPr>
                <w:lang w:val="en-AU"/>
              </w:rPr>
            </w:pPr>
            <w:r>
              <w:rPr>
                <w:lang w:val="en-AU"/>
              </w:rPr>
              <w:t>Hybrid hard/soft costs neutrality</w:t>
            </w:r>
          </w:p>
        </w:tc>
        <w:tc>
          <w:tcPr>
            <w:tcW w:w="7938" w:type="dxa"/>
          </w:tcPr>
          <w:p w14:paraId="0BF1941A" w14:textId="62A988D9" w:rsidR="002656AD" w:rsidRDefault="002656AD" w:rsidP="00863138">
            <w:pPr>
              <w:spacing w:before="120"/>
              <w:rPr>
                <w:lang w:val="en-AU"/>
              </w:rPr>
            </w:pPr>
            <w:r>
              <w:rPr>
                <w:lang w:val="en-AU"/>
              </w:rPr>
              <w:t>The general rule is that each party bears their own costs.</w:t>
            </w:r>
          </w:p>
          <w:p w14:paraId="6F7A4728" w14:textId="3C78FE78" w:rsidR="002656AD" w:rsidRDefault="002656AD" w:rsidP="00863138">
            <w:pPr>
              <w:spacing w:before="120"/>
            </w:pPr>
            <w:r>
              <w:t xml:space="preserve">The tribunal may make a costs award if it considers it appropriate to do so after </w:t>
            </w:r>
            <w:proofErr w:type="gramStart"/>
            <w:r>
              <w:t>taking into account</w:t>
            </w:r>
            <w:proofErr w:type="gramEnd"/>
            <w:r>
              <w:t xml:space="preserve"> various factors, including: </w:t>
            </w:r>
          </w:p>
          <w:p w14:paraId="2FE78028" w14:textId="2029C7A1" w:rsidR="002656AD" w:rsidRDefault="002656AD" w:rsidP="00863138">
            <w:pPr>
              <w:pStyle w:val="ListParagraph"/>
              <w:numPr>
                <w:ilvl w:val="0"/>
                <w:numId w:val="43"/>
              </w:numPr>
            </w:pPr>
            <w:r>
              <w:t>the tribunal’s objectives of simplifying proceedings and keeping costs to parties to a minimum;</w:t>
            </w:r>
          </w:p>
          <w:p w14:paraId="5165AB2F" w14:textId="0D27F271" w:rsidR="002656AD" w:rsidRDefault="002656AD" w:rsidP="00863138">
            <w:pPr>
              <w:pStyle w:val="ListParagraph"/>
              <w:numPr>
                <w:ilvl w:val="0"/>
                <w:numId w:val="43"/>
              </w:numPr>
              <w:spacing w:after="160"/>
            </w:pPr>
            <w:r>
              <w:t>the need to ensure that proceedings are fair and that parties are not disadvantaged by proceedings that have little or no merit.</w:t>
            </w:r>
          </w:p>
          <w:p w14:paraId="4D8E3669" w14:textId="0B9B979D" w:rsidR="002656AD" w:rsidRDefault="00863138" w:rsidP="00863138">
            <w:r>
              <w:t>T</w:t>
            </w:r>
            <w:r w:rsidRPr="00863138">
              <w:t>he Tribunal cannot make an order against a part</w:t>
            </w:r>
            <w:r>
              <w:t>y</w:t>
            </w:r>
            <w:r w:rsidRPr="00863138">
              <w:t xml:space="preserve"> for any expenses or loss resulting from any proceedings or matter unless</w:t>
            </w:r>
            <w:r w:rsidR="002656AD">
              <w:t>:</w:t>
            </w:r>
          </w:p>
          <w:p w14:paraId="63CA3DCC" w14:textId="77777777" w:rsidR="002656AD" w:rsidRDefault="002656AD" w:rsidP="00863138">
            <w:pPr>
              <w:pStyle w:val="ListParagraph"/>
              <w:numPr>
                <w:ilvl w:val="0"/>
                <w:numId w:val="45"/>
              </w:numPr>
            </w:pPr>
            <w:r>
              <w:t>the party brought or conducted the proceedings frivolously or vexatiously; or</w:t>
            </w:r>
          </w:p>
          <w:p w14:paraId="4C47589B" w14:textId="635B3E80" w:rsidR="00863138" w:rsidRDefault="002656AD" w:rsidP="00863138">
            <w:pPr>
              <w:pStyle w:val="ListParagraph"/>
              <w:numPr>
                <w:ilvl w:val="0"/>
                <w:numId w:val="45"/>
              </w:numPr>
            </w:pPr>
            <w:r>
              <w:t xml:space="preserve">any prescribed circumstance </w:t>
            </w:r>
            <w:proofErr w:type="gramStart"/>
            <w:r>
              <w:t>exist</w:t>
            </w:r>
            <w:proofErr w:type="gramEnd"/>
            <w:r>
              <w:t>.</w:t>
            </w:r>
          </w:p>
          <w:p w14:paraId="4FE5A786" w14:textId="5CE024B6" w:rsidR="00863138" w:rsidRPr="00FC0049" w:rsidRDefault="002656AD" w:rsidP="00863138">
            <w:pPr>
              <w:spacing w:before="240"/>
            </w:pPr>
            <w:r>
              <w:t>I</w:t>
            </w:r>
            <w:r w:rsidRPr="005870C6">
              <w:t>f the Tribunal dismisses or strikes out any proceedings, the Tribunal should make a</w:t>
            </w:r>
            <w:r w:rsidR="00863138">
              <w:t xml:space="preserve"> costs order</w:t>
            </w:r>
            <w:r w:rsidRPr="005870C6">
              <w:t xml:space="preserve"> against the party against whom the action is directed, </w:t>
            </w:r>
            <w:r>
              <w:t xml:space="preserve">unless there </w:t>
            </w:r>
            <w:r w:rsidRPr="005870C6">
              <w:t xml:space="preserve">is a good reason for not making </w:t>
            </w:r>
            <w:r>
              <w:t>such</w:t>
            </w:r>
            <w:r w:rsidRPr="005870C6">
              <w:t xml:space="preserve"> order</w:t>
            </w:r>
            <w:r w:rsidR="00863138">
              <w:t xml:space="preserve">. </w:t>
            </w:r>
          </w:p>
        </w:tc>
        <w:tc>
          <w:tcPr>
            <w:tcW w:w="2694" w:type="dxa"/>
          </w:tcPr>
          <w:p w14:paraId="06D5D1E9" w14:textId="2151F5C7" w:rsidR="002656AD" w:rsidRDefault="002656AD" w:rsidP="00863138">
            <w:pPr>
              <w:spacing w:before="120"/>
              <w:rPr>
                <w:lang w:val="en-AU"/>
              </w:rPr>
            </w:pPr>
            <w:r w:rsidRPr="005870C6">
              <w:rPr>
                <w:i/>
              </w:rPr>
              <w:t xml:space="preserve">Tasmanian Civil and Administrative Tribunal Act 2020 </w:t>
            </w:r>
            <w:r>
              <w:t>(Tas) s 120-121.</w:t>
            </w:r>
          </w:p>
        </w:tc>
      </w:tr>
      <w:tr w:rsidR="002656AD" w14:paraId="0B454529" w14:textId="23B53F0A" w:rsidTr="002656AD">
        <w:trPr>
          <w:trHeight w:val="606"/>
        </w:trPr>
        <w:tc>
          <w:tcPr>
            <w:tcW w:w="1701" w:type="dxa"/>
          </w:tcPr>
          <w:p w14:paraId="3103530D" w14:textId="718C0429" w:rsidR="002656AD" w:rsidRDefault="002656AD" w:rsidP="00460E05">
            <w:pPr>
              <w:spacing w:before="120" w:after="120"/>
              <w:rPr>
                <w:lang w:val="en-AU"/>
              </w:rPr>
            </w:pPr>
            <w:r>
              <w:rPr>
                <w:lang w:val="en-AU"/>
              </w:rPr>
              <w:t>Victoria</w:t>
            </w:r>
          </w:p>
        </w:tc>
        <w:tc>
          <w:tcPr>
            <w:tcW w:w="1701" w:type="dxa"/>
          </w:tcPr>
          <w:p w14:paraId="6795F369" w14:textId="77777777" w:rsidR="002656AD" w:rsidRDefault="002656AD" w:rsidP="00460E05">
            <w:pPr>
              <w:spacing w:before="120" w:after="120"/>
              <w:rPr>
                <w:lang w:val="en-AU"/>
              </w:rPr>
            </w:pPr>
            <w:r>
              <w:rPr>
                <w:lang w:val="en-AU"/>
              </w:rPr>
              <w:t>Soft costs neutrality</w:t>
            </w:r>
          </w:p>
        </w:tc>
        <w:tc>
          <w:tcPr>
            <w:tcW w:w="7938" w:type="dxa"/>
          </w:tcPr>
          <w:p w14:paraId="1120CB74" w14:textId="339DE96B" w:rsidR="002656AD" w:rsidRDefault="002656AD" w:rsidP="00460E05">
            <w:pPr>
              <w:spacing w:before="120" w:after="120"/>
              <w:rPr>
                <w:lang w:val="en-AU"/>
              </w:rPr>
            </w:pPr>
            <w:r>
              <w:rPr>
                <w:lang w:val="en-AU"/>
              </w:rPr>
              <w:t>The general rule is that each party bears their own costs.</w:t>
            </w:r>
          </w:p>
          <w:p w14:paraId="321F4385" w14:textId="2AAC179E" w:rsidR="002656AD" w:rsidRDefault="002656AD" w:rsidP="00460E05">
            <w:pPr>
              <w:spacing w:before="120" w:after="120"/>
            </w:pPr>
            <w:r>
              <w:rPr>
                <w:lang w:val="en-AU"/>
              </w:rPr>
              <w:t xml:space="preserve">The tribunal may make a costs order </w:t>
            </w:r>
            <w:r>
              <w:t xml:space="preserve">‘only if it is satisfied that it is fair to do so, having regard to’ various factors, including: </w:t>
            </w:r>
          </w:p>
          <w:p w14:paraId="5D5110CA" w14:textId="77777777" w:rsidR="002656AD" w:rsidRDefault="002656AD" w:rsidP="00C72E9E">
            <w:pPr>
              <w:pStyle w:val="ListParagraph"/>
              <w:numPr>
                <w:ilvl w:val="0"/>
                <w:numId w:val="46"/>
              </w:numPr>
            </w:pPr>
            <w:r>
              <w:t>whether a party’s conduct unnecessarily disadvantaged another party;</w:t>
            </w:r>
          </w:p>
          <w:p w14:paraId="4A2E3A36" w14:textId="4EDEB53F" w:rsidR="002656AD" w:rsidRDefault="002656AD" w:rsidP="00C72E9E">
            <w:pPr>
              <w:pStyle w:val="ListParagraph"/>
              <w:numPr>
                <w:ilvl w:val="0"/>
                <w:numId w:val="46"/>
              </w:numPr>
            </w:pPr>
            <w:r>
              <w:t>whether a party has been responsible for unreasonably prolonging the proceedings;</w:t>
            </w:r>
          </w:p>
          <w:p w14:paraId="2712D726" w14:textId="1AC21D26" w:rsidR="002656AD" w:rsidRDefault="002656AD" w:rsidP="00C72E9E">
            <w:pPr>
              <w:pStyle w:val="ListParagraph"/>
              <w:numPr>
                <w:ilvl w:val="0"/>
                <w:numId w:val="46"/>
              </w:numPr>
              <w:spacing w:before="120" w:after="120"/>
            </w:pPr>
            <w:r>
              <w:t>the relative strengths of the parties’ claims;</w:t>
            </w:r>
          </w:p>
          <w:p w14:paraId="0542C3AE" w14:textId="4CDEFD15" w:rsidR="002656AD" w:rsidRPr="00EB00F5" w:rsidRDefault="002656AD" w:rsidP="00C72E9E">
            <w:pPr>
              <w:pStyle w:val="ListParagraph"/>
              <w:numPr>
                <w:ilvl w:val="0"/>
                <w:numId w:val="46"/>
              </w:numPr>
              <w:spacing w:before="120" w:after="120"/>
            </w:pPr>
            <w:r>
              <w:t>the nature and complexity of the proceedings.</w:t>
            </w:r>
          </w:p>
        </w:tc>
        <w:tc>
          <w:tcPr>
            <w:tcW w:w="2694" w:type="dxa"/>
          </w:tcPr>
          <w:p w14:paraId="7B401A27" w14:textId="567EBB52" w:rsidR="002656AD" w:rsidRDefault="002656AD" w:rsidP="00460E05">
            <w:pPr>
              <w:spacing w:before="120" w:after="120"/>
              <w:rPr>
                <w:lang w:val="en-AU"/>
              </w:rPr>
            </w:pPr>
            <w:r w:rsidRPr="00C74A18">
              <w:rPr>
                <w:i/>
              </w:rPr>
              <w:t>Victorian Civil and Administrative Tribunal Act 1998</w:t>
            </w:r>
            <w:r>
              <w:t xml:space="preserve"> (Vic)</w:t>
            </w:r>
            <w:r>
              <w:rPr>
                <w:lang w:val="en-AU"/>
              </w:rPr>
              <w:t xml:space="preserve"> s 109.</w:t>
            </w:r>
          </w:p>
        </w:tc>
      </w:tr>
      <w:tr w:rsidR="002656AD" w14:paraId="765560F1" w14:textId="0AE0751A" w:rsidTr="002656AD">
        <w:trPr>
          <w:trHeight w:val="606"/>
        </w:trPr>
        <w:tc>
          <w:tcPr>
            <w:tcW w:w="1701" w:type="dxa"/>
          </w:tcPr>
          <w:p w14:paraId="7B7ADD14" w14:textId="6330DD63" w:rsidR="002656AD" w:rsidRDefault="002656AD" w:rsidP="00460E05">
            <w:pPr>
              <w:spacing w:before="120" w:after="120"/>
              <w:rPr>
                <w:lang w:val="en-AU"/>
              </w:rPr>
            </w:pPr>
            <w:r>
              <w:rPr>
                <w:lang w:val="en-AU"/>
              </w:rPr>
              <w:t>Western Australia</w:t>
            </w:r>
          </w:p>
        </w:tc>
        <w:tc>
          <w:tcPr>
            <w:tcW w:w="1701" w:type="dxa"/>
          </w:tcPr>
          <w:p w14:paraId="33804865" w14:textId="77777777" w:rsidR="002656AD" w:rsidRDefault="002656AD" w:rsidP="00460E05">
            <w:pPr>
              <w:spacing w:before="120" w:after="120"/>
              <w:rPr>
                <w:lang w:val="en-AU"/>
              </w:rPr>
            </w:pPr>
            <w:r>
              <w:rPr>
                <w:lang w:val="en-AU"/>
              </w:rPr>
              <w:t>Soft costs neutrality</w:t>
            </w:r>
          </w:p>
        </w:tc>
        <w:tc>
          <w:tcPr>
            <w:tcW w:w="7938" w:type="dxa"/>
          </w:tcPr>
          <w:p w14:paraId="5E0C66B6" w14:textId="2CF86BF9" w:rsidR="002656AD" w:rsidRDefault="002656AD" w:rsidP="00460E05">
            <w:pPr>
              <w:spacing w:before="120" w:after="120"/>
              <w:rPr>
                <w:lang w:val="en-AU"/>
              </w:rPr>
            </w:pPr>
            <w:r>
              <w:rPr>
                <w:lang w:val="en-AU"/>
              </w:rPr>
              <w:t>The general rule is that each party bears their own costs.</w:t>
            </w:r>
          </w:p>
          <w:p w14:paraId="1D8D9DDE" w14:textId="02C5C459" w:rsidR="002656AD" w:rsidRPr="001666FE" w:rsidRDefault="002656AD" w:rsidP="00460E05">
            <w:pPr>
              <w:spacing w:before="120" w:after="120"/>
              <w:rPr>
                <w:lang w:val="en-AU"/>
              </w:rPr>
            </w:pPr>
            <w:r>
              <w:rPr>
                <w:lang w:val="en-AU"/>
              </w:rPr>
              <w:t>However, the tribunal may make a costs order.</w:t>
            </w:r>
          </w:p>
        </w:tc>
        <w:tc>
          <w:tcPr>
            <w:tcW w:w="2694" w:type="dxa"/>
          </w:tcPr>
          <w:p w14:paraId="5FF90D7B" w14:textId="79009EC0" w:rsidR="002656AD" w:rsidRDefault="002656AD" w:rsidP="00460E05">
            <w:pPr>
              <w:spacing w:before="120" w:after="120"/>
              <w:rPr>
                <w:lang w:val="en-AU"/>
              </w:rPr>
            </w:pPr>
            <w:r w:rsidRPr="006170B3">
              <w:rPr>
                <w:i/>
                <w:lang w:val="en-AU"/>
              </w:rPr>
              <w:t>State Administrative Tribunal Act 2004</w:t>
            </w:r>
            <w:r>
              <w:rPr>
                <w:lang w:val="en-AU"/>
              </w:rPr>
              <w:t xml:space="preserve"> (WA) s</w:t>
            </w:r>
            <w:r w:rsidR="00783153">
              <w:rPr>
                <w:lang w:val="en-AU"/>
              </w:rPr>
              <w:t> </w:t>
            </w:r>
            <w:r>
              <w:rPr>
                <w:lang w:val="en-AU"/>
              </w:rPr>
              <w:t>87.</w:t>
            </w:r>
          </w:p>
        </w:tc>
      </w:tr>
    </w:tbl>
    <w:p w14:paraId="22350108" w14:textId="77777777" w:rsidR="00734A2E" w:rsidRDefault="00734A2E" w:rsidP="002E726D">
      <w:pPr>
        <w:pStyle w:val="Heading2"/>
        <w:sectPr w:rsidR="00734A2E" w:rsidSect="00734A2E">
          <w:pgSz w:w="15840" w:h="12240" w:orient="landscape"/>
          <w:pgMar w:top="1440" w:right="1440" w:bottom="1440" w:left="1440" w:header="720" w:footer="720" w:gutter="0"/>
          <w:cols w:space="720"/>
          <w:docGrid w:linePitch="360"/>
        </w:sectPr>
      </w:pPr>
    </w:p>
    <w:p w14:paraId="399FF9F2" w14:textId="7AD7B64E" w:rsidR="007A6B63" w:rsidRDefault="007A6B63" w:rsidP="002E726D">
      <w:pPr>
        <w:pStyle w:val="Heading2"/>
      </w:pPr>
      <w:bookmarkStart w:id="33" w:name="_Toc127809112"/>
      <w:r>
        <w:lastRenderedPageBreak/>
        <w:t>International</w:t>
      </w:r>
      <w:bookmarkEnd w:id="33"/>
    </w:p>
    <w:p w14:paraId="118D8891" w14:textId="49291F08" w:rsidR="00435D5D" w:rsidRDefault="00435D5D" w:rsidP="004F2B03">
      <w:pPr>
        <w:rPr>
          <w:lang w:val="en-AU"/>
        </w:rPr>
      </w:pPr>
      <w:r>
        <w:rPr>
          <w:lang w:val="en-AU"/>
        </w:rPr>
        <w:t xml:space="preserve">In New Zealand, the Human Rights Tribunal hears </w:t>
      </w:r>
      <w:r w:rsidR="005B3A16">
        <w:rPr>
          <w:lang w:val="en-AU"/>
        </w:rPr>
        <w:t xml:space="preserve">claims relating to breaches of the New Zealand </w:t>
      </w:r>
      <w:r w:rsidR="005B3A16" w:rsidRPr="008040BB">
        <w:rPr>
          <w:i/>
          <w:lang w:val="en-AU"/>
        </w:rPr>
        <w:t>Human Rights Act</w:t>
      </w:r>
      <w:r w:rsidR="008040BB">
        <w:rPr>
          <w:i/>
          <w:lang w:val="en-AU"/>
        </w:rPr>
        <w:t xml:space="preserve"> 1993</w:t>
      </w:r>
      <w:r w:rsidR="008040BB">
        <w:rPr>
          <w:lang w:val="en-AU"/>
        </w:rPr>
        <w:t xml:space="preserve">, which </w:t>
      </w:r>
      <w:r w:rsidR="00075E14">
        <w:rPr>
          <w:lang w:val="en-AU"/>
        </w:rPr>
        <w:t>includes</w:t>
      </w:r>
      <w:r w:rsidR="008040BB">
        <w:rPr>
          <w:lang w:val="en-AU"/>
        </w:rPr>
        <w:t xml:space="preserve"> </w:t>
      </w:r>
      <w:r w:rsidR="008040BB" w:rsidRPr="008040BB">
        <w:rPr>
          <w:lang w:val="en-AU"/>
        </w:rPr>
        <w:t>discrimination</w:t>
      </w:r>
      <w:r w:rsidR="00075E14">
        <w:rPr>
          <w:lang w:val="en-AU"/>
        </w:rPr>
        <w:t xml:space="preserve"> claims</w:t>
      </w:r>
      <w:r w:rsidR="008040BB">
        <w:rPr>
          <w:lang w:val="en-AU"/>
        </w:rPr>
        <w:t xml:space="preserve">. The Tribunal has broad discretion to award costs as it sees fit, and has discretion to </w:t>
      </w:r>
      <w:r w:rsidR="00075E14">
        <w:rPr>
          <w:lang w:val="en-AU"/>
        </w:rPr>
        <w:t>consider</w:t>
      </w:r>
      <w:r w:rsidR="008040BB">
        <w:rPr>
          <w:lang w:val="en-AU"/>
        </w:rPr>
        <w:t xml:space="preserve"> a range of factors about parties’ conduct as part of the proceedings before the Tribunal in making a costs order.</w:t>
      </w:r>
      <w:r w:rsidR="008040BB">
        <w:rPr>
          <w:rStyle w:val="FootnoteReference"/>
          <w:lang w:val="en-AU"/>
        </w:rPr>
        <w:footnoteReference w:id="43"/>
      </w:r>
    </w:p>
    <w:p w14:paraId="277C587E" w14:textId="01C6D991" w:rsidR="006C0676" w:rsidRPr="00054573" w:rsidRDefault="00892546" w:rsidP="004F2B03">
      <w:pPr>
        <w:rPr>
          <w:lang w:val="en-AU"/>
        </w:rPr>
      </w:pPr>
      <w:r>
        <w:rPr>
          <w:lang w:val="en-AU"/>
        </w:rPr>
        <w:t xml:space="preserve">Despite its broad discretion, the </w:t>
      </w:r>
      <w:r w:rsidR="006C0676">
        <w:rPr>
          <w:lang w:val="en-AU"/>
        </w:rPr>
        <w:t xml:space="preserve">Tribunal </w:t>
      </w:r>
      <w:r>
        <w:rPr>
          <w:lang w:val="en-AU"/>
        </w:rPr>
        <w:t xml:space="preserve">generally </w:t>
      </w:r>
      <w:r w:rsidR="00054573">
        <w:rPr>
          <w:lang w:val="en-AU"/>
        </w:rPr>
        <w:t>awards costs according to which party is successful.</w:t>
      </w:r>
      <w:r>
        <w:rPr>
          <w:rStyle w:val="FootnoteReference"/>
          <w:lang w:val="en-AU"/>
        </w:rPr>
        <w:footnoteReference w:id="44"/>
      </w:r>
      <w:r w:rsidR="00054573">
        <w:rPr>
          <w:lang w:val="en-AU"/>
        </w:rPr>
        <w:t xml:space="preserve"> Where the </w:t>
      </w:r>
      <w:r w:rsidR="00282B57">
        <w:rPr>
          <w:lang w:val="en-AU"/>
        </w:rPr>
        <w:t xml:space="preserve">applicant </w:t>
      </w:r>
      <w:r w:rsidR="00054573">
        <w:rPr>
          <w:lang w:val="en-AU"/>
        </w:rPr>
        <w:t xml:space="preserve">is successful in part, the Tribunal typically awards costs </w:t>
      </w:r>
      <w:r w:rsidR="00282B57">
        <w:rPr>
          <w:lang w:val="en-AU"/>
        </w:rPr>
        <w:t xml:space="preserve">in favour of the applicant (with the respondent having to pay their costs) </w:t>
      </w:r>
      <w:r w:rsidR="00054573">
        <w:rPr>
          <w:lang w:val="en-AU"/>
        </w:rPr>
        <w:t xml:space="preserve">or does not make a costs order. Where the </w:t>
      </w:r>
      <w:r w:rsidR="00282B57">
        <w:rPr>
          <w:lang w:val="en-AU"/>
        </w:rPr>
        <w:t xml:space="preserve">applicant’s </w:t>
      </w:r>
      <w:r w:rsidR="00054573">
        <w:rPr>
          <w:lang w:val="en-AU"/>
        </w:rPr>
        <w:t xml:space="preserve">claim has been found to be vexatious or without foundation, the Tribunal generally awards costs </w:t>
      </w:r>
      <w:r w:rsidR="00282B57">
        <w:rPr>
          <w:lang w:val="en-AU"/>
        </w:rPr>
        <w:t>in favour of</w:t>
      </w:r>
      <w:r w:rsidR="00054573">
        <w:rPr>
          <w:lang w:val="en-AU"/>
        </w:rPr>
        <w:t xml:space="preserve"> the </w:t>
      </w:r>
      <w:r w:rsidR="00282B57">
        <w:rPr>
          <w:lang w:val="en-AU"/>
        </w:rPr>
        <w:t>respondent (with the applicant having to pay their costs)</w:t>
      </w:r>
      <w:r w:rsidR="00054573">
        <w:rPr>
          <w:lang w:val="en-AU"/>
        </w:rPr>
        <w:t xml:space="preserve">. </w:t>
      </w:r>
    </w:p>
    <w:p w14:paraId="2BC121FD" w14:textId="449538F6" w:rsidR="00E71E0F" w:rsidRDefault="00306273" w:rsidP="004F2B03">
      <w:pPr>
        <w:rPr>
          <w:lang w:val="en-AU"/>
        </w:rPr>
      </w:pPr>
      <w:r>
        <w:rPr>
          <w:lang w:val="en-AU"/>
        </w:rPr>
        <w:t xml:space="preserve">In the </w:t>
      </w:r>
      <w:r w:rsidR="001B075F">
        <w:rPr>
          <w:lang w:val="en-AU"/>
        </w:rPr>
        <w:t>United Kingdom (</w:t>
      </w:r>
      <w:r w:rsidR="006C215C">
        <w:rPr>
          <w:lang w:val="en-AU"/>
        </w:rPr>
        <w:t>UK</w:t>
      </w:r>
      <w:r w:rsidR="001B075F">
        <w:rPr>
          <w:lang w:val="en-AU"/>
        </w:rPr>
        <w:t>)</w:t>
      </w:r>
      <w:r w:rsidR="006C215C">
        <w:rPr>
          <w:lang w:val="en-AU"/>
        </w:rPr>
        <w:t>,</w:t>
      </w:r>
      <w:r>
        <w:rPr>
          <w:lang w:val="en-AU"/>
        </w:rPr>
        <w:t xml:space="preserve"> </w:t>
      </w:r>
      <w:r w:rsidR="00024F93">
        <w:rPr>
          <w:lang w:val="en-AU"/>
        </w:rPr>
        <w:t xml:space="preserve">the default approach to awarding costs in civil matters is that costs follow the event according to which party </w:t>
      </w:r>
      <w:r w:rsidR="00282B57">
        <w:rPr>
          <w:lang w:val="en-AU"/>
        </w:rPr>
        <w:t xml:space="preserve">is </w:t>
      </w:r>
      <w:r w:rsidR="00024F93">
        <w:rPr>
          <w:lang w:val="en-AU"/>
        </w:rPr>
        <w:t>successful. However, the courts retain discretion to make a different costs order in accordance with a non-exhaustive list of factors including parties’ conduct, parties’ success and any offers to settle.</w:t>
      </w:r>
    </w:p>
    <w:p w14:paraId="0B49F2FC" w14:textId="1024D24D" w:rsidR="009C5B97" w:rsidRPr="00B31792" w:rsidRDefault="00892546" w:rsidP="009C5B97">
      <w:pPr>
        <w:rPr>
          <w:lang w:val="en-AU"/>
        </w:rPr>
      </w:pPr>
      <w:r>
        <w:rPr>
          <w:lang w:val="en-AU"/>
        </w:rPr>
        <w:t>Employment-related matters</w:t>
      </w:r>
      <w:r w:rsidR="00E71E0F">
        <w:rPr>
          <w:lang w:val="en-AU"/>
        </w:rPr>
        <w:t xml:space="preserve"> in the UK</w:t>
      </w:r>
      <w:r>
        <w:rPr>
          <w:lang w:val="en-AU"/>
        </w:rPr>
        <w:t xml:space="preserve"> are heard by the Employment Tribunal. The default approach to awarding costs is that each party bears their own legal costs</w:t>
      </w:r>
      <w:r w:rsidR="00E71E0F">
        <w:rPr>
          <w:lang w:val="en-AU"/>
        </w:rPr>
        <w:t>.</w:t>
      </w:r>
      <w:r>
        <w:rPr>
          <w:lang w:val="en-AU"/>
        </w:rPr>
        <w:t xml:space="preserve"> </w:t>
      </w:r>
      <w:r w:rsidR="00827B4C">
        <w:rPr>
          <w:lang w:val="en-AU"/>
        </w:rPr>
        <w:t>T</w:t>
      </w:r>
      <w:r w:rsidR="00E71E0F">
        <w:rPr>
          <w:lang w:val="en-AU"/>
        </w:rPr>
        <w:t xml:space="preserve">he Tribunal may </w:t>
      </w:r>
      <w:r w:rsidR="00B31792">
        <w:rPr>
          <w:lang w:val="en-AU"/>
        </w:rPr>
        <w:t>only</w:t>
      </w:r>
      <w:r w:rsidR="00E71E0F">
        <w:rPr>
          <w:lang w:val="en-AU"/>
        </w:rPr>
        <w:t xml:space="preserve"> award costs against a party if that party has acted ‘</w:t>
      </w:r>
      <w:r w:rsidR="00E71E0F" w:rsidRPr="00E71E0F">
        <w:rPr>
          <w:lang w:val="en-AU"/>
        </w:rPr>
        <w:t>vexatiously, abusively, disruptively or otherwise unreasonably</w:t>
      </w:r>
      <w:r w:rsidR="00E71E0F">
        <w:rPr>
          <w:lang w:val="en-AU"/>
        </w:rPr>
        <w:t>’</w:t>
      </w:r>
      <w:r w:rsidR="00E71E0F">
        <w:rPr>
          <w:rStyle w:val="FootnoteReference"/>
          <w:lang w:val="en-AU"/>
        </w:rPr>
        <w:footnoteReference w:id="45"/>
      </w:r>
      <w:r w:rsidR="00E71E0F">
        <w:rPr>
          <w:lang w:val="en-AU"/>
        </w:rPr>
        <w:t xml:space="preserve"> or if their claim had ‘no reasonable prospect of success’.</w:t>
      </w:r>
      <w:r w:rsidR="00E71E0F">
        <w:rPr>
          <w:rStyle w:val="FootnoteReference"/>
          <w:lang w:val="en-AU"/>
        </w:rPr>
        <w:footnoteReference w:id="46"/>
      </w:r>
      <w:r w:rsidR="00024F93">
        <w:rPr>
          <w:lang w:val="en-AU"/>
        </w:rPr>
        <w:t xml:space="preserve"> </w:t>
      </w:r>
      <w:r w:rsidR="00692ABB">
        <w:rPr>
          <w:lang w:val="en-AU"/>
        </w:rPr>
        <w:t>U</w:t>
      </w:r>
      <w:r w:rsidR="00EF0487">
        <w:rPr>
          <w:lang w:val="en-AU"/>
        </w:rPr>
        <w:t xml:space="preserve">nlike in the civil courts, costs orders are </w:t>
      </w:r>
      <w:r w:rsidR="00827B4C">
        <w:rPr>
          <w:lang w:val="en-AU"/>
        </w:rPr>
        <w:t>generally</w:t>
      </w:r>
      <w:r w:rsidR="00B31792">
        <w:rPr>
          <w:lang w:val="en-AU"/>
        </w:rPr>
        <w:t xml:space="preserve"> </w:t>
      </w:r>
      <w:r w:rsidR="00EF0487">
        <w:rPr>
          <w:lang w:val="en-AU"/>
        </w:rPr>
        <w:t xml:space="preserve">the exception as opposed to the rule in matters brought before the Tribunal. </w:t>
      </w:r>
    </w:p>
    <w:p w14:paraId="1EBC5917" w14:textId="2BB7126F" w:rsidR="009C5B97" w:rsidRDefault="00306273" w:rsidP="004F2B03">
      <w:pPr>
        <w:rPr>
          <w:lang w:val="en-AU"/>
        </w:rPr>
      </w:pPr>
      <w:r>
        <w:rPr>
          <w:lang w:val="en-AU"/>
        </w:rPr>
        <w:t>In the</w:t>
      </w:r>
      <w:r w:rsidR="006C215C">
        <w:rPr>
          <w:lang w:val="en-AU"/>
        </w:rPr>
        <w:t xml:space="preserve"> </w:t>
      </w:r>
      <w:r w:rsidR="001B075F">
        <w:rPr>
          <w:lang w:val="en-AU"/>
        </w:rPr>
        <w:t>United States</w:t>
      </w:r>
      <w:r w:rsidR="006C215C">
        <w:rPr>
          <w:lang w:val="en-AU"/>
        </w:rPr>
        <w:t xml:space="preserve"> </w:t>
      </w:r>
      <w:r w:rsidR="001B075F">
        <w:rPr>
          <w:lang w:val="en-AU"/>
        </w:rPr>
        <w:t>(</w:t>
      </w:r>
      <w:r w:rsidR="006C215C">
        <w:rPr>
          <w:lang w:val="en-AU"/>
        </w:rPr>
        <w:t>US</w:t>
      </w:r>
      <w:r w:rsidR="001B075F">
        <w:rPr>
          <w:lang w:val="en-AU"/>
        </w:rPr>
        <w:t>)</w:t>
      </w:r>
      <w:r>
        <w:rPr>
          <w:lang w:val="en-AU"/>
        </w:rPr>
        <w:t>,</w:t>
      </w:r>
      <w:r w:rsidR="009C5B97">
        <w:rPr>
          <w:lang w:val="en-AU"/>
        </w:rPr>
        <w:t xml:space="preserve"> </w:t>
      </w:r>
      <w:r w:rsidR="00B31792">
        <w:rPr>
          <w:lang w:val="en-AU"/>
        </w:rPr>
        <w:t>various department</w:t>
      </w:r>
      <w:r w:rsidR="00827B4C">
        <w:rPr>
          <w:lang w:val="en-AU"/>
        </w:rPr>
        <w:t>al</w:t>
      </w:r>
      <w:r w:rsidR="00B31792">
        <w:rPr>
          <w:lang w:val="en-AU"/>
        </w:rPr>
        <w:t xml:space="preserve"> bodies and agencies oversee and manage discrimination matters</w:t>
      </w:r>
      <w:r w:rsidR="00827B4C">
        <w:rPr>
          <w:lang w:val="en-AU"/>
        </w:rPr>
        <w:t xml:space="preserve">, </w:t>
      </w:r>
      <w:r w:rsidR="00B31792">
        <w:rPr>
          <w:lang w:val="en-AU"/>
        </w:rPr>
        <w:t>based on the specific sector the complaint originate</w:t>
      </w:r>
      <w:r w:rsidR="00827B4C">
        <w:rPr>
          <w:lang w:val="en-AU"/>
        </w:rPr>
        <w:t>s</w:t>
      </w:r>
      <w:r w:rsidR="00B31792">
        <w:rPr>
          <w:lang w:val="en-AU"/>
        </w:rPr>
        <w:t xml:space="preserve"> in (i.e. employment, education, housing etc.). T</w:t>
      </w:r>
      <w:r w:rsidR="009C5B97">
        <w:rPr>
          <w:lang w:val="en-AU"/>
        </w:rPr>
        <w:t>he Equal Employment Opportunity Commission</w:t>
      </w:r>
      <w:r w:rsidR="003A0447">
        <w:rPr>
          <w:lang w:val="en-AU"/>
        </w:rPr>
        <w:t xml:space="preserve"> </w:t>
      </w:r>
      <w:r w:rsidR="00B31792">
        <w:rPr>
          <w:lang w:val="en-AU"/>
        </w:rPr>
        <w:t>(USEEOC)</w:t>
      </w:r>
      <w:r w:rsidR="000324AE">
        <w:rPr>
          <w:lang w:val="en-AU"/>
        </w:rPr>
        <w:t>, for example,</w:t>
      </w:r>
      <w:r w:rsidR="00B31792">
        <w:rPr>
          <w:lang w:val="en-AU"/>
        </w:rPr>
        <w:t xml:space="preserve"> </w:t>
      </w:r>
      <w:r w:rsidR="003A0447">
        <w:rPr>
          <w:lang w:val="en-AU"/>
        </w:rPr>
        <w:t>deals with employment</w:t>
      </w:r>
      <w:r w:rsidR="001B075F">
        <w:rPr>
          <w:lang w:val="en-AU"/>
        </w:rPr>
        <w:noBreakHyphen/>
      </w:r>
      <w:r w:rsidR="003A0447">
        <w:rPr>
          <w:lang w:val="en-AU"/>
        </w:rPr>
        <w:t>related discrimination</w:t>
      </w:r>
      <w:r w:rsidR="000324AE">
        <w:rPr>
          <w:lang w:val="en-AU"/>
        </w:rPr>
        <w:t xml:space="preserve"> matters</w:t>
      </w:r>
      <w:r w:rsidR="003A0447">
        <w:rPr>
          <w:lang w:val="en-AU"/>
        </w:rPr>
        <w:t xml:space="preserve">. It </w:t>
      </w:r>
      <w:r w:rsidR="009C5B97">
        <w:rPr>
          <w:lang w:val="en-AU"/>
        </w:rPr>
        <w:t>has an asymmetrical model</w:t>
      </w:r>
      <w:r w:rsidR="003A0447">
        <w:rPr>
          <w:lang w:val="en-AU"/>
        </w:rPr>
        <w:t xml:space="preserve">, </w:t>
      </w:r>
      <w:r w:rsidR="00BF5109">
        <w:rPr>
          <w:lang w:val="en-AU"/>
        </w:rPr>
        <w:t xml:space="preserve">under which a successful </w:t>
      </w:r>
      <w:r w:rsidR="009C5B97">
        <w:t>applicant is presumptively entitled to costs unless special circumstances render such an award unjust.</w:t>
      </w:r>
      <w:r w:rsidR="009C5B97">
        <w:rPr>
          <w:rStyle w:val="FootnoteReference"/>
        </w:rPr>
        <w:footnoteReference w:id="47"/>
      </w:r>
      <w:r w:rsidR="009C5B97">
        <w:t xml:space="preserve"> </w:t>
      </w:r>
      <w:r w:rsidR="00B31792">
        <w:t xml:space="preserve">Chapter 11 of the USEEOC’s </w:t>
      </w:r>
      <w:r w:rsidR="00B31792">
        <w:rPr>
          <w:i/>
        </w:rPr>
        <w:t>Management Directive</w:t>
      </w:r>
      <w:r w:rsidR="00BF5109">
        <w:rPr>
          <w:i/>
        </w:rPr>
        <w:t xml:space="preserve"> </w:t>
      </w:r>
      <w:r w:rsidR="000A2989">
        <w:rPr>
          <w:i/>
        </w:rPr>
        <w:t>110</w:t>
      </w:r>
      <w:r w:rsidR="00BF5109">
        <w:rPr>
          <w:i/>
        </w:rPr>
        <w:t xml:space="preserve"> </w:t>
      </w:r>
      <w:r w:rsidR="00BF5109">
        <w:t xml:space="preserve">provides that </w:t>
      </w:r>
      <w:r w:rsidR="009C5B97">
        <w:t>‘</w:t>
      </w:r>
      <w:r w:rsidR="00BF5109">
        <w:t>s</w:t>
      </w:r>
      <w:r w:rsidR="009C5B97">
        <w:t>pecial circumstances’ is</w:t>
      </w:r>
      <w:r w:rsidR="00BF5109">
        <w:t xml:space="preserve"> to be </w:t>
      </w:r>
      <w:r w:rsidR="009C5B97">
        <w:t>construed narrowly.</w:t>
      </w:r>
      <w:r w:rsidR="009C5B97">
        <w:rPr>
          <w:rStyle w:val="FootnoteReference"/>
        </w:rPr>
        <w:footnoteReference w:id="48"/>
      </w:r>
      <w:r w:rsidR="009C5B97">
        <w:t xml:space="preserve"> If the respondent is successful, however, costs orders may only be made against the applicant if the application was ‘frivolous, unreasonable, or without foundation’</w:t>
      </w:r>
      <w:r w:rsidR="00BF5109">
        <w:t>.</w:t>
      </w:r>
      <w:r w:rsidR="009C5B97">
        <w:rPr>
          <w:rStyle w:val="FootnoteReference"/>
        </w:rPr>
        <w:footnoteReference w:id="49"/>
      </w:r>
    </w:p>
    <w:p w14:paraId="092E20A1" w14:textId="56070107" w:rsidR="00E05F33" w:rsidRDefault="00E05F33" w:rsidP="00603086">
      <w:pPr>
        <w:pStyle w:val="Heading1"/>
      </w:pPr>
      <w:bookmarkStart w:id="34" w:name="_Toc127809113"/>
      <w:r>
        <w:lastRenderedPageBreak/>
        <w:t>Options for reform</w:t>
      </w:r>
      <w:bookmarkEnd w:id="34"/>
    </w:p>
    <w:p w14:paraId="784550EE" w14:textId="7A6C217D" w:rsidR="002B234F" w:rsidRDefault="0032749D" w:rsidP="00603086">
      <w:pPr>
        <w:keepNext/>
        <w:rPr>
          <w:lang w:val="en-AU"/>
        </w:rPr>
      </w:pPr>
      <w:r>
        <w:rPr>
          <w:lang w:val="en-AU"/>
        </w:rPr>
        <w:t>This paper considers several options for cost</w:t>
      </w:r>
      <w:r w:rsidR="00265EAB">
        <w:rPr>
          <w:lang w:val="en-AU"/>
        </w:rPr>
        <w:t>s</w:t>
      </w:r>
      <w:r>
        <w:rPr>
          <w:lang w:val="en-AU"/>
        </w:rPr>
        <w:t xml:space="preserve"> models</w:t>
      </w:r>
      <w:r w:rsidR="00561A66">
        <w:rPr>
          <w:lang w:val="en-AU"/>
        </w:rPr>
        <w:t xml:space="preserve"> to </w:t>
      </w:r>
      <w:r w:rsidR="00265EAB">
        <w:rPr>
          <w:lang w:val="en-AU"/>
        </w:rPr>
        <w:t xml:space="preserve">be </w:t>
      </w:r>
      <w:r w:rsidR="00561A66">
        <w:rPr>
          <w:lang w:val="en-AU"/>
        </w:rPr>
        <w:t>in</w:t>
      </w:r>
      <w:r w:rsidR="00251279">
        <w:rPr>
          <w:lang w:val="en-AU"/>
        </w:rPr>
        <w:t>troduce</w:t>
      </w:r>
      <w:r w:rsidR="00265EAB">
        <w:rPr>
          <w:lang w:val="en-AU"/>
        </w:rPr>
        <w:t>d</w:t>
      </w:r>
      <w:r w:rsidR="00251279">
        <w:rPr>
          <w:lang w:val="en-AU"/>
        </w:rPr>
        <w:t xml:space="preserve"> to</w:t>
      </w:r>
      <w:r w:rsidR="00561A66">
        <w:rPr>
          <w:lang w:val="en-AU"/>
        </w:rPr>
        <w:t xml:space="preserve"> the AHRC Act</w:t>
      </w:r>
      <w:r>
        <w:rPr>
          <w:lang w:val="en-AU"/>
        </w:rPr>
        <w:t>, including</w:t>
      </w:r>
      <w:r w:rsidR="002B234F">
        <w:rPr>
          <w:lang w:val="en-AU"/>
        </w:rPr>
        <w:t>:</w:t>
      </w:r>
    </w:p>
    <w:p w14:paraId="44CF7DA3" w14:textId="445174FA" w:rsidR="002B234F" w:rsidRDefault="0032749D" w:rsidP="002B234F">
      <w:pPr>
        <w:pStyle w:val="ListParagraph"/>
        <w:numPr>
          <w:ilvl w:val="0"/>
          <w:numId w:val="23"/>
        </w:numPr>
        <w:rPr>
          <w:lang w:val="en-AU"/>
        </w:rPr>
      </w:pPr>
      <w:r w:rsidRPr="002B234F">
        <w:rPr>
          <w:lang w:val="en-AU"/>
        </w:rPr>
        <w:t>the option originally recommended by the Respect@Work Report</w:t>
      </w:r>
      <w:r w:rsidR="0069374D">
        <w:rPr>
          <w:lang w:val="en-AU"/>
        </w:rPr>
        <w:t>, which is a model</w:t>
      </w:r>
      <w:r w:rsidR="00561A66" w:rsidRPr="002B234F">
        <w:rPr>
          <w:lang w:val="en-AU"/>
        </w:rPr>
        <w:t xml:space="preserve"> based on section 570 of the Fair Work Act</w:t>
      </w:r>
      <w:r w:rsidR="007B71C3">
        <w:rPr>
          <w:lang w:val="en-AU"/>
        </w:rPr>
        <w:t xml:space="preserve"> (‘hard cost neutrality’)</w:t>
      </w:r>
    </w:p>
    <w:p w14:paraId="49EA85AC" w14:textId="727BF806" w:rsidR="002B234F" w:rsidRDefault="002B234F" w:rsidP="002B234F">
      <w:pPr>
        <w:pStyle w:val="ListParagraph"/>
        <w:numPr>
          <w:ilvl w:val="0"/>
          <w:numId w:val="23"/>
        </w:numPr>
        <w:rPr>
          <w:lang w:val="en-AU"/>
        </w:rPr>
      </w:pPr>
      <w:r>
        <w:rPr>
          <w:lang w:val="en-AU"/>
        </w:rPr>
        <w:t xml:space="preserve">the </w:t>
      </w:r>
      <w:r w:rsidR="0032749D" w:rsidRPr="002B234F">
        <w:rPr>
          <w:lang w:val="en-AU"/>
        </w:rPr>
        <w:t>option put forward in the Respect at Work Bill 2022</w:t>
      </w:r>
      <w:r w:rsidR="007B71C3">
        <w:rPr>
          <w:lang w:val="en-AU"/>
        </w:rPr>
        <w:t xml:space="preserve"> (‘soft cost neutrality’)</w:t>
      </w:r>
    </w:p>
    <w:p w14:paraId="06BDE81B" w14:textId="62883AC7" w:rsidR="002B234F" w:rsidRDefault="002B234F" w:rsidP="002B234F">
      <w:pPr>
        <w:pStyle w:val="ListParagraph"/>
        <w:numPr>
          <w:ilvl w:val="0"/>
          <w:numId w:val="23"/>
        </w:numPr>
        <w:rPr>
          <w:lang w:val="en-AU"/>
        </w:rPr>
      </w:pPr>
      <w:r>
        <w:rPr>
          <w:lang w:val="en-AU"/>
        </w:rPr>
        <w:t>an</w:t>
      </w:r>
      <w:r w:rsidR="0032749D" w:rsidRPr="002B234F">
        <w:rPr>
          <w:lang w:val="en-AU"/>
        </w:rPr>
        <w:t xml:space="preserve"> asymmetrical cost model</w:t>
      </w:r>
      <w:r>
        <w:rPr>
          <w:lang w:val="en-AU"/>
        </w:rPr>
        <w:t>,</w:t>
      </w:r>
      <w:r w:rsidR="0032749D" w:rsidRPr="002B234F">
        <w:rPr>
          <w:lang w:val="en-AU"/>
        </w:rPr>
        <w:t xml:space="preserve"> and</w:t>
      </w:r>
    </w:p>
    <w:p w14:paraId="073519DA" w14:textId="08872399" w:rsidR="00561A66" w:rsidRPr="002B234F" w:rsidRDefault="0032749D" w:rsidP="002B234F">
      <w:pPr>
        <w:pStyle w:val="ListParagraph"/>
        <w:numPr>
          <w:ilvl w:val="0"/>
          <w:numId w:val="23"/>
        </w:numPr>
        <w:rPr>
          <w:lang w:val="en-AU"/>
        </w:rPr>
      </w:pPr>
      <w:r w:rsidRPr="002B234F">
        <w:rPr>
          <w:lang w:val="en-AU"/>
        </w:rPr>
        <w:t>a hybrid</w:t>
      </w:r>
      <w:r w:rsidR="002B234F">
        <w:rPr>
          <w:lang w:val="en-AU"/>
        </w:rPr>
        <w:t xml:space="preserve"> or applicant </w:t>
      </w:r>
      <w:r w:rsidRPr="002B234F">
        <w:rPr>
          <w:lang w:val="en-AU"/>
        </w:rPr>
        <w:t xml:space="preserve">opt-in </w:t>
      </w:r>
      <w:r w:rsidR="00513974" w:rsidRPr="002B234F">
        <w:rPr>
          <w:lang w:val="en-AU"/>
        </w:rPr>
        <w:t>model</w:t>
      </w:r>
      <w:r w:rsidRPr="002B234F">
        <w:rPr>
          <w:lang w:val="en-AU"/>
        </w:rPr>
        <w:t xml:space="preserve">. </w:t>
      </w:r>
    </w:p>
    <w:p w14:paraId="4AB6327E" w14:textId="418C190C" w:rsidR="00F56835" w:rsidRDefault="00561A66" w:rsidP="00F36851">
      <w:pPr>
        <w:rPr>
          <w:lang w:val="en-AU"/>
        </w:rPr>
      </w:pPr>
      <w:r>
        <w:rPr>
          <w:lang w:val="en-AU"/>
        </w:rPr>
        <w:t xml:space="preserve">These models would all involve reform to the status quo, </w:t>
      </w:r>
      <w:r w:rsidR="00BC68ED">
        <w:rPr>
          <w:lang w:val="en-AU"/>
        </w:rPr>
        <w:t xml:space="preserve">given </w:t>
      </w:r>
      <w:r w:rsidR="00BB0CB5">
        <w:rPr>
          <w:lang w:val="en-AU"/>
        </w:rPr>
        <w:t xml:space="preserve">the current </w:t>
      </w:r>
      <w:r w:rsidR="006B2B4A">
        <w:rPr>
          <w:lang w:val="en-AU"/>
        </w:rPr>
        <w:t>model</w:t>
      </w:r>
      <w:r w:rsidR="00BB0CB5">
        <w:rPr>
          <w:lang w:val="en-AU"/>
        </w:rPr>
        <w:t xml:space="preserve"> </w:t>
      </w:r>
      <w:r w:rsidR="00892379">
        <w:rPr>
          <w:lang w:val="en-AU"/>
        </w:rPr>
        <w:t>is posing</w:t>
      </w:r>
      <w:r w:rsidR="00513974">
        <w:rPr>
          <w:lang w:val="en-AU"/>
        </w:rPr>
        <w:t xml:space="preserve"> significant</w:t>
      </w:r>
      <w:r w:rsidR="00892379">
        <w:rPr>
          <w:lang w:val="en-AU"/>
        </w:rPr>
        <w:t xml:space="preserve"> issues to applicants seeking to enforce their rights to be free from discrimination</w:t>
      </w:r>
      <w:r w:rsidR="00BC68ED">
        <w:rPr>
          <w:lang w:val="en-AU"/>
        </w:rPr>
        <w:t xml:space="preserve">, and </w:t>
      </w:r>
      <w:r w:rsidR="004C4F4F">
        <w:rPr>
          <w:lang w:val="en-AU"/>
        </w:rPr>
        <w:t xml:space="preserve">failing to deliver certainty to </w:t>
      </w:r>
      <w:r w:rsidR="00BC68ED">
        <w:rPr>
          <w:lang w:val="en-AU"/>
        </w:rPr>
        <w:t xml:space="preserve">both </w:t>
      </w:r>
      <w:r w:rsidR="004C4F4F">
        <w:rPr>
          <w:lang w:val="en-AU"/>
        </w:rPr>
        <w:t xml:space="preserve">applicants </w:t>
      </w:r>
      <w:r w:rsidR="00BC68ED">
        <w:rPr>
          <w:lang w:val="en-AU"/>
        </w:rPr>
        <w:t>and</w:t>
      </w:r>
      <w:r w:rsidR="004C4F4F">
        <w:rPr>
          <w:lang w:val="en-AU"/>
        </w:rPr>
        <w:t xml:space="preserve"> respondents</w:t>
      </w:r>
      <w:r w:rsidR="00513974">
        <w:rPr>
          <w:lang w:val="en-AU"/>
        </w:rPr>
        <w:t xml:space="preserve"> to discrimination proceedings</w:t>
      </w:r>
      <w:r w:rsidR="004C4F4F">
        <w:rPr>
          <w:lang w:val="en-AU"/>
        </w:rPr>
        <w:t>, impacting their access to justice</w:t>
      </w:r>
      <w:r w:rsidR="00892379">
        <w:rPr>
          <w:lang w:val="en-AU"/>
        </w:rPr>
        <w:t xml:space="preserve">. </w:t>
      </w:r>
    </w:p>
    <w:p w14:paraId="36A9B162" w14:textId="6B7575A9" w:rsidR="00C66851" w:rsidRDefault="00C66851" w:rsidP="00F36851">
      <w:pPr>
        <w:rPr>
          <w:lang w:val="en-AU"/>
        </w:rPr>
      </w:pPr>
      <w:r>
        <w:rPr>
          <w:lang w:val="en-AU"/>
        </w:rPr>
        <w:t xml:space="preserve">While this paper analyses four models, this is not an exhaustive consideration of all possible options. Stakeholders are invited to consider if there are other models, or </w:t>
      </w:r>
      <w:r w:rsidR="003A7678">
        <w:rPr>
          <w:lang w:val="en-AU"/>
        </w:rPr>
        <w:t xml:space="preserve">a </w:t>
      </w:r>
      <w:r>
        <w:rPr>
          <w:lang w:val="en-AU"/>
        </w:rPr>
        <w:t>combination of models</w:t>
      </w:r>
      <w:r w:rsidR="00784485">
        <w:rPr>
          <w:lang w:val="en-AU"/>
        </w:rPr>
        <w:t>,</w:t>
      </w:r>
      <w:r>
        <w:rPr>
          <w:lang w:val="en-AU"/>
        </w:rPr>
        <w:t xml:space="preserve"> that may address the current issue of costs operating as a </w:t>
      </w:r>
      <w:r w:rsidR="00784485">
        <w:rPr>
          <w:lang w:val="en-AU"/>
        </w:rPr>
        <w:t xml:space="preserve">barrier </w:t>
      </w:r>
      <w:r>
        <w:rPr>
          <w:lang w:val="en-AU"/>
        </w:rPr>
        <w:t>to people pursuing unlawful discrimination matters in the courts.</w:t>
      </w:r>
    </w:p>
    <w:p w14:paraId="4ABDD47F" w14:textId="214DB9D0" w:rsidR="00D90378" w:rsidRDefault="00892379" w:rsidP="00F36851">
      <w:pPr>
        <w:rPr>
          <w:lang w:val="en-AU"/>
        </w:rPr>
      </w:pPr>
      <w:r>
        <w:rPr>
          <w:lang w:val="en-AU"/>
        </w:rPr>
        <w:t xml:space="preserve">The </w:t>
      </w:r>
      <w:r w:rsidR="0099027B">
        <w:rPr>
          <w:lang w:val="en-AU"/>
        </w:rPr>
        <w:t>cost</w:t>
      </w:r>
      <w:r w:rsidR="00265EAB">
        <w:rPr>
          <w:lang w:val="en-AU"/>
        </w:rPr>
        <w:t>s</w:t>
      </w:r>
      <w:r w:rsidR="0099027B">
        <w:rPr>
          <w:lang w:val="en-AU"/>
        </w:rPr>
        <w:t xml:space="preserve"> </w:t>
      </w:r>
      <w:r>
        <w:rPr>
          <w:lang w:val="en-AU"/>
        </w:rPr>
        <w:t>models</w:t>
      </w:r>
      <w:r w:rsidR="006B2B4A">
        <w:rPr>
          <w:lang w:val="en-AU"/>
        </w:rPr>
        <w:t xml:space="preserve"> discussed in this paper</w:t>
      </w:r>
      <w:r>
        <w:rPr>
          <w:lang w:val="en-AU"/>
        </w:rPr>
        <w:t xml:space="preserve"> are assessed </w:t>
      </w:r>
      <w:r w:rsidR="004C4F4F">
        <w:rPr>
          <w:lang w:val="en-AU"/>
        </w:rPr>
        <w:t xml:space="preserve">according </w:t>
      </w:r>
      <w:r w:rsidR="00513974">
        <w:rPr>
          <w:lang w:val="en-AU"/>
        </w:rPr>
        <w:t>to</w:t>
      </w:r>
      <w:r w:rsidR="006B2B4A">
        <w:rPr>
          <w:lang w:val="en-AU"/>
        </w:rPr>
        <w:t xml:space="preserve"> the following kinds of considerations, which </w:t>
      </w:r>
      <w:r w:rsidR="006B2B4A" w:rsidRPr="00D90378">
        <w:rPr>
          <w:lang w:val="en-AU"/>
        </w:rPr>
        <w:t xml:space="preserve">are overlapping concerns that </w:t>
      </w:r>
      <w:r w:rsidR="006B2B4A">
        <w:rPr>
          <w:lang w:val="en-AU"/>
        </w:rPr>
        <w:t>have been</w:t>
      </w:r>
      <w:r w:rsidR="006B2B4A" w:rsidRPr="00D90378">
        <w:rPr>
          <w:lang w:val="en-AU"/>
        </w:rPr>
        <w:t xml:space="preserve"> highlighted by the Respect@Work Report, as well as other publications that have analysed costs in discrimination matters</w:t>
      </w:r>
      <w:r w:rsidR="006B2B4A">
        <w:rPr>
          <w:lang w:val="en-AU"/>
        </w:rPr>
        <w:t>:</w:t>
      </w:r>
      <w:r w:rsidR="006B2B4A">
        <w:rPr>
          <w:rStyle w:val="FootnoteReference"/>
          <w:lang w:val="en-AU"/>
        </w:rPr>
        <w:footnoteReference w:id="50"/>
      </w:r>
    </w:p>
    <w:p w14:paraId="74875777" w14:textId="1965AF22" w:rsidR="00D90378" w:rsidRDefault="00513974" w:rsidP="00D90378">
      <w:pPr>
        <w:pStyle w:val="ListParagraph"/>
        <w:numPr>
          <w:ilvl w:val="0"/>
          <w:numId w:val="23"/>
        </w:numPr>
        <w:rPr>
          <w:lang w:val="en-AU"/>
        </w:rPr>
      </w:pPr>
      <w:r w:rsidRPr="00D90378">
        <w:rPr>
          <w:lang w:val="en-AU"/>
        </w:rPr>
        <w:t>the</w:t>
      </w:r>
      <w:r w:rsidR="00C851F0" w:rsidRPr="00D90378">
        <w:rPr>
          <w:lang w:val="en-AU"/>
        </w:rPr>
        <w:t xml:space="preserve">ir ability to deliver certainty </w:t>
      </w:r>
      <w:r w:rsidR="00EC14A3">
        <w:rPr>
          <w:lang w:val="en-AU"/>
        </w:rPr>
        <w:t xml:space="preserve">and fairness </w:t>
      </w:r>
      <w:r w:rsidR="00C851F0" w:rsidRPr="00D90378">
        <w:rPr>
          <w:lang w:val="en-AU"/>
        </w:rPr>
        <w:t>for both applicants and respondents to discrimination proceedings</w:t>
      </w:r>
    </w:p>
    <w:p w14:paraId="0278F0D8" w14:textId="77777777" w:rsidR="00D90378" w:rsidRPr="009B705A" w:rsidRDefault="000B285C" w:rsidP="00D90378">
      <w:pPr>
        <w:pStyle w:val="ListParagraph"/>
        <w:numPr>
          <w:ilvl w:val="0"/>
          <w:numId w:val="23"/>
        </w:numPr>
        <w:rPr>
          <w:lang w:val="en-AU"/>
        </w:rPr>
      </w:pPr>
      <w:r w:rsidRPr="009B705A">
        <w:rPr>
          <w:lang w:val="en-AU"/>
        </w:rPr>
        <w:t>any impact they</w:t>
      </w:r>
      <w:r w:rsidR="00F56835" w:rsidRPr="009B705A">
        <w:rPr>
          <w:lang w:val="en-AU"/>
        </w:rPr>
        <w:t xml:space="preserve"> might</w:t>
      </w:r>
      <w:r w:rsidRPr="009B705A">
        <w:rPr>
          <w:lang w:val="en-AU"/>
        </w:rPr>
        <w:t xml:space="preserve"> have on the ability </w:t>
      </w:r>
      <w:r w:rsidR="00F56835" w:rsidRPr="009B705A">
        <w:rPr>
          <w:lang w:val="en-AU"/>
        </w:rPr>
        <w:t xml:space="preserve">of parties </w:t>
      </w:r>
      <w:r w:rsidRPr="009B705A">
        <w:rPr>
          <w:lang w:val="en-AU"/>
        </w:rPr>
        <w:t>to secure legal representation</w:t>
      </w:r>
    </w:p>
    <w:p w14:paraId="3C9333BA" w14:textId="1D907B2C" w:rsidR="00D90378" w:rsidRPr="009B705A" w:rsidRDefault="00F56835" w:rsidP="00D90378">
      <w:pPr>
        <w:pStyle w:val="ListParagraph"/>
        <w:numPr>
          <w:ilvl w:val="0"/>
          <w:numId w:val="23"/>
        </w:numPr>
        <w:rPr>
          <w:lang w:val="en-AU"/>
        </w:rPr>
      </w:pPr>
      <w:r w:rsidRPr="009B705A">
        <w:rPr>
          <w:lang w:val="en-AU"/>
        </w:rPr>
        <w:t>whether they would inappropriately encourage unmeritorious complaints</w:t>
      </w:r>
    </w:p>
    <w:p w14:paraId="13604AA4" w14:textId="399AE015" w:rsidR="000E79E6" w:rsidRPr="009B705A" w:rsidRDefault="000E79E6" w:rsidP="00D90378">
      <w:pPr>
        <w:pStyle w:val="ListParagraph"/>
        <w:numPr>
          <w:ilvl w:val="0"/>
          <w:numId w:val="23"/>
        </w:numPr>
        <w:rPr>
          <w:lang w:val="en-AU"/>
        </w:rPr>
      </w:pPr>
      <w:r w:rsidRPr="009B705A">
        <w:rPr>
          <w:lang w:val="en-AU"/>
        </w:rPr>
        <w:t xml:space="preserve">whether they would inappropriately encourage litigation strategies </w:t>
      </w:r>
      <w:r w:rsidR="00F169F3" w:rsidRPr="009B705A">
        <w:rPr>
          <w:lang w:val="en-AU"/>
        </w:rPr>
        <w:t xml:space="preserve">designed to negatively impact </w:t>
      </w:r>
      <w:r w:rsidR="002D4881" w:rsidRPr="009B705A">
        <w:rPr>
          <w:lang w:val="en-AU"/>
        </w:rPr>
        <w:t>the other party</w:t>
      </w:r>
    </w:p>
    <w:p w14:paraId="5D956652" w14:textId="0E872FFC" w:rsidR="00D90378" w:rsidRPr="009B705A" w:rsidRDefault="000B285C" w:rsidP="00D90378">
      <w:pPr>
        <w:pStyle w:val="ListParagraph"/>
        <w:numPr>
          <w:ilvl w:val="0"/>
          <w:numId w:val="23"/>
        </w:numPr>
        <w:rPr>
          <w:lang w:val="en-AU"/>
        </w:rPr>
      </w:pPr>
      <w:r w:rsidRPr="009B705A">
        <w:rPr>
          <w:lang w:val="en-AU"/>
        </w:rPr>
        <w:t xml:space="preserve">their ability to overcome applicants’ reluctance to proceed with </w:t>
      </w:r>
      <w:r w:rsidR="00D90378" w:rsidRPr="009B705A">
        <w:rPr>
          <w:lang w:val="en-AU"/>
        </w:rPr>
        <w:t xml:space="preserve">discrimination </w:t>
      </w:r>
      <w:r w:rsidRPr="009B705A">
        <w:rPr>
          <w:lang w:val="en-AU"/>
        </w:rPr>
        <w:t>matter</w:t>
      </w:r>
      <w:r w:rsidR="00D90378" w:rsidRPr="009B705A">
        <w:rPr>
          <w:lang w:val="en-AU"/>
        </w:rPr>
        <w:t>s</w:t>
      </w:r>
      <w:r w:rsidRPr="009B705A">
        <w:rPr>
          <w:lang w:val="en-AU"/>
        </w:rPr>
        <w:t xml:space="preserve"> to court</w:t>
      </w:r>
      <w:r w:rsidR="00963FCC" w:rsidRPr="009B705A">
        <w:rPr>
          <w:lang w:val="en-AU"/>
        </w:rPr>
        <w:t xml:space="preserve"> overall</w:t>
      </w:r>
      <w:r w:rsidR="00D90378" w:rsidRPr="009B705A">
        <w:rPr>
          <w:lang w:val="en-AU"/>
        </w:rPr>
        <w:t>.</w:t>
      </w:r>
    </w:p>
    <w:p w14:paraId="06B93E85" w14:textId="56C4734A" w:rsidR="00892379" w:rsidRDefault="000B285C" w:rsidP="00D90378">
      <w:pPr>
        <w:rPr>
          <w:lang w:val="en-AU"/>
        </w:rPr>
      </w:pPr>
      <w:r w:rsidRPr="00D90378">
        <w:rPr>
          <w:lang w:val="en-AU"/>
        </w:rPr>
        <w:t xml:space="preserve">As the discussion </w:t>
      </w:r>
      <w:r w:rsidR="0077090F" w:rsidRPr="00D90378">
        <w:rPr>
          <w:lang w:val="en-AU"/>
        </w:rPr>
        <w:t>below</w:t>
      </w:r>
      <w:r w:rsidRPr="00D90378">
        <w:rPr>
          <w:lang w:val="en-AU"/>
        </w:rPr>
        <w:t xml:space="preserve"> indicate</w:t>
      </w:r>
      <w:r w:rsidR="0077090F" w:rsidRPr="00D90378">
        <w:rPr>
          <w:lang w:val="en-AU"/>
        </w:rPr>
        <w:t>s</w:t>
      </w:r>
      <w:r w:rsidRPr="00D90378">
        <w:rPr>
          <w:lang w:val="en-AU"/>
        </w:rPr>
        <w:t xml:space="preserve">, </w:t>
      </w:r>
      <w:r w:rsidR="00EC14A3">
        <w:rPr>
          <w:lang w:val="en-AU"/>
        </w:rPr>
        <w:t>t</w:t>
      </w:r>
      <w:r w:rsidRPr="00D90378">
        <w:rPr>
          <w:lang w:val="en-AU"/>
        </w:rPr>
        <w:t>here is no model that balances th</w:t>
      </w:r>
      <w:r w:rsidR="0077090F" w:rsidRPr="00D90378">
        <w:rPr>
          <w:lang w:val="en-AU"/>
        </w:rPr>
        <w:t xml:space="preserve">ese </w:t>
      </w:r>
      <w:r w:rsidR="00333311">
        <w:rPr>
          <w:lang w:val="en-AU"/>
        </w:rPr>
        <w:t>consideration</w:t>
      </w:r>
      <w:r w:rsidR="00333311" w:rsidRPr="00D90378">
        <w:rPr>
          <w:lang w:val="en-AU"/>
        </w:rPr>
        <w:t xml:space="preserve">s </w:t>
      </w:r>
      <w:r w:rsidRPr="00D90378">
        <w:rPr>
          <w:lang w:val="en-AU"/>
        </w:rPr>
        <w:t>perfectly, given the</w:t>
      </w:r>
      <w:r w:rsidR="0077090F" w:rsidRPr="00D90378">
        <w:rPr>
          <w:lang w:val="en-AU"/>
        </w:rPr>
        <w:t>y are</w:t>
      </w:r>
      <w:r w:rsidR="00333311">
        <w:rPr>
          <w:lang w:val="en-AU"/>
        </w:rPr>
        <w:t xml:space="preserve"> often</w:t>
      </w:r>
      <w:r w:rsidRPr="00D90378">
        <w:rPr>
          <w:lang w:val="en-AU"/>
        </w:rPr>
        <w:t xml:space="preserve"> competing</w:t>
      </w:r>
      <w:r w:rsidR="0077090F" w:rsidRPr="00D90378">
        <w:rPr>
          <w:lang w:val="en-AU"/>
        </w:rPr>
        <w:t xml:space="preserve"> in nature</w:t>
      </w:r>
      <w:r w:rsidR="00620576">
        <w:rPr>
          <w:lang w:val="en-AU"/>
        </w:rPr>
        <w:t xml:space="preserve"> and vary according to the particular circumstances of a case. For example, while it is regularly noted</w:t>
      </w:r>
      <w:r w:rsidR="00A27E15">
        <w:rPr>
          <w:lang w:val="en-AU"/>
        </w:rPr>
        <w:t xml:space="preserve"> by advocates and experts</w:t>
      </w:r>
      <w:r w:rsidR="00620576">
        <w:rPr>
          <w:lang w:val="en-AU"/>
        </w:rPr>
        <w:t xml:space="preserve"> that applicants</w:t>
      </w:r>
      <w:r w:rsidR="00A27E15">
        <w:rPr>
          <w:lang w:val="en-AU"/>
        </w:rPr>
        <w:t xml:space="preserve"> </w:t>
      </w:r>
      <w:r w:rsidR="00620576">
        <w:rPr>
          <w:lang w:val="en-AU"/>
        </w:rPr>
        <w:t>face an uneven playing field in trying to enforce their individual rights under discrimination law</w:t>
      </w:r>
      <w:r w:rsidR="00333311">
        <w:rPr>
          <w:lang w:val="en-AU"/>
        </w:rPr>
        <w:t xml:space="preserve"> against</w:t>
      </w:r>
      <w:r w:rsidR="00620576">
        <w:rPr>
          <w:lang w:val="en-AU"/>
        </w:rPr>
        <w:t xml:space="preserve"> a large, well-resourced corporate entity</w:t>
      </w:r>
      <w:r w:rsidR="00A27E15">
        <w:rPr>
          <w:lang w:val="en-AU"/>
        </w:rPr>
        <w:t xml:space="preserve"> </w:t>
      </w:r>
      <w:r w:rsidR="00620576">
        <w:rPr>
          <w:lang w:val="en-AU"/>
        </w:rPr>
        <w:t xml:space="preserve">(often their employer or a service provider), it is not </w:t>
      </w:r>
      <w:r w:rsidR="00A27E15">
        <w:rPr>
          <w:lang w:val="en-AU"/>
        </w:rPr>
        <w:t xml:space="preserve">universally </w:t>
      </w:r>
      <w:r w:rsidR="00620576">
        <w:rPr>
          <w:lang w:val="en-AU"/>
        </w:rPr>
        <w:t>the case that the respondent to a complaint is well-resourced or at an advantage. The cost</w:t>
      </w:r>
      <w:r w:rsidR="00265EAB">
        <w:rPr>
          <w:lang w:val="en-AU"/>
        </w:rPr>
        <w:t>s</w:t>
      </w:r>
      <w:r w:rsidR="00620576">
        <w:rPr>
          <w:lang w:val="en-AU"/>
        </w:rPr>
        <w:t xml:space="preserve"> model implemented for discrimination matters needs to take account of the variety of circumstances and matters that come before the court.  </w:t>
      </w:r>
    </w:p>
    <w:p w14:paraId="61D8C752" w14:textId="151D136D" w:rsidR="00B7433A" w:rsidRDefault="00877AAD" w:rsidP="00D90378">
      <w:pPr>
        <w:rPr>
          <w:lang w:val="en-AU"/>
        </w:rPr>
      </w:pPr>
      <w:r>
        <w:rPr>
          <w:lang w:val="en-AU"/>
        </w:rPr>
        <w:lastRenderedPageBreak/>
        <w:t xml:space="preserve">In relation to the concern about vexatious or unmeritorious complaints proceeding to court, it is </w:t>
      </w:r>
      <w:r w:rsidR="009939B7">
        <w:rPr>
          <w:lang w:val="en-AU"/>
        </w:rPr>
        <w:t xml:space="preserve">important to </w:t>
      </w:r>
      <w:r>
        <w:rPr>
          <w:lang w:val="en-AU"/>
        </w:rPr>
        <w:t>not</w:t>
      </w:r>
      <w:r w:rsidR="009939B7">
        <w:rPr>
          <w:lang w:val="en-AU"/>
        </w:rPr>
        <w:t>e</w:t>
      </w:r>
      <w:r>
        <w:rPr>
          <w:lang w:val="en-AU"/>
        </w:rPr>
        <w:t xml:space="preserve"> </w:t>
      </w:r>
      <w:r w:rsidR="009939B7">
        <w:rPr>
          <w:lang w:val="en-AU"/>
        </w:rPr>
        <w:t>the statutory grounds</w:t>
      </w:r>
      <w:r w:rsidR="00621CEB">
        <w:rPr>
          <w:lang w:val="en-AU"/>
        </w:rPr>
        <w:t xml:space="preserve"> </w:t>
      </w:r>
      <w:r w:rsidR="009939B7">
        <w:rPr>
          <w:lang w:val="en-AU"/>
        </w:rPr>
        <w:t xml:space="preserve">for dealing with such complaints, relevant to both the Commission and the </w:t>
      </w:r>
      <w:r w:rsidR="00D24A1D">
        <w:rPr>
          <w:lang w:val="en-AU"/>
        </w:rPr>
        <w:t xml:space="preserve">federal </w:t>
      </w:r>
      <w:r w:rsidR="009939B7">
        <w:rPr>
          <w:lang w:val="en-AU"/>
        </w:rPr>
        <w:t>court</w:t>
      </w:r>
      <w:r w:rsidR="00D24A1D">
        <w:rPr>
          <w:lang w:val="en-AU"/>
        </w:rPr>
        <w:t>s</w:t>
      </w:r>
      <w:r w:rsidR="009939B7">
        <w:rPr>
          <w:lang w:val="en-AU"/>
        </w:rPr>
        <w:t xml:space="preserve">. </w:t>
      </w:r>
    </w:p>
    <w:p w14:paraId="5AC01B88" w14:textId="39E6AF1D" w:rsidR="000D2474" w:rsidRDefault="009939B7" w:rsidP="00D90378">
      <w:pPr>
        <w:rPr>
          <w:lang w:val="en-AU"/>
        </w:rPr>
      </w:pPr>
      <w:r>
        <w:rPr>
          <w:lang w:val="en-AU"/>
        </w:rPr>
        <w:t xml:space="preserve">When the President of the Commission has received a discrimination complaint and is considering </w:t>
      </w:r>
      <w:r w:rsidR="003C6FFC">
        <w:rPr>
          <w:lang w:val="en-AU"/>
        </w:rPr>
        <w:t>whether to investigate and conciliate it,</w:t>
      </w:r>
      <w:r w:rsidR="000D2474">
        <w:rPr>
          <w:lang w:val="en-AU"/>
        </w:rPr>
        <w:t xml:space="preserve"> or terminate it,</w:t>
      </w:r>
      <w:r w:rsidR="003C6FFC">
        <w:rPr>
          <w:lang w:val="en-AU"/>
        </w:rPr>
        <w:t xml:space="preserve"> they </w:t>
      </w:r>
      <w:r w:rsidRPr="00B7433A">
        <w:rPr>
          <w:i/>
          <w:lang w:val="en-AU"/>
        </w:rPr>
        <w:t>must</w:t>
      </w:r>
      <w:r>
        <w:rPr>
          <w:lang w:val="en-AU"/>
        </w:rPr>
        <w:t xml:space="preserve"> terminate </w:t>
      </w:r>
      <w:r w:rsidR="000D2474">
        <w:rPr>
          <w:lang w:val="en-AU"/>
        </w:rPr>
        <w:t xml:space="preserve">it </w:t>
      </w:r>
      <w:r>
        <w:rPr>
          <w:lang w:val="en-AU"/>
        </w:rPr>
        <w:t xml:space="preserve">if they are satisfied </w:t>
      </w:r>
      <w:r w:rsidR="003C6FFC">
        <w:rPr>
          <w:lang w:val="en-AU"/>
        </w:rPr>
        <w:t>that</w:t>
      </w:r>
      <w:r w:rsidR="000D2474">
        <w:rPr>
          <w:lang w:val="en-AU"/>
        </w:rPr>
        <w:t>:</w:t>
      </w:r>
    </w:p>
    <w:p w14:paraId="00D2D181" w14:textId="50FA662E" w:rsidR="000D2474" w:rsidRDefault="003C6FFC" w:rsidP="000D2474">
      <w:pPr>
        <w:pStyle w:val="ListParagraph"/>
        <w:numPr>
          <w:ilvl w:val="0"/>
          <w:numId w:val="28"/>
        </w:numPr>
        <w:rPr>
          <w:lang w:val="en-AU"/>
        </w:rPr>
      </w:pPr>
      <w:r w:rsidRPr="000D2474">
        <w:rPr>
          <w:lang w:val="en-AU"/>
        </w:rPr>
        <w:t>the complaint is trivial, vexatious, misconceived or lacking in substance</w:t>
      </w:r>
      <w:r w:rsidR="000D2474">
        <w:rPr>
          <w:lang w:val="en-AU"/>
        </w:rPr>
        <w:t>,</w:t>
      </w:r>
      <w:r>
        <w:rPr>
          <w:rStyle w:val="FootnoteReference"/>
          <w:lang w:val="en-AU"/>
        </w:rPr>
        <w:footnoteReference w:id="51"/>
      </w:r>
      <w:r w:rsidR="00621CEB" w:rsidRPr="000D2474">
        <w:rPr>
          <w:lang w:val="en-AU"/>
        </w:rPr>
        <w:t xml:space="preserve"> </w:t>
      </w:r>
      <w:r w:rsidR="000D2474">
        <w:rPr>
          <w:lang w:val="en-AU"/>
        </w:rPr>
        <w:t>or</w:t>
      </w:r>
    </w:p>
    <w:p w14:paraId="312ED278" w14:textId="56B40161" w:rsidR="000D2474" w:rsidRDefault="000D2474" w:rsidP="000D2474">
      <w:pPr>
        <w:pStyle w:val="ListParagraph"/>
        <w:numPr>
          <w:ilvl w:val="0"/>
          <w:numId w:val="28"/>
        </w:numPr>
        <w:rPr>
          <w:lang w:val="en-AU"/>
        </w:rPr>
      </w:pPr>
      <w:r>
        <w:rPr>
          <w:lang w:val="en-AU"/>
        </w:rPr>
        <w:t>there would be no reasonable prospect that the court would be satisfied the complaint amounts to unlawful discrimination.</w:t>
      </w:r>
      <w:r>
        <w:rPr>
          <w:rStyle w:val="FootnoteReference"/>
          <w:lang w:val="en-AU"/>
        </w:rPr>
        <w:footnoteReference w:id="52"/>
      </w:r>
    </w:p>
    <w:p w14:paraId="34B7C88C" w14:textId="66AFC985" w:rsidR="009939B7" w:rsidRPr="000D2474" w:rsidRDefault="00621CEB" w:rsidP="000D2474">
      <w:pPr>
        <w:rPr>
          <w:lang w:val="en-AU"/>
        </w:rPr>
      </w:pPr>
      <w:r w:rsidRPr="000D2474">
        <w:rPr>
          <w:lang w:val="en-AU"/>
        </w:rPr>
        <w:t xml:space="preserve">The President also has a </w:t>
      </w:r>
      <w:r w:rsidRPr="00B7433A">
        <w:rPr>
          <w:i/>
          <w:lang w:val="en-AU"/>
        </w:rPr>
        <w:t>discretion</w:t>
      </w:r>
      <w:r w:rsidRPr="000D2474">
        <w:rPr>
          <w:lang w:val="en-AU"/>
        </w:rPr>
        <w:t xml:space="preserve"> to terminate complaints that they consider do not amount to unlawful discrimination (among several other discretionary grounds to terminate). </w:t>
      </w:r>
    </w:p>
    <w:p w14:paraId="4ADEF4D1" w14:textId="7207A996" w:rsidR="00415A2A" w:rsidRDefault="00B7433A" w:rsidP="00621CEB">
      <w:pPr>
        <w:rPr>
          <w:lang w:val="en-AU"/>
        </w:rPr>
      </w:pPr>
      <w:r>
        <w:rPr>
          <w:lang w:val="en-AU"/>
        </w:rPr>
        <w:t xml:space="preserve">However, just because the President of the Commission terminates the complaint </w:t>
      </w:r>
      <w:r w:rsidR="00714B19">
        <w:rPr>
          <w:lang w:val="en-AU"/>
        </w:rPr>
        <w:t xml:space="preserve">on these grounds </w:t>
      </w:r>
      <w:r>
        <w:rPr>
          <w:lang w:val="en-AU"/>
        </w:rPr>
        <w:t xml:space="preserve">does not mean the applicant cannot proceed to court. </w:t>
      </w:r>
    </w:p>
    <w:p w14:paraId="75BB88B9" w14:textId="78ED8E39" w:rsidR="00621CEB" w:rsidRDefault="00415A2A" w:rsidP="00621CEB">
      <w:pPr>
        <w:rPr>
          <w:lang w:val="en-AU"/>
        </w:rPr>
      </w:pPr>
      <w:r>
        <w:rPr>
          <w:lang w:val="en-AU"/>
        </w:rPr>
        <w:t>A</w:t>
      </w:r>
      <w:r w:rsidR="00621CEB">
        <w:rPr>
          <w:lang w:val="en-AU"/>
        </w:rPr>
        <w:t>t the stage where an applicant is considering whether to proceed to court with their complaint</w:t>
      </w:r>
      <w:r>
        <w:rPr>
          <w:lang w:val="en-AU"/>
        </w:rPr>
        <w:t xml:space="preserve">, </w:t>
      </w:r>
      <w:r w:rsidR="00621CEB">
        <w:rPr>
          <w:lang w:val="en-AU"/>
        </w:rPr>
        <w:t>they must seek leave of the co</w:t>
      </w:r>
      <w:r w:rsidR="009939B7">
        <w:rPr>
          <w:lang w:val="en-AU"/>
        </w:rPr>
        <w:t xml:space="preserve">urt </w:t>
      </w:r>
      <w:r w:rsidR="00621CEB">
        <w:rPr>
          <w:lang w:val="en-AU"/>
        </w:rPr>
        <w:t>to do so unless the President of the Commission has terminated the complaint on the following specific grounds:</w:t>
      </w:r>
    </w:p>
    <w:p w14:paraId="36790B88" w14:textId="77777777" w:rsidR="00621CEB" w:rsidRPr="000A016A" w:rsidRDefault="00621CEB" w:rsidP="00621CEB">
      <w:pPr>
        <w:pStyle w:val="ListParagraph"/>
        <w:numPr>
          <w:ilvl w:val="0"/>
          <w:numId w:val="27"/>
        </w:numPr>
        <w:rPr>
          <w:lang w:val="en-AU"/>
        </w:rPr>
      </w:pPr>
      <w:r w:rsidRPr="000A016A">
        <w:rPr>
          <w:lang w:val="en-AU"/>
        </w:rPr>
        <w:t xml:space="preserve">the subject matter of the complaint involved an issue of public importance that should be considered by the court, or </w:t>
      </w:r>
    </w:p>
    <w:p w14:paraId="5CBC30A7" w14:textId="77777777" w:rsidR="00621CEB" w:rsidRPr="000A016A" w:rsidRDefault="00621CEB" w:rsidP="00621CEB">
      <w:pPr>
        <w:pStyle w:val="ListParagraph"/>
        <w:numPr>
          <w:ilvl w:val="0"/>
          <w:numId w:val="27"/>
        </w:numPr>
        <w:rPr>
          <w:lang w:val="en-AU"/>
        </w:rPr>
      </w:pPr>
      <w:r w:rsidRPr="000A016A">
        <w:rPr>
          <w:lang w:val="en-AU"/>
        </w:rPr>
        <w:t>there was no reasonable prospect of the matter being settled by conciliation.</w:t>
      </w:r>
      <w:r w:rsidRPr="000A016A">
        <w:rPr>
          <w:rStyle w:val="FootnoteReference"/>
          <w:lang w:val="en-AU"/>
        </w:rPr>
        <w:footnoteReference w:id="53"/>
      </w:r>
      <w:r w:rsidRPr="000A016A">
        <w:rPr>
          <w:lang w:val="en-AU"/>
        </w:rPr>
        <w:t xml:space="preserve"> </w:t>
      </w:r>
    </w:p>
    <w:p w14:paraId="2391F56F" w14:textId="4EB61758" w:rsidR="000D2474" w:rsidRDefault="00B7433A" w:rsidP="000D2474">
      <w:pPr>
        <w:rPr>
          <w:lang w:val="en-AU"/>
        </w:rPr>
      </w:pPr>
      <w:r>
        <w:rPr>
          <w:lang w:val="en-AU"/>
        </w:rPr>
        <w:t xml:space="preserve">In addition, the </w:t>
      </w:r>
      <w:r w:rsidR="00D24A1D">
        <w:rPr>
          <w:lang w:val="en-AU"/>
        </w:rPr>
        <w:t xml:space="preserve">federal </w:t>
      </w:r>
      <w:r>
        <w:rPr>
          <w:lang w:val="en-AU"/>
        </w:rPr>
        <w:t>court</w:t>
      </w:r>
      <w:r w:rsidR="00D24A1D">
        <w:rPr>
          <w:lang w:val="en-AU"/>
        </w:rPr>
        <w:t>s</w:t>
      </w:r>
      <w:r>
        <w:rPr>
          <w:lang w:val="en-AU"/>
        </w:rPr>
        <w:t xml:space="preserve"> </w:t>
      </w:r>
      <w:r w:rsidR="00D24A1D">
        <w:rPr>
          <w:lang w:val="en-AU"/>
        </w:rPr>
        <w:t>have</w:t>
      </w:r>
      <w:r>
        <w:rPr>
          <w:lang w:val="en-AU"/>
        </w:rPr>
        <w:t xml:space="preserve"> </w:t>
      </w:r>
      <w:r w:rsidR="00D24A1D">
        <w:rPr>
          <w:lang w:val="en-AU"/>
        </w:rPr>
        <w:t>their</w:t>
      </w:r>
      <w:r>
        <w:rPr>
          <w:lang w:val="en-AU"/>
        </w:rPr>
        <w:t xml:space="preserve"> own statutory grounds to deal with vexatious proceedings.</w:t>
      </w:r>
      <w:r>
        <w:rPr>
          <w:rStyle w:val="FootnoteReference"/>
          <w:lang w:val="en-AU"/>
        </w:rPr>
        <w:footnoteReference w:id="54"/>
      </w:r>
      <w:r>
        <w:rPr>
          <w:lang w:val="en-AU"/>
        </w:rPr>
        <w:t xml:space="preserve"> </w:t>
      </w:r>
    </w:p>
    <w:p w14:paraId="09062111" w14:textId="413A7602" w:rsidR="000D2474" w:rsidRDefault="000D2474" w:rsidP="000D2474">
      <w:pPr>
        <w:rPr>
          <w:lang w:val="en-AU"/>
        </w:rPr>
      </w:pPr>
      <w:r>
        <w:rPr>
          <w:lang w:val="en-AU"/>
        </w:rPr>
        <w:t>While t</w:t>
      </w:r>
      <w:r w:rsidR="00621CEB">
        <w:rPr>
          <w:lang w:val="en-AU"/>
        </w:rPr>
        <w:t xml:space="preserve">hese </w:t>
      </w:r>
      <w:r w:rsidR="0015488F">
        <w:rPr>
          <w:lang w:val="en-AU"/>
        </w:rPr>
        <w:t>statutory grounds</w:t>
      </w:r>
      <w:r w:rsidR="00621CEB">
        <w:rPr>
          <w:lang w:val="en-AU"/>
        </w:rPr>
        <w:t xml:space="preserve"> </w:t>
      </w:r>
      <w:r w:rsidR="0015488F">
        <w:rPr>
          <w:lang w:val="en-AU"/>
        </w:rPr>
        <w:t>provide both the Commission and the court with mechanisms</w:t>
      </w:r>
      <w:r>
        <w:rPr>
          <w:lang w:val="en-AU"/>
        </w:rPr>
        <w:t xml:space="preserve"> to</w:t>
      </w:r>
      <w:r w:rsidR="006D6967">
        <w:rPr>
          <w:lang w:val="en-AU"/>
        </w:rPr>
        <w:t xml:space="preserve"> manage vexatious and unmeritorious matters</w:t>
      </w:r>
      <w:r w:rsidR="0015488F">
        <w:rPr>
          <w:lang w:val="en-AU"/>
        </w:rPr>
        <w:t xml:space="preserve">, </w:t>
      </w:r>
      <w:r w:rsidR="006D6967">
        <w:rPr>
          <w:lang w:val="en-AU"/>
        </w:rPr>
        <w:t>t</w:t>
      </w:r>
      <w:r>
        <w:rPr>
          <w:lang w:val="en-AU"/>
        </w:rPr>
        <w:t xml:space="preserve">he </w:t>
      </w:r>
      <w:r w:rsidR="006D6967">
        <w:rPr>
          <w:lang w:val="en-AU"/>
        </w:rPr>
        <w:t xml:space="preserve">threshold for what is considered </w:t>
      </w:r>
      <w:r>
        <w:rPr>
          <w:lang w:val="en-AU"/>
        </w:rPr>
        <w:t>‘vexatious’ is generally quite high</w:t>
      </w:r>
      <w:r w:rsidR="006D6967">
        <w:rPr>
          <w:lang w:val="en-AU"/>
        </w:rPr>
        <w:t>.</w:t>
      </w:r>
      <w:r w:rsidR="00534B26">
        <w:rPr>
          <w:lang w:val="en-AU"/>
        </w:rPr>
        <w:t xml:space="preserve"> This means matters can proceed to court</w:t>
      </w:r>
      <w:r w:rsidR="00683549">
        <w:rPr>
          <w:lang w:val="en-AU"/>
        </w:rPr>
        <w:t xml:space="preserve"> </w:t>
      </w:r>
      <w:r w:rsidR="00415A2A">
        <w:rPr>
          <w:lang w:val="en-AU"/>
        </w:rPr>
        <w:t xml:space="preserve">and incur costs </w:t>
      </w:r>
      <w:r w:rsidR="00683549">
        <w:rPr>
          <w:lang w:val="en-AU"/>
        </w:rPr>
        <w:t xml:space="preserve">even </w:t>
      </w:r>
      <w:r w:rsidR="00415A2A">
        <w:rPr>
          <w:lang w:val="en-AU"/>
        </w:rPr>
        <w:t xml:space="preserve">where they have been terminated by the President of the Commission on the grounds that they are vexatious or unmeritorious.  </w:t>
      </w:r>
    </w:p>
    <w:p w14:paraId="2B8754EB" w14:textId="18274E88" w:rsidR="00670A44" w:rsidRDefault="00670A44" w:rsidP="004B13ED">
      <w:pPr>
        <w:pStyle w:val="Heading2"/>
      </w:pPr>
      <w:bookmarkStart w:id="35" w:name="_Toc127809114"/>
      <w:r>
        <w:t xml:space="preserve">Fair Work Act </w:t>
      </w:r>
      <w:r w:rsidR="00C51FBF">
        <w:t>s</w:t>
      </w:r>
      <w:r>
        <w:t xml:space="preserve">ection 570 </w:t>
      </w:r>
      <w:r w:rsidR="00C51FBF">
        <w:t xml:space="preserve">model </w:t>
      </w:r>
      <w:r>
        <w:t>(‘hard cost neutrality’)</w:t>
      </w:r>
      <w:bookmarkEnd w:id="35"/>
    </w:p>
    <w:p w14:paraId="43BB1A09" w14:textId="494E84EF" w:rsidR="00670A44" w:rsidRDefault="00670A44" w:rsidP="00C04ADA">
      <w:pPr>
        <w:pStyle w:val="Heading3"/>
      </w:pPr>
      <w:bookmarkStart w:id="36" w:name="_Toc127809115"/>
      <w:r>
        <w:t>Overview</w:t>
      </w:r>
      <w:bookmarkEnd w:id="36"/>
    </w:p>
    <w:p w14:paraId="79080589" w14:textId="3AAA59DE" w:rsidR="009C2412" w:rsidRPr="009C2412" w:rsidRDefault="0072708E" w:rsidP="009C2412">
      <w:pPr>
        <w:rPr>
          <w:lang w:val="en-AU"/>
        </w:rPr>
      </w:pPr>
      <w:r>
        <w:rPr>
          <w:lang w:val="en-AU"/>
        </w:rPr>
        <w:t>The model in section 570 of the Fair Work Act is o</w:t>
      </w:r>
      <w:r w:rsidR="00032071">
        <w:rPr>
          <w:lang w:val="en-AU"/>
        </w:rPr>
        <w:t xml:space="preserve">ften termed a </w:t>
      </w:r>
      <w:r>
        <w:rPr>
          <w:lang w:val="en-AU"/>
        </w:rPr>
        <w:t>‘</w:t>
      </w:r>
      <w:r w:rsidR="00032071">
        <w:rPr>
          <w:lang w:val="en-AU"/>
        </w:rPr>
        <w:t xml:space="preserve">hard cost </w:t>
      </w:r>
      <w:r w:rsidR="00032071" w:rsidRPr="00683549">
        <w:rPr>
          <w:lang w:val="en-AU"/>
        </w:rPr>
        <w:t>neutrality</w:t>
      </w:r>
      <w:r w:rsidRPr="00683549">
        <w:rPr>
          <w:lang w:val="en-AU"/>
        </w:rPr>
        <w:t>’ model</w:t>
      </w:r>
      <w:r w:rsidR="00032071" w:rsidRPr="00683549">
        <w:rPr>
          <w:lang w:val="en-AU"/>
        </w:rPr>
        <w:t xml:space="preserve"> or</w:t>
      </w:r>
      <w:r w:rsidRPr="00683549">
        <w:rPr>
          <w:lang w:val="en-AU"/>
        </w:rPr>
        <w:t xml:space="preserve"> a</w:t>
      </w:r>
      <w:r w:rsidR="00032071" w:rsidRPr="00683549">
        <w:rPr>
          <w:lang w:val="en-AU"/>
        </w:rPr>
        <w:t xml:space="preserve"> </w:t>
      </w:r>
      <w:r w:rsidRPr="00683549">
        <w:rPr>
          <w:lang w:val="en-AU"/>
        </w:rPr>
        <w:t>‘</w:t>
      </w:r>
      <w:r w:rsidR="00032071" w:rsidRPr="00683549">
        <w:rPr>
          <w:lang w:val="en-AU"/>
        </w:rPr>
        <w:t>no costs</w:t>
      </w:r>
      <w:r w:rsidRPr="00683549">
        <w:rPr>
          <w:lang w:val="en-AU"/>
        </w:rPr>
        <w:t xml:space="preserve">’ model. The </w:t>
      </w:r>
      <w:r w:rsidR="00032071" w:rsidRPr="00683549">
        <w:rPr>
          <w:lang w:val="en-AU"/>
        </w:rPr>
        <w:t xml:space="preserve">default </w:t>
      </w:r>
      <w:r w:rsidR="009C2412" w:rsidRPr="00683549">
        <w:rPr>
          <w:lang w:val="en-AU"/>
        </w:rPr>
        <w:t xml:space="preserve">position </w:t>
      </w:r>
      <w:r w:rsidR="004A6BC9" w:rsidRPr="00683549">
        <w:rPr>
          <w:lang w:val="en-AU"/>
        </w:rPr>
        <w:t xml:space="preserve">under this model </w:t>
      </w:r>
      <w:r w:rsidR="009C2412" w:rsidRPr="00683549">
        <w:rPr>
          <w:lang w:val="en-AU"/>
        </w:rPr>
        <w:t xml:space="preserve">is that each party </w:t>
      </w:r>
      <w:r w:rsidR="003551BC" w:rsidRPr="00683549">
        <w:rPr>
          <w:lang w:val="en-AU"/>
        </w:rPr>
        <w:t xml:space="preserve">to a proceeding </w:t>
      </w:r>
      <w:r w:rsidR="009C2412" w:rsidRPr="00683549">
        <w:rPr>
          <w:lang w:val="en-AU"/>
        </w:rPr>
        <w:t>bears their own costs, except where either party has acted vexatiously or unreasonably</w:t>
      </w:r>
      <w:r w:rsidR="000D725E" w:rsidRPr="00683549">
        <w:rPr>
          <w:lang w:val="en-AU"/>
        </w:rPr>
        <w:t xml:space="preserve"> (see the specific grounds</w:t>
      </w:r>
      <w:r w:rsidR="000D725E">
        <w:rPr>
          <w:lang w:val="en-AU"/>
        </w:rPr>
        <w:t xml:space="preserve"> extracted below)</w:t>
      </w:r>
      <w:r w:rsidR="009C2412" w:rsidRPr="009C2412">
        <w:rPr>
          <w:lang w:val="en-AU"/>
        </w:rPr>
        <w:t xml:space="preserve">. If either party has acted vexatiously or unreasonably, they can be ordered to pay the costs of the other party. </w:t>
      </w:r>
    </w:p>
    <w:p w14:paraId="644E9752" w14:textId="63A31D40" w:rsidR="00032071" w:rsidRDefault="009C2412" w:rsidP="008D3B8A">
      <w:pPr>
        <w:rPr>
          <w:lang w:val="en-AU"/>
        </w:rPr>
      </w:pPr>
      <w:r w:rsidRPr="009C2412">
        <w:rPr>
          <w:lang w:val="en-AU"/>
        </w:rPr>
        <w:lastRenderedPageBreak/>
        <w:t xml:space="preserve">The only grounds for the court to exercise discretion </w:t>
      </w:r>
      <w:r w:rsidR="00F70D87">
        <w:rPr>
          <w:lang w:val="en-AU"/>
        </w:rPr>
        <w:t xml:space="preserve">under this model </w:t>
      </w:r>
      <w:r w:rsidRPr="009C2412">
        <w:rPr>
          <w:lang w:val="en-AU"/>
        </w:rPr>
        <w:t xml:space="preserve">are where a party has acted vexatiously or unreasonably compared with the broader </w:t>
      </w:r>
      <w:r w:rsidR="001243CA">
        <w:rPr>
          <w:lang w:val="en-AU"/>
        </w:rPr>
        <w:t xml:space="preserve">list of (non-exhaustive) </w:t>
      </w:r>
      <w:r w:rsidRPr="009C2412">
        <w:rPr>
          <w:lang w:val="en-AU"/>
        </w:rPr>
        <w:t>factors in the</w:t>
      </w:r>
      <w:r w:rsidR="00F70D87">
        <w:rPr>
          <w:lang w:val="en-AU"/>
        </w:rPr>
        <w:t xml:space="preserve"> ‘soft costs neutrality’ model</w:t>
      </w:r>
      <w:r w:rsidR="00F90BE6">
        <w:rPr>
          <w:lang w:val="en-AU"/>
        </w:rPr>
        <w:t xml:space="preserve"> discussed below</w:t>
      </w:r>
      <w:r w:rsidRPr="009C2412">
        <w:rPr>
          <w:lang w:val="en-AU"/>
        </w:rPr>
        <w:t>.</w:t>
      </w:r>
    </w:p>
    <w:p w14:paraId="03A60F99" w14:textId="316315FF" w:rsidR="00703B27" w:rsidRDefault="00703B27" w:rsidP="009C2412">
      <w:pPr>
        <w:rPr>
          <w:lang w:val="en-AU"/>
        </w:rPr>
      </w:pPr>
      <w:r>
        <w:rPr>
          <w:lang w:val="en-AU"/>
        </w:rPr>
        <w:t xml:space="preserve">The specific circumstances in which the court considering a matter under the Fair Work Act </w:t>
      </w:r>
      <w:r w:rsidR="00524CC1">
        <w:rPr>
          <w:lang w:val="en-AU"/>
        </w:rPr>
        <w:t xml:space="preserve">can award costs against a party according to </w:t>
      </w:r>
      <w:r>
        <w:rPr>
          <w:lang w:val="en-AU"/>
        </w:rPr>
        <w:t xml:space="preserve">section 570 </w:t>
      </w:r>
      <w:r w:rsidR="00524CC1">
        <w:rPr>
          <w:lang w:val="en-AU"/>
        </w:rPr>
        <w:t>are where:</w:t>
      </w:r>
    </w:p>
    <w:p w14:paraId="0C563564" w14:textId="77777777" w:rsidR="00703B27" w:rsidRPr="00AD7ECC" w:rsidRDefault="00703B27" w:rsidP="00524CC1">
      <w:pPr>
        <w:pStyle w:val="paragraph"/>
        <w:numPr>
          <w:ilvl w:val="0"/>
          <w:numId w:val="26"/>
        </w:numPr>
        <w:shd w:val="clear" w:color="auto" w:fill="FFFFFF"/>
        <w:spacing w:before="120" w:beforeAutospacing="0" w:after="120" w:afterAutospacing="0"/>
        <w:rPr>
          <w:rFonts w:asciiTheme="minorHAnsi" w:hAnsiTheme="minorHAnsi" w:cstheme="minorHAnsi"/>
          <w:color w:val="000000"/>
          <w:sz w:val="22"/>
          <w:szCs w:val="22"/>
        </w:rPr>
      </w:pPr>
      <w:r w:rsidRPr="00AD7ECC">
        <w:rPr>
          <w:rFonts w:asciiTheme="minorHAnsi" w:hAnsiTheme="minorHAnsi" w:cstheme="minorHAnsi"/>
          <w:color w:val="000000"/>
          <w:sz w:val="22"/>
          <w:szCs w:val="22"/>
        </w:rPr>
        <w:t>the court is satisfied that the party instituted the proceedings vexatiously or without reasonable cause; or</w:t>
      </w:r>
    </w:p>
    <w:p w14:paraId="624AF872" w14:textId="2F0BC068" w:rsidR="00703B27" w:rsidRPr="00AD7ECC" w:rsidRDefault="00703B27" w:rsidP="00524CC1">
      <w:pPr>
        <w:pStyle w:val="paragraph"/>
        <w:numPr>
          <w:ilvl w:val="0"/>
          <w:numId w:val="26"/>
        </w:numPr>
        <w:shd w:val="clear" w:color="auto" w:fill="FFFFFF"/>
        <w:spacing w:before="120" w:beforeAutospacing="0" w:after="120" w:afterAutospacing="0"/>
        <w:rPr>
          <w:rFonts w:asciiTheme="minorHAnsi" w:hAnsiTheme="minorHAnsi" w:cstheme="minorHAnsi"/>
          <w:color w:val="000000"/>
          <w:sz w:val="22"/>
          <w:szCs w:val="22"/>
        </w:rPr>
      </w:pPr>
      <w:r w:rsidRPr="00AD7ECC">
        <w:rPr>
          <w:rFonts w:asciiTheme="minorHAnsi" w:hAnsiTheme="minorHAnsi" w:cstheme="minorHAnsi"/>
          <w:color w:val="000000"/>
          <w:sz w:val="22"/>
          <w:szCs w:val="22"/>
        </w:rPr>
        <w:t>the court is satisfied that the party’s unreasonable act or omission caused the other party to incur the costs; or</w:t>
      </w:r>
    </w:p>
    <w:p w14:paraId="7ECF05E1" w14:textId="77777777" w:rsidR="00524CC1" w:rsidRDefault="00703B27" w:rsidP="00524CC1">
      <w:pPr>
        <w:pStyle w:val="paragraph"/>
        <w:numPr>
          <w:ilvl w:val="0"/>
          <w:numId w:val="26"/>
        </w:numPr>
        <w:shd w:val="clear" w:color="auto" w:fill="FFFFFF"/>
        <w:spacing w:before="120" w:beforeAutospacing="0" w:after="120" w:afterAutospacing="0"/>
        <w:rPr>
          <w:rFonts w:asciiTheme="minorHAnsi" w:hAnsiTheme="minorHAnsi" w:cstheme="minorHAnsi"/>
          <w:color w:val="000000"/>
          <w:sz w:val="22"/>
          <w:szCs w:val="22"/>
        </w:rPr>
      </w:pPr>
      <w:r w:rsidRPr="00AD7ECC">
        <w:rPr>
          <w:rFonts w:asciiTheme="minorHAnsi" w:hAnsiTheme="minorHAnsi" w:cstheme="minorHAnsi"/>
          <w:color w:val="000000"/>
          <w:sz w:val="22"/>
          <w:szCs w:val="22"/>
        </w:rPr>
        <w:t>the court is satisfied of both of the following:</w:t>
      </w:r>
    </w:p>
    <w:p w14:paraId="6768531B" w14:textId="34467DC1" w:rsidR="00524CC1" w:rsidRDefault="00703B27" w:rsidP="00703B27">
      <w:pPr>
        <w:pStyle w:val="paragraph"/>
        <w:numPr>
          <w:ilvl w:val="1"/>
          <w:numId w:val="26"/>
        </w:numPr>
        <w:shd w:val="clear" w:color="auto" w:fill="FFFFFF"/>
        <w:spacing w:before="120" w:beforeAutospacing="0" w:after="120" w:afterAutospacing="0"/>
        <w:rPr>
          <w:rFonts w:asciiTheme="minorHAnsi" w:hAnsiTheme="minorHAnsi" w:cstheme="minorHAnsi"/>
          <w:color w:val="000000"/>
          <w:sz w:val="22"/>
          <w:szCs w:val="22"/>
        </w:rPr>
      </w:pPr>
      <w:r w:rsidRPr="00524CC1">
        <w:rPr>
          <w:rFonts w:asciiTheme="minorHAnsi" w:hAnsiTheme="minorHAnsi" w:cstheme="minorHAnsi"/>
          <w:color w:val="000000"/>
          <w:sz w:val="22"/>
          <w:szCs w:val="22"/>
        </w:rPr>
        <w:t xml:space="preserve">the party unreasonably refused to participate in a matter before the </w:t>
      </w:r>
      <w:r w:rsidR="00C57C50">
        <w:rPr>
          <w:rFonts w:asciiTheme="minorHAnsi" w:hAnsiTheme="minorHAnsi" w:cstheme="minorHAnsi"/>
          <w:color w:val="000000"/>
          <w:sz w:val="22"/>
          <w:szCs w:val="22"/>
        </w:rPr>
        <w:t>Fair Work Commission</w:t>
      </w:r>
      <w:r w:rsidRPr="00524CC1">
        <w:rPr>
          <w:rFonts w:asciiTheme="minorHAnsi" w:hAnsiTheme="minorHAnsi" w:cstheme="minorHAnsi"/>
          <w:color w:val="000000"/>
          <w:sz w:val="22"/>
          <w:szCs w:val="22"/>
        </w:rPr>
        <w:t>;</w:t>
      </w:r>
    </w:p>
    <w:p w14:paraId="14DA0DF5" w14:textId="3A27AFE4" w:rsidR="00703B27" w:rsidRPr="00524CC1" w:rsidRDefault="00703B27" w:rsidP="00703B27">
      <w:pPr>
        <w:pStyle w:val="paragraph"/>
        <w:numPr>
          <w:ilvl w:val="1"/>
          <w:numId w:val="26"/>
        </w:numPr>
        <w:shd w:val="clear" w:color="auto" w:fill="FFFFFF"/>
        <w:spacing w:before="120" w:beforeAutospacing="0" w:after="120" w:afterAutospacing="0"/>
        <w:rPr>
          <w:rFonts w:asciiTheme="minorHAnsi" w:hAnsiTheme="minorHAnsi" w:cstheme="minorHAnsi"/>
          <w:color w:val="000000"/>
          <w:sz w:val="22"/>
          <w:szCs w:val="22"/>
        </w:rPr>
      </w:pPr>
      <w:r w:rsidRPr="00524CC1">
        <w:rPr>
          <w:rFonts w:asciiTheme="minorHAnsi" w:hAnsiTheme="minorHAnsi" w:cstheme="minorHAnsi"/>
          <w:color w:val="000000"/>
          <w:sz w:val="22"/>
          <w:szCs w:val="22"/>
        </w:rPr>
        <w:t>the matter arose from the same facts as the proceedings.</w:t>
      </w:r>
      <w:r w:rsidR="00524CC1" w:rsidRPr="00524CC1">
        <w:rPr>
          <w:rStyle w:val="FootnoteReference"/>
          <w:rFonts w:asciiTheme="minorHAnsi" w:hAnsiTheme="minorHAnsi" w:cstheme="minorHAnsi"/>
          <w:sz w:val="22"/>
          <w:szCs w:val="22"/>
        </w:rPr>
        <w:footnoteReference w:id="55"/>
      </w:r>
    </w:p>
    <w:p w14:paraId="3059DF84" w14:textId="0F53225E" w:rsidR="00D675C1" w:rsidRDefault="00D675C1" w:rsidP="008D3B8A">
      <w:pPr>
        <w:rPr>
          <w:lang w:val="en-AU"/>
        </w:rPr>
      </w:pPr>
      <w:r>
        <w:rPr>
          <w:lang w:val="en-AU"/>
        </w:rPr>
        <w:t xml:space="preserve">A costs model for discrimination matters </w:t>
      </w:r>
      <w:r w:rsidR="00534B26">
        <w:rPr>
          <w:lang w:val="en-AU"/>
        </w:rPr>
        <w:t xml:space="preserve">based on section 570 of the Fair Work Act </w:t>
      </w:r>
      <w:r>
        <w:rPr>
          <w:lang w:val="en-AU"/>
        </w:rPr>
        <w:t xml:space="preserve">could use </w:t>
      </w:r>
      <w:r w:rsidR="00534B26">
        <w:rPr>
          <w:lang w:val="en-AU"/>
        </w:rPr>
        <w:t>similar criteria, including whether</w:t>
      </w:r>
      <w:r>
        <w:rPr>
          <w:lang w:val="en-AU"/>
        </w:rPr>
        <w:t xml:space="preserve"> </w:t>
      </w:r>
      <w:r w:rsidR="00534B26">
        <w:rPr>
          <w:lang w:val="en-AU"/>
        </w:rPr>
        <w:t>a party has refused to participate in conciliation before the Commission</w:t>
      </w:r>
      <w:r w:rsidR="00D6509D">
        <w:rPr>
          <w:lang w:val="en-AU"/>
        </w:rPr>
        <w:t xml:space="preserve">. </w:t>
      </w:r>
      <w:r w:rsidR="008D3B8A">
        <w:rPr>
          <w:lang w:val="en-AU"/>
        </w:rPr>
        <w:t xml:space="preserve">It could draw from the existing threshold in the AHRC Act that refers to complaints </w:t>
      </w:r>
      <w:r w:rsidR="008D3B8A" w:rsidRPr="008D3B8A">
        <w:rPr>
          <w:lang w:val="en-AU"/>
        </w:rPr>
        <w:t xml:space="preserve">being ‘trivial, vexatious, misconceived or lacking in substance’. </w:t>
      </w:r>
    </w:p>
    <w:p w14:paraId="14C557F2" w14:textId="35A510D2" w:rsidR="00A47D99" w:rsidRDefault="00683549" w:rsidP="009C2412">
      <w:pPr>
        <w:rPr>
          <w:lang w:val="en-AU"/>
        </w:rPr>
      </w:pPr>
      <w:r>
        <w:rPr>
          <w:lang w:val="en-AU"/>
        </w:rPr>
        <w:t>A full extract of s</w:t>
      </w:r>
      <w:r w:rsidR="00A47D99">
        <w:rPr>
          <w:lang w:val="en-AU"/>
        </w:rPr>
        <w:t>ection 570 of the Fair Work Act is in the appendix to this paper (‘relevant legislative provisions’).</w:t>
      </w:r>
    </w:p>
    <w:p w14:paraId="1F5D1C62" w14:textId="1FC59341" w:rsidR="00E05F33" w:rsidRDefault="00670A44" w:rsidP="00C04ADA">
      <w:pPr>
        <w:pStyle w:val="Heading3"/>
      </w:pPr>
      <w:bookmarkStart w:id="37" w:name="_Toc127809116"/>
      <w:r>
        <w:t>Analysis of advantages and disadvantages</w:t>
      </w:r>
      <w:bookmarkEnd w:id="37"/>
    </w:p>
    <w:p w14:paraId="6E94EE96" w14:textId="1D2F7810" w:rsidR="003A6BF5" w:rsidRPr="003A6BF5" w:rsidRDefault="009047F0" w:rsidP="003A6BF5">
      <w:pPr>
        <w:rPr>
          <w:lang w:val="en-AU"/>
        </w:rPr>
      </w:pPr>
      <w:r>
        <w:rPr>
          <w:lang w:val="en-AU"/>
        </w:rPr>
        <w:t xml:space="preserve">For an applicant, </w:t>
      </w:r>
      <w:r w:rsidR="003A6BF5">
        <w:rPr>
          <w:lang w:val="en-AU"/>
        </w:rPr>
        <w:t xml:space="preserve">this model means that they will </w:t>
      </w:r>
      <w:r w:rsidR="00DD7C0F">
        <w:rPr>
          <w:lang w:val="en-AU"/>
        </w:rPr>
        <w:t xml:space="preserve">only </w:t>
      </w:r>
      <w:r w:rsidR="003A6BF5">
        <w:rPr>
          <w:lang w:val="en-AU"/>
        </w:rPr>
        <w:t xml:space="preserve">be </w:t>
      </w:r>
      <w:r w:rsidR="003A6BF5" w:rsidRPr="003A6BF5">
        <w:rPr>
          <w:lang w:val="en-AU"/>
        </w:rPr>
        <w:t xml:space="preserve">liable for their own costs </w:t>
      </w:r>
      <w:r w:rsidR="003A6BF5">
        <w:rPr>
          <w:lang w:val="en-AU"/>
        </w:rPr>
        <w:t xml:space="preserve">and have considerable certainty around this </w:t>
      </w:r>
      <w:r w:rsidR="003A6BF5" w:rsidRPr="003A6BF5">
        <w:rPr>
          <w:lang w:val="en-AU"/>
        </w:rPr>
        <w:t>as the default position</w:t>
      </w:r>
      <w:r w:rsidR="003A6BF5">
        <w:rPr>
          <w:lang w:val="en-AU"/>
        </w:rPr>
        <w:t>. The exceptions to this are where the applicant acts</w:t>
      </w:r>
      <w:r w:rsidR="003A6BF5" w:rsidRPr="003A6BF5">
        <w:rPr>
          <w:lang w:val="en-AU"/>
        </w:rPr>
        <w:t xml:space="preserve"> vexatiously or unreasonably, in which case they could be liable for the respondent’s costs </w:t>
      </w:r>
      <w:r w:rsidR="003A6BF5">
        <w:rPr>
          <w:lang w:val="en-AU"/>
        </w:rPr>
        <w:t>as well</w:t>
      </w:r>
      <w:r w:rsidR="0078475A">
        <w:rPr>
          <w:lang w:val="en-AU"/>
        </w:rPr>
        <w:t>. W</w:t>
      </w:r>
      <w:r w:rsidR="003A6BF5">
        <w:rPr>
          <w:lang w:val="en-AU"/>
        </w:rPr>
        <w:t>here the respondent acts vexatiously, the applicant may have their costs paid by the respondent</w:t>
      </w:r>
      <w:r w:rsidR="003A6BF5" w:rsidRPr="003A6BF5">
        <w:rPr>
          <w:lang w:val="en-AU"/>
        </w:rPr>
        <w:t>.</w:t>
      </w:r>
      <w:r w:rsidR="003A6BF5">
        <w:rPr>
          <w:lang w:val="en-AU"/>
        </w:rPr>
        <w:t xml:space="preserve"> This position</w:t>
      </w:r>
      <w:r w:rsidR="002971CD">
        <w:rPr>
          <w:lang w:val="en-AU"/>
        </w:rPr>
        <w:t>, and relative certainty,</w:t>
      </w:r>
      <w:r w:rsidR="003A6BF5">
        <w:rPr>
          <w:lang w:val="en-AU"/>
        </w:rPr>
        <w:t xml:space="preserve"> persists </w:t>
      </w:r>
      <w:r w:rsidR="003A6BF5" w:rsidRPr="003A6BF5">
        <w:rPr>
          <w:lang w:val="en-AU"/>
        </w:rPr>
        <w:t>regardless of whether</w:t>
      </w:r>
      <w:r w:rsidR="003A6BF5">
        <w:rPr>
          <w:lang w:val="en-AU"/>
        </w:rPr>
        <w:t xml:space="preserve"> an applicant is</w:t>
      </w:r>
      <w:r w:rsidR="003A6BF5" w:rsidRPr="003A6BF5">
        <w:rPr>
          <w:lang w:val="en-AU"/>
        </w:rPr>
        <w:t xml:space="preserve"> successful or not.</w:t>
      </w:r>
    </w:p>
    <w:p w14:paraId="6291DDBC" w14:textId="7B0CC97C" w:rsidR="003A6BF5" w:rsidRDefault="00F544B0" w:rsidP="003A6BF5">
      <w:pPr>
        <w:rPr>
          <w:lang w:val="en-AU"/>
        </w:rPr>
      </w:pPr>
      <w:r>
        <w:rPr>
          <w:lang w:val="en-AU"/>
        </w:rPr>
        <w:t>The position under this model</w:t>
      </w:r>
      <w:r w:rsidR="005D0DED">
        <w:rPr>
          <w:lang w:val="en-AU"/>
        </w:rPr>
        <w:t xml:space="preserve"> would be</w:t>
      </w:r>
      <w:r>
        <w:rPr>
          <w:lang w:val="en-AU"/>
        </w:rPr>
        <w:t xml:space="preserve"> s</w:t>
      </w:r>
      <w:r w:rsidR="002971CD">
        <w:rPr>
          <w:lang w:val="en-AU"/>
        </w:rPr>
        <w:t>imilarly</w:t>
      </w:r>
      <w:r>
        <w:rPr>
          <w:lang w:val="en-AU"/>
        </w:rPr>
        <w:t xml:space="preserve"> certain</w:t>
      </w:r>
      <w:r w:rsidR="002971CD">
        <w:rPr>
          <w:lang w:val="en-AU"/>
        </w:rPr>
        <w:t xml:space="preserve"> for </w:t>
      </w:r>
      <w:r>
        <w:rPr>
          <w:lang w:val="en-AU"/>
        </w:rPr>
        <w:t>a</w:t>
      </w:r>
      <w:r w:rsidR="002971CD">
        <w:rPr>
          <w:lang w:val="en-AU"/>
        </w:rPr>
        <w:t xml:space="preserve"> respondent</w:t>
      </w:r>
      <w:r w:rsidR="003A6BF5" w:rsidRPr="003A6BF5">
        <w:rPr>
          <w:lang w:val="en-AU"/>
        </w:rPr>
        <w:t>.</w:t>
      </w:r>
    </w:p>
    <w:p w14:paraId="349A91DC" w14:textId="28DA697C" w:rsidR="002B2CFA" w:rsidRPr="003A6BF5" w:rsidRDefault="002B2CFA" w:rsidP="003A6BF5">
      <w:pPr>
        <w:rPr>
          <w:lang w:val="en-AU"/>
        </w:rPr>
      </w:pPr>
      <w:r>
        <w:rPr>
          <w:lang w:val="en-AU"/>
        </w:rPr>
        <w:t>In addition to providing individual applicants with greater certainty, this model may encourage more public interest pro bono litigation, with representative organisations having certainty that they will not face an adverse costs order (unless they have acted vexatiously or unreasonably).</w:t>
      </w:r>
    </w:p>
    <w:p w14:paraId="50631130" w14:textId="43301FF7" w:rsidR="00A853C0" w:rsidRDefault="00890B27" w:rsidP="003A6BF5">
      <w:pPr>
        <w:rPr>
          <w:lang w:val="en-AU"/>
        </w:rPr>
      </w:pPr>
      <w:r>
        <w:rPr>
          <w:lang w:val="en-AU"/>
        </w:rPr>
        <w:t xml:space="preserve">While there are clear advantages to the certainty provided by this model, there are also some obvious disadvantages. </w:t>
      </w:r>
      <w:r w:rsidR="00874B6C">
        <w:rPr>
          <w:lang w:val="en-AU"/>
        </w:rPr>
        <w:t>L</w:t>
      </w:r>
      <w:r w:rsidR="003A6BF5" w:rsidRPr="003A6BF5">
        <w:rPr>
          <w:lang w:val="en-AU"/>
        </w:rPr>
        <w:t>egal</w:t>
      </w:r>
      <w:r w:rsidR="0078475A">
        <w:rPr>
          <w:lang w:val="en-AU"/>
        </w:rPr>
        <w:t xml:space="preserve"> </w:t>
      </w:r>
      <w:r w:rsidR="00F544B0">
        <w:rPr>
          <w:lang w:val="en-AU"/>
        </w:rPr>
        <w:t>representatives</w:t>
      </w:r>
      <w:r w:rsidR="00081EA2">
        <w:rPr>
          <w:lang w:val="en-AU"/>
        </w:rPr>
        <w:t xml:space="preserve"> for applicants</w:t>
      </w:r>
      <w:r w:rsidR="00F544B0">
        <w:rPr>
          <w:lang w:val="en-AU"/>
        </w:rPr>
        <w:t xml:space="preserve"> involved in discrimination proceedings </w:t>
      </w:r>
      <w:r w:rsidR="00874B6C">
        <w:rPr>
          <w:lang w:val="en-AU"/>
        </w:rPr>
        <w:t xml:space="preserve">are </w:t>
      </w:r>
      <w:r w:rsidR="003A6BF5" w:rsidRPr="003A6BF5">
        <w:rPr>
          <w:lang w:val="en-AU"/>
        </w:rPr>
        <w:t xml:space="preserve">unlikely to be able to recoup their costs </w:t>
      </w:r>
      <w:r w:rsidR="00F544B0">
        <w:rPr>
          <w:lang w:val="en-AU"/>
        </w:rPr>
        <w:t xml:space="preserve">unless </w:t>
      </w:r>
      <w:r w:rsidR="00874B6C">
        <w:rPr>
          <w:lang w:val="en-AU"/>
        </w:rPr>
        <w:t xml:space="preserve">their client is </w:t>
      </w:r>
      <w:r w:rsidR="00F544B0">
        <w:rPr>
          <w:lang w:val="en-AU"/>
        </w:rPr>
        <w:t>successful and damages are awarded that exceed the</w:t>
      </w:r>
      <w:r w:rsidR="00874B6C">
        <w:rPr>
          <w:lang w:val="en-AU"/>
        </w:rPr>
        <w:t>ir</w:t>
      </w:r>
      <w:r w:rsidR="00F544B0">
        <w:rPr>
          <w:lang w:val="en-AU"/>
        </w:rPr>
        <w:t xml:space="preserve"> costs. </w:t>
      </w:r>
      <w:r w:rsidR="00081EA2">
        <w:rPr>
          <w:lang w:val="en-AU"/>
        </w:rPr>
        <w:t xml:space="preserve">Legal representatives for respondents are </w:t>
      </w:r>
      <w:r>
        <w:rPr>
          <w:lang w:val="en-AU"/>
        </w:rPr>
        <w:t xml:space="preserve">also </w:t>
      </w:r>
      <w:r w:rsidR="00081EA2">
        <w:rPr>
          <w:lang w:val="en-AU"/>
        </w:rPr>
        <w:t>very unl</w:t>
      </w:r>
      <w:r w:rsidR="002D4881">
        <w:rPr>
          <w:lang w:val="en-AU"/>
        </w:rPr>
        <w:t xml:space="preserve">ikely to be able to recoup their costs. </w:t>
      </w:r>
      <w:r w:rsidR="00874B6C">
        <w:rPr>
          <w:lang w:val="en-AU"/>
        </w:rPr>
        <w:t>As has been argued</w:t>
      </w:r>
      <w:r w:rsidR="00A853C0">
        <w:rPr>
          <w:lang w:val="en-AU"/>
        </w:rPr>
        <w:t xml:space="preserve"> elsewhere</w:t>
      </w:r>
      <w:r w:rsidR="002D4881">
        <w:rPr>
          <w:lang w:val="en-AU"/>
        </w:rPr>
        <w:t>,</w:t>
      </w:r>
      <w:r w:rsidR="00A853C0">
        <w:rPr>
          <w:lang w:val="en-AU"/>
        </w:rPr>
        <w:t xml:space="preserve"> including in relation to the soft cost neutrality model originally contained </w:t>
      </w:r>
      <w:r w:rsidR="00A853C0">
        <w:rPr>
          <w:lang w:val="en-AU"/>
        </w:rPr>
        <w:lastRenderedPageBreak/>
        <w:t>in the Respect at Work Bill 2022</w:t>
      </w:r>
      <w:r w:rsidR="00874B6C">
        <w:rPr>
          <w:lang w:val="en-AU"/>
        </w:rPr>
        <w:t>, this is likely to create issues for applicants (and respondents) securing legal representation, including by deterring legal representatives from acting on a ‘no-win, no-fee’</w:t>
      </w:r>
      <w:r w:rsidR="00A853C0">
        <w:rPr>
          <w:lang w:val="en-AU"/>
        </w:rPr>
        <w:t xml:space="preserve"> basis</w:t>
      </w:r>
      <w:r w:rsidR="00874B6C">
        <w:rPr>
          <w:lang w:val="en-AU"/>
        </w:rPr>
        <w:t xml:space="preserve">. </w:t>
      </w:r>
    </w:p>
    <w:p w14:paraId="196E332B" w14:textId="7E95B49C" w:rsidR="00A853C0" w:rsidRDefault="00A853C0" w:rsidP="003A6BF5">
      <w:pPr>
        <w:rPr>
          <w:lang w:val="en-AU"/>
        </w:rPr>
      </w:pPr>
      <w:r>
        <w:rPr>
          <w:lang w:val="en-AU"/>
        </w:rPr>
        <w:t>In relation to sexual harassment matters in particular, the ANU research paper indicates that ‘[legal] practitioners also expressed concern that if costs are not available, it will not be financially viable for no</w:t>
      </w:r>
      <w:r w:rsidR="00460FFA">
        <w:rPr>
          <w:lang w:val="en-AU"/>
        </w:rPr>
        <w:noBreakHyphen/>
      </w:r>
      <w:r>
        <w:rPr>
          <w:lang w:val="en-AU"/>
        </w:rPr>
        <w:t xml:space="preserve">win, no-fee legal practices to act for sexual harassment complaints, given the high-risk of costs exceeding </w:t>
      </w:r>
      <w:proofErr w:type="gramStart"/>
      <w:r>
        <w:rPr>
          <w:lang w:val="en-AU"/>
        </w:rPr>
        <w:t>damages’</w:t>
      </w:r>
      <w:proofErr w:type="gramEnd"/>
      <w:r>
        <w:rPr>
          <w:lang w:val="en-AU"/>
        </w:rPr>
        <w:t>.</w:t>
      </w:r>
      <w:r>
        <w:rPr>
          <w:rStyle w:val="FootnoteReference"/>
          <w:lang w:val="en-AU"/>
        </w:rPr>
        <w:footnoteReference w:id="56"/>
      </w:r>
    </w:p>
    <w:p w14:paraId="0D08E16F" w14:textId="749A3398" w:rsidR="00BC6F2B" w:rsidRDefault="00D77405" w:rsidP="00BC6F2B">
      <w:pPr>
        <w:rPr>
          <w:lang w:val="en-AU"/>
        </w:rPr>
      </w:pPr>
      <w:r>
        <w:rPr>
          <w:lang w:val="en-AU"/>
        </w:rPr>
        <w:t xml:space="preserve">This model may increase the risk of </w:t>
      </w:r>
      <w:r w:rsidR="00BC6F2B">
        <w:rPr>
          <w:lang w:val="en-AU"/>
        </w:rPr>
        <w:t xml:space="preserve">unmeritorious </w:t>
      </w:r>
      <w:r>
        <w:rPr>
          <w:lang w:val="en-AU"/>
        </w:rPr>
        <w:t xml:space="preserve">discrimination </w:t>
      </w:r>
      <w:r w:rsidR="00BC6F2B">
        <w:rPr>
          <w:lang w:val="en-AU"/>
        </w:rPr>
        <w:t>complaints</w:t>
      </w:r>
      <w:r>
        <w:rPr>
          <w:lang w:val="en-AU"/>
        </w:rPr>
        <w:t xml:space="preserve"> that are not vexatious, but nonetheless lack substance</w:t>
      </w:r>
      <w:r w:rsidR="00A1678C">
        <w:rPr>
          <w:lang w:val="en-AU"/>
        </w:rPr>
        <w:t xml:space="preserve"> (and have even been found by the Commission to lack substance)</w:t>
      </w:r>
      <w:r>
        <w:rPr>
          <w:lang w:val="en-AU"/>
        </w:rPr>
        <w:t xml:space="preserve">, proceeding to court. </w:t>
      </w:r>
      <w:r w:rsidR="00A1678C">
        <w:rPr>
          <w:lang w:val="en-AU"/>
        </w:rPr>
        <w:t xml:space="preserve">Even where such matters are unsuccessful before court, respondents </w:t>
      </w:r>
      <w:r w:rsidR="008D11E7">
        <w:rPr>
          <w:lang w:val="en-AU"/>
        </w:rPr>
        <w:t xml:space="preserve">will generally be required to </w:t>
      </w:r>
      <w:r w:rsidR="00A1678C">
        <w:rPr>
          <w:lang w:val="en-AU"/>
        </w:rPr>
        <w:t>bear their own costs.</w:t>
      </w:r>
    </w:p>
    <w:p w14:paraId="2234EE4F" w14:textId="02D20942" w:rsidR="00BC6F2B" w:rsidRDefault="00A1678C" w:rsidP="00BC6F2B">
      <w:pPr>
        <w:rPr>
          <w:lang w:val="en-AU"/>
        </w:rPr>
      </w:pPr>
      <w:r>
        <w:rPr>
          <w:lang w:val="en-AU"/>
        </w:rPr>
        <w:t>T</w:t>
      </w:r>
      <w:r w:rsidR="00BC6F2B">
        <w:rPr>
          <w:lang w:val="en-AU"/>
        </w:rPr>
        <w:t xml:space="preserve">his model </w:t>
      </w:r>
      <w:r>
        <w:rPr>
          <w:lang w:val="en-AU"/>
        </w:rPr>
        <w:t>may</w:t>
      </w:r>
      <w:r w:rsidR="00BC6F2B">
        <w:rPr>
          <w:lang w:val="en-AU"/>
        </w:rPr>
        <w:t xml:space="preserve"> also be</w:t>
      </w:r>
      <w:r>
        <w:rPr>
          <w:lang w:val="en-AU"/>
        </w:rPr>
        <w:t xml:space="preserve"> </w:t>
      </w:r>
      <w:r w:rsidR="00BC6F2B">
        <w:rPr>
          <w:lang w:val="en-AU"/>
        </w:rPr>
        <w:t xml:space="preserve">vulnerable to well-resourced </w:t>
      </w:r>
      <w:r>
        <w:rPr>
          <w:lang w:val="en-AU"/>
        </w:rPr>
        <w:t>litigants engaging</w:t>
      </w:r>
      <w:r w:rsidR="00BC6F2B">
        <w:rPr>
          <w:lang w:val="en-AU"/>
        </w:rPr>
        <w:t xml:space="preserve"> </w:t>
      </w:r>
      <w:r w:rsidR="002D4881">
        <w:rPr>
          <w:lang w:val="en-AU"/>
        </w:rPr>
        <w:t xml:space="preserve">in </w:t>
      </w:r>
      <w:r w:rsidR="00BC6F2B">
        <w:rPr>
          <w:lang w:val="en-AU"/>
        </w:rPr>
        <w:t>delay tactics, incurring increasing costs</w:t>
      </w:r>
      <w:r>
        <w:rPr>
          <w:lang w:val="en-AU"/>
        </w:rPr>
        <w:t xml:space="preserve"> in order</w:t>
      </w:r>
      <w:r w:rsidR="00BC6F2B">
        <w:rPr>
          <w:lang w:val="en-AU"/>
        </w:rPr>
        <w:t xml:space="preserve"> to limit the other party’s ability to continue with the proceedings (assuming these</w:t>
      </w:r>
      <w:r>
        <w:rPr>
          <w:lang w:val="en-AU"/>
        </w:rPr>
        <w:t xml:space="preserve"> tactics</w:t>
      </w:r>
      <w:r w:rsidR="00BC6F2B">
        <w:rPr>
          <w:lang w:val="en-AU"/>
        </w:rPr>
        <w:t xml:space="preserve"> do not amount to vexatious or unreasonable conduct).</w:t>
      </w:r>
      <w:r w:rsidR="00BC6F2B">
        <w:rPr>
          <w:rStyle w:val="FootnoteReference"/>
          <w:lang w:val="en-AU"/>
        </w:rPr>
        <w:footnoteReference w:id="57"/>
      </w:r>
      <w:r>
        <w:rPr>
          <w:lang w:val="en-AU"/>
        </w:rPr>
        <w:t xml:space="preserve"> This could disadvantage applicants with meritorious claims, as well as respondents facing unmeritorious claims.</w:t>
      </w:r>
    </w:p>
    <w:p w14:paraId="55587D56" w14:textId="5F0D5F7E" w:rsidR="00F544B0" w:rsidRPr="00032071" w:rsidRDefault="009306FD" w:rsidP="003A6BF5">
      <w:pPr>
        <w:rPr>
          <w:lang w:val="en-AU"/>
        </w:rPr>
      </w:pPr>
      <w:r>
        <w:rPr>
          <w:lang w:val="en-AU"/>
        </w:rPr>
        <w:t xml:space="preserve">Overall, this </w:t>
      </w:r>
      <w:r w:rsidR="00730A4B">
        <w:rPr>
          <w:lang w:val="en-AU"/>
        </w:rPr>
        <w:t xml:space="preserve">model </w:t>
      </w:r>
      <w:r w:rsidR="00DC13B4">
        <w:rPr>
          <w:lang w:val="en-AU"/>
        </w:rPr>
        <w:t>may</w:t>
      </w:r>
      <w:r>
        <w:rPr>
          <w:lang w:val="en-AU"/>
        </w:rPr>
        <w:t xml:space="preserve"> </w:t>
      </w:r>
      <w:r w:rsidR="00C93AE0">
        <w:rPr>
          <w:lang w:val="en-AU"/>
        </w:rPr>
        <w:t xml:space="preserve">continue to </w:t>
      </w:r>
      <w:r>
        <w:rPr>
          <w:lang w:val="en-AU"/>
        </w:rPr>
        <w:t>deter applicants (particularly those who are not well-resourced) from proceeding to court with their matter</w:t>
      </w:r>
      <w:r w:rsidR="00A356E4">
        <w:rPr>
          <w:lang w:val="en-AU"/>
        </w:rPr>
        <w:t>, unless they are being provided legal assistance or supported on a purely pro bono basis</w:t>
      </w:r>
      <w:r>
        <w:rPr>
          <w:lang w:val="en-AU"/>
        </w:rPr>
        <w:t xml:space="preserve">. </w:t>
      </w:r>
    </w:p>
    <w:p w14:paraId="5B3764B9" w14:textId="7B073236" w:rsidR="00E05F33" w:rsidRDefault="00E05F33" w:rsidP="004B13ED">
      <w:pPr>
        <w:pStyle w:val="Heading2"/>
      </w:pPr>
      <w:bookmarkStart w:id="38" w:name="_Toc127809117"/>
      <w:r>
        <w:t xml:space="preserve">Cost </w:t>
      </w:r>
      <w:r w:rsidR="00C51FBF">
        <w:t>n</w:t>
      </w:r>
      <w:r>
        <w:t xml:space="preserve">eutrality </w:t>
      </w:r>
      <w:r w:rsidR="00191DD5">
        <w:t xml:space="preserve">with discretion </w:t>
      </w:r>
      <w:r w:rsidR="00C51FBF">
        <w:t>m</w:t>
      </w:r>
      <w:r>
        <w:t>odel (‘soft cost neutrality’)</w:t>
      </w:r>
      <w:bookmarkEnd w:id="38"/>
    </w:p>
    <w:p w14:paraId="00FD6BB7" w14:textId="092EC020" w:rsidR="00670A44" w:rsidRDefault="00670A44" w:rsidP="00C04ADA">
      <w:pPr>
        <w:pStyle w:val="Heading3"/>
      </w:pPr>
      <w:bookmarkStart w:id="39" w:name="_Toc127809118"/>
      <w:r>
        <w:t>Overview</w:t>
      </w:r>
      <w:bookmarkEnd w:id="39"/>
    </w:p>
    <w:p w14:paraId="1AA60CB9" w14:textId="54A6B851" w:rsidR="009F18BF" w:rsidRDefault="009F18BF" w:rsidP="00191DD5">
      <w:pPr>
        <w:rPr>
          <w:lang w:val="en-AU"/>
        </w:rPr>
      </w:pPr>
      <w:r>
        <w:rPr>
          <w:lang w:val="en-AU"/>
        </w:rPr>
        <w:t xml:space="preserve">This was the model recommended by the Commission in its Free and Equal </w:t>
      </w:r>
      <w:r w:rsidR="00460FFA">
        <w:rPr>
          <w:lang w:val="en-AU"/>
        </w:rPr>
        <w:t xml:space="preserve">paper </w:t>
      </w:r>
      <w:r>
        <w:rPr>
          <w:lang w:val="en-AU"/>
        </w:rPr>
        <w:t xml:space="preserve">and </w:t>
      </w:r>
      <w:r w:rsidR="00BF49AC">
        <w:rPr>
          <w:lang w:val="en-AU"/>
        </w:rPr>
        <w:t xml:space="preserve">the model that was </w:t>
      </w:r>
      <w:r>
        <w:rPr>
          <w:lang w:val="en-AU"/>
        </w:rPr>
        <w:t>originally included in the Respect at Work Bill 2022</w:t>
      </w:r>
      <w:r w:rsidR="00BF49AC">
        <w:rPr>
          <w:lang w:val="en-AU"/>
        </w:rPr>
        <w:t xml:space="preserve">. It is also </w:t>
      </w:r>
      <w:r>
        <w:rPr>
          <w:lang w:val="en-AU"/>
        </w:rPr>
        <w:t>similar to the model put forward in the Human Rights and Anti-Discrimination Bill 2012</w:t>
      </w:r>
      <w:r w:rsidR="00BF49AC">
        <w:rPr>
          <w:lang w:val="en-AU"/>
        </w:rPr>
        <w:t xml:space="preserve">, and </w:t>
      </w:r>
      <w:r w:rsidR="002B59FA">
        <w:rPr>
          <w:lang w:val="en-AU"/>
        </w:rPr>
        <w:t xml:space="preserve">to </w:t>
      </w:r>
      <w:r w:rsidR="0021568E">
        <w:t xml:space="preserve">the approach to costs that is applicable in </w:t>
      </w:r>
      <w:r w:rsidR="00BF49AC">
        <w:t xml:space="preserve">most </w:t>
      </w:r>
      <w:r w:rsidR="0021568E">
        <w:t>state and territory tribunals that hear anti</w:t>
      </w:r>
      <w:r w:rsidR="0021568E">
        <w:noBreakHyphen/>
        <w:t>discrimination matters under state and territory discrimination legislation</w:t>
      </w:r>
      <w:r w:rsidR="002B59FA">
        <w:rPr>
          <w:lang w:val="en-AU"/>
        </w:rPr>
        <w:t>.</w:t>
      </w:r>
      <w:r w:rsidR="002B59FA">
        <w:rPr>
          <w:rStyle w:val="FootnoteReference"/>
          <w:lang w:val="en-AU"/>
        </w:rPr>
        <w:footnoteReference w:id="58"/>
      </w:r>
      <w:r w:rsidR="0021568E" w:rsidRPr="0021568E">
        <w:t xml:space="preserve"> </w:t>
      </w:r>
    </w:p>
    <w:p w14:paraId="1F466857" w14:textId="7E465A0F" w:rsidR="000975B0" w:rsidRDefault="00191DD5" w:rsidP="0050253A">
      <w:pPr>
        <w:rPr>
          <w:lang w:val="en-AU"/>
        </w:rPr>
      </w:pPr>
      <w:r>
        <w:rPr>
          <w:lang w:val="en-AU"/>
        </w:rPr>
        <w:t xml:space="preserve">Under this model, the default position would be that parties bear their own costs, but the court would retain </w:t>
      </w:r>
      <w:r w:rsidR="009F18BF">
        <w:rPr>
          <w:lang w:val="en-AU"/>
        </w:rPr>
        <w:t>a</w:t>
      </w:r>
      <w:r>
        <w:rPr>
          <w:lang w:val="en-AU"/>
        </w:rPr>
        <w:t xml:space="preserve"> </w:t>
      </w:r>
      <w:r w:rsidR="00D12887">
        <w:rPr>
          <w:lang w:val="en-AU"/>
        </w:rPr>
        <w:t xml:space="preserve">broader </w:t>
      </w:r>
      <w:r>
        <w:rPr>
          <w:lang w:val="en-AU"/>
        </w:rPr>
        <w:t>discretion to award costs</w:t>
      </w:r>
      <w:r w:rsidR="00D12887">
        <w:rPr>
          <w:lang w:val="en-AU"/>
        </w:rPr>
        <w:t xml:space="preserve"> where they consider this would be in the interests of justice,</w:t>
      </w:r>
      <w:r>
        <w:rPr>
          <w:lang w:val="en-AU"/>
        </w:rPr>
        <w:t xml:space="preserve"> in reference to a number of </w:t>
      </w:r>
      <w:r w:rsidR="000F0C17">
        <w:rPr>
          <w:lang w:val="en-AU"/>
        </w:rPr>
        <w:t xml:space="preserve">mandatory (but </w:t>
      </w:r>
      <w:r>
        <w:rPr>
          <w:lang w:val="en-AU"/>
        </w:rPr>
        <w:t>non-exhaustive</w:t>
      </w:r>
      <w:r w:rsidR="000F0C17">
        <w:rPr>
          <w:lang w:val="en-AU"/>
        </w:rPr>
        <w:t>)</w:t>
      </w:r>
      <w:r>
        <w:rPr>
          <w:lang w:val="en-AU"/>
        </w:rPr>
        <w:t xml:space="preserve"> criteria.</w:t>
      </w:r>
      <w:r w:rsidR="000975B0">
        <w:rPr>
          <w:lang w:val="en-AU"/>
        </w:rPr>
        <w:t xml:space="preserve"> The </w:t>
      </w:r>
      <w:r w:rsidR="00D12887">
        <w:rPr>
          <w:lang w:val="en-AU"/>
        </w:rPr>
        <w:t xml:space="preserve">criteria </w:t>
      </w:r>
      <w:r w:rsidR="000975B0">
        <w:rPr>
          <w:lang w:val="en-AU"/>
        </w:rPr>
        <w:t>t</w:t>
      </w:r>
      <w:r w:rsidR="0086285A">
        <w:rPr>
          <w:lang w:val="en-AU"/>
        </w:rPr>
        <w:t>o</w:t>
      </w:r>
      <w:r w:rsidR="000975B0">
        <w:rPr>
          <w:lang w:val="en-AU"/>
        </w:rPr>
        <w:t xml:space="preserve"> be considered by a court </w:t>
      </w:r>
      <w:r w:rsidR="00D12887">
        <w:rPr>
          <w:lang w:val="en-AU"/>
        </w:rPr>
        <w:t xml:space="preserve">under this model </w:t>
      </w:r>
      <w:r w:rsidR="000975B0">
        <w:rPr>
          <w:lang w:val="en-AU"/>
        </w:rPr>
        <w:t>would be</w:t>
      </w:r>
      <w:r w:rsidR="000975B0">
        <w:t xml:space="preserve"> broader than </w:t>
      </w:r>
      <w:r w:rsidR="0090406C">
        <w:t>t</w:t>
      </w:r>
      <w:r w:rsidR="000975B0">
        <w:t>he conduct of the parties to proceedings</w:t>
      </w:r>
      <w:r w:rsidR="00D12887">
        <w:t xml:space="preserve"> and the merits of a </w:t>
      </w:r>
      <w:r w:rsidR="0090406C">
        <w:t xml:space="preserve">given </w:t>
      </w:r>
      <w:r w:rsidR="00D12887">
        <w:t>matter</w:t>
      </w:r>
      <w:r w:rsidR="000975B0">
        <w:t xml:space="preserve">, and could include </w:t>
      </w:r>
      <w:r w:rsidR="00D12887">
        <w:t>consideration</w:t>
      </w:r>
      <w:r w:rsidR="0090406C">
        <w:t>s</w:t>
      </w:r>
      <w:r w:rsidR="00D12887">
        <w:t xml:space="preserve"> </w:t>
      </w:r>
      <w:r w:rsidR="000975B0">
        <w:t xml:space="preserve">such as the financial circumstances of the parties, the outcome of </w:t>
      </w:r>
      <w:r w:rsidR="0086285A">
        <w:t xml:space="preserve">the </w:t>
      </w:r>
      <w:r w:rsidR="000975B0">
        <w:t>proceedings and the public importance of the matter</w:t>
      </w:r>
      <w:r w:rsidR="0086285A">
        <w:t xml:space="preserve"> being litigated</w:t>
      </w:r>
      <w:r w:rsidR="000975B0">
        <w:t>.</w:t>
      </w:r>
    </w:p>
    <w:p w14:paraId="75613B52" w14:textId="3F64BD2A" w:rsidR="00191DD5" w:rsidRDefault="00191DD5" w:rsidP="0050253A">
      <w:pPr>
        <w:rPr>
          <w:lang w:val="en-AU"/>
        </w:rPr>
      </w:pPr>
      <w:r>
        <w:rPr>
          <w:lang w:val="en-AU"/>
        </w:rPr>
        <w:t>Th</w:t>
      </w:r>
      <w:r w:rsidR="009F18BF">
        <w:rPr>
          <w:lang w:val="en-AU"/>
        </w:rPr>
        <w:t>e</w:t>
      </w:r>
      <w:r>
        <w:rPr>
          <w:lang w:val="en-AU"/>
        </w:rPr>
        <w:t xml:space="preserve"> broader scope</w:t>
      </w:r>
      <w:r w:rsidR="00424697">
        <w:rPr>
          <w:lang w:val="en-AU"/>
        </w:rPr>
        <w:t xml:space="preserve"> under this model</w:t>
      </w:r>
      <w:r>
        <w:rPr>
          <w:lang w:val="en-AU"/>
        </w:rPr>
        <w:t xml:space="preserve"> for the court to exercise </w:t>
      </w:r>
      <w:r w:rsidR="0086285A">
        <w:rPr>
          <w:lang w:val="en-AU"/>
        </w:rPr>
        <w:t xml:space="preserve">its </w:t>
      </w:r>
      <w:r>
        <w:rPr>
          <w:lang w:val="en-AU"/>
        </w:rPr>
        <w:t>discretion</w:t>
      </w:r>
      <w:r w:rsidR="009F18BF">
        <w:rPr>
          <w:lang w:val="en-AU"/>
        </w:rPr>
        <w:t xml:space="preserve"> </w:t>
      </w:r>
      <w:r w:rsidR="0086285A">
        <w:rPr>
          <w:lang w:val="en-AU"/>
        </w:rPr>
        <w:t>to</w:t>
      </w:r>
      <w:r w:rsidR="009F18BF">
        <w:rPr>
          <w:lang w:val="en-AU"/>
        </w:rPr>
        <w:t xml:space="preserve"> deviate from the </w:t>
      </w:r>
      <w:r w:rsidR="0090406C">
        <w:rPr>
          <w:lang w:val="en-AU"/>
        </w:rPr>
        <w:t xml:space="preserve">default </w:t>
      </w:r>
      <w:r w:rsidR="009F18BF">
        <w:rPr>
          <w:lang w:val="en-AU"/>
        </w:rPr>
        <w:t>costs neutrality</w:t>
      </w:r>
      <w:r>
        <w:rPr>
          <w:lang w:val="en-AU"/>
        </w:rPr>
        <w:t xml:space="preserve"> </w:t>
      </w:r>
      <w:r w:rsidR="0090406C">
        <w:rPr>
          <w:lang w:val="en-AU"/>
        </w:rPr>
        <w:t xml:space="preserve">position, under which parties bear their own costs, </w:t>
      </w:r>
      <w:r>
        <w:rPr>
          <w:lang w:val="en-AU"/>
        </w:rPr>
        <w:t xml:space="preserve">is the key difference between </w:t>
      </w:r>
      <w:r w:rsidR="0090406C">
        <w:rPr>
          <w:lang w:val="en-AU"/>
        </w:rPr>
        <w:t xml:space="preserve">this model </w:t>
      </w:r>
      <w:r>
        <w:rPr>
          <w:lang w:val="en-AU"/>
        </w:rPr>
        <w:t xml:space="preserve">and the ‘hard cost neutrality’ model. </w:t>
      </w:r>
    </w:p>
    <w:p w14:paraId="411B29D9" w14:textId="238B1504" w:rsidR="000F0C17" w:rsidRDefault="000F0C17" w:rsidP="00603086">
      <w:pPr>
        <w:keepNext/>
        <w:spacing w:before="120" w:after="120" w:line="240" w:lineRule="auto"/>
        <w:rPr>
          <w:lang w:val="en-AU"/>
        </w:rPr>
      </w:pPr>
      <w:r>
        <w:rPr>
          <w:lang w:val="en-AU"/>
        </w:rPr>
        <w:lastRenderedPageBreak/>
        <w:t xml:space="preserve">The </w:t>
      </w:r>
      <w:r w:rsidR="00424697">
        <w:rPr>
          <w:lang w:val="en-AU"/>
        </w:rPr>
        <w:t>criteria adopted by the Respect at Work Bill 2022 were:</w:t>
      </w:r>
    </w:p>
    <w:p w14:paraId="42833AC2" w14:textId="2E6630D0" w:rsidR="0050253A" w:rsidRPr="00075DD6" w:rsidRDefault="0050253A" w:rsidP="0090406C">
      <w:pPr>
        <w:pStyle w:val="paragraph"/>
        <w:numPr>
          <w:ilvl w:val="0"/>
          <w:numId w:val="5"/>
        </w:numPr>
        <w:spacing w:before="120" w:beforeAutospacing="0" w:after="120" w:afterAutospacing="0"/>
        <w:rPr>
          <w:rFonts w:asciiTheme="minorHAnsi" w:hAnsiTheme="minorHAnsi" w:cstheme="minorHAnsi"/>
          <w:sz w:val="22"/>
          <w:szCs w:val="22"/>
        </w:rPr>
      </w:pPr>
      <w:r w:rsidRPr="00075DD6">
        <w:rPr>
          <w:rFonts w:asciiTheme="minorHAnsi" w:hAnsiTheme="minorHAnsi" w:cstheme="minorHAnsi"/>
          <w:sz w:val="22"/>
          <w:szCs w:val="22"/>
        </w:rPr>
        <w:t>the financial circumstances of each of the parties to the proceedings</w:t>
      </w:r>
    </w:p>
    <w:p w14:paraId="3F7203F0" w14:textId="216B6585" w:rsidR="0050253A" w:rsidRPr="00075DD6" w:rsidRDefault="0050253A" w:rsidP="0090406C">
      <w:pPr>
        <w:pStyle w:val="paragraph"/>
        <w:numPr>
          <w:ilvl w:val="0"/>
          <w:numId w:val="5"/>
        </w:numPr>
        <w:spacing w:before="120" w:beforeAutospacing="0" w:after="120" w:afterAutospacing="0"/>
        <w:rPr>
          <w:rFonts w:asciiTheme="minorHAnsi" w:hAnsiTheme="minorHAnsi" w:cstheme="minorHAnsi"/>
          <w:sz w:val="22"/>
          <w:szCs w:val="22"/>
        </w:rPr>
      </w:pPr>
      <w:r w:rsidRPr="00075DD6">
        <w:rPr>
          <w:rFonts w:asciiTheme="minorHAnsi" w:hAnsiTheme="minorHAnsi" w:cstheme="minorHAnsi"/>
          <w:sz w:val="22"/>
          <w:szCs w:val="22"/>
        </w:rPr>
        <w:t>the conduct of the parties to the proceedings (including any conduct of the parties in dealings with the Commission)</w:t>
      </w:r>
    </w:p>
    <w:p w14:paraId="140DD167" w14:textId="30225D82" w:rsidR="0050253A" w:rsidRPr="00075DD6" w:rsidRDefault="0050253A" w:rsidP="0090406C">
      <w:pPr>
        <w:pStyle w:val="paragraph"/>
        <w:numPr>
          <w:ilvl w:val="0"/>
          <w:numId w:val="5"/>
        </w:numPr>
        <w:spacing w:before="120" w:beforeAutospacing="0" w:after="120" w:afterAutospacing="0"/>
        <w:rPr>
          <w:rFonts w:asciiTheme="minorHAnsi" w:hAnsiTheme="minorHAnsi" w:cstheme="minorHAnsi"/>
          <w:sz w:val="22"/>
          <w:szCs w:val="22"/>
        </w:rPr>
      </w:pPr>
      <w:r w:rsidRPr="00075DD6">
        <w:rPr>
          <w:rFonts w:asciiTheme="minorHAnsi" w:hAnsiTheme="minorHAnsi" w:cstheme="minorHAnsi"/>
          <w:sz w:val="22"/>
          <w:szCs w:val="22"/>
        </w:rPr>
        <w:t>whether any party to the proceedings has been wholly unsuccessful in the proceedings</w:t>
      </w:r>
    </w:p>
    <w:p w14:paraId="71270D45" w14:textId="117C33DC" w:rsidR="0050253A" w:rsidRPr="00075DD6" w:rsidRDefault="0050253A" w:rsidP="0090406C">
      <w:pPr>
        <w:pStyle w:val="paragraph"/>
        <w:numPr>
          <w:ilvl w:val="0"/>
          <w:numId w:val="5"/>
        </w:numPr>
        <w:spacing w:before="120" w:beforeAutospacing="0" w:after="120" w:afterAutospacing="0"/>
        <w:rPr>
          <w:rFonts w:asciiTheme="minorHAnsi" w:hAnsiTheme="minorHAnsi" w:cstheme="minorHAnsi"/>
          <w:sz w:val="22"/>
          <w:szCs w:val="22"/>
        </w:rPr>
      </w:pPr>
      <w:r w:rsidRPr="00075DD6">
        <w:rPr>
          <w:rFonts w:asciiTheme="minorHAnsi" w:hAnsiTheme="minorHAnsi" w:cstheme="minorHAnsi"/>
          <w:sz w:val="22"/>
          <w:szCs w:val="22"/>
        </w:rPr>
        <w:t>whether any party to the proceedings has made an offer in writing to another party to the proceedings to settle:</w:t>
      </w:r>
    </w:p>
    <w:p w14:paraId="0234FA65" w14:textId="4DB193A0" w:rsidR="0050253A" w:rsidRPr="00075DD6" w:rsidRDefault="0050253A" w:rsidP="0090406C">
      <w:pPr>
        <w:pStyle w:val="paragraphsub0"/>
        <w:numPr>
          <w:ilvl w:val="1"/>
          <w:numId w:val="5"/>
        </w:numPr>
        <w:spacing w:before="120" w:after="120"/>
        <w:rPr>
          <w:rFonts w:asciiTheme="minorHAnsi" w:hAnsiTheme="minorHAnsi" w:cstheme="minorHAnsi"/>
          <w:szCs w:val="22"/>
        </w:rPr>
      </w:pPr>
      <w:r w:rsidRPr="00075DD6">
        <w:rPr>
          <w:rFonts w:asciiTheme="minorHAnsi" w:hAnsiTheme="minorHAnsi" w:cstheme="minorHAnsi"/>
          <w:szCs w:val="22"/>
        </w:rPr>
        <w:t>the proceedings</w:t>
      </w:r>
      <w:r>
        <w:rPr>
          <w:rFonts w:asciiTheme="minorHAnsi" w:hAnsiTheme="minorHAnsi" w:cstheme="minorHAnsi"/>
          <w:szCs w:val="22"/>
        </w:rPr>
        <w:t>;</w:t>
      </w:r>
      <w:r w:rsidRPr="00075DD6">
        <w:rPr>
          <w:rFonts w:asciiTheme="minorHAnsi" w:hAnsiTheme="minorHAnsi" w:cstheme="minorHAnsi"/>
          <w:szCs w:val="22"/>
        </w:rPr>
        <w:t xml:space="preserve"> or</w:t>
      </w:r>
    </w:p>
    <w:p w14:paraId="45769E94" w14:textId="7A92AE14" w:rsidR="0050253A" w:rsidRPr="00075DD6" w:rsidRDefault="0050253A" w:rsidP="0090406C">
      <w:pPr>
        <w:pStyle w:val="paragraphsub0"/>
        <w:numPr>
          <w:ilvl w:val="1"/>
          <w:numId w:val="5"/>
        </w:numPr>
        <w:spacing w:before="120" w:after="120"/>
        <w:rPr>
          <w:rFonts w:asciiTheme="minorHAnsi" w:hAnsiTheme="minorHAnsi" w:cstheme="minorHAnsi"/>
          <w:szCs w:val="22"/>
        </w:rPr>
      </w:pPr>
      <w:r w:rsidRPr="00075DD6">
        <w:rPr>
          <w:rFonts w:asciiTheme="minorHAnsi" w:hAnsiTheme="minorHAnsi" w:cstheme="minorHAnsi"/>
          <w:szCs w:val="22"/>
        </w:rPr>
        <w:t>the matter the subject of the terminated complaint;</w:t>
      </w:r>
    </w:p>
    <w:p w14:paraId="72AE5BD9" w14:textId="30793E90" w:rsidR="0050253A" w:rsidRPr="00075DD6" w:rsidRDefault="0050253A" w:rsidP="0090406C">
      <w:pPr>
        <w:pStyle w:val="paragraphsub0"/>
        <w:spacing w:before="120" w:after="120"/>
        <w:ind w:left="2818"/>
        <w:rPr>
          <w:rFonts w:asciiTheme="minorHAnsi" w:hAnsiTheme="minorHAnsi" w:cstheme="minorHAnsi"/>
          <w:szCs w:val="22"/>
        </w:rPr>
      </w:pPr>
      <w:r w:rsidRPr="00075DD6">
        <w:rPr>
          <w:rFonts w:asciiTheme="minorHAnsi" w:hAnsiTheme="minorHAnsi" w:cstheme="minorHAnsi"/>
          <w:szCs w:val="22"/>
        </w:rPr>
        <w:t>and, if so, the terms of the offer</w:t>
      </w:r>
    </w:p>
    <w:p w14:paraId="26067AA3" w14:textId="682D3D1C" w:rsidR="0050253A" w:rsidRPr="00075DD6" w:rsidRDefault="0050253A" w:rsidP="0090406C">
      <w:pPr>
        <w:pStyle w:val="paragraph"/>
        <w:numPr>
          <w:ilvl w:val="0"/>
          <w:numId w:val="5"/>
        </w:numPr>
        <w:spacing w:before="120" w:beforeAutospacing="0" w:after="120" w:afterAutospacing="0"/>
        <w:rPr>
          <w:rFonts w:asciiTheme="minorHAnsi" w:hAnsiTheme="minorHAnsi" w:cstheme="minorHAnsi"/>
          <w:sz w:val="22"/>
          <w:szCs w:val="22"/>
        </w:rPr>
      </w:pPr>
      <w:r w:rsidRPr="00075DD6">
        <w:rPr>
          <w:rFonts w:asciiTheme="minorHAnsi" w:hAnsiTheme="minorHAnsi" w:cstheme="minorHAnsi"/>
          <w:sz w:val="22"/>
          <w:szCs w:val="22"/>
        </w:rPr>
        <w:t>whether the subject matter of the proceedings involves an issue of public importance;</w:t>
      </w:r>
    </w:p>
    <w:p w14:paraId="619B7AC8" w14:textId="00A1F50D" w:rsidR="0050253A" w:rsidRDefault="0050253A" w:rsidP="0090406C">
      <w:pPr>
        <w:pStyle w:val="paragraph"/>
        <w:numPr>
          <w:ilvl w:val="0"/>
          <w:numId w:val="5"/>
        </w:numPr>
        <w:spacing w:before="120" w:beforeAutospacing="0" w:after="120" w:afterAutospacing="0"/>
        <w:rPr>
          <w:rFonts w:asciiTheme="minorHAnsi" w:hAnsiTheme="minorHAnsi" w:cstheme="minorHAnsi"/>
          <w:sz w:val="22"/>
          <w:szCs w:val="22"/>
        </w:rPr>
      </w:pPr>
      <w:r w:rsidRPr="00075DD6">
        <w:rPr>
          <w:rFonts w:asciiTheme="minorHAnsi" w:hAnsiTheme="minorHAnsi" w:cstheme="minorHAnsi"/>
          <w:sz w:val="22"/>
          <w:szCs w:val="22"/>
        </w:rPr>
        <w:t>any other matters that the court considers relevant.</w:t>
      </w:r>
    </w:p>
    <w:p w14:paraId="48D93A50" w14:textId="5B225F1D" w:rsidR="002718BE" w:rsidRDefault="0090406C" w:rsidP="0090406C">
      <w:pPr>
        <w:pStyle w:val="paragraph"/>
        <w:spacing w:before="0" w:beforeAutospacing="0" w:after="160" w:afterAutospacing="0" w:line="259" w:lineRule="auto"/>
        <w:rPr>
          <w:rFonts w:asciiTheme="minorHAnsi" w:hAnsiTheme="minorHAnsi" w:cstheme="minorHAnsi"/>
          <w:sz w:val="22"/>
          <w:szCs w:val="22"/>
        </w:rPr>
      </w:pPr>
      <w:r>
        <w:rPr>
          <w:rFonts w:asciiTheme="minorHAnsi" w:hAnsiTheme="minorHAnsi" w:cstheme="minorHAnsi"/>
          <w:sz w:val="22"/>
          <w:szCs w:val="22"/>
        </w:rPr>
        <w:t xml:space="preserve">The role of the criteria under this cost model is to direct the court to consider a range of things that are particularly relevant to discrimination matters (such as any power imbalance between parties and the public importance of individuals being able to enforce their right to be free from discrimination), as well as broader considerations around access to justice, fairness and litigation procedure generally. Giving the courts this broad discretion, while pointing to criteria that should be central to their consideration, enables the court to balance and weigh competing interests before deciding how costs should be awarded. </w:t>
      </w:r>
    </w:p>
    <w:p w14:paraId="5172B6E7" w14:textId="613554B3" w:rsidR="00FF4C1F" w:rsidRDefault="0090406C" w:rsidP="00FF4C1F">
      <w:pPr>
        <w:pStyle w:val="paragraph"/>
        <w:spacing w:before="0" w:beforeAutospacing="0" w:after="160" w:afterAutospacing="0" w:line="259" w:lineRule="auto"/>
        <w:rPr>
          <w:rFonts w:asciiTheme="minorHAnsi" w:hAnsiTheme="minorHAnsi" w:cstheme="minorHAnsi"/>
          <w:sz w:val="22"/>
          <w:szCs w:val="22"/>
        </w:rPr>
      </w:pPr>
      <w:r>
        <w:rPr>
          <w:rFonts w:asciiTheme="minorHAnsi" w:hAnsiTheme="minorHAnsi" w:cstheme="minorHAnsi"/>
          <w:sz w:val="22"/>
          <w:szCs w:val="22"/>
        </w:rPr>
        <w:t>These criteria could be expanded upon or changed</w:t>
      </w:r>
      <w:r w:rsidR="006D522F">
        <w:rPr>
          <w:rFonts w:asciiTheme="minorHAnsi" w:hAnsiTheme="minorHAnsi" w:cstheme="minorHAnsi"/>
          <w:sz w:val="22"/>
          <w:szCs w:val="22"/>
        </w:rPr>
        <w:t>, should this model be selected for inclusion in the AHRC Act</w:t>
      </w:r>
      <w:r>
        <w:rPr>
          <w:rFonts w:asciiTheme="minorHAnsi" w:hAnsiTheme="minorHAnsi" w:cstheme="minorHAnsi"/>
          <w:sz w:val="22"/>
          <w:szCs w:val="22"/>
        </w:rPr>
        <w:t xml:space="preserve">. </w:t>
      </w:r>
      <w:r w:rsidR="003A0D69">
        <w:rPr>
          <w:rFonts w:asciiTheme="minorHAnsi" w:hAnsiTheme="minorHAnsi" w:cstheme="minorHAnsi"/>
          <w:sz w:val="22"/>
          <w:szCs w:val="22"/>
        </w:rPr>
        <w:t xml:space="preserve">For example, </w:t>
      </w:r>
      <w:r w:rsidR="00FF4C1F">
        <w:rPr>
          <w:rFonts w:asciiTheme="minorHAnsi" w:hAnsiTheme="minorHAnsi" w:cstheme="minorHAnsi"/>
          <w:sz w:val="22"/>
          <w:szCs w:val="22"/>
        </w:rPr>
        <w:t xml:space="preserve">the </w:t>
      </w:r>
      <w:r w:rsidR="00FF4C1F" w:rsidRPr="00FF4C1F">
        <w:rPr>
          <w:rFonts w:asciiTheme="minorHAnsi" w:hAnsiTheme="minorHAnsi" w:cstheme="minorHAnsi"/>
          <w:i/>
          <w:sz w:val="22"/>
          <w:szCs w:val="22"/>
        </w:rPr>
        <w:t>Civil and Administrative Tribunal Act 2013</w:t>
      </w:r>
      <w:r w:rsidR="00FF4C1F" w:rsidRPr="00FF4C1F">
        <w:rPr>
          <w:rFonts w:asciiTheme="minorHAnsi" w:hAnsiTheme="minorHAnsi" w:cstheme="minorHAnsi"/>
          <w:sz w:val="22"/>
          <w:szCs w:val="22"/>
        </w:rPr>
        <w:t xml:space="preserve"> </w:t>
      </w:r>
      <w:r w:rsidR="00FF4C1F" w:rsidRPr="00717263">
        <w:rPr>
          <w:rFonts w:asciiTheme="minorHAnsi" w:hAnsiTheme="minorHAnsi" w:cstheme="minorHAnsi"/>
          <w:sz w:val="22"/>
          <w:szCs w:val="22"/>
        </w:rPr>
        <w:t>(NSW),</w:t>
      </w:r>
      <w:r w:rsidR="00FF4C1F">
        <w:rPr>
          <w:rFonts w:asciiTheme="minorHAnsi" w:hAnsiTheme="minorHAnsi" w:cstheme="minorHAnsi"/>
          <w:sz w:val="22"/>
          <w:szCs w:val="22"/>
        </w:rPr>
        <w:t xml:space="preserve"> directs the NSW Civil and Administrative Tribunal to consider various ‘special circumstances’, including: </w:t>
      </w:r>
    </w:p>
    <w:p w14:paraId="01A700FC" w14:textId="22F5386A" w:rsidR="00FF4C1F" w:rsidRDefault="00BC6BDA" w:rsidP="00FF4C1F">
      <w:pPr>
        <w:pStyle w:val="ListParagraph"/>
        <w:numPr>
          <w:ilvl w:val="0"/>
          <w:numId w:val="30"/>
        </w:numPr>
      </w:pPr>
      <w:r>
        <w:rPr>
          <w:rFonts w:cstheme="minorHAnsi"/>
        </w:rPr>
        <w:t xml:space="preserve">the </w:t>
      </w:r>
      <w:r w:rsidR="00FF4C1F">
        <w:rPr>
          <w:rFonts w:cstheme="minorHAnsi"/>
        </w:rPr>
        <w:t>nature and complexity of proceedings;</w:t>
      </w:r>
    </w:p>
    <w:p w14:paraId="63931281" w14:textId="77777777" w:rsidR="00FF4C1F" w:rsidRPr="00FF4C1F" w:rsidRDefault="00FF4C1F" w:rsidP="00EB15F4">
      <w:pPr>
        <w:pStyle w:val="ListParagraph"/>
        <w:numPr>
          <w:ilvl w:val="0"/>
          <w:numId w:val="30"/>
        </w:numPr>
        <w:rPr>
          <w:rFonts w:cstheme="minorHAnsi"/>
        </w:rPr>
      </w:pPr>
      <w:r>
        <w:t>whether a party has been responsible for unreasonably prolonging or delaying the time taken to complete the proceedings;</w:t>
      </w:r>
    </w:p>
    <w:p w14:paraId="6F1810AC" w14:textId="4EF80D80" w:rsidR="00FF4C1F" w:rsidRDefault="00FF4C1F" w:rsidP="00EB15F4">
      <w:pPr>
        <w:pStyle w:val="ListParagraph"/>
        <w:numPr>
          <w:ilvl w:val="0"/>
          <w:numId w:val="30"/>
        </w:numPr>
        <w:rPr>
          <w:rFonts w:cstheme="minorHAnsi"/>
        </w:rPr>
      </w:pPr>
      <w:r w:rsidRPr="00FF4C1F">
        <w:rPr>
          <w:rFonts w:cstheme="minorHAnsi"/>
        </w:rPr>
        <w:t xml:space="preserve">whether </w:t>
      </w:r>
      <w:r w:rsidR="00957E1B">
        <w:rPr>
          <w:rFonts w:cstheme="minorHAnsi"/>
        </w:rPr>
        <w:t>a</w:t>
      </w:r>
      <w:r w:rsidRPr="00FF4C1F">
        <w:rPr>
          <w:rFonts w:cstheme="minorHAnsi"/>
        </w:rPr>
        <w:t xml:space="preserve"> party conducted proceedings in a way that unnecessarily disadvantaged another party to the proceedings; and </w:t>
      </w:r>
    </w:p>
    <w:p w14:paraId="50774735" w14:textId="0944830F" w:rsidR="00FF4C1F" w:rsidRDefault="00FF4C1F" w:rsidP="00EB15F4">
      <w:pPr>
        <w:pStyle w:val="ListParagraph"/>
        <w:numPr>
          <w:ilvl w:val="0"/>
          <w:numId w:val="30"/>
        </w:numPr>
        <w:rPr>
          <w:rFonts w:cstheme="minorHAnsi"/>
        </w:rPr>
      </w:pPr>
      <w:r w:rsidRPr="00FF4C1F">
        <w:rPr>
          <w:rFonts w:cstheme="minorHAnsi"/>
        </w:rPr>
        <w:t>whether the proceedings were frivolous or vexatious or otherwise misconceived or lacking in substance.</w:t>
      </w:r>
      <w:r>
        <w:rPr>
          <w:rStyle w:val="FootnoteReference"/>
          <w:rFonts w:cstheme="minorHAnsi"/>
        </w:rPr>
        <w:footnoteReference w:id="59"/>
      </w:r>
      <w:r w:rsidRPr="00FF4C1F">
        <w:rPr>
          <w:rFonts w:cstheme="minorHAnsi"/>
        </w:rPr>
        <w:t xml:space="preserve"> </w:t>
      </w:r>
    </w:p>
    <w:p w14:paraId="24649192" w14:textId="3D20850E" w:rsidR="00FF4C1F" w:rsidRDefault="00BC6BDA" w:rsidP="00FF4C1F">
      <w:pPr>
        <w:rPr>
          <w:rFonts w:cstheme="minorHAnsi"/>
        </w:rPr>
      </w:pPr>
      <w:r>
        <w:rPr>
          <w:rFonts w:cstheme="minorHAnsi"/>
        </w:rPr>
        <w:t xml:space="preserve">In various other jurisdictions, the Tribunal (or Commission) is </w:t>
      </w:r>
      <w:r w:rsidR="00DB29CF">
        <w:rPr>
          <w:rFonts w:cstheme="minorHAnsi"/>
        </w:rPr>
        <w:t xml:space="preserve">required </w:t>
      </w:r>
      <w:r>
        <w:rPr>
          <w:rFonts w:cstheme="minorHAnsi"/>
        </w:rPr>
        <w:t xml:space="preserve">to </w:t>
      </w:r>
      <w:r w:rsidR="00234D91">
        <w:rPr>
          <w:rFonts w:cstheme="minorHAnsi"/>
        </w:rPr>
        <w:t>consider</w:t>
      </w:r>
      <w:r>
        <w:rPr>
          <w:rFonts w:cstheme="minorHAnsi"/>
        </w:rPr>
        <w:t xml:space="preserve">: </w:t>
      </w:r>
    </w:p>
    <w:p w14:paraId="3630967B" w14:textId="77777777" w:rsidR="00C74A18" w:rsidRDefault="00EB15F4" w:rsidP="006D522F">
      <w:pPr>
        <w:pStyle w:val="paragraph"/>
        <w:numPr>
          <w:ilvl w:val="0"/>
          <w:numId w:val="29"/>
        </w:numPr>
        <w:spacing w:before="120" w:beforeAutospacing="0" w:after="120" w:afterAutospacing="0"/>
        <w:ind w:left="714" w:hanging="357"/>
        <w:rPr>
          <w:rFonts w:asciiTheme="minorHAnsi" w:hAnsiTheme="minorHAnsi" w:cstheme="minorHAnsi"/>
          <w:sz w:val="22"/>
          <w:szCs w:val="22"/>
        </w:rPr>
      </w:pPr>
      <w:r w:rsidRPr="00FF4C1F">
        <w:rPr>
          <w:rFonts w:asciiTheme="minorHAnsi" w:hAnsiTheme="minorHAnsi" w:cstheme="minorHAnsi"/>
          <w:sz w:val="22"/>
          <w:szCs w:val="22"/>
        </w:rPr>
        <w:t>the need to ensure that proceedings are fair and that parties are not disadvantaged by proceedings that have little to no merit</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60"/>
      </w:r>
      <w:r>
        <w:rPr>
          <w:rFonts w:asciiTheme="minorHAnsi" w:hAnsiTheme="minorHAnsi" w:cstheme="minorHAnsi"/>
          <w:sz w:val="22"/>
          <w:szCs w:val="22"/>
        </w:rPr>
        <w:t xml:space="preserve"> </w:t>
      </w:r>
    </w:p>
    <w:p w14:paraId="4E62C49F" w14:textId="19575160" w:rsidR="00EB15F4" w:rsidRPr="00C74A18" w:rsidRDefault="00C74A18" w:rsidP="006D522F">
      <w:pPr>
        <w:pStyle w:val="ListParagraph"/>
        <w:numPr>
          <w:ilvl w:val="0"/>
          <w:numId w:val="29"/>
        </w:numPr>
        <w:spacing w:before="120" w:after="120" w:line="240" w:lineRule="auto"/>
        <w:ind w:left="714" w:hanging="357"/>
        <w:contextualSpacing w:val="0"/>
      </w:pPr>
      <w:r>
        <w:lastRenderedPageBreak/>
        <w:t>the relative strengths of the claims made by each of the parties, including whether a party has made a claim that has no tenable basis in fact or law;</w:t>
      </w:r>
      <w:r>
        <w:rPr>
          <w:rStyle w:val="FootnoteReference"/>
        </w:rPr>
        <w:footnoteReference w:id="61"/>
      </w:r>
      <w:r w:rsidR="00DA2A8A">
        <w:t xml:space="preserve"> and</w:t>
      </w:r>
    </w:p>
    <w:p w14:paraId="40605042" w14:textId="7A12F806" w:rsidR="00FF4C1F" w:rsidRDefault="00FF4C1F" w:rsidP="006D522F">
      <w:pPr>
        <w:pStyle w:val="paragraph"/>
        <w:numPr>
          <w:ilvl w:val="0"/>
          <w:numId w:val="29"/>
        </w:numPr>
        <w:spacing w:before="120" w:beforeAutospacing="0" w:after="120" w:afterAutospacing="0"/>
        <w:ind w:left="714" w:hanging="357"/>
        <w:rPr>
          <w:rFonts w:asciiTheme="minorHAnsi" w:hAnsiTheme="minorHAnsi" w:cstheme="minorHAnsi"/>
          <w:sz w:val="22"/>
          <w:szCs w:val="22"/>
        </w:rPr>
      </w:pPr>
      <w:r>
        <w:rPr>
          <w:rFonts w:asciiTheme="minorHAnsi" w:hAnsiTheme="minorHAnsi" w:cstheme="minorHAnsi"/>
          <w:sz w:val="22"/>
          <w:szCs w:val="22"/>
        </w:rPr>
        <w:t xml:space="preserve">whether the party has participated in good faith, particularly in </w:t>
      </w:r>
      <w:r w:rsidR="00BC6BDA">
        <w:rPr>
          <w:rFonts w:asciiTheme="minorHAnsi" w:hAnsiTheme="minorHAnsi" w:cstheme="minorHAnsi"/>
          <w:sz w:val="22"/>
          <w:szCs w:val="22"/>
        </w:rPr>
        <w:t>the process of</w:t>
      </w:r>
      <w:r>
        <w:rPr>
          <w:rFonts w:asciiTheme="minorHAnsi" w:hAnsiTheme="minorHAnsi" w:cstheme="minorHAnsi"/>
          <w:sz w:val="22"/>
          <w:szCs w:val="22"/>
        </w:rPr>
        <w:t xml:space="preserve"> information gathering by the Tribunal </w:t>
      </w:r>
      <w:r w:rsidR="00DB29CF">
        <w:rPr>
          <w:rFonts w:asciiTheme="minorHAnsi" w:hAnsiTheme="minorHAnsi" w:cstheme="minorHAnsi"/>
          <w:sz w:val="22"/>
          <w:szCs w:val="22"/>
        </w:rPr>
        <w:t>(</w:t>
      </w:r>
      <w:r>
        <w:rPr>
          <w:rFonts w:asciiTheme="minorHAnsi" w:hAnsiTheme="minorHAnsi" w:cstheme="minorHAnsi"/>
          <w:sz w:val="22"/>
          <w:szCs w:val="22"/>
        </w:rPr>
        <w:t>or Commission</w:t>
      </w:r>
      <w:r w:rsidR="00DB29CF">
        <w:rPr>
          <w:rFonts w:asciiTheme="minorHAnsi" w:hAnsiTheme="minorHAnsi" w:cstheme="minorHAnsi"/>
          <w:sz w:val="22"/>
          <w:szCs w:val="22"/>
        </w:rPr>
        <w:t>)</w:t>
      </w:r>
      <w:r w:rsidR="00957E1B">
        <w:rPr>
          <w:rFonts w:asciiTheme="minorHAnsi" w:hAnsiTheme="minorHAnsi" w:cstheme="minorHAnsi"/>
          <w:sz w:val="22"/>
          <w:szCs w:val="22"/>
        </w:rPr>
        <w:t>.</w:t>
      </w:r>
      <w:r w:rsidR="00EB15F4">
        <w:rPr>
          <w:rStyle w:val="FootnoteReference"/>
          <w:rFonts w:asciiTheme="minorHAnsi" w:hAnsiTheme="minorHAnsi" w:cstheme="minorHAnsi"/>
          <w:sz w:val="22"/>
          <w:szCs w:val="22"/>
        </w:rPr>
        <w:footnoteReference w:id="62"/>
      </w:r>
    </w:p>
    <w:p w14:paraId="6FC20DFC" w14:textId="0D2E006F" w:rsidR="00E05F33" w:rsidRDefault="00E05F33" w:rsidP="00C04ADA">
      <w:pPr>
        <w:pStyle w:val="Heading3"/>
      </w:pPr>
      <w:bookmarkStart w:id="41" w:name="_Toc127809119"/>
      <w:r>
        <w:t>A</w:t>
      </w:r>
      <w:r w:rsidR="00670A44">
        <w:t>nalysis of advantages and disadvantages</w:t>
      </w:r>
      <w:bookmarkEnd w:id="41"/>
    </w:p>
    <w:p w14:paraId="2C3C2601" w14:textId="6BF9FB64" w:rsidR="004260FF" w:rsidRDefault="007440E9" w:rsidP="0050253A">
      <w:r>
        <w:t>T</w:t>
      </w:r>
      <w:r w:rsidR="00D06C6F">
        <w:t xml:space="preserve">his </w:t>
      </w:r>
      <w:r w:rsidR="00EE33DA">
        <w:t xml:space="preserve">model </w:t>
      </w:r>
      <w:r w:rsidR="00DA1DF7">
        <w:t>c</w:t>
      </w:r>
      <w:r>
        <w:t xml:space="preserve">ould provide </w:t>
      </w:r>
      <w:r w:rsidR="00952295">
        <w:t>a level of</w:t>
      </w:r>
      <w:r>
        <w:t xml:space="preserve"> certainty to both applicants and respondents in relation to the costs they would be required to pay as part of court proceedings, </w:t>
      </w:r>
      <w:r w:rsidR="00CA1155">
        <w:t>but</w:t>
      </w:r>
      <w:r>
        <w:t xml:space="preserve"> less </w:t>
      </w:r>
      <w:r w:rsidR="00952295">
        <w:t xml:space="preserve">certainty </w:t>
      </w:r>
      <w:r>
        <w:t>than a hard cost neutrality model, given the broader judicial discretion involved. This model falls somewhere between a hard cost neutrality and asymmetrical cost model</w:t>
      </w:r>
      <w:r w:rsidR="00DA1DF7">
        <w:t xml:space="preserve"> (see below)</w:t>
      </w:r>
      <w:r>
        <w:t xml:space="preserve"> – it provides greater discretion for the court to consider relevant matters that </w:t>
      </w:r>
      <w:r w:rsidR="004260FF">
        <w:t xml:space="preserve">might </w:t>
      </w:r>
      <w:r>
        <w:t xml:space="preserve">make it more just to award costs in </w:t>
      </w:r>
      <w:proofErr w:type="spellStart"/>
      <w:r>
        <w:t>favour</w:t>
      </w:r>
      <w:proofErr w:type="spellEnd"/>
      <w:r>
        <w:t xml:space="preserve"> of the applicant in certain circumstances</w:t>
      </w:r>
      <w:r w:rsidR="004260FF">
        <w:t>,</w:t>
      </w:r>
      <w:r>
        <w:t xml:space="preserve"> such as where the applicant has </w:t>
      </w:r>
      <w:r w:rsidR="006D522F">
        <w:t xml:space="preserve">fewer </w:t>
      </w:r>
      <w:r>
        <w:t>financial resources than the respondent, where there is in an imbalance of power between the parties and where the matter concerns an issue of public importance.</w:t>
      </w:r>
      <w:r w:rsidR="004260FF">
        <w:t xml:space="preserve"> But the </w:t>
      </w:r>
      <w:r w:rsidR="007736D4">
        <w:t xml:space="preserve">broader </w:t>
      </w:r>
      <w:r w:rsidR="004260FF">
        <w:t xml:space="preserve">discretion involved reduces the certainty for both parties. </w:t>
      </w:r>
    </w:p>
    <w:p w14:paraId="19A69C1F" w14:textId="6E4974BF" w:rsidR="000C5D92" w:rsidRDefault="006F2EFB" w:rsidP="0050253A">
      <w:r>
        <w:t>In recommending this model, the Commission indicated:</w:t>
      </w:r>
    </w:p>
    <w:p w14:paraId="1310AC37" w14:textId="181E5235" w:rsidR="006F2EFB" w:rsidRPr="006F2EFB" w:rsidRDefault="006F2EFB" w:rsidP="006F2EFB">
      <w:pPr>
        <w:ind w:left="720"/>
      </w:pPr>
      <w:r w:rsidRPr="006F2EFB">
        <w:t>The Commission’s position remains that for the small proportion of matters which proceed to court, this approach to costs is more consistent with that in other Australian discrimination law jurisdictions, and better facilitates access to justice while providing continuing capacity for courts to make costs orders appropriate to the conduct of the parties and the merits of the matter.</w:t>
      </w:r>
      <w:r>
        <w:rPr>
          <w:rStyle w:val="FootnoteReference"/>
        </w:rPr>
        <w:footnoteReference w:id="63"/>
      </w:r>
    </w:p>
    <w:p w14:paraId="7A6A00EC" w14:textId="32D939BA" w:rsidR="00D06C6F" w:rsidRDefault="007A786E" w:rsidP="006D522F">
      <w:r>
        <w:t xml:space="preserve">As the Explanatory Memorandum to the Respect at Work Bill 2022 </w:t>
      </w:r>
      <w:r w:rsidR="00DA1DF7">
        <w:t>explained</w:t>
      </w:r>
      <w:r>
        <w:t>, the government considered</w:t>
      </w:r>
      <w:r w:rsidR="000306A1">
        <w:t xml:space="preserve"> </w:t>
      </w:r>
      <w:r w:rsidR="00221DAB">
        <w:t>this</w:t>
      </w:r>
      <w:r w:rsidR="000306A1">
        <w:t xml:space="preserve"> model addressed the concerns raised in the Respect@Work Report, without disadvantaging either successful applicants from recovering their costs or </w:t>
      </w:r>
      <w:r w:rsidR="00221DAB">
        <w:t xml:space="preserve">respondents who are </w:t>
      </w:r>
      <w:r w:rsidR="000306A1">
        <w:t>not</w:t>
      </w:r>
      <w:r w:rsidR="00221DAB">
        <w:t xml:space="preserve"> </w:t>
      </w:r>
      <w:r w:rsidR="000306A1">
        <w:t>well</w:t>
      </w:r>
      <w:r w:rsidR="00221DAB">
        <w:noBreakHyphen/>
      </w:r>
      <w:r w:rsidR="000306A1">
        <w:t xml:space="preserve">resourced from paying </w:t>
      </w:r>
      <w:r w:rsidR="00631099">
        <w:t xml:space="preserve">their own </w:t>
      </w:r>
      <w:r w:rsidR="000306A1">
        <w:t xml:space="preserve">costs </w:t>
      </w:r>
      <w:r w:rsidR="00235553">
        <w:t>as the default position,</w:t>
      </w:r>
      <w:r w:rsidR="001068A7">
        <w:t xml:space="preserve"> even when successful</w:t>
      </w:r>
      <w:r w:rsidR="00C32C2F">
        <w:t xml:space="preserve"> (as would be the case under an asymmetrical cost model)</w:t>
      </w:r>
      <w:r w:rsidR="00D06C6F">
        <w:t>.</w:t>
      </w:r>
      <w:r>
        <w:rPr>
          <w:rStyle w:val="FootnoteReference"/>
        </w:rPr>
        <w:footnoteReference w:id="64"/>
      </w:r>
    </w:p>
    <w:p w14:paraId="657623C6" w14:textId="5288700F" w:rsidR="00F86BC9" w:rsidRDefault="00DA1DF7" w:rsidP="009A04EF">
      <w:pPr>
        <w:rPr>
          <w:lang w:val="en-AU"/>
        </w:rPr>
      </w:pPr>
      <w:r>
        <w:rPr>
          <w:lang w:val="en-AU"/>
        </w:rPr>
        <w:t>However, t</w:t>
      </w:r>
      <w:r w:rsidR="00235553">
        <w:rPr>
          <w:lang w:val="en-AU"/>
        </w:rPr>
        <w:t xml:space="preserve">his model would have </w:t>
      </w:r>
      <w:r w:rsidR="00DD7C0F">
        <w:rPr>
          <w:lang w:val="en-AU"/>
        </w:rPr>
        <w:t>similar</w:t>
      </w:r>
      <w:r w:rsidR="00235553">
        <w:rPr>
          <w:lang w:val="en-AU"/>
        </w:rPr>
        <w:t xml:space="preserve"> disadvantages </w:t>
      </w:r>
      <w:r w:rsidR="00A74F34">
        <w:rPr>
          <w:lang w:val="en-AU"/>
        </w:rPr>
        <w:t xml:space="preserve">in relation to the ability of parties to secure legal representation </w:t>
      </w:r>
      <w:r w:rsidR="00235553">
        <w:rPr>
          <w:lang w:val="en-AU"/>
        </w:rPr>
        <w:t>as the hard cost neutrality model</w:t>
      </w:r>
      <w:r w:rsidR="003E3E7F">
        <w:rPr>
          <w:lang w:val="en-AU"/>
        </w:rPr>
        <w:t xml:space="preserve"> has</w:t>
      </w:r>
      <w:r w:rsidR="00A74F34">
        <w:rPr>
          <w:lang w:val="en-AU"/>
        </w:rPr>
        <w:t xml:space="preserve">, which was a key concern </w:t>
      </w:r>
      <w:r w:rsidR="003E3E7F">
        <w:rPr>
          <w:lang w:val="en-AU"/>
        </w:rPr>
        <w:t>raised by legal representatives in particular in the context of the Respect at Work Bill 2022.</w:t>
      </w:r>
      <w:r w:rsidR="003E3E7F">
        <w:rPr>
          <w:rStyle w:val="FootnoteReference"/>
          <w:lang w:val="en-AU"/>
        </w:rPr>
        <w:footnoteReference w:id="65"/>
      </w:r>
      <w:r w:rsidR="00235553">
        <w:rPr>
          <w:lang w:val="en-AU"/>
        </w:rPr>
        <w:t xml:space="preserve"> </w:t>
      </w:r>
    </w:p>
    <w:p w14:paraId="4294821F" w14:textId="3E33501D" w:rsidR="003E3E7F" w:rsidRDefault="003E3E7F" w:rsidP="009A04EF">
      <w:pPr>
        <w:rPr>
          <w:lang w:val="en-AU"/>
        </w:rPr>
      </w:pPr>
      <w:r>
        <w:rPr>
          <w:lang w:val="en-AU"/>
        </w:rPr>
        <w:t xml:space="preserve">This model would pose less of a risk than the hard cost neutrality model in terms of encouraging litigation strategies designed to frustrate the ability for a party to continue with court proceedings, as a result of the broader judicial discretion to depart from the default position that parties bear their own costs. However, </w:t>
      </w:r>
      <w:r w:rsidR="00DA1DF7">
        <w:rPr>
          <w:lang w:val="en-AU"/>
        </w:rPr>
        <w:t>this</w:t>
      </w:r>
      <w:r>
        <w:rPr>
          <w:lang w:val="en-AU"/>
        </w:rPr>
        <w:t xml:space="preserve"> risk will remain under any form of cost neutrality model.</w:t>
      </w:r>
    </w:p>
    <w:p w14:paraId="00035B3B" w14:textId="47B66B65" w:rsidR="003E3E7F" w:rsidRDefault="003E3E7F" w:rsidP="009A04EF">
      <w:pPr>
        <w:rPr>
          <w:lang w:val="en-AU"/>
        </w:rPr>
      </w:pPr>
      <w:r>
        <w:rPr>
          <w:lang w:val="en-AU"/>
        </w:rPr>
        <w:lastRenderedPageBreak/>
        <w:t xml:space="preserve">Overall, </w:t>
      </w:r>
      <w:r w:rsidR="00DD7C0F">
        <w:rPr>
          <w:lang w:val="en-AU"/>
        </w:rPr>
        <w:t xml:space="preserve">the Free and Equal paper found that </w:t>
      </w:r>
      <w:r w:rsidR="009306FD">
        <w:rPr>
          <w:lang w:val="en-AU"/>
        </w:rPr>
        <w:t xml:space="preserve">this model would be </w:t>
      </w:r>
      <w:r w:rsidR="00116F7F">
        <w:rPr>
          <w:lang w:val="en-AU"/>
        </w:rPr>
        <w:t>more</w:t>
      </w:r>
      <w:r w:rsidR="009306FD">
        <w:rPr>
          <w:lang w:val="en-AU"/>
        </w:rPr>
        <w:t xml:space="preserve"> advantageous </w:t>
      </w:r>
      <w:r w:rsidR="00116F7F">
        <w:rPr>
          <w:lang w:val="en-AU"/>
        </w:rPr>
        <w:t xml:space="preserve">in </w:t>
      </w:r>
      <w:r w:rsidR="00AE0750">
        <w:rPr>
          <w:lang w:val="en-AU"/>
        </w:rPr>
        <w:t>key re</w:t>
      </w:r>
      <w:r w:rsidR="00116F7F">
        <w:rPr>
          <w:lang w:val="en-AU"/>
        </w:rPr>
        <w:t>spects than a hard costs neutrality model</w:t>
      </w:r>
      <w:r w:rsidR="00AB64A2">
        <w:rPr>
          <w:lang w:val="en-AU"/>
        </w:rPr>
        <w:t xml:space="preserve"> as</w:t>
      </w:r>
      <w:r w:rsidR="00F11E20">
        <w:rPr>
          <w:lang w:val="en-AU"/>
        </w:rPr>
        <w:t xml:space="preserve"> there would be more scope </w:t>
      </w:r>
      <w:r w:rsidR="00B25950">
        <w:rPr>
          <w:lang w:val="en-AU"/>
        </w:rPr>
        <w:t>for applicants to recover their costs with the broader judicial discretion</w:t>
      </w:r>
      <w:r w:rsidR="00AE0750">
        <w:rPr>
          <w:lang w:val="en-AU"/>
        </w:rPr>
        <w:t xml:space="preserve"> regardless of the outcome</w:t>
      </w:r>
      <w:r w:rsidR="00B25950">
        <w:rPr>
          <w:lang w:val="en-AU"/>
        </w:rPr>
        <w:t xml:space="preserve"> (and</w:t>
      </w:r>
      <w:r w:rsidR="00AE0750">
        <w:rPr>
          <w:lang w:val="en-AU"/>
        </w:rPr>
        <w:t xml:space="preserve"> for </w:t>
      </w:r>
      <w:r w:rsidR="00B25950">
        <w:rPr>
          <w:lang w:val="en-AU"/>
        </w:rPr>
        <w:t>respondents, in appropriate circumstances)</w:t>
      </w:r>
      <w:r w:rsidR="00116F7F">
        <w:rPr>
          <w:lang w:val="en-AU"/>
        </w:rPr>
        <w:t>,</w:t>
      </w:r>
      <w:r w:rsidR="00B25950">
        <w:rPr>
          <w:lang w:val="en-AU"/>
        </w:rPr>
        <w:t xml:space="preserve"> but </w:t>
      </w:r>
      <w:r w:rsidR="00101384">
        <w:rPr>
          <w:lang w:val="en-AU"/>
        </w:rPr>
        <w:t xml:space="preserve">consequently </w:t>
      </w:r>
      <w:r w:rsidR="00B25950">
        <w:rPr>
          <w:lang w:val="en-AU"/>
        </w:rPr>
        <w:t xml:space="preserve">more </w:t>
      </w:r>
      <w:r w:rsidR="00101384">
        <w:rPr>
          <w:lang w:val="en-AU"/>
        </w:rPr>
        <w:t xml:space="preserve">risk that they </w:t>
      </w:r>
      <w:r w:rsidR="00116F7F">
        <w:rPr>
          <w:lang w:val="en-AU"/>
        </w:rPr>
        <w:t xml:space="preserve">would </w:t>
      </w:r>
      <w:r w:rsidR="00101384">
        <w:rPr>
          <w:lang w:val="en-AU"/>
        </w:rPr>
        <w:t>face an adverse cost order</w:t>
      </w:r>
      <w:r w:rsidR="00AE0750">
        <w:rPr>
          <w:lang w:val="en-AU"/>
        </w:rPr>
        <w:t xml:space="preserve"> (but still less of a risk when compared to the status quo)</w:t>
      </w:r>
      <w:r w:rsidR="00101384">
        <w:rPr>
          <w:lang w:val="en-AU"/>
        </w:rPr>
        <w:t>.</w:t>
      </w:r>
      <w:r w:rsidR="00D77409">
        <w:rPr>
          <w:rStyle w:val="FootnoteReference"/>
          <w:lang w:val="en-AU"/>
        </w:rPr>
        <w:footnoteReference w:id="66"/>
      </w:r>
      <w:r w:rsidR="00101384">
        <w:rPr>
          <w:lang w:val="en-AU"/>
        </w:rPr>
        <w:t xml:space="preserve"> </w:t>
      </w:r>
      <w:r w:rsidR="00AE0750">
        <w:rPr>
          <w:lang w:val="en-AU"/>
        </w:rPr>
        <w:t xml:space="preserve">It would </w:t>
      </w:r>
      <w:r w:rsidR="00116F7F">
        <w:rPr>
          <w:lang w:val="en-AU"/>
        </w:rPr>
        <w:t xml:space="preserve">still present disadvantages in terms of </w:t>
      </w:r>
      <w:r w:rsidR="001E19E4">
        <w:rPr>
          <w:lang w:val="en-AU"/>
        </w:rPr>
        <w:t xml:space="preserve">parties’ ability to secure legal representation when compared to the status quo, but with more scope to recover costs, this would be less of a risk under this model </w:t>
      </w:r>
      <w:r w:rsidR="003D3659">
        <w:rPr>
          <w:lang w:val="en-AU"/>
        </w:rPr>
        <w:t xml:space="preserve">compared with </w:t>
      </w:r>
      <w:r w:rsidR="001E19E4">
        <w:rPr>
          <w:lang w:val="en-AU"/>
        </w:rPr>
        <w:t>a hard costs neutrality model.</w:t>
      </w:r>
    </w:p>
    <w:p w14:paraId="757DCD0C" w14:textId="7C9EDC76" w:rsidR="008B4001" w:rsidRDefault="001E19E4" w:rsidP="009A04EF">
      <w:pPr>
        <w:rPr>
          <w:lang w:val="en-AU"/>
        </w:rPr>
      </w:pPr>
      <w:r>
        <w:rPr>
          <w:lang w:val="en-AU"/>
        </w:rPr>
        <w:t>It is important to note that c</w:t>
      </w:r>
      <w:r w:rsidR="00CB6D6E">
        <w:rPr>
          <w:lang w:val="en-AU"/>
        </w:rPr>
        <w:t xml:space="preserve">ommunity legal </w:t>
      </w:r>
      <w:r w:rsidR="000326C6">
        <w:rPr>
          <w:lang w:val="en-AU"/>
        </w:rPr>
        <w:t>sector representatives and advocates</w:t>
      </w:r>
      <w:r w:rsidR="003E3E7F">
        <w:rPr>
          <w:lang w:val="en-AU"/>
        </w:rPr>
        <w:t xml:space="preserve"> have argued that </w:t>
      </w:r>
      <w:r w:rsidR="000326C6">
        <w:rPr>
          <w:lang w:val="en-AU"/>
        </w:rPr>
        <w:t>a</w:t>
      </w:r>
      <w:r w:rsidR="003E3E7F">
        <w:rPr>
          <w:lang w:val="en-AU"/>
        </w:rPr>
        <w:t xml:space="preserve"> ‘soft cost neutrality’ model would not go far enough to overcome the deterrent effect that an adverse costs order poses to applicants seeking to commence proceedings in discrimination law matters, nor provide sufficient certainty to applicants as to how costs would be awarded.</w:t>
      </w:r>
      <w:r w:rsidR="003E3E7F">
        <w:rPr>
          <w:rStyle w:val="FootnoteReference"/>
          <w:lang w:val="en-AU"/>
        </w:rPr>
        <w:footnoteReference w:id="67"/>
      </w:r>
      <w:r w:rsidR="003E3E7F">
        <w:rPr>
          <w:lang w:val="en-AU"/>
        </w:rPr>
        <w:t xml:space="preserve"> </w:t>
      </w:r>
      <w:r w:rsidR="00CB6D6E">
        <w:rPr>
          <w:lang w:val="en-AU"/>
        </w:rPr>
        <w:t>While the</w:t>
      </w:r>
      <w:r w:rsidR="000326C6">
        <w:rPr>
          <w:lang w:val="en-AU"/>
        </w:rPr>
        <w:t xml:space="preserve">se advocates </w:t>
      </w:r>
      <w:r w:rsidR="00CB6D6E">
        <w:rPr>
          <w:lang w:val="en-AU"/>
        </w:rPr>
        <w:t xml:space="preserve">would </w:t>
      </w:r>
      <w:r w:rsidR="000326C6">
        <w:rPr>
          <w:lang w:val="en-AU"/>
        </w:rPr>
        <w:t xml:space="preserve">ultimately </w:t>
      </w:r>
      <w:r w:rsidR="00CB6D6E">
        <w:rPr>
          <w:lang w:val="en-AU"/>
        </w:rPr>
        <w:t xml:space="preserve">prefer an </w:t>
      </w:r>
      <w:r w:rsidR="006D522F">
        <w:rPr>
          <w:lang w:val="en-AU"/>
        </w:rPr>
        <w:t>asymmetrical</w:t>
      </w:r>
      <w:r w:rsidR="00CB6D6E">
        <w:rPr>
          <w:lang w:val="en-AU"/>
        </w:rPr>
        <w:t xml:space="preserve"> model,</w:t>
      </w:r>
      <w:r w:rsidR="003B264B">
        <w:rPr>
          <w:lang w:val="en-AU"/>
        </w:rPr>
        <w:t xml:space="preserve"> in general they prefer </w:t>
      </w:r>
      <w:r w:rsidR="000326C6">
        <w:rPr>
          <w:lang w:val="en-AU"/>
        </w:rPr>
        <w:t>a</w:t>
      </w:r>
      <w:r w:rsidR="00CB6D6E">
        <w:rPr>
          <w:lang w:val="en-AU"/>
        </w:rPr>
        <w:t xml:space="preserve"> hard cost neutrality</w:t>
      </w:r>
      <w:r w:rsidR="000326C6">
        <w:rPr>
          <w:lang w:val="en-AU"/>
        </w:rPr>
        <w:t xml:space="preserve"> model</w:t>
      </w:r>
      <w:r w:rsidR="00CB6D6E">
        <w:rPr>
          <w:lang w:val="en-AU"/>
        </w:rPr>
        <w:t xml:space="preserve"> </w:t>
      </w:r>
      <w:r w:rsidR="003B264B">
        <w:rPr>
          <w:lang w:val="en-AU"/>
        </w:rPr>
        <w:t>(</w:t>
      </w:r>
      <w:r w:rsidR="000326C6">
        <w:rPr>
          <w:lang w:val="en-AU"/>
        </w:rPr>
        <w:t>based on section 570 of the Fair Work Act)</w:t>
      </w:r>
      <w:r w:rsidR="003B264B">
        <w:rPr>
          <w:lang w:val="en-AU"/>
        </w:rPr>
        <w:t xml:space="preserve"> over a soft cost neutrality model</w:t>
      </w:r>
      <w:r w:rsidR="000326C6">
        <w:rPr>
          <w:lang w:val="en-AU"/>
        </w:rPr>
        <w:t>.</w:t>
      </w:r>
    </w:p>
    <w:p w14:paraId="5D39FC2A" w14:textId="37B1A329" w:rsidR="00E05F33" w:rsidRDefault="00782B57" w:rsidP="004B13ED">
      <w:pPr>
        <w:pStyle w:val="Heading2"/>
      </w:pPr>
      <w:bookmarkStart w:id="42" w:name="_Toc127809120"/>
      <w:r>
        <w:t>A</w:t>
      </w:r>
      <w:r w:rsidR="00E05F33">
        <w:t>symmetrical</w:t>
      </w:r>
      <w:r w:rsidR="00670A44">
        <w:t xml:space="preserve"> cost</w:t>
      </w:r>
      <w:r>
        <w:t xml:space="preserve"> model (‘equal access</w:t>
      </w:r>
      <w:r w:rsidR="00670A44">
        <w:t>’)</w:t>
      </w:r>
      <w:bookmarkEnd w:id="42"/>
    </w:p>
    <w:p w14:paraId="1708DC18" w14:textId="34AC3629" w:rsidR="00670A44" w:rsidRDefault="00670A44" w:rsidP="00C04ADA">
      <w:pPr>
        <w:pStyle w:val="Heading3"/>
      </w:pPr>
      <w:bookmarkStart w:id="43" w:name="_Toc127809121"/>
      <w:bookmarkStart w:id="44" w:name="_Hlk124457995"/>
      <w:r>
        <w:t>Overview</w:t>
      </w:r>
      <w:bookmarkEnd w:id="43"/>
    </w:p>
    <w:bookmarkEnd w:id="44"/>
    <w:p w14:paraId="187BF685" w14:textId="13D0EBD8" w:rsidR="00035D9A" w:rsidRDefault="00035D9A" w:rsidP="00740B88">
      <w:pPr>
        <w:rPr>
          <w:rFonts w:cstheme="minorHAnsi"/>
        </w:rPr>
      </w:pPr>
      <w:r>
        <w:rPr>
          <w:lang w:val="en-AU"/>
        </w:rPr>
        <w:t xml:space="preserve">This type of cost model – also referred to as an equal access cost model – </w:t>
      </w:r>
      <w:r w:rsidRPr="00C46877">
        <w:rPr>
          <w:rFonts w:cstheme="minorHAnsi"/>
          <w:lang w:val="en-AU"/>
        </w:rPr>
        <w:t xml:space="preserve">would </w:t>
      </w:r>
      <w:r w:rsidRPr="00C46877">
        <w:rPr>
          <w:rFonts w:cstheme="minorHAnsi"/>
        </w:rPr>
        <w:t>prevent a court from ordering an applicant to pay the respondent’s costs</w:t>
      </w:r>
      <w:r>
        <w:rPr>
          <w:rFonts w:cstheme="minorHAnsi"/>
        </w:rPr>
        <w:t xml:space="preserve"> </w:t>
      </w:r>
      <w:r w:rsidRPr="00035D9A">
        <w:rPr>
          <w:rFonts w:cstheme="minorHAnsi"/>
          <w:i/>
        </w:rPr>
        <w:t>except</w:t>
      </w:r>
      <w:r>
        <w:rPr>
          <w:rFonts w:cstheme="minorHAnsi"/>
        </w:rPr>
        <w:t xml:space="preserve"> where </w:t>
      </w:r>
      <w:r w:rsidRPr="00C46877">
        <w:rPr>
          <w:rFonts w:cstheme="minorHAnsi"/>
        </w:rPr>
        <w:t>the applicant ha</w:t>
      </w:r>
      <w:r>
        <w:rPr>
          <w:rFonts w:cstheme="minorHAnsi"/>
        </w:rPr>
        <w:t>d</w:t>
      </w:r>
      <w:r w:rsidRPr="00C46877">
        <w:rPr>
          <w:rFonts w:cstheme="minorHAnsi"/>
        </w:rPr>
        <w:t xml:space="preserve"> </w:t>
      </w:r>
      <w:r>
        <w:rPr>
          <w:rFonts w:cstheme="minorHAnsi"/>
        </w:rPr>
        <w:t>acted</w:t>
      </w:r>
      <w:r w:rsidRPr="00C46877">
        <w:rPr>
          <w:rFonts w:cstheme="minorHAnsi"/>
        </w:rPr>
        <w:t xml:space="preserve"> vexatiously or unreasonably</w:t>
      </w:r>
      <w:r>
        <w:rPr>
          <w:rFonts w:cstheme="minorHAnsi"/>
        </w:rPr>
        <w:t xml:space="preserve"> in commencing the proceedings or in the way they conducted themselves during proceedings</w:t>
      </w:r>
      <w:r w:rsidRPr="00C46877">
        <w:rPr>
          <w:rFonts w:cstheme="minorHAnsi"/>
        </w:rPr>
        <w:t>.</w:t>
      </w:r>
      <w:r w:rsidR="00717263" w:rsidRPr="00717263">
        <w:rPr>
          <w:lang w:val="en-AU"/>
        </w:rPr>
        <w:t xml:space="preserve"> </w:t>
      </w:r>
      <w:r w:rsidR="00717263">
        <w:rPr>
          <w:lang w:val="en-AU"/>
        </w:rPr>
        <w:t xml:space="preserve">This model is supported by a range of community legal sector representatives and legal profession representatives, as well as academics. </w:t>
      </w:r>
    </w:p>
    <w:p w14:paraId="335EBD48" w14:textId="7F712867" w:rsidR="00A83103" w:rsidRDefault="00035D9A" w:rsidP="00740B88">
      <w:pPr>
        <w:rPr>
          <w:lang w:val="en-AU"/>
        </w:rPr>
      </w:pPr>
      <w:r>
        <w:rPr>
          <w:lang w:val="en-AU"/>
        </w:rPr>
        <w:t xml:space="preserve">It is based on existing federal laws providing </w:t>
      </w:r>
      <w:proofErr w:type="spellStart"/>
      <w:r>
        <w:rPr>
          <w:lang w:val="en-AU"/>
        </w:rPr>
        <w:t>whistleblower</w:t>
      </w:r>
      <w:proofErr w:type="spellEnd"/>
      <w:r>
        <w:rPr>
          <w:lang w:val="en-AU"/>
        </w:rPr>
        <w:t xml:space="preserve"> protections: see section 18 of the </w:t>
      </w:r>
      <w:r w:rsidRPr="001C73DB">
        <w:rPr>
          <w:i/>
          <w:lang w:val="en-AU"/>
        </w:rPr>
        <w:t xml:space="preserve">Public Interest </w:t>
      </w:r>
      <w:r w:rsidRPr="009B705A">
        <w:rPr>
          <w:i/>
          <w:lang w:val="en-AU"/>
        </w:rPr>
        <w:t>Disclosure Act 2013</w:t>
      </w:r>
      <w:r w:rsidRPr="009B705A">
        <w:rPr>
          <w:lang w:val="en-AU"/>
        </w:rPr>
        <w:t xml:space="preserve"> and section </w:t>
      </w:r>
      <w:r w:rsidRPr="009B705A">
        <w:rPr>
          <w:rStyle w:val="charsectno"/>
          <w:rFonts w:eastAsia="SimSun" w:cstheme="minorHAnsi"/>
          <w:bCs/>
          <w:color w:val="000000"/>
        </w:rPr>
        <w:t>1317AH</w:t>
      </w:r>
      <w:r w:rsidRPr="009B705A">
        <w:rPr>
          <w:lang w:val="en-AU"/>
        </w:rPr>
        <w:t xml:space="preserve"> of the </w:t>
      </w:r>
      <w:r w:rsidRPr="009B705A">
        <w:rPr>
          <w:i/>
          <w:lang w:val="en-AU"/>
        </w:rPr>
        <w:t xml:space="preserve">Corporations Act 2001 </w:t>
      </w:r>
      <w:r w:rsidR="006D522F" w:rsidRPr="009B705A">
        <w:rPr>
          <w:lang w:val="en-AU"/>
        </w:rPr>
        <w:t>(extracted in full in an appendix to this paper)</w:t>
      </w:r>
      <w:r w:rsidRPr="009B705A">
        <w:rPr>
          <w:lang w:val="en-AU"/>
        </w:rPr>
        <w:t>.</w:t>
      </w:r>
    </w:p>
    <w:p w14:paraId="755BC7C7" w14:textId="6504D5FF" w:rsidR="00613DF0" w:rsidRDefault="00DC43DD" w:rsidP="00613DF0">
      <w:pPr>
        <w:spacing w:before="120" w:after="120" w:line="276" w:lineRule="auto"/>
        <w:rPr>
          <w:rFonts w:cstheme="minorHAnsi"/>
        </w:rPr>
      </w:pPr>
      <w:r>
        <w:rPr>
          <w:rFonts w:cstheme="minorHAnsi"/>
          <w:lang w:val="en-AU"/>
        </w:rPr>
        <w:t xml:space="preserve">Under this model, </w:t>
      </w:r>
      <w:r w:rsidR="00B5264E" w:rsidRPr="00C46877">
        <w:rPr>
          <w:rFonts w:cstheme="minorHAnsi"/>
        </w:rPr>
        <w:t>if an applicant is unsuccessful, each party</w:t>
      </w:r>
      <w:r w:rsidR="00C46877">
        <w:rPr>
          <w:rFonts w:cstheme="minorHAnsi"/>
        </w:rPr>
        <w:t xml:space="preserve"> would</w:t>
      </w:r>
      <w:r w:rsidR="00B5264E" w:rsidRPr="00C46877">
        <w:rPr>
          <w:rFonts w:cstheme="minorHAnsi"/>
        </w:rPr>
        <w:t xml:space="preserve"> bear their own costs. However, if an applicant is successful, the respondent w</w:t>
      </w:r>
      <w:r w:rsidR="004669FB">
        <w:rPr>
          <w:rFonts w:cstheme="minorHAnsi"/>
        </w:rPr>
        <w:t>ould</w:t>
      </w:r>
      <w:r w:rsidR="00B5264E" w:rsidRPr="00C46877">
        <w:rPr>
          <w:rFonts w:cstheme="minorHAnsi"/>
        </w:rPr>
        <w:t xml:space="preserve"> be liable for the</w:t>
      </w:r>
      <w:r w:rsidR="00C46877">
        <w:rPr>
          <w:rFonts w:cstheme="minorHAnsi"/>
        </w:rPr>
        <w:t xml:space="preserve"> applicant’s</w:t>
      </w:r>
      <w:r w:rsidR="00B5264E" w:rsidRPr="00C46877">
        <w:rPr>
          <w:rFonts w:cstheme="minorHAnsi"/>
        </w:rPr>
        <w:t xml:space="preserve"> costs. </w:t>
      </w:r>
      <w:r>
        <w:rPr>
          <w:rFonts w:cstheme="minorHAnsi"/>
        </w:rPr>
        <w:t>R</w:t>
      </w:r>
      <w:r w:rsidR="00613DF0" w:rsidRPr="00C46877">
        <w:rPr>
          <w:rFonts w:cstheme="minorHAnsi"/>
        </w:rPr>
        <w:t>espondent</w:t>
      </w:r>
      <w:r>
        <w:rPr>
          <w:rFonts w:cstheme="minorHAnsi"/>
        </w:rPr>
        <w:t>s</w:t>
      </w:r>
      <w:r w:rsidR="00613DF0" w:rsidRPr="00C46877">
        <w:rPr>
          <w:rFonts w:cstheme="minorHAnsi"/>
        </w:rPr>
        <w:t xml:space="preserve"> </w:t>
      </w:r>
      <w:r>
        <w:rPr>
          <w:rFonts w:cstheme="minorHAnsi"/>
        </w:rPr>
        <w:t>have</w:t>
      </w:r>
      <w:r w:rsidR="00613DF0" w:rsidRPr="00C46877">
        <w:rPr>
          <w:rFonts w:cstheme="minorHAnsi"/>
        </w:rPr>
        <w:t xml:space="preserve"> very limited capacity to recover their own costs</w:t>
      </w:r>
      <w:r>
        <w:rPr>
          <w:rFonts w:cstheme="minorHAnsi"/>
        </w:rPr>
        <w:t xml:space="preserve"> under this model</w:t>
      </w:r>
      <w:r w:rsidR="00613DF0" w:rsidRPr="00C46877">
        <w:rPr>
          <w:rFonts w:cstheme="minorHAnsi"/>
        </w:rPr>
        <w:t xml:space="preserve">, even </w:t>
      </w:r>
      <w:r>
        <w:rPr>
          <w:rFonts w:cstheme="minorHAnsi"/>
        </w:rPr>
        <w:t xml:space="preserve">where </w:t>
      </w:r>
      <w:r w:rsidR="00613DF0" w:rsidRPr="00C46877">
        <w:rPr>
          <w:rFonts w:cstheme="minorHAnsi"/>
        </w:rPr>
        <w:t>they are successful.</w:t>
      </w:r>
    </w:p>
    <w:p w14:paraId="1F738691" w14:textId="72126159" w:rsidR="0050253A" w:rsidRPr="00927148" w:rsidRDefault="00740B88" w:rsidP="00927148">
      <w:pPr>
        <w:rPr>
          <w:lang w:val="en-AU"/>
        </w:rPr>
      </w:pPr>
      <w:r>
        <w:rPr>
          <w:rFonts w:cstheme="minorHAnsi"/>
        </w:rPr>
        <w:t xml:space="preserve">Given this model is weighted more in </w:t>
      </w:r>
      <w:proofErr w:type="spellStart"/>
      <w:r>
        <w:rPr>
          <w:rFonts w:cstheme="minorHAnsi"/>
        </w:rPr>
        <w:t>favour</w:t>
      </w:r>
      <w:proofErr w:type="spellEnd"/>
      <w:r>
        <w:rPr>
          <w:rFonts w:cstheme="minorHAnsi"/>
        </w:rPr>
        <w:t xml:space="preserve"> of applicants and overcoming barriers to them proceeding to court with discrimination matters, it is referred to as an ‘asymmetrical cost model’ – though as advocates have pointed out, individual applicants seeking to enforce their rights in discrimination law often face significant challenges (including power disparities), and so some term this model an ‘equal access cost model’, as it seeks to level the playing field for applicants.</w:t>
      </w:r>
    </w:p>
    <w:p w14:paraId="463CF956" w14:textId="700DCA9E" w:rsidR="00670A44" w:rsidRDefault="00670A44" w:rsidP="00C04ADA">
      <w:pPr>
        <w:pStyle w:val="Heading3"/>
      </w:pPr>
      <w:bookmarkStart w:id="45" w:name="_Toc127809122"/>
      <w:r>
        <w:lastRenderedPageBreak/>
        <w:t>Analysis of advantages and disadvantages</w:t>
      </w:r>
      <w:bookmarkEnd w:id="45"/>
    </w:p>
    <w:p w14:paraId="1321029A" w14:textId="1FBC7C09" w:rsidR="00B06E90" w:rsidRDefault="008C0821" w:rsidP="008C0821">
      <w:pPr>
        <w:rPr>
          <w:lang w:val="en-AU"/>
        </w:rPr>
      </w:pPr>
      <w:r>
        <w:rPr>
          <w:lang w:val="en-AU"/>
        </w:rPr>
        <w:t xml:space="preserve">An asymmetrical cost model would more effectively overcome the barriers </w:t>
      </w:r>
      <w:r w:rsidR="00893D64">
        <w:rPr>
          <w:lang w:val="en-AU"/>
        </w:rPr>
        <w:t xml:space="preserve">that </w:t>
      </w:r>
      <w:r>
        <w:rPr>
          <w:lang w:val="en-AU"/>
        </w:rPr>
        <w:t>applicants face</w:t>
      </w:r>
      <w:r w:rsidR="00506574">
        <w:rPr>
          <w:lang w:val="en-AU"/>
        </w:rPr>
        <w:t xml:space="preserve"> in proceeding </w:t>
      </w:r>
      <w:r w:rsidR="00893D64">
        <w:rPr>
          <w:lang w:val="en-AU"/>
        </w:rPr>
        <w:t xml:space="preserve">to court </w:t>
      </w:r>
      <w:r w:rsidR="00506574">
        <w:rPr>
          <w:lang w:val="en-AU"/>
        </w:rPr>
        <w:t xml:space="preserve">with their discrimination matters </w:t>
      </w:r>
      <w:r>
        <w:rPr>
          <w:lang w:val="en-AU"/>
        </w:rPr>
        <w:t>by</w:t>
      </w:r>
      <w:r w:rsidR="00EE75E9">
        <w:rPr>
          <w:lang w:val="en-AU"/>
        </w:rPr>
        <w:t xml:space="preserve"> mitigating the risk of an adverse cost order</w:t>
      </w:r>
      <w:r>
        <w:rPr>
          <w:lang w:val="en-AU"/>
        </w:rPr>
        <w:t xml:space="preserve"> </w:t>
      </w:r>
      <w:r w:rsidR="00893D64">
        <w:rPr>
          <w:lang w:val="en-AU"/>
        </w:rPr>
        <w:t>almost entirely. Under this model, applicants would be sure</w:t>
      </w:r>
      <w:r>
        <w:rPr>
          <w:lang w:val="en-AU"/>
        </w:rPr>
        <w:t xml:space="preserve"> that should they be unsuccessful, they would only be liable for their costs</w:t>
      </w:r>
      <w:r w:rsidR="004669FB">
        <w:rPr>
          <w:lang w:val="en-AU"/>
        </w:rPr>
        <w:t xml:space="preserve"> </w:t>
      </w:r>
      <w:r>
        <w:rPr>
          <w:lang w:val="en-AU"/>
        </w:rPr>
        <w:t xml:space="preserve">– not </w:t>
      </w:r>
      <w:r w:rsidR="00EE75E9">
        <w:rPr>
          <w:lang w:val="en-AU"/>
        </w:rPr>
        <w:t xml:space="preserve">also </w:t>
      </w:r>
      <w:r>
        <w:rPr>
          <w:lang w:val="en-AU"/>
        </w:rPr>
        <w:t xml:space="preserve">the respondent’s </w:t>
      </w:r>
      <w:r w:rsidR="00893D64">
        <w:rPr>
          <w:lang w:val="en-AU"/>
        </w:rPr>
        <w:t xml:space="preserve">(unless the applicant had </w:t>
      </w:r>
      <w:r>
        <w:rPr>
          <w:lang w:val="en-AU"/>
        </w:rPr>
        <w:t>act</w:t>
      </w:r>
      <w:r w:rsidR="00893D64">
        <w:rPr>
          <w:lang w:val="en-AU"/>
        </w:rPr>
        <w:t>ed</w:t>
      </w:r>
      <w:r>
        <w:rPr>
          <w:lang w:val="en-AU"/>
        </w:rPr>
        <w:t xml:space="preserve"> vexatiously or unreasonably</w:t>
      </w:r>
      <w:r w:rsidR="00893D64">
        <w:rPr>
          <w:lang w:val="en-AU"/>
        </w:rPr>
        <w:t>)</w:t>
      </w:r>
      <w:r>
        <w:rPr>
          <w:lang w:val="en-AU"/>
        </w:rPr>
        <w:t xml:space="preserve">. </w:t>
      </w:r>
    </w:p>
    <w:p w14:paraId="0ED08AAA" w14:textId="2B4C071F" w:rsidR="008C0821" w:rsidRDefault="008C0821" w:rsidP="008C0821">
      <w:pPr>
        <w:rPr>
          <w:lang w:val="en-AU"/>
        </w:rPr>
      </w:pPr>
      <w:r>
        <w:rPr>
          <w:lang w:val="en-AU"/>
        </w:rPr>
        <w:t xml:space="preserve">However, this </w:t>
      </w:r>
      <w:r w:rsidR="00377D62">
        <w:rPr>
          <w:lang w:val="en-AU"/>
        </w:rPr>
        <w:t xml:space="preserve">certainty </w:t>
      </w:r>
      <w:r w:rsidR="00893D64">
        <w:rPr>
          <w:lang w:val="en-AU"/>
        </w:rPr>
        <w:t>for applicants means increased exposure to the risk of an adverse costs order for respondents, and consequent diminished capacity</w:t>
      </w:r>
      <w:r w:rsidR="00A60798">
        <w:rPr>
          <w:lang w:val="en-AU"/>
        </w:rPr>
        <w:t xml:space="preserve"> for respondents</w:t>
      </w:r>
      <w:r w:rsidR="00893D64">
        <w:rPr>
          <w:lang w:val="en-AU"/>
        </w:rPr>
        <w:t xml:space="preserve"> to secure legal representation. </w:t>
      </w:r>
    </w:p>
    <w:p w14:paraId="58324C2B" w14:textId="4CA00900" w:rsidR="008C0821" w:rsidRPr="00C46877" w:rsidRDefault="00FA2E72" w:rsidP="008C0821">
      <w:pPr>
        <w:spacing w:before="120" w:after="120" w:line="276" w:lineRule="auto"/>
        <w:rPr>
          <w:rFonts w:cstheme="minorHAnsi"/>
        </w:rPr>
      </w:pPr>
      <w:r>
        <w:rPr>
          <w:rFonts w:cstheme="minorHAnsi"/>
        </w:rPr>
        <w:t>U</w:t>
      </w:r>
      <w:r w:rsidR="008C0821">
        <w:rPr>
          <w:rFonts w:cstheme="minorHAnsi"/>
        </w:rPr>
        <w:t>nder this model</w:t>
      </w:r>
      <w:r w:rsidR="00746DF4">
        <w:rPr>
          <w:rFonts w:cstheme="minorHAnsi"/>
        </w:rPr>
        <w:t>,</w:t>
      </w:r>
      <w:r w:rsidR="007D1A20">
        <w:rPr>
          <w:rFonts w:cstheme="minorHAnsi"/>
        </w:rPr>
        <w:t xml:space="preserve"> applicants</w:t>
      </w:r>
      <w:r w:rsidR="008C0821">
        <w:rPr>
          <w:rFonts w:cstheme="minorHAnsi"/>
        </w:rPr>
        <w:t xml:space="preserve"> would be able to </w:t>
      </w:r>
      <w:r w:rsidR="008C0821" w:rsidRPr="00C46877">
        <w:rPr>
          <w:rFonts w:cstheme="minorHAnsi"/>
        </w:rPr>
        <w:t xml:space="preserve">recoup their costs </w:t>
      </w:r>
      <w:r w:rsidR="008C0821">
        <w:rPr>
          <w:rFonts w:cstheme="minorHAnsi"/>
        </w:rPr>
        <w:t xml:space="preserve">where </w:t>
      </w:r>
      <w:r w:rsidR="007D1A20">
        <w:rPr>
          <w:rFonts w:cstheme="minorHAnsi"/>
        </w:rPr>
        <w:t>they are</w:t>
      </w:r>
      <w:r w:rsidR="008C0821" w:rsidRPr="00C46877">
        <w:rPr>
          <w:rFonts w:cstheme="minorHAnsi"/>
        </w:rPr>
        <w:t xml:space="preserve"> successful</w:t>
      </w:r>
      <w:r w:rsidR="008C0821">
        <w:rPr>
          <w:rFonts w:cstheme="minorHAnsi"/>
        </w:rPr>
        <w:t xml:space="preserve"> (given costs would be awarded against the respondent)</w:t>
      </w:r>
      <w:r w:rsidR="007D1A20">
        <w:rPr>
          <w:rFonts w:cstheme="minorHAnsi"/>
        </w:rPr>
        <w:t>, so l</w:t>
      </w:r>
      <w:r w:rsidR="007D1A20" w:rsidRPr="00C46877">
        <w:rPr>
          <w:rFonts w:cstheme="minorHAnsi"/>
        </w:rPr>
        <w:t xml:space="preserve">egal practitioners </w:t>
      </w:r>
      <w:r w:rsidR="007D1A20">
        <w:rPr>
          <w:rFonts w:cstheme="minorHAnsi"/>
        </w:rPr>
        <w:t>would not be discouraged from offering representation on a conditional cost basis</w:t>
      </w:r>
      <w:r w:rsidR="008C0821" w:rsidRPr="00C46877">
        <w:rPr>
          <w:rFonts w:cstheme="minorHAnsi"/>
        </w:rPr>
        <w:t xml:space="preserve">. </w:t>
      </w:r>
      <w:r w:rsidR="008C0821">
        <w:rPr>
          <w:rFonts w:cstheme="minorHAnsi"/>
        </w:rPr>
        <w:t>If the applicant is unsuccessful, they would only be</w:t>
      </w:r>
      <w:r w:rsidR="008C0821" w:rsidRPr="00C46877">
        <w:rPr>
          <w:rFonts w:cstheme="minorHAnsi"/>
        </w:rPr>
        <w:t xml:space="preserve"> liable for their own costs </w:t>
      </w:r>
      <w:r w:rsidR="008C0821">
        <w:rPr>
          <w:rFonts w:cstheme="minorHAnsi"/>
        </w:rPr>
        <w:t>(unless they were found to have acted vexatiously or unreasonably)</w:t>
      </w:r>
      <w:r w:rsidR="008C0821" w:rsidRPr="00C46877">
        <w:rPr>
          <w:rFonts w:cstheme="minorHAnsi"/>
        </w:rPr>
        <w:t xml:space="preserve">. </w:t>
      </w:r>
    </w:p>
    <w:p w14:paraId="1CA0DFAC" w14:textId="3CA3BF4A" w:rsidR="008C0821" w:rsidRPr="00C46877" w:rsidRDefault="008C0821" w:rsidP="008C0821">
      <w:pPr>
        <w:spacing w:before="120" w:after="120" w:line="276" w:lineRule="auto"/>
        <w:rPr>
          <w:rFonts w:cstheme="minorHAnsi"/>
        </w:rPr>
      </w:pPr>
      <w:r>
        <w:rPr>
          <w:rFonts w:cstheme="minorHAnsi"/>
        </w:rPr>
        <w:t>However, a respondent would not be able to recover their legal fees e</w:t>
      </w:r>
      <w:r w:rsidRPr="00C46877">
        <w:rPr>
          <w:rFonts w:cstheme="minorHAnsi"/>
        </w:rPr>
        <w:t xml:space="preserve">ven if </w:t>
      </w:r>
      <w:r>
        <w:rPr>
          <w:rFonts w:cstheme="minorHAnsi"/>
        </w:rPr>
        <w:t>s</w:t>
      </w:r>
      <w:r w:rsidRPr="00C46877">
        <w:rPr>
          <w:rFonts w:cstheme="minorHAnsi"/>
        </w:rPr>
        <w:t>uccessful. This may impact legal practitioners</w:t>
      </w:r>
      <w:r>
        <w:rPr>
          <w:rFonts w:cstheme="minorHAnsi"/>
        </w:rPr>
        <w:t xml:space="preserve">’ ability to </w:t>
      </w:r>
      <w:r w:rsidRPr="00C46877">
        <w:rPr>
          <w:rFonts w:cstheme="minorHAnsi"/>
        </w:rPr>
        <w:t>offer services on a conditional cost basis</w:t>
      </w:r>
      <w:r>
        <w:rPr>
          <w:rFonts w:cstheme="minorHAnsi"/>
        </w:rPr>
        <w:t>,</w:t>
      </w:r>
      <w:r w:rsidRPr="00C46877">
        <w:rPr>
          <w:rFonts w:cstheme="minorHAnsi"/>
        </w:rPr>
        <w:t xml:space="preserve"> as it means that respondents would need to be certain they could cover their own costs before commencing litigation</w:t>
      </w:r>
      <w:r>
        <w:rPr>
          <w:rFonts w:cstheme="minorHAnsi"/>
        </w:rPr>
        <w:t xml:space="preserve"> (and this may consequently increase the pressure on respondents to settle privately prior to litigation commencing)</w:t>
      </w:r>
      <w:r w:rsidRPr="00C46877">
        <w:rPr>
          <w:rFonts w:cstheme="minorHAnsi"/>
        </w:rPr>
        <w:t>.</w:t>
      </w:r>
      <w:r>
        <w:rPr>
          <w:rFonts w:cstheme="minorHAnsi"/>
        </w:rPr>
        <w:t xml:space="preserve"> This may not be a significant risk for well-resourced respondents, but would pose a challenge for smaller respondents</w:t>
      </w:r>
      <w:r w:rsidR="004669FB">
        <w:rPr>
          <w:rFonts w:cstheme="minorHAnsi"/>
        </w:rPr>
        <w:t>, such as small hospitality or retail businesses</w:t>
      </w:r>
      <w:r w:rsidR="00A25B71">
        <w:rPr>
          <w:rFonts w:cstheme="minorHAnsi"/>
        </w:rPr>
        <w:t>, accommodation providers</w:t>
      </w:r>
      <w:r w:rsidR="004669FB">
        <w:rPr>
          <w:rFonts w:cstheme="minorHAnsi"/>
        </w:rPr>
        <w:t xml:space="preserve"> or individual teachers and principals (see the outline of respondent categories above)</w:t>
      </w:r>
      <w:r>
        <w:rPr>
          <w:rFonts w:cstheme="minorHAnsi"/>
        </w:rPr>
        <w:t>.</w:t>
      </w:r>
    </w:p>
    <w:p w14:paraId="77E5866E" w14:textId="04F3EA19" w:rsidR="008C0821" w:rsidRDefault="007D1A20" w:rsidP="00613DF0">
      <w:pPr>
        <w:rPr>
          <w:lang w:val="en-AU"/>
        </w:rPr>
      </w:pPr>
      <w:r>
        <w:rPr>
          <w:lang w:val="en-AU"/>
        </w:rPr>
        <w:t>This model may e</w:t>
      </w:r>
      <w:r w:rsidR="008C0821">
        <w:rPr>
          <w:lang w:val="en-AU"/>
        </w:rPr>
        <w:t xml:space="preserve">ncourage more </w:t>
      </w:r>
      <w:r w:rsidR="00C01CCD">
        <w:rPr>
          <w:lang w:val="en-AU"/>
        </w:rPr>
        <w:t xml:space="preserve">discrimination </w:t>
      </w:r>
      <w:r w:rsidR="008C0821">
        <w:rPr>
          <w:lang w:val="en-AU"/>
        </w:rPr>
        <w:t>matters</w:t>
      </w:r>
      <w:r>
        <w:rPr>
          <w:lang w:val="en-AU"/>
        </w:rPr>
        <w:t xml:space="preserve"> of public interest and value to be brought before the courts for judicial consideration, given applicants would face </w:t>
      </w:r>
      <w:r w:rsidR="006F6BF5">
        <w:rPr>
          <w:lang w:val="en-AU"/>
        </w:rPr>
        <w:t xml:space="preserve">less </w:t>
      </w:r>
      <w:r>
        <w:rPr>
          <w:lang w:val="en-AU"/>
        </w:rPr>
        <w:t xml:space="preserve">financial </w:t>
      </w:r>
      <w:r w:rsidR="006F6BF5">
        <w:rPr>
          <w:lang w:val="en-AU"/>
        </w:rPr>
        <w:t xml:space="preserve">risk and </w:t>
      </w:r>
      <w:r>
        <w:rPr>
          <w:lang w:val="en-AU"/>
        </w:rPr>
        <w:t xml:space="preserve">disincentive from doing so. </w:t>
      </w:r>
      <w:r w:rsidR="006F6BF5">
        <w:rPr>
          <w:lang w:val="en-AU"/>
        </w:rPr>
        <w:t xml:space="preserve">Conversely, this model may encourage more unmeritorious complaints, given the financial risk and disincentive would shift primarily to respondents. </w:t>
      </w:r>
      <w:r w:rsidR="00C01CCD">
        <w:rPr>
          <w:lang w:val="en-AU"/>
        </w:rPr>
        <w:t xml:space="preserve">And while this may be appropriate in some cases, where respondents are well-resourced corporate entities and at significant power disparity over an applicant, many respondents do not fit this profile and would be at a significant disadvantage under this model. </w:t>
      </w:r>
    </w:p>
    <w:p w14:paraId="0B350EDF" w14:textId="086D5CA2" w:rsidR="00106EA8" w:rsidRDefault="00106EA8" w:rsidP="00106EA8">
      <w:pPr>
        <w:pStyle w:val="Heading2"/>
      </w:pPr>
      <w:bookmarkStart w:id="46" w:name="_Toc127809123"/>
      <w:r>
        <w:t>Applicant choice model</w:t>
      </w:r>
      <w:bookmarkEnd w:id="46"/>
    </w:p>
    <w:p w14:paraId="1E308941" w14:textId="77777777" w:rsidR="00106EA8" w:rsidRDefault="00106EA8" w:rsidP="00106EA8">
      <w:pPr>
        <w:pStyle w:val="Heading3"/>
      </w:pPr>
      <w:bookmarkStart w:id="47" w:name="_Toc127809124"/>
      <w:r>
        <w:t>Overview</w:t>
      </w:r>
      <w:bookmarkEnd w:id="47"/>
    </w:p>
    <w:p w14:paraId="18E3905D" w14:textId="3327E50A" w:rsidR="002C36C8" w:rsidRDefault="002C36C8" w:rsidP="00826FDE">
      <w:pPr>
        <w:rPr>
          <w:lang w:val="en-AU"/>
        </w:rPr>
      </w:pPr>
      <w:r>
        <w:rPr>
          <w:lang w:val="en-AU"/>
        </w:rPr>
        <w:t xml:space="preserve">This model would </w:t>
      </w:r>
      <w:r w:rsidR="00943D28">
        <w:rPr>
          <w:lang w:val="en-AU"/>
        </w:rPr>
        <w:t>enable an applicant at the outset of court proceedings to elect</w:t>
      </w:r>
      <w:r w:rsidR="00A37124">
        <w:rPr>
          <w:lang w:val="en-AU"/>
        </w:rPr>
        <w:t xml:space="preserve"> one of two options as to</w:t>
      </w:r>
      <w:r w:rsidR="00943D28">
        <w:rPr>
          <w:lang w:val="en-AU"/>
        </w:rPr>
        <w:t xml:space="preserve"> how costs are resolved in the case at hand</w:t>
      </w:r>
      <w:r w:rsidR="00A37124">
        <w:rPr>
          <w:lang w:val="en-AU"/>
        </w:rPr>
        <w:t xml:space="preserve">. The applicant </w:t>
      </w:r>
      <w:r w:rsidR="00943D28">
        <w:rPr>
          <w:lang w:val="en-AU"/>
        </w:rPr>
        <w:t xml:space="preserve">could choose either a ‘costs follow the event’ model (whereby the unsuccessful party has costs awarded against them) or a hard cost neutrality model (where each party bears their own costs, unless a party acts unreasonably or vexatiously). </w:t>
      </w:r>
    </w:p>
    <w:p w14:paraId="02BB93C7" w14:textId="7066AC1A" w:rsidR="00741A1F" w:rsidRDefault="00741A1F" w:rsidP="00826FDE">
      <w:pPr>
        <w:rPr>
          <w:lang w:val="en-AU"/>
        </w:rPr>
      </w:pPr>
      <w:r>
        <w:rPr>
          <w:lang w:val="en-AU"/>
        </w:rPr>
        <w:t>This</w:t>
      </w:r>
      <w:r w:rsidR="0039430F">
        <w:rPr>
          <w:lang w:val="en-AU"/>
        </w:rPr>
        <w:t xml:space="preserve"> </w:t>
      </w:r>
      <w:r>
        <w:rPr>
          <w:lang w:val="en-AU"/>
        </w:rPr>
        <w:t xml:space="preserve">model was </w:t>
      </w:r>
      <w:r w:rsidR="00A37124">
        <w:rPr>
          <w:lang w:val="en-AU"/>
        </w:rPr>
        <w:t xml:space="preserve">reflected </w:t>
      </w:r>
      <w:r>
        <w:rPr>
          <w:lang w:val="en-AU"/>
        </w:rPr>
        <w:t xml:space="preserve">in </w:t>
      </w:r>
      <w:r w:rsidR="00A37124">
        <w:rPr>
          <w:lang w:val="en-AU"/>
        </w:rPr>
        <w:t xml:space="preserve">the 1997 report of the </w:t>
      </w:r>
      <w:r w:rsidR="00A37124">
        <w:t>Senate Legal and Constitutional Affairs Committee on the Human Rights Legislation Amendment Bill 1996</w:t>
      </w:r>
      <w:r>
        <w:rPr>
          <w:lang w:val="en-AU"/>
        </w:rPr>
        <w:t xml:space="preserve"> and </w:t>
      </w:r>
      <w:r w:rsidR="00A37124">
        <w:rPr>
          <w:lang w:val="en-AU"/>
        </w:rPr>
        <w:t>reiterated</w:t>
      </w:r>
      <w:r>
        <w:rPr>
          <w:lang w:val="en-AU"/>
        </w:rPr>
        <w:t xml:space="preserve"> in the</w:t>
      </w:r>
      <w:r w:rsidR="00A37124">
        <w:rPr>
          <w:lang w:val="en-AU"/>
        </w:rPr>
        <w:t xml:space="preserve"> Commission’s </w:t>
      </w:r>
      <w:r w:rsidR="00826FDE" w:rsidRPr="00826FDE">
        <w:rPr>
          <w:lang w:val="en-AU"/>
        </w:rPr>
        <w:t xml:space="preserve">Free and Equal </w:t>
      </w:r>
      <w:r>
        <w:rPr>
          <w:lang w:val="en-AU"/>
        </w:rPr>
        <w:t>position paper</w:t>
      </w:r>
      <w:r w:rsidR="00A37124">
        <w:rPr>
          <w:lang w:val="en-AU"/>
        </w:rPr>
        <w:t>.</w:t>
      </w:r>
      <w:r w:rsidR="0039430F">
        <w:rPr>
          <w:rStyle w:val="FootnoteReference"/>
          <w:lang w:val="en-AU"/>
        </w:rPr>
        <w:footnoteReference w:id="68"/>
      </w:r>
    </w:p>
    <w:p w14:paraId="470E4287" w14:textId="606E75D2" w:rsidR="00106EA8" w:rsidRDefault="00106EA8" w:rsidP="00106EA8">
      <w:pPr>
        <w:pStyle w:val="Heading3"/>
      </w:pPr>
      <w:bookmarkStart w:id="48" w:name="_Toc127809125"/>
      <w:r>
        <w:lastRenderedPageBreak/>
        <w:t>Analysis of advantages and disadvantages</w:t>
      </w:r>
      <w:bookmarkEnd w:id="48"/>
    </w:p>
    <w:p w14:paraId="09EF907C" w14:textId="23D6FDC7" w:rsidR="00106EA8" w:rsidRDefault="00DE68D6" w:rsidP="00106EA8">
      <w:pPr>
        <w:rPr>
          <w:lang w:val="en-AU"/>
        </w:rPr>
      </w:pPr>
      <w:r>
        <w:rPr>
          <w:lang w:val="en-AU"/>
        </w:rPr>
        <w:t xml:space="preserve">This </w:t>
      </w:r>
      <w:r w:rsidR="00F26698">
        <w:rPr>
          <w:lang w:val="en-AU"/>
        </w:rPr>
        <w:t xml:space="preserve">model </w:t>
      </w:r>
      <w:r>
        <w:rPr>
          <w:lang w:val="en-AU"/>
        </w:rPr>
        <w:t>would e</w:t>
      </w:r>
      <w:r w:rsidR="00944004">
        <w:rPr>
          <w:lang w:val="en-AU"/>
        </w:rPr>
        <w:t xml:space="preserve">mpower </w:t>
      </w:r>
      <w:r>
        <w:rPr>
          <w:lang w:val="en-AU"/>
        </w:rPr>
        <w:t>applicants to</w:t>
      </w:r>
      <w:r w:rsidR="00944004">
        <w:rPr>
          <w:lang w:val="en-AU"/>
        </w:rPr>
        <w:t xml:space="preserve"> control how costs are settled and provide them with a measure of flexibility</w:t>
      </w:r>
      <w:r w:rsidR="004A0D16">
        <w:rPr>
          <w:lang w:val="en-AU"/>
        </w:rPr>
        <w:t xml:space="preserve"> based on their circumstances</w:t>
      </w:r>
      <w:r w:rsidR="00944004">
        <w:rPr>
          <w:lang w:val="en-AU"/>
        </w:rPr>
        <w:t xml:space="preserve">. </w:t>
      </w:r>
      <w:r w:rsidR="004A0D16">
        <w:rPr>
          <w:lang w:val="en-AU"/>
        </w:rPr>
        <w:t>An applicant choice model c</w:t>
      </w:r>
      <w:r w:rsidR="00944004">
        <w:rPr>
          <w:lang w:val="en-AU"/>
        </w:rPr>
        <w:t xml:space="preserve">ould accommodate a range of circumstances that might be relevant to a particular applicant in a particular matter, </w:t>
      </w:r>
      <w:r w:rsidR="005A668D">
        <w:rPr>
          <w:lang w:val="en-AU"/>
        </w:rPr>
        <w:t xml:space="preserve">particularly </w:t>
      </w:r>
      <w:r w:rsidR="00944004">
        <w:rPr>
          <w:lang w:val="en-AU"/>
        </w:rPr>
        <w:t>their financial situation</w:t>
      </w:r>
      <w:r w:rsidR="005A668D">
        <w:rPr>
          <w:lang w:val="en-AU"/>
        </w:rPr>
        <w:t xml:space="preserve"> and</w:t>
      </w:r>
      <w:r w:rsidR="00944004">
        <w:rPr>
          <w:lang w:val="en-AU"/>
        </w:rPr>
        <w:t xml:space="preserve"> the nature of their legal representation</w:t>
      </w:r>
      <w:r w:rsidR="005A668D">
        <w:rPr>
          <w:lang w:val="en-AU"/>
        </w:rPr>
        <w:t xml:space="preserve"> (for example, ‘no win no fee’ or pro bono)</w:t>
      </w:r>
      <w:r>
        <w:rPr>
          <w:lang w:val="en-AU"/>
        </w:rPr>
        <w:t xml:space="preserve">. </w:t>
      </w:r>
      <w:r w:rsidR="004A0D16">
        <w:rPr>
          <w:lang w:val="en-AU"/>
        </w:rPr>
        <w:t xml:space="preserve">Applicants would be able to weigh the relative advantages and disadvantages of both available models and make a choice that bests </w:t>
      </w:r>
      <w:proofErr w:type="gramStart"/>
      <w:r w:rsidR="004A0D16">
        <w:rPr>
          <w:lang w:val="en-AU"/>
        </w:rPr>
        <w:t>suits</w:t>
      </w:r>
      <w:proofErr w:type="gramEnd"/>
      <w:r w:rsidR="004A0D16">
        <w:rPr>
          <w:lang w:val="en-AU"/>
        </w:rPr>
        <w:t xml:space="preserve"> them.</w:t>
      </w:r>
    </w:p>
    <w:p w14:paraId="1C537E16" w14:textId="5B73B67B" w:rsidR="00AE0456" w:rsidRDefault="00A1639F" w:rsidP="00106EA8">
      <w:pPr>
        <w:rPr>
          <w:lang w:val="en-AU"/>
        </w:rPr>
      </w:pPr>
      <w:r>
        <w:rPr>
          <w:lang w:val="en-AU"/>
        </w:rPr>
        <w:t>While both options (‘costs follow the event’ or ‘hard cost neutrality’) treat applicants and respondents equally,</w:t>
      </w:r>
      <w:r w:rsidR="004A0D16">
        <w:rPr>
          <w:lang w:val="en-AU"/>
        </w:rPr>
        <w:t xml:space="preserve"> the re</w:t>
      </w:r>
      <w:r w:rsidR="00944004">
        <w:rPr>
          <w:lang w:val="en-AU"/>
        </w:rPr>
        <w:t xml:space="preserve">spondent </w:t>
      </w:r>
      <w:r w:rsidR="004A0D16">
        <w:rPr>
          <w:lang w:val="en-AU"/>
        </w:rPr>
        <w:t xml:space="preserve">would have </w:t>
      </w:r>
      <w:r w:rsidR="00944004">
        <w:rPr>
          <w:lang w:val="en-AU"/>
        </w:rPr>
        <w:t xml:space="preserve">to accept </w:t>
      </w:r>
      <w:r w:rsidR="004A0D16">
        <w:rPr>
          <w:lang w:val="en-AU"/>
        </w:rPr>
        <w:t xml:space="preserve">the </w:t>
      </w:r>
      <w:r w:rsidR="00944004">
        <w:rPr>
          <w:lang w:val="en-AU"/>
        </w:rPr>
        <w:t xml:space="preserve">model chosen </w:t>
      </w:r>
      <w:r w:rsidR="004A0D16">
        <w:rPr>
          <w:lang w:val="en-AU"/>
        </w:rPr>
        <w:t xml:space="preserve">by the applicant. </w:t>
      </w:r>
    </w:p>
    <w:p w14:paraId="341870F0" w14:textId="7E80680C" w:rsidR="00AE0456" w:rsidRDefault="004A0D16" w:rsidP="00106EA8">
      <w:pPr>
        <w:rPr>
          <w:lang w:val="en-AU"/>
        </w:rPr>
      </w:pPr>
      <w:r>
        <w:rPr>
          <w:lang w:val="en-AU"/>
        </w:rPr>
        <w:t xml:space="preserve">This model would have the same advantages and disadvantages </w:t>
      </w:r>
      <w:r w:rsidR="00114E8A">
        <w:rPr>
          <w:lang w:val="en-AU"/>
        </w:rPr>
        <w:t>outlined above in relation to the status quo and hard cost neutrality model – but it would give greater choice, control and flexibility to applicants.</w:t>
      </w:r>
    </w:p>
    <w:p w14:paraId="7A3D39C9" w14:textId="76F27E9A" w:rsidR="00670A44" w:rsidRPr="008F5BE7" w:rsidRDefault="00670A44" w:rsidP="005306C8">
      <w:pPr>
        <w:pStyle w:val="Heading1"/>
      </w:pPr>
      <w:bookmarkStart w:id="49" w:name="_Toc127809126"/>
      <w:r w:rsidRPr="008F5BE7">
        <w:t>Intersection between costs and damages</w:t>
      </w:r>
      <w:bookmarkEnd w:id="49"/>
    </w:p>
    <w:p w14:paraId="2F8E1231" w14:textId="1C27D720" w:rsidR="00386326" w:rsidRDefault="00B15B1D" w:rsidP="00B15B1D">
      <w:pPr>
        <w:rPr>
          <w:lang w:val="en-AU"/>
        </w:rPr>
      </w:pPr>
      <w:r>
        <w:rPr>
          <w:lang w:val="en-AU"/>
        </w:rPr>
        <w:t xml:space="preserve">There is a clear relationship between </w:t>
      </w:r>
      <w:r w:rsidR="00386326">
        <w:rPr>
          <w:lang w:val="en-AU"/>
        </w:rPr>
        <w:t>the way costs and damages are awarded by courts in discrimination matters. If the quantum of damages awarded in a given case is low, as</w:t>
      </w:r>
      <w:r w:rsidR="00947F1F">
        <w:rPr>
          <w:lang w:val="en-AU"/>
        </w:rPr>
        <w:t xml:space="preserve"> </w:t>
      </w:r>
      <w:r w:rsidR="00386326">
        <w:rPr>
          <w:lang w:val="en-AU"/>
        </w:rPr>
        <w:t>it historically has been in discrimination matters,</w:t>
      </w:r>
      <w:r w:rsidR="00CC3758">
        <w:rPr>
          <w:rStyle w:val="FootnoteReference"/>
          <w:lang w:val="en-AU"/>
        </w:rPr>
        <w:footnoteReference w:id="69"/>
      </w:r>
      <w:r w:rsidR="00386326">
        <w:rPr>
          <w:lang w:val="en-AU"/>
        </w:rPr>
        <w:t xml:space="preserve"> it may not cover </w:t>
      </w:r>
      <w:r w:rsidR="006D2C14">
        <w:rPr>
          <w:lang w:val="en-AU"/>
        </w:rPr>
        <w:t>a successful applicant’s own legal costs</w:t>
      </w:r>
      <w:r w:rsidR="00CC3758">
        <w:rPr>
          <w:lang w:val="en-AU"/>
        </w:rPr>
        <w:t>, let alone adequately compensate them</w:t>
      </w:r>
      <w:r w:rsidR="006D2C14">
        <w:rPr>
          <w:lang w:val="en-AU"/>
        </w:rPr>
        <w:t xml:space="preserve">. </w:t>
      </w:r>
    </w:p>
    <w:p w14:paraId="325DA393" w14:textId="5EBD989F" w:rsidR="005205F4" w:rsidRDefault="000C0E3E" w:rsidP="00B15B1D">
      <w:pPr>
        <w:rPr>
          <w:lang w:val="en-AU"/>
        </w:rPr>
      </w:pPr>
      <w:r>
        <w:rPr>
          <w:lang w:val="en-AU"/>
        </w:rPr>
        <w:t>The Respect@Work Report recommended that the Government conduct further research on damages in sexual harassment matters and whether they reflect contemporary understandings of the nature, drivers, harms and impacts of sexual harassment (recommendation 24). The Government commissioned research into these issues, which was conducted by the ANU. The ANU’s research found</w:t>
      </w:r>
      <w:r w:rsidR="005205F4">
        <w:rPr>
          <w:lang w:val="en-AU"/>
        </w:rPr>
        <w:t xml:space="preserve"> that at the federal level, </w:t>
      </w:r>
      <w:r w:rsidR="005205F4">
        <w:t>damages for sexual harassment matters have steadily increased, particularly in the last decade</w:t>
      </w:r>
      <w:r w:rsidR="0090651D">
        <w:t>. However,</w:t>
      </w:r>
      <w:r w:rsidR="005205F4">
        <w:t xml:space="preserve"> this increase has not been reflected in the other </w:t>
      </w:r>
      <w:r w:rsidR="0090651D">
        <w:t xml:space="preserve">types of discrimination prohibited at the </w:t>
      </w:r>
      <w:r w:rsidR="005205F4">
        <w:t>federal</w:t>
      </w:r>
      <w:r w:rsidR="0090651D">
        <w:t xml:space="preserve"> </w:t>
      </w:r>
      <w:r w:rsidR="005205F4">
        <w:t>l</w:t>
      </w:r>
      <w:r w:rsidR="0090651D">
        <w:t>evel: d</w:t>
      </w:r>
      <w:r w:rsidR="005205F4">
        <w:t xml:space="preserve">amages awards for sex, race, age and disability are far lower than those </w:t>
      </w:r>
      <w:r w:rsidR="00A60798">
        <w:t>typically awarded</w:t>
      </w:r>
      <w:r w:rsidR="005205F4">
        <w:t xml:space="preserve"> for sexual harassment and have not seen large increases over time.</w:t>
      </w:r>
      <w:r w:rsidR="0090651D">
        <w:rPr>
          <w:rStyle w:val="FootnoteReference"/>
        </w:rPr>
        <w:footnoteReference w:id="70"/>
      </w:r>
      <w:r w:rsidR="005205F4">
        <w:t xml:space="preserve"> </w:t>
      </w:r>
    </w:p>
    <w:p w14:paraId="74A2BF81" w14:textId="6E4981BE" w:rsidR="00FF6ADE" w:rsidRDefault="0090651D" w:rsidP="00B15B1D">
      <w:pPr>
        <w:rPr>
          <w:lang w:val="en-AU"/>
        </w:rPr>
      </w:pPr>
      <w:r>
        <w:rPr>
          <w:lang w:val="en-AU"/>
        </w:rPr>
        <w:t xml:space="preserve">The </w:t>
      </w:r>
      <w:r w:rsidR="00386326">
        <w:rPr>
          <w:lang w:val="en-AU"/>
        </w:rPr>
        <w:t xml:space="preserve">ANU </w:t>
      </w:r>
      <w:r>
        <w:rPr>
          <w:lang w:val="en-AU"/>
        </w:rPr>
        <w:t xml:space="preserve">research also found that when </w:t>
      </w:r>
      <w:r w:rsidR="00386326">
        <w:rPr>
          <w:lang w:val="en-AU"/>
        </w:rPr>
        <w:t xml:space="preserve">compared with </w:t>
      </w:r>
      <w:r>
        <w:rPr>
          <w:lang w:val="en-AU"/>
        </w:rPr>
        <w:t xml:space="preserve">damages awarded in </w:t>
      </w:r>
      <w:r w:rsidR="00386326">
        <w:rPr>
          <w:lang w:val="en-AU"/>
        </w:rPr>
        <w:t>defamation law</w:t>
      </w:r>
      <w:r>
        <w:rPr>
          <w:lang w:val="en-AU"/>
        </w:rPr>
        <w:t xml:space="preserve">, awards of damages in sexual harassment matters pale in comparison: </w:t>
      </w:r>
      <w:r>
        <w:t>f</w:t>
      </w:r>
      <w:r w:rsidR="00FF6ADE">
        <w:t>ederally, the average award for non</w:t>
      </w:r>
      <w:r>
        <w:noBreakHyphen/>
      </w:r>
      <w:r w:rsidR="00FF6ADE">
        <w:t>economic loss for defamation was $239,856</w:t>
      </w:r>
      <w:r>
        <w:t xml:space="preserve">, </w:t>
      </w:r>
      <w:r w:rsidR="00FF6ADE">
        <w:t>nearly four times higher than the average award in the same five-year period for sexual harassment.</w:t>
      </w:r>
      <w:r>
        <w:rPr>
          <w:rStyle w:val="FootnoteReference"/>
        </w:rPr>
        <w:footnoteReference w:id="71"/>
      </w:r>
    </w:p>
    <w:p w14:paraId="1528643A" w14:textId="7A11676A" w:rsidR="001E1327" w:rsidRDefault="00EC364F" w:rsidP="001E1327">
      <w:pPr>
        <w:rPr>
          <w:lang w:val="en-AU"/>
        </w:rPr>
      </w:pPr>
      <w:r>
        <w:rPr>
          <w:lang w:val="en-AU"/>
        </w:rPr>
        <w:t xml:space="preserve">These trends are relevant </w:t>
      </w:r>
      <w:r w:rsidR="00FD6957">
        <w:rPr>
          <w:lang w:val="en-AU"/>
        </w:rPr>
        <w:t xml:space="preserve">to </w:t>
      </w:r>
      <w:r>
        <w:rPr>
          <w:lang w:val="en-AU"/>
        </w:rPr>
        <w:t>determining an appropriate cost model for discrimination matters at the federal level. For example, if a hard cost neutrality model is elected and a successful applicant had to bear their own costs, th</w:t>
      </w:r>
      <w:r w:rsidR="001E1327">
        <w:rPr>
          <w:lang w:val="en-AU"/>
        </w:rPr>
        <w:t xml:space="preserve">is </w:t>
      </w:r>
      <w:r>
        <w:rPr>
          <w:lang w:val="en-AU"/>
        </w:rPr>
        <w:t xml:space="preserve">may nullify </w:t>
      </w:r>
      <w:r w:rsidR="001E1327">
        <w:rPr>
          <w:lang w:val="en-AU"/>
        </w:rPr>
        <w:t>their</w:t>
      </w:r>
      <w:r w:rsidR="001E1327" w:rsidRPr="001E1327">
        <w:rPr>
          <w:lang w:val="en-AU"/>
        </w:rPr>
        <w:t xml:space="preserve"> </w:t>
      </w:r>
      <w:r w:rsidR="001E1327">
        <w:rPr>
          <w:lang w:val="en-AU"/>
        </w:rPr>
        <w:t xml:space="preserve">damages award. Under a soft cost neutrality model, a </w:t>
      </w:r>
      <w:r w:rsidR="00FD6957">
        <w:rPr>
          <w:lang w:val="en-AU"/>
        </w:rPr>
        <w:t>criterion</w:t>
      </w:r>
      <w:r w:rsidR="001E1327">
        <w:rPr>
          <w:lang w:val="en-AU"/>
        </w:rPr>
        <w:t xml:space="preserve"> could be included directing courts to consider the award of damages in a particular case, so as to factor this into any costs order. Of note, i</w:t>
      </w:r>
      <w:r w:rsidR="001E1327" w:rsidRPr="00E66F25">
        <w:rPr>
          <w:lang w:val="en-AU"/>
        </w:rPr>
        <w:t xml:space="preserve">n </w:t>
      </w:r>
      <w:proofErr w:type="spellStart"/>
      <w:r w:rsidR="001E1327" w:rsidRPr="00E66F25">
        <w:rPr>
          <w:i/>
          <w:lang w:val="en-AU"/>
        </w:rPr>
        <w:t>Shiels</w:t>
      </w:r>
      <w:proofErr w:type="spellEnd"/>
      <w:r w:rsidR="001E1327" w:rsidRPr="00E66F25">
        <w:rPr>
          <w:i/>
          <w:lang w:val="en-AU"/>
        </w:rPr>
        <w:t xml:space="preserve"> v James</w:t>
      </w:r>
      <w:r w:rsidR="001E1327" w:rsidRPr="00E66F25">
        <w:rPr>
          <w:vertAlign w:val="superscript"/>
          <w:lang w:val="en-AU"/>
        </w:rPr>
        <w:t>96</w:t>
      </w:r>
      <w:r w:rsidR="001E1327" w:rsidRPr="00E66F25">
        <w:rPr>
          <w:lang w:val="en-AU"/>
        </w:rPr>
        <w:t xml:space="preserve"> Raphael FM held that the amount of the</w:t>
      </w:r>
      <w:r w:rsidR="001E1327">
        <w:rPr>
          <w:lang w:val="en-AU"/>
        </w:rPr>
        <w:t xml:space="preserve"> </w:t>
      </w:r>
      <w:r w:rsidR="001E1327">
        <w:rPr>
          <w:lang w:val="en-AU"/>
        </w:rPr>
        <w:lastRenderedPageBreak/>
        <w:t>applicant’s</w:t>
      </w:r>
      <w:r w:rsidR="001E1327" w:rsidRPr="00E66F25">
        <w:rPr>
          <w:lang w:val="en-AU"/>
        </w:rPr>
        <w:t xml:space="preserve"> </w:t>
      </w:r>
      <w:r w:rsidR="001E1327">
        <w:rPr>
          <w:lang w:val="en-AU"/>
        </w:rPr>
        <w:t xml:space="preserve">damages </w:t>
      </w:r>
      <w:r w:rsidR="001E1327" w:rsidRPr="00E66F25">
        <w:rPr>
          <w:lang w:val="en-AU"/>
        </w:rPr>
        <w:t xml:space="preserve">award would be totally extinguished if no order for costs was made </w:t>
      </w:r>
      <w:r w:rsidR="001E1327">
        <w:rPr>
          <w:lang w:val="en-AU"/>
        </w:rPr>
        <w:t xml:space="preserve">in their favour, </w:t>
      </w:r>
      <w:r w:rsidR="001E1327" w:rsidRPr="00E66F25">
        <w:rPr>
          <w:lang w:val="en-AU"/>
        </w:rPr>
        <w:t xml:space="preserve">and </w:t>
      </w:r>
      <w:r w:rsidR="001E1327">
        <w:rPr>
          <w:lang w:val="en-AU"/>
        </w:rPr>
        <w:t xml:space="preserve">so </w:t>
      </w:r>
      <w:r w:rsidR="001E1327" w:rsidRPr="00E66F25">
        <w:rPr>
          <w:lang w:val="en-AU"/>
        </w:rPr>
        <w:t>in those</w:t>
      </w:r>
      <w:r w:rsidR="001E1327">
        <w:rPr>
          <w:lang w:val="en-AU"/>
        </w:rPr>
        <w:t xml:space="preserve"> </w:t>
      </w:r>
      <w:r w:rsidR="001E1327" w:rsidRPr="00E66F25">
        <w:rPr>
          <w:lang w:val="en-AU"/>
        </w:rPr>
        <w:t>circumstances</w:t>
      </w:r>
      <w:r w:rsidR="001E1327">
        <w:rPr>
          <w:lang w:val="en-AU"/>
        </w:rPr>
        <w:t>,</w:t>
      </w:r>
      <w:r w:rsidR="001E1327" w:rsidRPr="00E66F25">
        <w:rPr>
          <w:lang w:val="en-AU"/>
        </w:rPr>
        <w:t xml:space="preserve"> costs should follow the event.</w:t>
      </w:r>
      <w:r w:rsidR="001E1327">
        <w:rPr>
          <w:rStyle w:val="FootnoteReference"/>
          <w:lang w:val="en-AU"/>
        </w:rPr>
        <w:footnoteReference w:id="72"/>
      </w:r>
    </w:p>
    <w:p w14:paraId="21A28795" w14:textId="1A6B21B9" w:rsidR="00670A44" w:rsidRPr="00FD6957" w:rsidRDefault="00670A44" w:rsidP="005306C8">
      <w:pPr>
        <w:pStyle w:val="Heading1"/>
      </w:pPr>
      <w:bookmarkStart w:id="50" w:name="_Toc127809127"/>
      <w:r w:rsidRPr="00FD6957">
        <w:t>Non-legislative considerations</w:t>
      </w:r>
      <w:bookmarkEnd w:id="50"/>
    </w:p>
    <w:p w14:paraId="582B018A" w14:textId="35ACFA96" w:rsidR="006F6B5C" w:rsidRPr="00735989" w:rsidRDefault="006F6B5C" w:rsidP="006F6B5C">
      <w:pPr>
        <w:rPr>
          <w:lang w:val="en-AU"/>
        </w:rPr>
      </w:pPr>
      <w:r w:rsidRPr="00735989">
        <w:rPr>
          <w:lang w:val="en-AU"/>
        </w:rPr>
        <w:t>As highlighted above, although the federal courts have a broad discretion provided for by their conferring legislation</w:t>
      </w:r>
      <w:r w:rsidR="00FD6957">
        <w:rPr>
          <w:lang w:val="en-AU"/>
        </w:rPr>
        <w:t xml:space="preserve"> </w:t>
      </w:r>
      <w:r w:rsidRPr="00735989">
        <w:rPr>
          <w:lang w:val="en-AU"/>
        </w:rPr>
        <w:t>in relation to awarding costs and the power to issue cost-capping order</w:t>
      </w:r>
      <w:r w:rsidR="00817FD8" w:rsidRPr="00735989">
        <w:rPr>
          <w:lang w:val="en-AU"/>
        </w:rPr>
        <w:t>s,</w:t>
      </w:r>
      <w:r w:rsidR="00FD6957" w:rsidRPr="00390B39">
        <w:rPr>
          <w:vertAlign w:val="superscript"/>
        </w:rPr>
        <w:footnoteReference w:id="73"/>
      </w:r>
      <w:r w:rsidR="00FD6957" w:rsidRPr="00735989">
        <w:rPr>
          <w:lang w:val="en-AU"/>
        </w:rPr>
        <w:t xml:space="preserve"> </w:t>
      </w:r>
      <w:r w:rsidR="00817FD8" w:rsidRPr="00735989">
        <w:rPr>
          <w:lang w:val="en-AU"/>
        </w:rPr>
        <w:t>it is evident that the current model is not working effectively to create certainty for parties</w:t>
      </w:r>
      <w:r w:rsidRPr="00735989">
        <w:rPr>
          <w:lang w:val="en-AU"/>
        </w:rPr>
        <w:t>.</w:t>
      </w:r>
      <w:r w:rsidR="00817FD8" w:rsidRPr="00735989">
        <w:rPr>
          <w:lang w:val="en-AU"/>
        </w:rPr>
        <w:t xml:space="preserve"> </w:t>
      </w:r>
    </w:p>
    <w:p w14:paraId="327C27CD" w14:textId="619D2200" w:rsidR="006F6B5C" w:rsidRPr="00735989" w:rsidRDefault="006F6B5C" w:rsidP="006F6B5C">
      <w:pPr>
        <w:rPr>
          <w:lang w:val="en-AU"/>
        </w:rPr>
      </w:pPr>
      <w:r w:rsidRPr="00735989">
        <w:rPr>
          <w:lang w:val="en-AU"/>
        </w:rPr>
        <w:t xml:space="preserve">The Respect@Work Report found that judicial decision-making can be inconsistent in reflecting a nuanced understanding of sexual harassment and its impacts. The Report also </w:t>
      </w:r>
      <w:r w:rsidRPr="006B7E71">
        <w:rPr>
          <w:lang w:val="en-AU"/>
        </w:rPr>
        <w:t>emphasised the judiciary’s integral role in ensuring that persons harassed are not retraumatised by engaging in judicial processes.</w:t>
      </w:r>
      <w:r w:rsidRPr="00735989">
        <w:rPr>
          <w:lang w:val="en-AU"/>
        </w:rPr>
        <w:t xml:space="preserve"> </w:t>
      </w:r>
    </w:p>
    <w:p w14:paraId="4270C6EB" w14:textId="7C5DD6D1" w:rsidR="004F7CB0" w:rsidRDefault="004F7CB0" w:rsidP="004F7CB0">
      <w:pPr>
        <w:rPr>
          <w:lang w:val="en-AU"/>
        </w:rPr>
      </w:pPr>
      <w:r>
        <w:rPr>
          <w:lang w:val="en-AU"/>
        </w:rPr>
        <w:t>Further to this, the ANU research demonstrate</w:t>
      </w:r>
      <w:r w:rsidR="00FD6957">
        <w:rPr>
          <w:lang w:val="en-AU"/>
        </w:rPr>
        <w:t>s</w:t>
      </w:r>
      <w:r>
        <w:rPr>
          <w:lang w:val="en-AU"/>
        </w:rPr>
        <w:t xml:space="preserve"> </w:t>
      </w:r>
      <w:r w:rsidR="00FD6957" w:rsidDel="004F7CB0">
        <w:rPr>
          <w:lang w:val="en-AU"/>
        </w:rPr>
        <w:t>that there is a lack of specific judicial expertise with respect to discrimination matters, including matters concerning sexual harassment, given the low numbers of cases that proceed to court. While there is significant variability across jurisdictions, judges tend to be conservative rather than innovative with respect to decision-making</w:t>
      </w:r>
      <w:r w:rsidR="00FD6957">
        <w:rPr>
          <w:lang w:val="en-AU"/>
        </w:rPr>
        <w:t xml:space="preserve"> (</w:t>
      </w:r>
      <w:r w:rsidR="00FD6957" w:rsidDel="004F7CB0">
        <w:rPr>
          <w:lang w:val="en-AU"/>
        </w:rPr>
        <w:t>including in relation to awards of costs and damages</w:t>
      </w:r>
      <w:r w:rsidR="00FD6957">
        <w:rPr>
          <w:lang w:val="en-AU"/>
        </w:rPr>
        <w:t>) and as a result of this the outcomes in discrimination matters are out of step with prevailing community expectations.</w:t>
      </w:r>
      <w:r w:rsidR="00FD6957">
        <w:rPr>
          <w:rStyle w:val="FootnoteReference"/>
          <w:lang w:val="en-AU"/>
        </w:rPr>
        <w:footnoteReference w:id="74"/>
      </w:r>
      <w:r w:rsidR="00FD6957">
        <w:rPr>
          <w:lang w:val="en-AU"/>
        </w:rPr>
        <w:t xml:space="preserve"> The research ultimately observed that consideration should be given to developing further specialist materials for judicial officers including a bench book for discrimination matters.</w:t>
      </w:r>
    </w:p>
    <w:p w14:paraId="600FA872" w14:textId="12A5FCE3" w:rsidR="006F6B5C" w:rsidRPr="006B7E71" w:rsidRDefault="006F6B5C" w:rsidP="006F6B5C">
      <w:pPr>
        <w:rPr>
          <w:lang w:val="en-AU"/>
        </w:rPr>
      </w:pPr>
      <w:r w:rsidRPr="00735989">
        <w:rPr>
          <w:lang w:val="en-AU"/>
        </w:rPr>
        <w:t>Recommendation 40 of the</w:t>
      </w:r>
      <w:r w:rsidRPr="00FD6957">
        <w:rPr>
          <w:lang w:val="en-AU"/>
        </w:rPr>
        <w:t xml:space="preserve"> </w:t>
      </w:r>
      <w:r w:rsidR="004F7CB0">
        <w:rPr>
          <w:lang w:val="en-AU"/>
        </w:rPr>
        <w:t xml:space="preserve">Respect@Work </w:t>
      </w:r>
      <w:r w:rsidRPr="00735989">
        <w:rPr>
          <w:lang w:val="en-AU"/>
        </w:rPr>
        <w:t xml:space="preserve">Report </w:t>
      </w:r>
      <w:r w:rsidRPr="006B7E71">
        <w:rPr>
          <w:lang w:val="en-AU"/>
        </w:rPr>
        <w:t xml:space="preserve">encourages judicial officers and tribunal members to undertake education and training to enhance their understanding of best practice regarding the adoption of sensitive, trauma-informed and gender responsive approaches to handling matters involving sexual harassment, as well as in relation to sexual harassment within their workplace. </w:t>
      </w:r>
    </w:p>
    <w:p w14:paraId="22BC2E68" w14:textId="270DDAE1" w:rsidR="00735989" w:rsidRPr="00735989" w:rsidRDefault="00735989" w:rsidP="00735989">
      <w:pPr>
        <w:rPr>
          <w:lang w:val="en-AU"/>
        </w:rPr>
      </w:pPr>
      <w:r w:rsidRPr="00735989">
        <w:rPr>
          <w:lang w:val="en-AU"/>
        </w:rPr>
        <w:t xml:space="preserve">The Government funded the Australian Human Rights Commission to </w:t>
      </w:r>
      <w:r>
        <w:rPr>
          <w:lang w:val="en-AU"/>
        </w:rPr>
        <w:t>develop</w:t>
      </w:r>
      <w:r w:rsidRPr="00735989">
        <w:rPr>
          <w:lang w:val="en-AU"/>
        </w:rPr>
        <w:t xml:space="preserve"> a suite of training and education materials to enhance the judiciary’s understanding of the nature, drivers and impacts of workplace sexual harassment in response to recommendation 40.</w:t>
      </w:r>
      <w:r>
        <w:rPr>
          <w:lang w:val="en-AU"/>
        </w:rPr>
        <w:t xml:space="preserve"> </w:t>
      </w:r>
    </w:p>
    <w:p w14:paraId="2FEE95DC" w14:textId="2165ED64" w:rsidR="00735989" w:rsidRDefault="00735989" w:rsidP="00735989">
      <w:pPr>
        <w:rPr>
          <w:lang w:val="en-AU"/>
        </w:rPr>
      </w:pPr>
      <w:r>
        <w:rPr>
          <w:lang w:val="en-AU"/>
        </w:rPr>
        <w:t xml:space="preserve">The Australian Human Rights Commission consulted </w:t>
      </w:r>
      <w:r w:rsidRPr="006B7E71">
        <w:rPr>
          <w:lang w:val="en-AU"/>
        </w:rPr>
        <w:t>judicial experts such as the National Judicial College of Australia</w:t>
      </w:r>
      <w:r>
        <w:rPr>
          <w:lang w:val="en-AU"/>
        </w:rPr>
        <w:t xml:space="preserve"> and Australasian Institute of Judicial Administration in addition to representatives from courts across Australia in developing the package of materials</w:t>
      </w:r>
      <w:r w:rsidRPr="006B7E71">
        <w:rPr>
          <w:lang w:val="en-AU"/>
        </w:rPr>
        <w:t xml:space="preserve">, </w:t>
      </w:r>
      <w:r>
        <w:rPr>
          <w:lang w:val="en-AU"/>
        </w:rPr>
        <w:t>which have been finalised and will made available on the National Judicial College of Australia’s education portal shortly.</w:t>
      </w:r>
      <w:r w:rsidRPr="00735989">
        <w:rPr>
          <w:lang w:val="en-AU"/>
        </w:rPr>
        <w:t xml:space="preserve"> </w:t>
      </w:r>
      <w:r>
        <w:rPr>
          <w:lang w:val="en-AU"/>
        </w:rPr>
        <w:t xml:space="preserve">The materials </w:t>
      </w:r>
      <w:r w:rsidRPr="007C36F6">
        <w:rPr>
          <w:lang w:val="en-AU"/>
        </w:rPr>
        <w:t>include</w:t>
      </w:r>
      <w:r>
        <w:rPr>
          <w:lang w:val="en-AU"/>
        </w:rPr>
        <w:t xml:space="preserve"> </w:t>
      </w:r>
      <w:r w:rsidRPr="007C36F6">
        <w:rPr>
          <w:lang w:val="en-AU"/>
        </w:rPr>
        <w:t>a series of factsheets, case studies, resources for face to-face training and an e-learning course.</w:t>
      </w:r>
    </w:p>
    <w:p w14:paraId="59DBB8B8" w14:textId="0FC2746E" w:rsidR="00692385" w:rsidRPr="00692385" w:rsidRDefault="00E62710" w:rsidP="00692385">
      <w:pPr>
        <w:rPr>
          <w:lang w:val="en-AU"/>
        </w:rPr>
      </w:pPr>
      <w:r>
        <w:rPr>
          <w:lang w:val="en-AU"/>
        </w:rPr>
        <w:t xml:space="preserve">The department is also exploring other </w:t>
      </w:r>
      <w:r w:rsidR="00572285">
        <w:rPr>
          <w:lang w:val="en-AU"/>
        </w:rPr>
        <w:t xml:space="preserve">education and training </w:t>
      </w:r>
      <w:r>
        <w:rPr>
          <w:lang w:val="en-AU"/>
        </w:rPr>
        <w:t xml:space="preserve">initiatives to support </w:t>
      </w:r>
      <w:r w:rsidR="00572285">
        <w:rPr>
          <w:lang w:val="en-AU"/>
        </w:rPr>
        <w:t>greater judicial expertise in discrimination matters</w:t>
      </w:r>
      <w:r w:rsidR="007F71FC">
        <w:rPr>
          <w:lang w:val="en-AU"/>
        </w:rPr>
        <w:t xml:space="preserve"> which will be informed by the ANU research and Respect@Work Report. </w:t>
      </w:r>
      <w:r w:rsidR="00102609">
        <w:rPr>
          <w:lang w:val="en-AU"/>
        </w:rPr>
        <w:t xml:space="preserve">This may include </w:t>
      </w:r>
      <w:r w:rsidR="0079371C">
        <w:rPr>
          <w:lang w:val="en-AU"/>
        </w:rPr>
        <w:t xml:space="preserve">the Commission undertaking work to monitor awards of damages in </w:t>
      </w:r>
      <w:r w:rsidR="0079371C">
        <w:rPr>
          <w:lang w:val="en-AU"/>
        </w:rPr>
        <w:lastRenderedPageBreak/>
        <w:t xml:space="preserve">discrimination matters across Australia for the purpose of informing the consideration of whether future law reform is required, and the development of further training and education materials. </w:t>
      </w:r>
    </w:p>
    <w:p w14:paraId="6EB07F8E" w14:textId="77777777" w:rsidR="00CC2E1D" w:rsidRDefault="00CC2E1D">
      <w:pPr>
        <w:rPr>
          <w:rFonts w:ascii="Calibri" w:eastAsia="SimSun" w:hAnsi="Calibri" w:cs="Calibri"/>
          <w:b/>
          <w:iCs/>
          <w:color w:val="4D738A"/>
          <w:w w:val="105"/>
          <w:kern w:val="40"/>
          <w:sz w:val="40"/>
          <w:szCs w:val="48"/>
          <w:lang w:val="en-AU"/>
        </w:rPr>
      </w:pPr>
      <w:r>
        <w:br w:type="page"/>
      </w:r>
    </w:p>
    <w:p w14:paraId="52B12853" w14:textId="5F94E8B6" w:rsidR="004B13ED" w:rsidRDefault="004B13ED" w:rsidP="005306C8">
      <w:pPr>
        <w:pStyle w:val="Heading1"/>
      </w:pPr>
      <w:bookmarkStart w:id="51" w:name="_Toc127809128"/>
      <w:r>
        <w:lastRenderedPageBreak/>
        <w:t>Abbreviations</w:t>
      </w:r>
      <w:bookmarkEnd w:id="51"/>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6662"/>
      </w:tblGrid>
      <w:tr w:rsidR="00B603A1" w:rsidRPr="00E508CE" w14:paraId="6699C573" w14:textId="77777777" w:rsidTr="00A04315">
        <w:trPr>
          <w:trHeight w:val="152"/>
        </w:trPr>
        <w:tc>
          <w:tcPr>
            <w:tcW w:w="3222" w:type="dxa"/>
          </w:tcPr>
          <w:p w14:paraId="0DA16527" w14:textId="77777777" w:rsidR="00B603A1" w:rsidRDefault="00B603A1" w:rsidP="00E508CE">
            <w:pPr>
              <w:autoSpaceDE w:val="0"/>
              <w:autoSpaceDN w:val="0"/>
              <w:adjustRightInd w:val="0"/>
              <w:spacing w:before="120" w:after="120" w:line="240" w:lineRule="auto"/>
              <w:rPr>
                <w:rFonts w:ascii="Calibri" w:hAnsi="Calibri" w:cs="Calibri"/>
                <w:b/>
                <w:bCs/>
                <w:color w:val="000000"/>
                <w:lang w:val="en-AU"/>
              </w:rPr>
            </w:pPr>
            <w:r>
              <w:rPr>
                <w:rFonts w:ascii="Calibri" w:hAnsi="Calibri" w:cs="Calibri"/>
                <w:b/>
                <w:bCs/>
                <w:color w:val="000000"/>
                <w:lang w:val="en-AU"/>
              </w:rPr>
              <w:t>Age Discrimination Act</w:t>
            </w:r>
          </w:p>
        </w:tc>
        <w:tc>
          <w:tcPr>
            <w:tcW w:w="6662" w:type="dxa"/>
          </w:tcPr>
          <w:p w14:paraId="03B234A1" w14:textId="77777777" w:rsidR="00B603A1" w:rsidRDefault="00B603A1" w:rsidP="00E508CE">
            <w:pPr>
              <w:autoSpaceDE w:val="0"/>
              <w:autoSpaceDN w:val="0"/>
              <w:adjustRightInd w:val="0"/>
              <w:spacing w:before="120" w:after="120" w:line="240" w:lineRule="auto"/>
              <w:rPr>
                <w:rFonts w:ascii="Calibri" w:hAnsi="Calibri" w:cs="Calibri"/>
                <w:i/>
                <w:iCs/>
                <w:color w:val="000000"/>
                <w:lang w:val="en-AU"/>
              </w:rPr>
            </w:pPr>
            <w:r>
              <w:rPr>
                <w:rFonts w:ascii="Calibri" w:hAnsi="Calibri" w:cs="Calibri"/>
                <w:i/>
                <w:iCs/>
                <w:color w:val="000000"/>
                <w:lang w:val="en-AU"/>
              </w:rPr>
              <w:t>Age Discrimination Act 2004 (</w:t>
            </w:r>
            <w:proofErr w:type="spellStart"/>
            <w:r>
              <w:rPr>
                <w:rFonts w:ascii="Calibri" w:hAnsi="Calibri" w:cs="Calibri"/>
                <w:i/>
                <w:iCs/>
                <w:color w:val="000000"/>
                <w:lang w:val="en-AU"/>
              </w:rPr>
              <w:t>Cth</w:t>
            </w:r>
            <w:proofErr w:type="spellEnd"/>
            <w:r>
              <w:rPr>
                <w:rFonts w:ascii="Calibri" w:hAnsi="Calibri" w:cs="Calibri"/>
                <w:i/>
                <w:iCs/>
                <w:color w:val="000000"/>
                <w:lang w:val="en-AU"/>
              </w:rPr>
              <w:t>)</w:t>
            </w:r>
          </w:p>
        </w:tc>
      </w:tr>
      <w:tr w:rsidR="00B603A1" w:rsidRPr="00E508CE" w14:paraId="75242FEB" w14:textId="77777777" w:rsidTr="00A04315">
        <w:trPr>
          <w:trHeight w:val="152"/>
        </w:trPr>
        <w:tc>
          <w:tcPr>
            <w:tcW w:w="3222" w:type="dxa"/>
          </w:tcPr>
          <w:p w14:paraId="3438B920" w14:textId="77777777" w:rsidR="00B603A1" w:rsidRPr="00E508CE" w:rsidRDefault="00B603A1" w:rsidP="00E508CE">
            <w:pPr>
              <w:autoSpaceDE w:val="0"/>
              <w:autoSpaceDN w:val="0"/>
              <w:adjustRightInd w:val="0"/>
              <w:spacing w:before="120" w:after="120" w:line="240" w:lineRule="auto"/>
              <w:rPr>
                <w:rFonts w:ascii="Calibri" w:hAnsi="Calibri" w:cs="Calibri"/>
                <w:color w:val="000000"/>
                <w:lang w:val="en-AU"/>
              </w:rPr>
            </w:pPr>
            <w:r w:rsidRPr="00E508CE">
              <w:rPr>
                <w:rFonts w:ascii="Calibri" w:hAnsi="Calibri" w:cs="Calibri"/>
                <w:b/>
                <w:bCs/>
                <w:color w:val="000000"/>
                <w:lang w:val="en-AU"/>
              </w:rPr>
              <w:t xml:space="preserve">AHRC Act </w:t>
            </w:r>
          </w:p>
        </w:tc>
        <w:tc>
          <w:tcPr>
            <w:tcW w:w="6662" w:type="dxa"/>
          </w:tcPr>
          <w:p w14:paraId="7F22CD20" w14:textId="77777777" w:rsidR="00B603A1" w:rsidRPr="00E508CE" w:rsidRDefault="00B603A1" w:rsidP="00E508CE">
            <w:pPr>
              <w:autoSpaceDE w:val="0"/>
              <w:autoSpaceDN w:val="0"/>
              <w:adjustRightInd w:val="0"/>
              <w:spacing w:before="120" w:after="120" w:line="240" w:lineRule="auto"/>
              <w:rPr>
                <w:rFonts w:ascii="Calibri" w:hAnsi="Calibri" w:cs="Calibri"/>
                <w:color w:val="000000"/>
                <w:lang w:val="en-AU"/>
              </w:rPr>
            </w:pPr>
            <w:r w:rsidRPr="00E508CE">
              <w:rPr>
                <w:rFonts w:ascii="Calibri" w:hAnsi="Calibri" w:cs="Calibri"/>
                <w:i/>
                <w:iCs/>
                <w:color w:val="000000"/>
                <w:lang w:val="en-AU"/>
              </w:rPr>
              <w:t xml:space="preserve">Australian Human Rights Commission Act 1986 </w:t>
            </w:r>
            <w:r w:rsidRPr="00E508CE">
              <w:rPr>
                <w:rFonts w:ascii="Calibri" w:hAnsi="Calibri" w:cs="Calibri"/>
                <w:color w:val="000000"/>
                <w:lang w:val="en-AU"/>
              </w:rPr>
              <w:t>(</w:t>
            </w:r>
            <w:proofErr w:type="spellStart"/>
            <w:r w:rsidRPr="00E508CE">
              <w:rPr>
                <w:rFonts w:ascii="Calibri" w:hAnsi="Calibri" w:cs="Calibri"/>
                <w:color w:val="000000"/>
                <w:lang w:val="en-AU"/>
              </w:rPr>
              <w:t>Cth</w:t>
            </w:r>
            <w:proofErr w:type="spellEnd"/>
            <w:r w:rsidRPr="00E508CE">
              <w:rPr>
                <w:rFonts w:ascii="Calibri" w:hAnsi="Calibri" w:cs="Calibri"/>
                <w:color w:val="000000"/>
                <w:lang w:val="en-AU"/>
              </w:rPr>
              <w:t xml:space="preserve">) </w:t>
            </w:r>
          </w:p>
        </w:tc>
      </w:tr>
      <w:tr w:rsidR="00B603A1" w:rsidRPr="00E508CE" w14:paraId="083BAB0B" w14:textId="77777777" w:rsidTr="00A04315">
        <w:trPr>
          <w:trHeight w:val="152"/>
        </w:trPr>
        <w:tc>
          <w:tcPr>
            <w:tcW w:w="3222" w:type="dxa"/>
          </w:tcPr>
          <w:p w14:paraId="084F4EC6" w14:textId="77777777" w:rsidR="00B603A1" w:rsidRDefault="00B603A1" w:rsidP="00E508CE">
            <w:pPr>
              <w:autoSpaceDE w:val="0"/>
              <w:autoSpaceDN w:val="0"/>
              <w:adjustRightInd w:val="0"/>
              <w:spacing w:before="120" w:after="120" w:line="240" w:lineRule="auto"/>
              <w:rPr>
                <w:rFonts w:ascii="Calibri" w:hAnsi="Calibri" w:cs="Calibri"/>
                <w:b/>
                <w:bCs/>
                <w:color w:val="000000"/>
                <w:lang w:val="en-AU"/>
              </w:rPr>
            </w:pPr>
            <w:r>
              <w:rPr>
                <w:rFonts w:ascii="Calibri" w:hAnsi="Calibri" w:cs="Calibri"/>
                <w:b/>
                <w:bCs/>
                <w:color w:val="000000"/>
                <w:lang w:val="en-AU"/>
              </w:rPr>
              <w:t>ANU research report</w:t>
            </w:r>
          </w:p>
        </w:tc>
        <w:tc>
          <w:tcPr>
            <w:tcW w:w="6662" w:type="dxa"/>
          </w:tcPr>
          <w:p w14:paraId="658DB3E8" w14:textId="77777777" w:rsidR="00B603A1" w:rsidRDefault="00B603A1" w:rsidP="00E508CE">
            <w:pPr>
              <w:autoSpaceDE w:val="0"/>
              <w:autoSpaceDN w:val="0"/>
              <w:adjustRightInd w:val="0"/>
              <w:spacing w:before="120" w:after="120" w:line="240" w:lineRule="auto"/>
            </w:pPr>
            <w:r>
              <w:t xml:space="preserve">Damages and Costs in Sexual Harassment Litigation: A Doctrinal, Qualitative and Quantitative Study </w:t>
            </w:r>
          </w:p>
        </w:tc>
      </w:tr>
      <w:tr w:rsidR="00B603A1" w:rsidRPr="00E508CE" w14:paraId="29716D3A" w14:textId="77777777" w:rsidTr="00A04315">
        <w:trPr>
          <w:trHeight w:val="152"/>
        </w:trPr>
        <w:tc>
          <w:tcPr>
            <w:tcW w:w="3222" w:type="dxa"/>
          </w:tcPr>
          <w:p w14:paraId="741D7DB7" w14:textId="77777777" w:rsidR="00B603A1" w:rsidRPr="00E508CE" w:rsidRDefault="00B603A1" w:rsidP="00E508CE">
            <w:pPr>
              <w:autoSpaceDE w:val="0"/>
              <w:autoSpaceDN w:val="0"/>
              <w:adjustRightInd w:val="0"/>
              <w:spacing w:before="120" w:after="120" w:line="240" w:lineRule="auto"/>
              <w:rPr>
                <w:rFonts w:ascii="Calibri" w:hAnsi="Calibri" w:cs="Calibri"/>
                <w:color w:val="000000"/>
                <w:lang w:val="en-AU"/>
              </w:rPr>
            </w:pPr>
            <w:r>
              <w:rPr>
                <w:rFonts w:ascii="Calibri" w:hAnsi="Calibri" w:cs="Calibri"/>
                <w:b/>
                <w:bCs/>
                <w:color w:val="000000"/>
                <w:lang w:val="en-AU"/>
              </w:rPr>
              <w:t>Commission</w:t>
            </w:r>
          </w:p>
        </w:tc>
        <w:tc>
          <w:tcPr>
            <w:tcW w:w="6662" w:type="dxa"/>
          </w:tcPr>
          <w:p w14:paraId="2A6CC294" w14:textId="77777777" w:rsidR="00B603A1" w:rsidRPr="00E508CE" w:rsidRDefault="00B603A1" w:rsidP="00E508CE">
            <w:pPr>
              <w:autoSpaceDE w:val="0"/>
              <w:autoSpaceDN w:val="0"/>
              <w:adjustRightInd w:val="0"/>
              <w:spacing w:before="120" w:after="120" w:line="240" w:lineRule="auto"/>
              <w:rPr>
                <w:rFonts w:ascii="Calibri" w:hAnsi="Calibri" w:cs="Calibri"/>
                <w:color w:val="000000"/>
                <w:lang w:val="en-AU"/>
              </w:rPr>
            </w:pPr>
            <w:r w:rsidRPr="00E508CE">
              <w:rPr>
                <w:rFonts w:ascii="Calibri" w:hAnsi="Calibri" w:cs="Calibri"/>
                <w:color w:val="000000"/>
                <w:lang w:val="en-AU"/>
              </w:rPr>
              <w:t xml:space="preserve">Australian Human Rights Commission </w:t>
            </w:r>
          </w:p>
        </w:tc>
      </w:tr>
      <w:tr w:rsidR="00B603A1" w:rsidRPr="00E508CE" w14:paraId="6851A48C" w14:textId="77777777" w:rsidTr="00A04315">
        <w:trPr>
          <w:trHeight w:val="152"/>
        </w:trPr>
        <w:tc>
          <w:tcPr>
            <w:tcW w:w="3222" w:type="dxa"/>
          </w:tcPr>
          <w:p w14:paraId="7F780C27" w14:textId="77777777" w:rsidR="00B603A1" w:rsidRDefault="00B603A1" w:rsidP="00E508CE">
            <w:pPr>
              <w:autoSpaceDE w:val="0"/>
              <w:autoSpaceDN w:val="0"/>
              <w:adjustRightInd w:val="0"/>
              <w:spacing w:before="120" w:after="120" w:line="240" w:lineRule="auto"/>
              <w:rPr>
                <w:rFonts w:ascii="Calibri" w:hAnsi="Calibri" w:cs="Calibri"/>
                <w:b/>
                <w:bCs/>
                <w:color w:val="000000"/>
                <w:lang w:val="en-AU"/>
              </w:rPr>
            </w:pPr>
            <w:r>
              <w:rPr>
                <w:rFonts w:ascii="Calibri" w:hAnsi="Calibri" w:cs="Calibri"/>
                <w:b/>
                <w:bCs/>
                <w:color w:val="000000"/>
                <w:lang w:val="en-AU"/>
              </w:rPr>
              <w:t>Corporations Act</w:t>
            </w:r>
          </w:p>
        </w:tc>
        <w:tc>
          <w:tcPr>
            <w:tcW w:w="6662" w:type="dxa"/>
          </w:tcPr>
          <w:p w14:paraId="3B773C50" w14:textId="77777777" w:rsidR="00B603A1" w:rsidRPr="0025037B" w:rsidRDefault="00B603A1" w:rsidP="00E508CE">
            <w:pPr>
              <w:autoSpaceDE w:val="0"/>
              <w:autoSpaceDN w:val="0"/>
              <w:adjustRightInd w:val="0"/>
              <w:spacing w:before="120" w:after="120" w:line="240" w:lineRule="auto"/>
              <w:rPr>
                <w:rFonts w:ascii="Calibri" w:hAnsi="Calibri" w:cs="Calibri"/>
                <w:i/>
                <w:color w:val="000000"/>
                <w:lang w:val="en-AU"/>
              </w:rPr>
            </w:pPr>
            <w:r>
              <w:rPr>
                <w:rFonts w:ascii="Calibri" w:hAnsi="Calibri" w:cs="Calibri"/>
                <w:i/>
                <w:color w:val="000000"/>
                <w:lang w:val="en-AU"/>
              </w:rPr>
              <w:t>Corporations Act 2001</w:t>
            </w:r>
          </w:p>
        </w:tc>
      </w:tr>
      <w:tr w:rsidR="00B603A1" w:rsidRPr="00E508CE" w14:paraId="07FDC694" w14:textId="77777777" w:rsidTr="00A04315">
        <w:trPr>
          <w:trHeight w:val="152"/>
        </w:trPr>
        <w:tc>
          <w:tcPr>
            <w:tcW w:w="3222" w:type="dxa"/>
          </w:tcPr>
          <w:p w14:paraId="1F2286BF" w14:textId="77777777" w:rsidR="00B603A1" w:rsidRDefault="00B603A1" w:rsidP="00E508CE">
            <w:pPr>
              <w:autoSpaceDE w:val="0"/>
              <w:autoSpaceDN w:val="0"/>
              <w:adjustRightInd w:val="0"/>
              <w:spacing w:before="120" w:after="120" w:line="240" w:lineRule="auto"/>
              <w:rPr>
                <w:rFonts w:ascii="Calibri" w:hAnsi="Calibri" w:cs="Calibri"/>
                <w:b/>
                <w:bCs/>
                <w:color w:val="000000"/>
                <w:lang w:val="en-AU"/>
              </w:rPr>
            </w:pPr>
            <w:r>
              <w:rPr>
                <w:rFonts w:ascii="Calibri" w:hAnsi="Calibri" w:cs="Calibri"/>
                <w:b/>
                <w:bCs/>
                <w:color w:val="000000"/>
                <w:lang w:val="en-AU"/>
              </w:rPr>
              <w:t>Court(s)</w:t>
            </w:r>
          </w:p>
        </w:tc>
        <w:tc>
          <w:tcPr>
            <w:tcW w:w="6662" w:type="dxa"/>
          </w:tcPr>
          <w:p w14:paraId="0A9818D8" w14:textId="77777777" w:rsidR="00B603A1" w:rsidRPr="00AF7F7B" w:rsidRDefault="00B603A1" w:rsidP="00E508CE">
            <w:pPr>
              <w:autoSpaceDE w:val="0"/>
              <w:autoSpaceDN w:val="0"/>
              <w:adjustRightInd w:val="0"/>
              <w:spacing w:before="120" w:after="120" w:line="240" w:lineRule="auto"/>
              <w:rPr>
                <w:rFonts w:ascii="Calibri" w:hAnsi="Calibri" w:cs="Calibri"/>
                <w:color w:val="000000"/>
                <w:lang w:val="en-AU"/>
              </w:rPr>
            </w:pPr>
            <w:r>
              <w:rPr>
                <w:rFonts w:ascii="Calibri" w:hAnsi="Calibri" w:cs="Calibri"/>
                <w:color w:val="000000"/>
                <w:lang w:val="en-AU"/>
              </w:rPr>
              <w:t>Most often used to refer to the Federal Court of Australia and the Federal Circuit and Family Court of Australia.</w:t>
            </w:r>
          </w:p>
        </w:tc>
      </w:tr>
      <w:tr w:rsidR="00B603A1" w:rsidRPr="00E508CE" w14:paraId="79F32433" w14:textId="77777777" w:rsidTr="00A04315">
        <w:trPr>
          <w:trHeight w:val="152"/>
        </w:trPr>
        <w:tc>
          <w:tcPr>
            <w:tcW w:w="3222" w:type="dxa"/>
          </w:tcPr>
          <w:p w14:paraId="2DB7C068" w14:textId="77777777" w:rsidR="00B603A1" w:rsidRDefault="00B603A1" w:rsidP="00E508CE">
            <w:pPr>
              <w:autoSpaceDE w:val="0"/>
              <w:autoSpaceDN w:val="0"/>
              <w:adjustRightInd w:val="0"/>
              <w:spacing w:before="120" w:after="120" w:line="240" w:lineRule="auto"/>
              <w:rPr>
                <w:rFonts w:ascii="Calibri" w:hAnsi="Calibri" w:cs="Calibri"/>
                <w:b/>
                <w:bCs/>
                <w:color w:val="000000"/>
                <w:lang w:val="en-AU"/>
              </w:rPr>
            </w:pPr>
            <w:r>
              <w:rPr>
                <w:rFonts w:ascii="Calibri" w:hAnsi="Calibri" w:cs="Calibri"/>
                <w:b/>
                <w:bCs/>
                <w:color w:val="000000"/>
                <w:lang w:val="en-AU"/>
              </w:rPr>
              <w:t>Disability Discrimination Act</w:t>
            </w:r>
          </w:p>
        </w:tc>
        <w:tc>
          <w:tcPr>
            <w:tcW w:w="6662" w:type="dxa"/>
          </w:tcPr>
          <w:p w14:paraId="7D5D28CC" w14:textId="77777777" w:rsidR="00B603A1" w:rsidRDefault="00B603A1" w:rsidP="00E508CE">
            <w:pPr>
              <w:autoSpaceDE w:val="0"/>
              <w:autoSpaceDN w:val="0"/>
              <w:adjustRightInd w:val="0"/>
              <w:spacing w:before="120" w:after="120" w:line="240" w:lineRule="auto"/>
              <w:rPr>
                <w:rFonts w:ascii="Calibri" w:hAnsi="Calibri" w:cs="Calibri"/>
                <w:i/>
                <w:iCs/>
                <w:color w:val="000000"/>
                <w:lang w:val="en-AU"/>
              </w:rPr>
            </w:pPr>
            <w:r>
              <w:rPr>
                <w:rFonts w:ascii="Calibri" w:hAnsi="Calibri" w:cs="Calibri"/>
                <w:i/>
                <w:iCs/>
                <w:color w:val="000000"/>
                <w:lang w:val="en-AU"/>
              </w:rPr>
              <w:t>Disability Discrimination Act 2004 (</w:t>
            </w:r>
            <w:proofErr w:type="spellStart"/>
            <w:r>
              <w:rPr>
                <w:rFonts w:ascii="Calibri" w:hAnsi="Calibri" w:cs="Calibri"/>
                <w:i/>
                <w:iCs/>
                <w:color w:val="000000"/>
                <w:lang w:val="en-AU"/>
              </w:rPr>
              <w:t>Cth</w:t>
            </w:r>
            <w:proofErr w:type="spellEnd"/>
            <w:r>
              <w:rPr>
                <w:rFonts w:ascii="Calibri" w:hAnsi="Calibri" w:cs="Calibri"/>
                <w:i/>
                <w:iCs/>
                <w:color w:val="000000"/>
                <w:lang w:val="en-AU"/>
              </w:rPr>
              <w:t>)</w:t>
            </w:r>
          </w:p>
        </w:tc>
      </w:tr>
      <w:tr w:rsidR="00B603A1" w:rsidRPr="00E508CE" w14:paraId="360DE3C4" w14:textId="77777777" w:rsidTr="00A04315">
        <w:trPr>
          <w:trHeight w:val="152"/>
        </w:trPr>
        <w:tc>
          <w:tcPr>
            <w:tcW w:w="3222" w:type="dxa"/>
          </w:tcPr>
          <w:p w14:paraId="7FC0AFBC" w14:textId="77777777" w:rsidR="00B603A1" w:rsidRDefault="00B603A1" w:rsidP="00E508CE">
            <w:pPr>
              <w:autoSpaceDE w:val="0"/>
              <w:autoSpaceDN w:val="0"/>
              <w:adjustRightInd w:val="0"/>
              <w:spacing w:before="120" w:after="120" w:line="240" w:lineRule="auto"/>
              <w:rPr>
                <w:rFonts w:ascii="Calibri" w:hAnsi="Calibri" w:cs="Calibri"/>
                <w:b/>
                <w:bCs/>
                <w:color w:val="000000"/>
                <w:lang w:val="en-AU"/>
              </w:rPr>
            </w:pPr>
            <w:r>
              <w:rPr>
                <w:rFonts w:ascii="Calibri" w:hAnsi="Calibri" w:cs="Calibri"/>
                <w:b/>
                <w:bCs/>
                <w:color w:val="000000"/>
                <w:lang w:val="en-AU"/>
              </w:rPr>
              <w:t>Fair Work Act</w:t>
            </w:r>
          </w:p>
        </w:tc>
        <w:tc>
          <w:tcPr>
            <w:tcW w:w="6662" w:type="dxa"/>
          </w:tcPr>
          <w:p w14:paraId="1E22BF34" w14:textId="77777777" w:rsidR="00B603A1" w:rsidRDefault="00B603A1" w:rsidP="00E508CE">
            <w:pPr>
              <w:autoSpaceDE w:val="0"/>
              <w:autoSpaceDN w:val="0"/>
              <w:adjustRightInd w:val="0"/>
              <w:spacing w:before="120" w:after="120" w:line="240" w:lineRule="auto"/>
              <w:rPr>
                <w:rFonts w:ascii="Calibri" w:hAnsi="Calibri" w:cs="Calibri"/>
                <w:i/>
                <w:iCs/>
                <w:color w:val="000000"/>
                <w:lang w:val="en-AU"/>
              </w:rPr>
            </w:pPr>
            <w:r>
              <w:rPr>
                <w:rFonts w:ascii="Calibri" w:hAnsi="Calibri" w:cs="Calibri"/>
                <w:i/>
                <w:iCs/>
                <w:color w:val="000000"/>
                <w:lang w:val="en-AU"/>
              </w:rPr>
              <w:t>Fair Work Act 2009 (</w:t>
            </w:r>
            <w:proofErr w:type="spellStart"/>
            <w:r>
              <w:rPr>
                <w:rFonts w:ascii="Calibri" w:hAnsi="Calibri" w:cs="Calibri"/>
                <w:i/>
                <w:iCs/>
                <w:color w:val="000000"/>
                <w:lang w:val="en-AU"/>
              </w:rPr>
              <w:t>Cth</w:t>
            </w:r>
            <w:proofErr w:type="spellEnd"/>
            <w:r>
              <w:rPr>
                <w:rFonts w:ascii="Calibri" w:hAnsi="Calibri" w:cs="Calibri"/>
                <w:i/>
                <w:iCs/>
                <w:color w:val="000000"/>
                <w:lang w:val="en-AU"/>
              </w:rPr>
              <w:t>)</w:t>
            </w:r>
          </w:p>
        </w:tc>
      </w:tr>
      <w:tr w:rsidR="00B603A1" w:rsidRPr="00E508CE" w14:paraId="4E8818ED" w14:textId="77777777" w:rsidTr="00A04315">
        <w:trPr>
          <w:trHeight w:val="152"/>
        </w:trPr>
        <w:tc>
          <w:tcPr>
            <w:tcW w:w="3222" w:type="dxa"/>
          </w:tcPr>
          <w:p w14:paraId="4DE7A0AE" w14:textId="77777777" w:rsidR="00B603A1" w:rsidRDefault="00B603A1" w:rsidP="00E508CE">
            <w:pPr>
              <w:autoSpaceDE w:val="0"/>
              <w:autoSpaceDN w:val="0"/>
              <w:adjustRightInd w:val="0"/>
              <w:spacing w:before="120" w:after="120" w:line="240" w:lineRule="auto"/>
              <w:rPr>
                <w:rFonts w:ascii="Calibri" w:hAnsi="Calibri" w:cs="Calibri"/>
                <w:b/>
                <w:bCs/>
                <w:color w:val="000000"/>
                <w:lang w:val="en-AU"/>
              </w:rPr>
            </w:pPr>
            <w:r>
              <w:rPr>
                <w:rFonts w:ascii="Calibri" w:hAnsi="Calibri" w:cs="Calibri"/>
                <w:b/>
                <w:bCs/>
                <w:color w:val="000000"/>
                <w:lang w:val="en-AU"/>
              </w:rPr>
              <w:t xml:space="preserve">Fifth National Survey </w:t>
            </w:r>
          </w:p>
        </w:tc>
        <w:tc>
          <w:tcPr>
            <w:tcW w:w="6662" w:type="dxa"/>
          </w:tcPr>
          <w:p w14:paraId="4A0C222E" w14:textId="77777777" w:rsidR="00B603A1" w:rsidRDefault="00B603A1" w:rsidP="00E508CE">
            <w:pPr>
              <w:autoSpaceDE w:val="0"/>
              <w:autoSpaceDN w:val="0"/>
              <w:adjustRightInd w:val="0"/>
              <w:spacing w:before="120" w:after="120" w:line="240" w:lineRule="auto"/>
            </w:pPr>
            <w:r>
              <w:t>Time for respect: Fifth national survey on sexual harassment in Australian workplaces</w:t>
            </w:r>
          </w:p>
        </w:tc>
      </w:tr>
      <w:tr w:rsidR="00B603A1" w:rsidRPr="00E508CE" w14:paraId="1AB86F5F" w14:textId="77777777" w:rsidTr="00A04315">
        <w:trPr>
          <w:trHeight w:val="152"/>
        </w:trPr>
        <w:tc>
          <w:tcPr>
            <w:tcW w:w="3222" w:type="dxa"/>
          </w:tcPr>
          <w:p w14:paraId="56310A3F" w14:textId="77777777" w:rsidR="00B603A1" w:rsidRDefault="00B603A1" w:rsidP="00E508CE">
            <w:pPr>
              <w:autoSpaceDE w:val="0"/>
              <w:autoSpaceDN w:val="0"/>
              <w:adjustRightInd w:val="0"/>
              <w:spacing w:before="120" w:after="120" w:line="240" w:lineRule="auto"/>
              <w:rPr>
                <w:rFonts w:ascii="Calibri" w:hAnsi="Calibri" w:cs="Calibri"/>
                <w:b/>
                <w:bCs/>
                <w:color w:val="000000"/>
                <w:lang w:val="en-AU"/>
              </w:rPr>
            </w:pPr>
            <w:r>
              <w:rPr>
                <w:rFonts w:ascii="Calibri" w:hAnsi="Calibri" w:cs="Calibri"/>
                <w:b/>
                <w:bCs/>
                <w:color w:val="000000"/>
                <w:lang w:val="en-AU"/>
              </w:rPr>
              <w:t xml:space="preserve">Fourth National Survey </w:t>
            </w:r>
          </w:p>
        </w:tc>
        <w:tc>
          <w:tcPr>
            <w:tcW w:w="6662" w:type="dxa"/>
          </w:tcPr>
          <w:p w14:paraId="3262FE09" w14:textId="77777777" w:rsidR="00B603A1" w:rsidRDefault="00B603A1" w:rsidP="00E508CE">
            <w:pPr>
              <w:autoSpaceDE w:val="0"/>
              <w:autoSpaceDN w:val="0"/>
              <w:adjustRightInd w:val="0"/>
              <w:spacing w:before="120" w:after="120" w:line="240" w:lineRule="auto"/>
            </w:pPr>
            <w:r>
              <w:t>Everyone’s business: Fourth national survey on sexual harassment in Australian workplaces (2018)</w:t>
            </w:r>
          </w:p>
        </w:tc>
      </w:tr>
      <w:tr w:rsidR="00B603A1" w:rsidRPr="00E508CE" w14:paraId="6FB8BEC9" w14:textId="77777777" w:rsidTr="00A04315">
        <w:trPr>
          <w:trHeight w:val="152"/>
        </w:trPr>
        <w:tc>
          <w:tcPr>
            <w:tcW w:w="3222" w:type="dxa"/>
          </w:tcPr>
          <w:p w14:paraId="309549A8" w14:textId="77777777" w:rsidR="00B603A1" w:rsidRDefault="00B603A1" w:rsidP="00E508CE">
            <w:pPr>
              <w:autoSpaceDE w:val="0"/>
              <w:autoSpaceDN w:val="0"/>
              <w:adjustRightInd w:val="0"/>
              <w:spacing w:before="120" w:after="120" w:line="240" w:lineRule="auto"/>
              <w:rPr>
                <w:rFonts w:ascii="Calibri" w:hAnsi="Calibri" w:cs="Calibri"/>
                <w:b/>
                <w:bCs/>
                <w:color w:val="000000"/>
                <w:lang w:val="en-AU"/>
              </w:rPr>
            </w:pPr>
            <w:r>
              <w:rPr>
                <w:rFonts w:ascii="Calibri" w:hAnsi="Calibri" w:cs="Calibri"/>
                <w:b/>
                <w:bCs/>
                <w:color w:val="000000"/>
                <w:lang w:val="en-AU"/>
              </w:rPr>
              <w:t xml:space="preserve">Free and Equal Paper </w:t>
            </w:r>
          </w:p>
        </w:tc>
        <w:tc>
          <w:tcPr>
            <w:tcW w:w="6662" w:type="dxa"/>
          </w:tcPr>
          <w:p w14:paraId="6A378A12" w14:textId="77777777" w:rsidR="00B603A1" w:rsidRPr="00002D16" w:rsidRDefault="00B603A1" w:rsidP="00E508CE">
            <w:pPr>
              <w:autoSpaceDE w:val="0"/>
              <w:autoSpaceDN w:val="0"/>
              <w:adjustRightInd w:val="0"/>
              <w:spacing w:before="120" w:after="120" w:line="240" w:lineRule="auto"/>
              <w:rPr>
                <w:rFonts w:ascii="Calibri" w:hAnsi="Calibri" w:cs="Calibri"/>
                <w:iCs/>
                <w:color w:val="000000"/>
                <w:lang w:val="en-AU"/>
              </w:rPr>
            </w:pPr>
            <w:r>
              <w:t>Free and equal: An Australian conversation on human rights Issues Paper 2021</w:t>
            </w:r>
          </w:p>
        </w:tc>
      </w:tr>
      <w:tr w:rsidR="00B603A1" w:rsidRPr="00E508CE" w14:paraId="6542E7C5" w14:textId="77777777" w:rsidTr="00A04315">
        <w:trPr>
          <w:trHeight w:val="152"/>
        </w:trPr>
        <w:tc>
          <w:tcPr>
            <w:tcW w:w="3222" w:type="dxa"/>
          </w:tcPr>
          <w:p w14:paraId="1D7C1497" w14:textId="77777777" w:rsidR="00B603A1" w:rsidRDefault="00B603A1" w:rsidP="00E508CE">
            <w:pPr>
              <w:autoSpaceDE w:val="0"/>
              <w:autoSpaceDN w:val="0"/>
              <w:adjustRightInd w:val="0"/>
              <w:spacing w:before="120" w:after="120" w:line="240" w:lineRule="auto"/>
              <w:rPr>
                <w:rFonts w:ascii="Calibri" w:hAnsi="Calibri" w:cs="Calibri"/>
                <w:b/>
                <w:bCs/>
                <w:color w:val="000000"/>
                <w:lang w:val="en-AU"/>
              </w:rPr>
            </w:pPr>
            <w:r>
              <w:rPr>
                <w:rFonts w:ascii="Calibri" w:hAnsi="Calibri" w:cs="Calibri"/>
                <w:b/>
                <w:bCs/>
                <w:color w:val="000000"/>
                <w:lang w:val="en-AU"/>
              </w:rPr>
              <w:t>Public Interest Disclosure Act</w:t>
            </w:r>
          </w:p>
        </w:tc>
        <w:tc>
          <w:tcPr>
            <w:tcW w:w="6662" w:type="dxa"/>
          </w:tcPr>
          <w:p w14:paraId="3C2EAA2A" w14:textId="77777777" w:rsidR="00B603A1" w:rsidRDefault="00B603A1" w:rsidP="00E508CE">
            <w:pPr>
              <w:autoSpaceDE w:val="0"/>
              <w:autoSpaceDN w:val="0"/>
              <w:adjustRightInd w:val="0"/>
              <w:spacing w:before="120" w:after="120" w:line="240" w:lineRule="auto"/>
            </w:pPr>
            <w:r w:rsidRPr="0025037B">
              <w:rPr>
                <w:i/>
              </w:rPr>
              <w:t>Public Interest Disclosure Act 2013</w:t>
            </w:r>
            <w:r>
              <w:t xml:space="preserve"> (</w:t>
            </w:r>
            <w:proofErr w:type="spellStart"/>
            <w:r>
              <w:t>Cth</w:t>
            </w:r>
            <w:proofErr w:type="spellEnd"/>
            <w:r>
              <w:t>)</w:t>
            </w:r>
          </w:p>
        </w:tc>
      </w:tr>
      <w:tr w:rsidR="00B603A1" w:rsidRPr="00E508CE" w14:paraId="585118EA" w14:textId="77777777" w:rsidTr="00A04315">
        <w:trPr>
          <w:trHeight w:val="152"/>
        </w:trPr>
        <w:tc>
          <w:tcPr>
            <w:tcW w:w="3222" w:type="dxa"/>
          </w:tcPr>
          <w:p w14:paraId="52C25A97" w14:textId="77777777" w:rsidR="00B603A1" w:rsidRDefault="00B603A1" w:rsidP="00E508CE">
            <w:pPr>
              <w:autoSpaceDE w:val="0"/>
              <w:autoSpaceDN w:val="0"/>
              <w:adjustRightInd w:val="0"/>
              <w:spacing w:before="120" w:after="120" w:line="240" w:lineRule="auto"/>
              <w:rPr>
                <w:rFonts w:ascii="Calibri" w:hAnsi="Calibri" w:cs="Calibri"/>
                <w:b/>
                <w:bCs/>
                <w:color w:val="000000"/>
                <w:lang w:val="en-AU"/>
              </w:rPr>
            </w:pPr>
            <w:r>
              <w:rPr>
                <w:rFonts w:ascii="Calibri" w:hAnsi="Calibri" w:cs="Calibri"/>
                <w:b/>
                <w:bCs/>
                <w:color w:val="000000"/>
                <w:lang w:val="en-AU"/>
              </w:rPr>
              <w:t>Racial Discrimination Act</w:t>
            </w:r>
          </w:p>
        </w:tc>
        <w:tc>
          <w:tcPr>
            <w:tcW w:w="6662" w:type="dxa"/>
          </w:tcPr>
          <w:p w14:paraId="051A2D86" w14:textId="77777777" w:rsidR="00B603A1" w:rsidRDefault="00B603A1" w:rsidP="00E508CE">
            <w:pPr>
              <w:autoSpaceDE w:val="0"/>
              <w:autoSpaceDN w:val="0"/>
              <w:adjustRightInd w:val="0"/>
              <w:spacing w:before="120" w:after="120" w:line="240" w:lineRule="auto"/>
              <w:rPr>
                <w:rFonts w:ascii="Calibri" w:hAnsi="Calibri" w:cs="Calibri"/>
                <w:i/>
                <w:iCs/>
                <w:color w:val="000000"/>
                <w:lang w:val="en-AU"/>
              </w:rPr>
            </w:pPr>
            <w:r>
              <w:rPr>
                <w:rFonts w:ascii="Calibri" w:hAnsi="Calibri" w:cs="Calibri"/>
                <w:i/>
                <w:iCs/>
                <w:color w:val="000000"/>
                <w:lang w:val="en-AU"/>
              </w:rPr>
              <w:t>Racial Discrimination Act 1975 (</w:t>
            </w:r>
            <w:proofErr w:type="spellStart"/>
            <w:r>
              <w:rPr>
                <w:rFonts w:ascii="Calibri" w:hAnsi="Calibri" w:cs="Calibri"/>
                <w:i/>
                <w:iCs/>
                <w:color w:val="000000"/>
                <w:lang w:val="en-AU"/>
              </w:rPr>
              <w:t>Cth</w:t>
            </w:r>
            <w:proofErr w:type="spellEnd"/>
            <w:r>
              <w:rPr>
                <w:rFonts w:ascii="Calibri" w:hAnsi="Calibri" w:cs="Calibri"/>
                <w:i/>
                <w:iCs/>
                <w:color w:val="000000"/>
                <w:lang w:val="en-AU"/>
              </w:rPr>
              <w:t>)</w:t>
            </w:r>
          </w:p>
        </w:tc>
      </w:tr>
      <w:tr w:rsidR="00B603A1" w:rsidRPr="00E508CE" w14:paraId="3AD7AB14" w14:textId="77777777" w:rsidTr="00A04315">
        <w:trPr>
          <w:trHeight w:val="152"/>
        </w:trPr>
        <w:tc>
          <w:tcPr>
            <w:tcW w:w="3222" w:type="dxa"/>
          </w:tcPr>
          <w:p w14:paraId="3A359B6E" w14:textId="77777777" w:rsidR="00B603A1" w:rsidRDefault="00B603A1" w:rsidP="00E508CE">
            <w:pPr>
              <w:autoSpaceDE w:val="0"/>
              <w:autoSpaceDN w:val="0"/>
              <w:adjustRightInd w:val="0"/>
              <w:spacing w:before="120" w:after="120" w:line="240" w:lineRule="auto"/>
              <w:rPr>
                <w:rFonts w:ascii="Calibri" w:hAnsi="Calibri" w:cs="Calibri"/>
                <w:b/>
                <w:bCs/>
                <w:color w:val="000000"/>
                <w:lang w:val="en-AU"/>
              </w:rPr>
            </w:pPr>
            <w:r>
              <w:rPr>
                <w:rFonts w:ascii="Calibri" w:hAnsi="Calibri" w:cs="Calibri"/>
                <w:b/>
                <w:bCs/>
                <w:color w:val="000000"/>
                <w:lang w:val="en-AU"/>
              </w:rPr>
              <w:t>Respect at Work Act 2022</w:t>
            </w:r>
          </w:p>
        </w:tc>
        <w:tc>
          <w:tcPr>
            <w:tcW w:w="6662" w:type="dxa"/>
          </w:tcPr>
          <w:p w14:paraId="35989D4F" w14:textId="77777777" w:rsidR="00B603A1" w:rsidRPr="008917AA" w:rsidRDefault="00B603A1" w:rsidP="00E508CE">
            <w:pPr>
              <w:autoSpaceDE w:val="0"/>
              <w:autoSpaceDN w:val="0"/>
              <w:adjustRightInd w:val="0"/>
              <w:spacing w:before="120" w:after="120" w:line="240" w:lineRule="auto"/>
              <w:rPr>
                <w:rFonts w:ascii="Calibri" w:hAnsi="Calibri" w:cs="Calibri"/>
                <w:i/>
                <w:iCs/>
                <w:color w:val="000000"/>
                <w:lang w:val="en-AU"/>
              </w:rPr>
            </w:pPr>
            <w:r w:rsidRPr="008917AA">
              <w:rPr>
                <w:rFonts w:ascii="Calibri" w:hAnsi="Calibri" w:cs="Calibri"/>
                <w:i/>
                <w:iCs/>
                <w:color w:val="000000"/>
                <w:lang w:val="en-AU"/>
              </w:rPr>
              <w:t>Anti-Discrimination and Human Rights Legislation Amendment (Respect at Work) Act 2022</w:t>
            </w:r>
          </w:p>
        </w:tc>
      </w:tr>
      <w:tr w:rsidR="00B603A1" w:rsidRPr="00E508CE" w14:paraId="6D8D3429" w14:textId="77777777" w:rsidTr="00A04315">
        <w:trPr>
          <w:trHeight w:val="152"/>
        </w:trPr>
        <w:tc>
          <w:tcPr>
            <w:tcW w:w="3222" w:type="dxa"/>
          </w:tcPr>
          <w:p w14:paraId="7ECAEDC3" w14:textId="77777777" w:rsidR="00B603A1" w:rsidRDefault="00B603A1" w:rsidP="00E508CE">
            <w:pPr>
              <w:autoSpaceDE w:val="0"/>
              <w:autoSpaceDN w:val="0"/>
              <w:adjustRightInd w:val="0"/>
              <w:spacing w:before="120" w:after="120" w:line="240" w:lineRule="auto"/>
              <w:rPr>
                <w:rFonts w:ascii="Calibri" w:hAnsi="Calibri" w:cs="Calibri"/>
                <w:b/>
                <w:bCs/>
                <w:color w:val="000000"/>
                <w:lang w:val="en-AU"/>
              </w:rPr>
            </w:pPr>
            <w:r>
              <w:rPr>
                <w:rFonts w:ascii="Calibri" w:hAnsi="Calibri" w:cs="Calibri"/>
                <w:b/>
                <w:bCs/>
                <w:color w:val="000000"/>
                <w:lang w:val="en-AU"/>
              </w:rPr>
              <w:t>Respect at Work Bill 2022</w:t>
            </w:r>
          </w:p>
        </w:tc>
        <w:tc>
          <w:tcPr>
            <w:tcW w:w="6662" w:type="dxa"/>
          </w:tcPr>
          <w:p w14:paraId="4A104754" w14:textId="77777777" w:rsidR="00B603A1" w:rsidRPr="008917AA" w:rsidRDefault="00B603A1" w:rsidP="00E508CE">
            <w:pPr>
              <w:autoSpaceDE w:val="0"/>
              <w:autoSpaceDN w:val="0"/>
              <w:adjustRightInd w:val="0"/>
              <w:spacing w:before="120" w:after="120" w:line="240" w:lineRule="auto"/>
              <w:rPr>
                <w:rFonts w:ascii="Calibri" w:hAnsi="Calibri" w:cs="Calibri"/>
                <w:iCs/>
                <w:color w:val="000000"/>
                <w:lang w:val="en-AU"/>
              </w:rPr>
            </w:pPr>
            <w:r w:rsidRPr="008917AA">
              <w:rPr>
                <w:rFonts w:ascii="Calibri" w:hAnsi="Calibri" w:cs="Calibri"/>
                <w:iCs/>
                <w:color w:val="000000"/>
                <w:lang w:val="en-AU"/>
              </w:rPr>
              <w:t>Anti-Discrimination and Human Rights Legislation Amendment (Respect at Work) Bill 2022</w:t>
            </w:r>
          </w:p>
        </w:tc>
      </w:tr>
      <w:tr w:rsidR="00B603A1" w:rsidRPr="00E508CE" w14:paraId="43B728A7" w14:textId="77777777" w:rsidTr="00A04315">
        <w:trPr>
          <w:trHeight w:val="152"/>
        </w:trPr>
        <w:tc>
          <w:tcPr>
            <w:tcW w:w="3222" w:type="dxa"/>
          </w:tcPr>
          <w:p w14:paraId="5D16F025" w14:textId="77777777" w:rsidR="00B603A1" w:rsidRDefault="00B603A1" w:rsidP="00E508CE">
            <w:pPr>
              <w:autoSpaceDE w:val="0"/>
              <w:autoSpaceDN w:val="0"/>
              <w:adjustRightInd w:val="0"/>
              <w:spacing w:before="120" w:after="120" w:line="240" w:lineRule="auto"/>
              <w:rPr>
                <w:rFonts w:ascii="Calibri" w:hAnsi="Calibri" w:cs="Calibri"/>
                <w:b/>
                <w:bCs/>
                <w:color w:val="000000"/>
                <w:lang w:val="en-AU"/>
              </w:rPr>
            </w:pPr>
            <w:r>
              <w:rPr>
                <w:rFonts w:ascii="Calibri" w:hAnsi="Calibri" w:cs="Calibri"/>
                <w:b/>
                <w:bCs/>
                <w:color w:val="000000"/>
                <w:lang w:val="en-AU"/>
              </w:rPr>
              <w:t>Respect@Work Report</w:t>
            </w:r>
          </w:p>
        </w:tc>
        <w:tc>
          <w:tcPr>
            <w:tcW w:w="6662" w:type="dxa"/>
          </w:tcPr>
          <w:p w14:paraId="5407A0F8" w14:textId="77777777" w:rsidR="00B603A1" w:rsidRPr="00B65385" w:rsidRDefault="00B603A1" w:rsidP="00E508CE">
            <w:pPr>
              <w:autoSpaceDE w:val="0"/>
              <w:autoSpaceDN w:val="0"/>
              <w:adjustRightInd w:val="0"/>
              <w:spacing w:before="120" w:after="120" w:line="240" w:lineRule="auto"/>
              <w:rPr>
                <w:rFonts w:ascii="Calibri" w:hAnsi="Calibri" w:cs="Calibri"/>
                <w:iCs/>
                <w:color w:val="000000"/>
                <w:lang w:val="en-AU"/>
              </w:rPr>
            </w:pPr>
            <w:r>
              <w:rPr>
                <w:rFonts w:ascii="Calibri" w:hAnsi="Calibri" w:cs="Calibri"/>
                <w:iCs/>
                <w:color w:val="000000"/>
                <w:lang w:val="en-AU"/>
              </w:rPr>
              <w:t>Respect@Work: Sexual Harassment National Inquiry Report (2020)</w:t>
            </w:r>
          </w:p>
        </w:tc>
      </w:tr>
      <w:tr w:rsidR="00B603A1" w:rsidRPr="00E508CE" w14:paraId="5E98640A" w14:textId="77777777" w:rsidTr="00A04315">
        <w:trPr>
          <w:trHeight w:val="152"/>
        </w:trPr>
        <w:tc>
          <w:tcPr>
            <w:tcW w:w="3222" w:type="dxa"/>
          </w:tcPr>
          <w:p w14:paraId="649F7159" w14:textId="77777777" w:rsidR="00B603A1" w:rsidRPr="00E508CE" w:rsidRDefault="00B603A1" w:rsidP="00E508CE">
            <w:pPr>
              <w:autoSpaceDE w:val="0"/>
              <w:autoSpaceDN w:val="0"/>
              <w:adjustRightInd w:val="0"/>
              <w:spacing w:before="120" w:after="120" w:line="240" w:lineRule="auto"/>
              <w:rPr>
                <w:rFonts w:ascii="Calibri" w:hAnsi="Calibri" w:cs="Calibri"/>
                <w:b/>
                <w:bCs/>
                <w:color w:val="000000"/>
                <w:lang w:val="en-AU"/>
              </w:rPr>
            </w:pPr>
            <w:r>
              <w:rPr>
                <w:rFonts w:ascii="Calibri" w:hAnsi="Calibri" w:cs="Calibri"/>
                <w:b/>
                <w:bCs/>
                <w:color w:val="000000"/>
                <w:lang w:val="en-AU"/>
              </w:rPr>
              <w:t>Sex Discrimination Act</w:t>
            </w:r>
          </w:p>
        </w:tc>
        <w:tc>
          <w:tcPr>
            <w:tcW w:w="6662" w:type="dxa"/>
          </w:tcPr>
          <w:p w14:paraId="53CC45A3" w14:textId="77777777" w:rsidR="00B603A1" w:rsidRPr="00E508CE" w:rsidRDefault="00B603A1" w:rsidP="00E508CE">
            <w:pPr>
              <w:autoSpaceDE w:val="0"/>
              <w:autoSpaceDN w:val="0"/>
              <w:adjustRightInd w:val="0"/>
              <w:spacing w:before="120" w:after="120" w:line="240" w:lineRule="auto"/>
              <w:rPr>
                <w:rFonts w:ascii="Calibri" w:hAnsi="Calibri" w:cs="Calibri"/>
                <w:i/>
                <w:iCs/>
                <w:color w:val="000000"/>
                <w:lang w:val="en-AU"/>
              </w:rPr>
            </w:pPr>
            <w:r>
              <w:rPr>
                <w:rFonts w:ascii="Calibri" w:hAnsi="Calibri" w:cs="Calibri"/>
                <w:i/>
                <w:iCs/>
                <w:color w:val="000000"/>
                <w:lang w:val="en-AU"/>
              </w:rPr>
              <w:t>Sex Discrimination Act 1984 (</w:t>
            </w:r>
            <w:proofErr w:type="spellStart"/>
            <w:r>
              <w:rPr>
                <w:rFonts w:ascii="Calibri" w:hAnsi="Calibri" w:cs="Calibri"/>
                <w:i/>
                <w:iCs/>
                <w:color w:val="000000"/>
                <w:lang w:val="en-AU"/>
              </w:rPr>
              <w:t>Cth</w:t>
            </w:r>
            <w:proofErr w:type="spellEnd"/>
            <w:r>
              <w:rPr>
                <w:rFonts w:ascii="Calibri" w:hAnsi="Calibri" w:cs="Calibri"/>
                <w:i/>
                <w:iCs/>
                <w:color w:val="000000"/>
                <w:lang w:val="en-AU"/>
              </w:rPr>
              <w:t>)</w:t>
            </w:r>
          </w:p>
        </w:tc>
      </w:tr>
    </w:tbl>
    <w:p w14:paraId="7E6DDEAC" w14:textId="36F27413" w:rsidR="002B08E2" w:rsidRDefault="002B08E2">
      <w:pPr>
        <w:rPr>
          <w:rFonts w:ascii="Calibri" w:eastAsia="SimSun" w:hAnsi="Calibri" w:cs="Calibri"/>
          <w:b/>
          <w:iCs/>
          <w:color w:val="4D738A"/>
          <w:w w:val="105"/>
          <w:kern w:val="40"/>
          <w:sz w:val="40"/>
          <w:szCs w:val="48"/>
          <w:lang w:val="en-AU"/>
        </w:rPr>
      </w:pPr>
      <w:r>
        <w:br w:type="page"/>
      </w:r>
    </w:p>
    <w:p w14:paraId="3709CF4E" w14:textId="7826AAA8" w:rsidR="004B13ED" w:rsidRDefault="004B13ED" w:rsidP="005306C8">
      <w:pPr>
        <w:pStyle w:val="Heading1"/>
      </w:pPr>
      <w:bookmarkStart w:id="52" w:name="_Toc127809129"/>
      <w:r>
        <w:lastRenderedPageBreak/>
        <w:t xml:space="preserve">Appendix </w:t>
      </w:r>
      <w:r w:rsidR="00AD7ECC">
        <w:t>– relevant legislative provisions</w:t>
      </w:r>
      <w:bookmarkEnd w:id="52"/>
    </w:p>
    <w:p w14:paraId="1B41E52D" w14:textId="31F9DE6A" w:rsidR="00AD7ECC" w:rsidRPr="00581829" w:rsidRDefault="00AD7ECC" w:rsidP="00581829">
      <w:pPr>
        <w:pStyle w:val="Heading3"/>
      </w:pPr>
      <w:bookmarkStart w:id="53" w:name="_Toc127809130"/>
      <w:r w:rsidRPr="00581829">
        <w:rPr>
          <w:i/>
        </w:rPr>
        <w:t>Fair Work Act 2009</w:t>
      </w:r>
      <w:r w:rsidR="00E40DAE" w:rsidRPr="00581829">
        <w:t xml:space="preserve"> (</w:t>
      </w:r>
      <w:proofErr w:type="spellStart"/>
      <w:r w:rsidR="00E40DAE" w:rsidRPr="00581829">
        <w:t>Cth</w:t>
      </w:r>
      <w:proofErr w:type="spellEnd"/>
      <w:r w:rsidR="00E40DAE" w:rsidRPr="00581829">
        <w:t>)</w:t>
      </w:r>
      <w:bookmarkEnd w:id="53"/>
    </w:p>
    <w:p w14:paraId="59C58BBA" w14:textId="77777777" w:rsidR="00AD7ECC" w:rsidRPr="00620D37" w:rsidRDefault="00AD7ECC" w:rsidP="00952AF3">
      <w:pPr>
        <w:pStyle w:val="acthead5"/>
        <w:shd w:val="clear" w:color="auto" w:fill="FFFFFF"/>
        <w:spacing w:before="120" w:beforeAutospacing="0" w:after="120" w:afterAutospacing="0"/>
        <w:ind w:left="1134" w:hanging="1134"/>
        <w:rPr>
          <w:rFonts w:asciiTheme="minorHAnsi" w:hAnsiTheme="minorHAnsi" w:cstheme="minorHAnsi"/>
          <w:b/>
          <w:bCs/>
          <w:color w:val="000000"/>
          <w:sz w:val="22"/>
          <w:szCs w:val="22"/>
        </w:rPr>
      </w:pPr>
      <w:bookmarkStart w:id="54" w:name="_Toc121577183"/>
      <w:proofErr w:type="gramStart"/>
      <w:r w:rsidRPr="00620D37">
        <w:rPr>
          <w:rStyle w:val="charsectno"/>
          <w:rFonts w:asciiTheme="minorHAnsi" w:eastAsia="SimSun" w:hAnsiTheme="minorHAnsi" w:cstheme="minorHAnsi"/>
          <w:b/>
          <w:bCs/>
          <w:color w:val="000000"/>
          <w:sz w:val="22"/>
          <w:szCs w:val="22"/>
        </w:rPr>
        <w:t>570</w:t>
      </w:r>
      <w:r w:rsidRPr="00620D37">
        <w:rPr>
          <w:rFonts w:asciiTheme="minorHAnsi" w:hAnsiTheme="minorHAnsi" w:cstheme="minorHAnsi"/>
          <w:b/>
          <w:bCs/>
          <w:color w:val="000000"/>
          <w:sz w:val="22"/>
          <w:szCs w:val="22"/>
        </w:rPr>
        <w:t>  Costs</w:t>
      </w:r>
      <w:proofErr w:type="gramEnd"/>
      <w:r w:rsidRPr="00620D37">
        <w:rPr>
          <w:rFonts w:asciiTheme="minorHAnsi" w:hAnsiTheme="minorHAnsi" w:cstheme="minorHAnsi"/>
          <w:b/>
          <w:bCs/>
          <w:color w:val="000000"/>
          <w:sz w:val="22"/>
          <w:szCs w:val="22"/>
        </w:rPr>
        <w:t xml:space="preserve"> only if proceedings instituted vexatiously etc.</w:t>
      </w:r>
      <w:bookmarkEnd w:id="54"/>
    </w:p>
    <w:p w14:paraId="0A8E4B85" w14:textId="07A024A6" w:rsidR="00AD7ECC" w:rsidRPr="00AD7ECC" w:rsidRDefault="00AD7ECC" w:rsidP="00952AF3">
      <w:pPr>
        <w:pStyle w:val="subsection"/>
        <w:shd w:val="clear" w:color="auto" w:fill="FFFFFF"/>
        <w:spacing w:before="120" w:beforeAutospacing="0" w:after="120" w:afterAutospacing="0"/>
        <w:ind w:left="1134" w:hanging="1134"/>
        <w:rPr>
          <w:rFonts w:asciiTheme="minorHAnsi" w:hAnsiTheme="minorHAnsi" w:cstheme="minorHAnsi"/>
          <w:color w:val="000000"/>
          <w:sz w:val="22"/>
          <w:szCs w:val="22"/>
        </w:rPr>
      </w:pPr>
      <w:r w:rsidRPr="00AD7ECC">
        <w:rPr>
          <w:rFonts w:asciiTheme="minorHAnsi" w:hAnsiTheme="minorHAnsi" w:cstheme="minorHAnsi"/>
          <w:color w:val="000000"/>
          <w:sz w:val="22"/>
          <w:szCs w:val="22"/>
        </w:rPr>
        <w:t>             (1)</w:t>
      </w:r>
      <w:r>
        <w:rPr>
          <w:rFonts w:asciiTheme="minorHAnsi" w:hAnsiTheme="minorHAnsi" w:cstheme="minorHAnsi"/>
          <w:color w:val="000000"/>
          <w:sz w:val="22"/>
          <w:szCs w:val="22"/>
        </w:rPr>
        <w:t xml:space="preserve"> </w:t>
      </w:r>
      <w:r w:rsidR="0055482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AD7ECC">
        <w:rPr>
          <w:rFonts w:asciiTheme="minorHAnsi" w:hAnsiTheme="minorHAnsi" w:cstheme="minorHAnsi"/>
          <w:color w:val="000000"/>
          <w:sz w:val="22"/>
          <w:szCs w:val="22"/>
        </w:rPr>
        <w:t>  A party to proceedings (including an appeal) in a court (including a court of a State or Territory) in relation to a matter arising under this Act may be ordered by the court to pay costs incurred by another party to the proceedings only in accordance with subsection (2) or section 569 or 569A.</w:t>
      </w:r>
    </w:p>
    <w:p w14:paraId="0FF3E4D7" w14:textId="2966B408" w:rsidR="00AD7ECC" w:rsidRPr="003551BC" w:rsidRDefault="00AD7ECC" w:rsidP="00952AF3">
      <w:pPr>
        <w:pStyle w:val="notetext"/>
        <w:shd w:val="clear" w:color="auto" w:fill="FFFFFF"/>
        <w:spacing w:before="120" w:beforeAutospacing="0" w:after="120" w:afterAutospacing="0"/>
        <w:ind w:left="1985" w:hanging="851"/>
        <w:rPr>
          <w:rFonts w:asciiTheme="minorHAnsi" w:hAnsiTheme="minorHAnsi" w:cstheme="minorHAnsi"/>
          <w:color w:val="000000"/>
          <w:sz w:val="20"/>
          <w:szCs w:val="20"/>
        </w:rPr>
      </w:pPr>
      <w:r w:rsidRPr="003551BC">
        <w:rPr>
          <w:rFonts w:asciiTheme="minorHAnsi" w:hAnsiTheme="minorHAnsi" w:cstheme="minorHAnsi"/>
          <w:color w:val="000000"/>
          <w:sz w:val="20"/>
          <w:szCs w:val="20"/>
        </w:rPr>
        <w:t>Note: The Commonwealth might be ordered to pay costs under section 569. A State or Territory might be ordered to pay costs under section 569A.</w:t>
      </w:r>
    </w:p>
    <w:p w14:paraId="1A9ED670" w14:textId="5E2CF27D" w:rsidR="00AD7ECC" w:rsidRPr="00AD7ECC" w:rsidRDefault="00AD7ECC" w:rsidP="00952AF3">
      <w:pPr>
        <w:pStyle w:val="subsection"/>
        <w:shd w:val="clear" w:color="auto" w:fill="FFFFFF"/>
        <w:spacing w:before="120" w:beforeAutospacing="0" w:after="120" w:afterAutospacing="0"/>
        <w:ind w:left="1134" w:hanging="1134"/>
        <w:rPr>
          <w:rFonts w:asciiTheme="minorHAnsi" w:hAnsiTheme="minorHAnsi" w:cstheme="minorHAnsi"/>
          <w:color w:val="000000"/>
          <w:sz w:val="22"/>
          <w:szCs w:val="22"/>
        </w:rPr>
      </w:pPr>
      <w:r w:rsidRPr="00AD7ECC">
        <w:rPr>
          <w:rFonts w:asciiTheme="minorHAnsi" w:hAnsiTheme="minorHAnsi" w:cstheme="minorHAnsi"/>
          <w:color w:val="000000"/>
          <w:sz w:val="22"/>
          <w:szCs w:val="22"/>
        </w:rPr>
        <w:t xml:space="preserve">             (2)  </w:t>
      </w:r>
      <w:r>
        <w:rPr>
          <w:rFonts w:asciiTheme="minorHAnsi" w:hAnsiTheme="minorHAnsi" w:cstheme="minorHAnsi"/>
          <w:color w:val="000000"/>
          <w:sz w:val="22"/>
          <w:szCs w:val="22"/>
        </w:rPr>
        <w:t xml:space="preserve"> </w:t>
      </w:r>
      <w:r w:rsidRPr="00AD7ECC">
        <w:rPr>
          <w:rFonts w:asciiTheme="minorHAnsi" w:hAnsiTheme="minorHAnsi" w:cstheme="minorHAnsi"/>
          <w:color w:val="000000"/>
          <w:sz w:val="22"/>
          <w:szCs w:val="22"/>
        </w:rPr>
        <w:t>The party may be ordered to pay the costs only if:</w:t>
      </w:r>
    </w:p>
    <w:p w14:paraId="5A95415B" w14:textId="77777777" w:rsidR="00AD7ECC" w:rsidRPr="00AD7ECC" w:rsidRDefault="00AD7ECC" w:rsidP="00952AF3">
      <w:pPr>
        <w:pStyle w:val="paragraph"/>
        <w:shd w:val="clear" w:color="auto" w:fill="FFFFFF"/>
        <w:spacing w:before="120" w:beforeAutospacing="0" w:after="120" w:afterAutospacing="0"/>
        <w:ind w:left="1644" w:hanging="1644"/>
        <w:rPr>
          <w:rFonts w:asciiTheme="minorHAnsi" w:hAnsiTheme="minorHAnsi" w:cstheme="minorHAnsi"/>
          <w:color w:val="000000"/>
          <w:sz w:val="22"/>
          <w:szCs w:val="22"/>
        </w:rPr>
      </w:pPr>
      <w:r w:rsidRPr="00AD7ECC">
        <w:rPr>
          <w:rFonts w:asciiTheme="minorHAnsi" w:hAnsiTheme="minorHAnsi" w:cstheme="minorHAnsi"/>
          <w:color w:val="000000"/>
          <w:sz w:val="22"/>
          <w:szCs w:val="22"/>
        </w:rPr>
        <w:t>                     (a)  the court is satisfied that the party instituted the proceedings vexatiously or without reasonable cause; or</w:t>
      </w:r>
    </w:p>
    <w:p w14:paraId="2AF92284" w14:textId="77777777" w:rsidR="00AD7ECC" w:rsidRPr="00AD7ECC" w:rsidRDefault="00AD7ECC" w:rsidP="00952AF3">
      <w:pPr>
        <w:pStyle w:val="paragraph"/>
        <w:shd w:val="clear" w:color="auto" w:fill="FFFFFF"/>
        <w:spacing w:before="120" w:beforeAutospacing="0" w:after="120" w:afterAutospacing="0"/>
        <w:ind w:left="1644" w:hanging="1644"/>
        <w:rPr>
          <w:rFonts w:asciiTheme="minorHAnsi" w:hAnsiTheme="minorHAnsi" w:cstheme="minorHAnsi"/>
          <w:color w:val="000000"/>
          <w:sz w:val="22"/>
          <w:szCs w:val="22"/>
        </w:rPr>
      </w:pPr>
      <w:r w:rsidRPr="00AD7ECC">
        <w:rPr>
          <w:rFonts w:asciiTheme="minorHAnsi" w:hAnsiTheme="minorHAnsi" w:cstheme="minorHAnsi"/>
          <w:color w:val="000000"/>
          <w:sz w:val="22"/>
          <w:szCs w:val="22"/>
        </w:rPr>
        <w:t>                     (b)  the court is satisfied that the party’s unreasonable act or omission caused the other party to incur the costs; or</w:t>
      </w:r>
    </w:p>
    <w:p w14:paraId="32ADEF5B" w14:textId="77777777" w:rsidR="00AD7ECC" w:rsidRPr="00AD7ECC" w:rsidRDefault="00AD7ECC" w:rsidP="00952AF3">
      <w:pPr>
        <w:pStyle w:val="paragraph"/>
        <w:shd w:val="clear" w:color="auto" w:fill="FFFFFF"/>
        <w:spacing w:before="120" w:beforeAutospacing="0" w:after="120" w:afterAutospacing="0"/>
        <w:ind w:left="1644" w:hanging="1644"/>
        <w:rPr>
          <w:rFonts w:asciiTheme="minorHAnsi" w:hAnsiTheme="minorHAnsi" w:cstheme="minorHAnsi"/>
          <w:color w:val="000000"/>
          <w:sz w:val="22"/>
          <w:szCs w:val="22"/>
        </w:rPr>
      </w:pPr>
      <w:r w:rsidRPr="00AD7ECC">
        <w:rPr>
          <w:rFonts w:asciiTheme="minorHAnsi" w:hAnsiTheme="minorHAnsi" w:cstheme="minorHAnsi"/>
          <w:color w:val="000000"/>
          <w:sz w:val="22"/>
          <w:szCs w:val="22"/>
        </w:rPr>
        <w:t>                     (c)  the court is satisfied of both of the following:</w:t>
      </w:r>
    </w:p>
    <w:p w14:paraId="55C441E3" w14:textId="77777777" w:rsidR="00AD7ECC" w:rsidRPr="00AD7ECC" w:rsidRDefault="00AD7ECC" w:rsidP="00952AF3">
      <w:pPr>
        <w:pStyle w:val="paragraphsub"/>
        <w:shd w:val="clear" w:color="auto" w:fill="FFFFFF"/>
        <w:spacing w:before="120" w:beforeAutospacing="0" w:after="120" w:afterAutospacing="0"/>
        <w:ind w:left="2098" w:hanging="2098"/>
        <w:rPr>
          <w:rFonts w:asciiTheme="minorHAnsi" w:hAnsiTheme="minorHAnsi" w:cstheme="minorHAnsi"/>
          <w:color w:val="000000"/>
          <w:sz w:val="22"/>
          <w:szCs w:val="22"/>
        </w:rPr>
      </w:pPr>
      <w:r w:rsidRPr="00AD7ECC">
        <w:rPr>
          <w:rFonts w:asciiTheme="minorHAnsi" w:hAnsiTheme="minorHAnsi" w:cstheme="minorHAnsi"/>
          <w:color w:val="000000"/>
          <w:sz w:val="22"/>
          <w:szCs w:val="22"/>
        </w:rPr>
        <w:t>                              (</w:t>
      </w:r>
      <w:proofErr w:type="spellStart"/>
      <w:r w:rsidRPr="00AD7ECC">
        <w:rPr>
          <w:rFonts w:asciiTheme="minorHAnsi" w:hAnsiTheme="minorHAnsi" w:cstheme="minorHAnsi"/>
          <w:color w:val="000000"/>
          <w:sz w:val="22"/>
          <w:szCs w:val="22"/>
        </w:rPr>
        <w:t>i</w:t>
      </w:r>
      <w:proofErr w:type="spellEnd"/>
      <w:r w:rsidRPr="00AD7ECC">
        <w:rPr>
          <w:rFonts w:asciiTheme="minorHAnsi" w:hAnsiTheme="minorHAnsi" w:cstheme="minorHAnsi"/>
          <w:color w:val="000000"/>
          <w:sz w:val="22"/>
          <w:szCs w:val="22"/>
        </w:rPr>
        <w:t>)  the party unreasonably refused to participate in a matter before the FWC;</w:t>
      </w:r>
    </w:p>
    <w:p w14:paraId="65207469" w14:textId="77777777" w:rsidR="00AD7ECC" w:rsidRPr="00AD7ECC" w:rsidRDefault="00AD7ECC" w:rsidP="00952AF3">
      <w:pPr>
        <w:pStyle w:val="paragraphsub"/>
        <w:shd w:val="clear" w:color="auto" w:fill="FFFFFF"/>
        <w:spacing w:before="120" w:beforeAutospacing="0" w:after="120" w:afterAutospacing="0"/>
        <w:ind w:left="2098" w:hanging="2098"/>
        <w:rPr>
          <w:rFonts w:asciiTheme="minorHAnsi" w:hAnsiTheme="minorHAnsi" w:cstheme="minorHAnsi"/>
          <w:color w:val="000000"/>
          <w:sz w:val="22"/>
          <w:szCs w:val="22"/>
        </w:rPr>
      </w:pPr>
      <w:r w:rsidRPr="00AD7ECC">
        <w:rPr>
          <w:rFonts w:asciiTheme="minorHAnsi" w:hAnsiTheme="minorHAnsi" w:cstheme="minorHAnsi"/>
          <w:color w:val="000000"/>
          <w:sz w:val="22"/>
          <w:szCs w:val="22"/>
        </w:rPr>
        <w:t>                             (ii)  the matter arose from the same facts as the proceedings.</w:t>
      </w:r>
    </w:p>
    <w:p w14:paraId="12B51960" w14:textId="5C1FDD48" w:rsidR="00AD7ECC" w:rsidRPr="00E40DAE" w:rsidRDefault="00AD7ECC" w:rsidP="00957186">
      <w:pPr>
        <w:pStyle w:val="Heading3"/>
      </w:pPr>
      <w:bookmarkStart w:id="55" w:name="_Toc127809131"/>
      <w:r w:rsidRPr="00703B27">
        <w:rPr>
          <w:i/>
        </w:rPr>
        <w:t>Public Interest Disclosure Act 2013</w:t>
      </w:r>
      <w:r w:rsidR="00E40DAE">
        <w:t xml:space="preserve"> (</w:t>
      </w:r>
      <w:proofErr w:type="spellStart"/>
      <w:r w:rsidR="00E40DAE">
        <w:t>Cth</w:t>
      </w:r>
      <w:proofErr w:type="spellEnd"/>
      <w:r w:rsidR="00E40DAE">
        <w:t>)</w:t>
      </w:r>
      <w:bookmarkEnd w:id="55"/>
    </w:p>
    <w:p w14:paraId="4D8A16DE" w14:textId="77777777" w:rsidR="00AD7ECC" w:rsidRPr="00620D37" w:rsidRDefault="00AD7ECC" w:rsidP="00952AF3">
      <w:pPr>
        <w:pStyle w:val="acthead5"/>
        <w:shd w:val="clear" w:color="auto" w:fill="FFFFFF"/>
        <w:spacing w:before="120" w:beforeAutospacing="0" w:after="120" w:afterAutospacing="0"/>
        <w:ind w:left="1134" w:hanging="1134"/>
        <w:rPr>
          <w:rFonts w:asciiTheme="minorHAnsi" w:hAnsiTheme="minorHAnsi" w:cstheme="minorHAnsi"/>
          <w:b/>
          <w:bCs/>
          <w:color w:val="000000"/>
          <w:sz w:val="22"/>
          <w:szCs w:val="22"/>
        </w:rPr>
      </w:pPr>
      <w:bookmarkStart w:id="56" w:name="_Toc84939699"/>
      <w:proofErr w:type="gramStart"/>
      <w:r w:rsidRPr="00620D37">
        <w:rPr>
          <w:rStyle w:val="charsectno"/>
          <w:rFonts w:asciiTheme="minorHAnsi" w:eastAsia="SimSun" w:hAnsiTheme="minorHAnsi" w:cstheme="minorHAnsi"/>
          <w:b/>
          <w:bCs/>
          <w:color w:val="000000"/>
          <w:sz w:val="22"/>
          <w:szCs w:val="22"/>
        </w:rPr>
        <w:t>18</w:t>
      </w:r>
      <w:r w:rsidRPr="00620D37">
        <w:rPr>
          <w:rFonts w:asciiTheme="minorHAnsi" w:hAnsiTheme="minorHAnsi" w:cstheme="minorHAnsi"/>
          <w:b/>
          <w:bCs/>
          <w:color w:val="000000"/>
          <w:sz w:val="22"/>
          <w:szCs w:val="22"/>
        </w:rPr>
        <w:t>  Costs</w:t>
      </w:r>
      <w:proofErr w:type="gramEnd"/>
      <w:r w:rsidRPr="00620D37">
        <w:rPr>
          <w:rFonts w:asciiTheme="minorHAnsi" w:hAnsiTheme="minorHAnsi" w:cstheme="minorHAnsi"/>
          <w:b/>
          <w:bCs/>
          <w:color w:val="000000"/>
          <w:sz w:val="22"/>
          <w:szCs w:val="22"/>
        </w:rPr>
        <w:t xml:space="preserve"> only if proceedings instituted vexatiously etc.</w:t>
      </w:r>
      <w:bookmarkEnd w:id="56"/>
    </w:p>
    <w:p w14:paraId="459C23E8" w14:textId="7FED7B79" w:rsidR="00AD7ECC" w:rsidRPr="00620D37" w:rsidRDefault="00AD7ECC" w:rsidP="00952AF3">
      <w:pPr>
        <w:pStyle w:val="subsection"/>
        <w:shd w:val="clear" w:color="auto" w:fill="FFFFFF"/>
        <w:spacing w:before="120" w:beforeAutospacing="0" w:after="120" w:afterAutospacing="0"/>
        <w:ind w:left="1134" w:hanging="1134"/>
        <w:rPr>
          <w:rFonts w:asciiTheme="minorHAnsi" w:hAnsiTheme="minorHAnsi" w:cstheme="minorHAnsi"/>
          <w:color w:val="000000"/>
          <w:sz w:val="22"/>
          <w:szCs w:val="22"/>
        </w:rPr>
      </w:pPr>
      <w:r w:rsidRPr="00620D37">
        <w:rPr>
          <w:rFonts w:asciiTheme="minorHAnsi" w:hAnsiTheme="minorHAnsi" w:cstheme="minorHAnsi"/>
          <w:color w:val="000000"/>
          <w:sz w:val="22"/>
          <w:szCs w:val="22"/>
        </w:rPr>
        <w:t xml:space="preserve">             (1)  </w:t>
      </w:r>
      <w:r w:rsidR="00620D37">
        <w:rPr>
          <w:rFonts w:asciiTheme="minorHAnsi" w:hAnsiTheme="minorHAnsi" w:cstheme="minorHAnsi"/>
          <w:color w:val="000000"/>
          <w:sz w:val="22"/>
          <w:szCs w:val="22"/>
        </w:rPr>
        <w:t xml:space="preserve">   </w:t>
      </w:r>
      <w:r w:rsidRPr="00620D37">
        <w:rPr>
          <w:rFonts w:asciiTheme="minorHAnsi" w:hAnsiTheme="minorHAnsi" w:cstheme="minorHAnsi"/>
          <w:color w:val="000000"/>
          <w:sz w:val="22"/>
          <w:szCs w:val="22"/>
        </w:rPr>
        <w:t>In proceedings (including an appeal) in a court in relation to a matter arising under section 14, 15 or 16, the applicant for an order under that section must not be ordered by the court to pay costs incurred by another party to the proceedings, except in accordance with subsection (2).</w:t>
      </w:r>
    </w:p>
    <w:p w14:paraId="121A4C48" w14:textId="1CFDF74D" w:rsidR="00AD7ECC" w:rsidRPr="00620D37" w:rsidRDefault="00AD7ECC" w:rsidP="00952AF3">
      <w:pPr>
        <w:pStyle w:val="subsection"/>
        <w:shd w:val="clear" w:color="auto" w:fill="FFFFFF"/>
        <w:spacing w:before="120" w:beforeAutospacing="0" w:after="120" w:afterAutospacing="0"/>
        <w:ind w:left="1134" w:hanging="1134"/>
        <w:rPr>
          <w:rFonts w:asciiTheme="minorHAnsi" w:hAnsiTheme="minorHAnsi" w:cstheme="minorHAnsi"/>
          <w:color w:val="000000"/>
          <w:sz w:val="22"/>
          <w:szCs w:val="22"/>
        </w:rPr>
      </w:pPr>
      <w:r w:rsidRPr="00620D37">
        <w:rPr>
          <w:rFonts w:asciiTheme="minorHAnsi" w:hAnsiTheme="minorHAnsi" w:cstheme="minorHAnsi"/>
          <w:color w:val="000000"/>
          <w:sz w:val="22"/>
          <w:szCs w:val="22"/>
        </w:rPr>
        <w:t xml:space="preserve">             (2)  </w:t>
      </w:r>
      <w:r w:rsidR="00620D37">
        <w:rPr>
          <w:rFonts w:asciiTheme="minorHAnsi" w:hAnsiTheme="minorHAnsi" w:cstheme="minorHAnsi"/>
          <w:color w:val="000000"/>
          <w:sz w:val="22"/>
          <w:szCs w:val="22"/>
        </w:rPr>
        <w:t xml:space="preserve">  </w:t>
      </w:r>
      <w:r w:rsidRPr="00620D37">
        <w:rPr>
          <w:rFonts w:asciiTheme="minorHAnsi" w:hAnsiTheme="minorHAnsi" w:cstheme="minorHAnsi"/>
          <w:color w:val="000000"/>
          <w:sz w:val="22"/>
          <w:szCs w:val="22"/>
        </w:rPr>
        <w:t>The applicant may be ordered to pay the costs only if:</w:t>
      </w:r>
    </w:p>
    <w:p w14:paraId="15ED2732" w14:textId="56050B8E" w:rsidR="00AD7ECC" w:rsidRPr="00620D37" w:rsidRDefault="00AD7ECC" w:rsidP="00952AF3">
      <w:pPr>
        <w:pStyle w:val="paragraph"/>
        <w:shd w:val="clear" w:color="auto" w:fill="FFFFFF"/>
        <w:spacing w:before="120" w:beforeAutospacing="0" w:after="120" w:afterAutospacing="0"/>
        <w:ind w:left="1644" w:hanging="1644"/>
        <w:rPr>
          <w:rFonts w:asciiTheme="minorHAnsi" w:hAnsiTheme="minorHAnsi" w:cstheme="minorHAnsi"/>
          <w:color w:val="000000"/>
          <w:sz w:val="22"/>
          <w:szCs w:val="22"/>
        </w:rPr>
      </w:pPr>
      <w:r w:rsidRPr="00620D37">
        <w:rPr>
          <w:rFonts w:asciiTheme="minorHAnsi" w:hAnsiTheme="minorHAnsi" w:cstheme="minorHAnsi"/>
          <w:color w:val="000000"/>
          <w:sz w:val="22"/>
          <w:szCs w:val="22"/>
        </w:rPr>
        <w:t>                    </w:t>
      </w:r>
      <w:r w:rsidR="00620D37">
        <w:rPr>
          <w:rFonts w:asciiTheme="minorHAnsi" w:hAnsiTheme="minorHAnsi" w:cstheme="minorHAnsi"/>
          <w:color w:val="000000"/>
          <w:sz w:val="22"/>
          <w:szCs w:val="22"/>
        </w:rPr>
        <w:t xml:space="preserve"> </w:t>
      </w:r>
      <w:r w:rsidRPr="00620D37">
        <w:rPr>
          <w:rFonts w:asciiTheme="minorHAnsi" w:hAnsiTheme="minorHAnsi" w:cstheme="minorHAnsi"/>
          <w:color w:val="000000"/>
          <w:sz w:val="22"/>
          <w:szCs w:val="22"/>
        </w:rPr>
        <w:t xml:space="preserve"> (a)  the court is satisfied that the applicant instituted the proceedings vexatiously or without reasonable cause; or</w:t>
      </w:r>
    </w:p>
    <w:p w14:paraId="4605761E" w14:textId="1A992479" w:rsidR="00AD7ECC" w:rsidRPr="00620D37" w:rsidRDefault="00AD7ECC" w:rsidP="00952AF3">
      <w:pPr>
        <w:pStyle w:val="paragraph"/>
        <w:shd w:val="clear" w:color="auto" w:fill="FFFFFF"/>
        <w:spacing w:before="120" w:beforeAutospacing="0" w:after="120" w:afterAutospacing="0"/>
        <w:ind w:left="1644" w:hanging="1644"/>
        <w:rPr>
          <w:rFonts w:asciiTheme="minorHAnsi" w:hAnsiTheme="minorHAnsi" w:cstheme="minorHAnsi"/>
          <w:color w:val="000000"/>
          <w:sz w:val="22"/>
          <w:szCs w:val="22"/>
        </w:rPr>
      </w:pPr>
      <w:r w:rsidRPr="00620D37">
        <w:rPr>
          <w:rFonts w:asciiTheme="minorHAnsi" w:hAnsiTheme="minorHAnsi" w:cstheme="minorHAnsi"/>
          <w:color w:val="000000"/>
          <w:sz w:val="22"/>
          <w:szCs w:val="22"/>
        </w:rPr>
        <w:t>                   </w:t>
      </w:r>
      <w:r w:rsidR="00620D37">
        <w:rPr>
          <w:rFonts w:asciiTheme="minorHAnsi" w:hAnsiTheme="minorHAnsi" w:cstheme="minorHAnsi"/>
          <w:color w:val="000000"/>
          <w:sz w:val="22"/>
          <w:szCs w:val="22"/>
        </w:rPr>
        <w:t xml:space="preserve"> </w:t>
      </w:r>
      <w:r w:rsidRPr="00620D37">
        <w:rPr>
          <w:rFonts w:asciiTheme="minorHAnsi" w:hAnsiTheme="minorHAnsi" w:cstheme="minorHAnsi"/>
          <w:color w:val="000000"/>
          <w:sz w:val="22"/>
          <w:szCs w:val="22"/>
        </w:rPr>
        <w:t>  (b)  the court is satisfied that the applicant’s unreasonable act or omission caused the other party to incur the costs.</w:t>
      </w:r>
    </w:p>
    <w:p w14:paraId="40309355" w14:textId="4C9ACEEA" w:rsidR="006F5570" w:rsidRPr="00E40DAE" w:rsidRDefault="006F5570" w:rsidP="00AF6147">
      <w:pPr>
        <w:pStyle w:val="Heading3"/>
      </w:pPr>
      <w:bookmarkStart w:id="57" w:name="_Toc127809132"/>
      <w:r w:rsidRPr="0025037B">
        <w:rPr>
          <w:i/>
        </w:rPr>
        <w:t>Corporations Act 2001</w:t>
      </w:r>
      <w:r w:rsidR="00E40DAE">
        <w:t xml:space="preserve"> (</w:t>
      </w:r>
      <w:proofErr w:type="spellStart"/>
      <w:r w:rsidR="00E40DAE">
        <w:t>Cth</w:t>
      </w:r>
      <w:proofErr w:type="spellEnd"/>
      <w:r w:rsidR="00E40DAE">
        <w:t>)</w:t>
      </w:r>
      <w:bookmarkEnd w:id="57"/>
    </w:p>
    <w:p w14:paraId="231D769C" w14:textId="77777777" w:rsidR="006F5570" w:rsidRPr="006F5570" w:rsidRDefault="006F5570" w:rsidP="00952AF3">
      <w:pPr>
        <w:pStyle w:val="acthead5"/>
        <w:shd w:val="clear" w:color="auto" w:fill="FFFFFF"/>
        <w:spacing w:before="120" w:beforeAutospacing="0" w:after="120" w:afterAutospacing="0"/>
        <w:ind w:left="1134" w:hanging="1134"/>
        <w:rPr>
          <w:rFonts w:asciiTheme="minorHAnsi" w:hAnsiTheme="minorHAnsi" w:cstheme="minorHAnsi"/>
          <w:b/>
          <w:bCs/>
          <w:color w:val="000000"/>
          <w:sz w:val="22"/>
          <w:szCs w:val="22"/>
        </w:rPr>
      </w:pPr>
      <w:bookmarkStart w:id="58" w:name="_Toc117077288"/>
      <w:r w:rsidRPr="006F5570">
        <w:rPr>
          <w:rStyle w:val="charsectno"/>
          <w:rFonts w:asciiTheme="minorHAnsi" w:eastAsia="SimSun" w:hAnsiTheme="minorHAnsi" w:cstheme="minorHAnsi"/>
          <w:b/>
          <w:bCs/>
          <w:color w:val="000000"/>
          <w:sz w:val="22"/>
          <w:szCs w:val="22"/>
        </w:rPr>
        <w:t>1317</w:t>
      </w:r>
      <w:proofErr w:type="gramStart"/>
      <w:r w:rsidRPr="006F5570">
        <w:rPr>
          <w:rStyle w:val="charsectno"/>
          <w:rFonts w:asciiTheme="minorHAnsi" w:eastAsia="SimSun" w:hAnsiTheme="minorHAnsi" w:cstheme="minorHAnsi"/>
          <w:b/>
          <w:bCs/>
          <w:color w:val="000000"/>
          <w:sz w:val="22"/>
          <w:szCs w:val="22"/>
        </w:rPr>
        <w:t>AH</w:t>
      </w:r>
      <w:r w:rsidRPr="006F5570">
        <w:rPr>
          <w:rFonts w:asciiTheme="minorHAnsi" w:hAnsiTheme="minorHAnsi" w:cstheme="minorHAnsi"/>
          <w:b/>
          <w:bCs/>
          <w:color w:val="000000"/>
          <w:sz w:val="22"/>
          <w:szCs w:val="22"/>
        </w:rPr>
        <w:t>  Costs</w:t>
      </w:r>
      <w:proofErr w:type="gramEnd"/>
      <w:r w:rsidRPr="006F5570">
        <w:rPr>
          <w:rFonts w:asciiTheme="minorHAnsi" w:hAnsiTheme="minorHAnsi" w:cstheme="minorHAnsi"/>
          <w:b/>
          <w:bCs/>
          <w:color w:val="000000"/>
          <w:sz w:val="22"/>
          <w:szCs w:val="22"/>
        </w:rPr>
        <w:t xml:space="preserve"> only if proceedings instituted vexatiously etc.</w:t>
      </w:r>
      <w:bookmarkEnd w:id="58"/>
    </w:p>
    <w:p w14:paraId="3C5C0A46" w14:textId="793A60F1" w:rsidR="006F5570" w:rsidRPr="006F5570" w:rsidRDefault="006F5570" w:rsidP="00952AF3">
      <w:pPr>
        <w:pStyle w:val="subsection"/>
        <w:shd w:val="clear" w:color="auto" w:fill="FFFFFF"/>
        <w:spacing w:before="120" w:beforeAutospacing="0" w:after="120" w:afterAutospacing="0"/>
        <w:ind w:left="1134" w:hanging="1134"/>
        <w:rPr>
          <w:rFonts w:asciiTheme="minorHAnsi" w:hAnsiTheme="minorHAnsi" w:cstheme="minorHAnsi"/>
          <w:color w:val="000000"/>
          <w:sz w:val="22"/>
          <w:szCs w:val="22"/>
        </w:rPr>
      </w:pPr>
      <w:r w:rsidRPr="006F5570">
        <w:rPr>
          <w:rFonts w:asciiTheme="minorHAnsi" w:hAnsiTheme="minorHAnsi" w:cstheme="minorHAnsi"/>
          <w:color w:val="000000"/>
          <w:sz w:val="22"/>
          <w:szCs w:val="22"/>
        </w:rPr>
        <w:t xml:space="preserve">             (1)  </w:t>
      </w:r>
      <w:r w:rsidR="003551BC">
        <w:rPr>
          <w:rFonts w:asciiTheme="minorHAnsi" w:hAnsiTheme="minorHAnsi" w:cstheme="minorHAnsi"/>
          <w:color w:val="000000"/>
          <w:sz w:val="22"/>
          <w:szCs w:val="22"/>
        </w:rPr>
        <w:t xml:space="preserve">  </w:t>
      </w:r>
      <w:r w:rsidRPr="006F5570">
        <w:rPr>
          <w:rFonts w:asciiTheme="minorHAnsi" w:hAnsiTheme="minorHAnsi" w:cstheme="minorHAnsi"/>
          <w:color w:val="000000"/>
          <w:sz w:val="22"/>
          <w:szCs w:val="22"/>
        </w:rPr>
        <w:t>This section applies to a proceeding (including an appeal) in a court in relation to a matter arising under section 1317AE in which a person (the </w:t>
      </w:r>
      <w:r w:rsidRPr="006F5570">
        <w:rPr>
          <w:rFonts w:asciiTheme="minorHAnsi" w:hAnsiTheme="minorHAnsi" w:cstheme="minorHAnsi"/>
          <w:b/>
          <w:bCs/>
          <w:i/>
          <w:iCs/>
          <w:color w:val="000000"/>
          <w:sz w:val="22"/>
          <w:szCs w:val="22"/>
        </w:rPr>
        <w:t>claimant</w:t>
      </w:r>
      <w:r w:rsidRPr="006F5570">
        <w:rPr>
          <w:rFonts w:asciiTheme="minorHAnsi" w:hAnsiTheme="minorHAnsi" w:cstheme="minorHAnsi"/>
          <w:color w:val="000000"/>
          <w:sz w:val="22"/>
          <w:szCs w:val="22"/>
        </w:rPr>
        <w:t>) is seeking an order under subsection 1317</w:t>
      </w:r>
      <w:proofErr w:type="gramStart"/>
      <w:r w:rsidRPr="006F5570">
        <w:rPr>
          <w:rFonts w:asciiTheme="minorHAnsi" w:hAnsiTheme="minorHAnsi" w:cstheme="minorHAnsi"/>
          <w:color w:val="000000"/>
          <w:sz w:val="22"/>
          <w:szCs w:val="22"/>
        </w:rPr>
        <w:t>AE(</w:t>
      </w:r>
      <w:proofErr w:type="gramEnd"/>
      <w:r w:rsidRPr="006F5570">
        <w:rPr>
          <w:rFonts w:asciiTheme="minorHAnsi" w:hAnsiTheme="minorHAnsi" w:cstheme="minorHAnsi"/>
          <w:color w:val="000000"/>
          <w:sz w:val="22"/>
          <w:szCs w:val="22"/>
        </w:rPr>
        <w:t>1).</w:t>
      </w:r>
    </w:p>
    <w:p w14:paraId="320303D6" w14:textId="2A3352D5" w:rsidR="006F5570" w:rsidRPr="006F5570" w:rsidRDefault="006F5570" w:rsidP="00952AF3">
      <w:pPr>
        <w:pStyle w:val="subsection"/>
        <w:shd w:val="clear" w:color="auto" w:fill="FFFFFF"/>
        <w:spacing w:before="120" w:beforeAutospacing="0" w:after="120" w:afterAutospacing="0"/>
        <w:ind w:left="1134" w:hanging="1134"/>
        <w:rPr>
          <w:rFonts w:asciiTheme="minorHAnsi" w:hAnsiTheme="minorHAnsi" w:cstheme="minorHAnsi"/>
          <w:color w:val="000000"/>
          <w:sz w:val="22"/>
          <w:szCs w:val="22"/>
        </w:rPr>
      </w:pPr>
      <w:r w:rsidRPr="006F5570">
        <w:rPr>
          <w:rFonts w:asciiTheme="minorHAnsi" w:hAnsiTheme="minorHAnsi" w:cstheme="minorHAnsi"/>
          <w:color w:val="000000"/>
          <w:sz w:val="22"/>
          <w:szCs w:val="22"/>
        </w:rPr>
        <w:t xml:space="preserve">             (2)  </w:t>
      </w:r>
      <w:r w:rsidR="003551BC">
        <w:rPr>
          <w:rFonts w:asciiTheme="minorHAnsi" w:hAnsiTheme="minorHAnsi" w:cstheme="minorHAnsi"/>
          <w:color w:val="000000"/>
          <w:sz w:val="22"/>
          <w:szCs w:val="22"/>
        </w:rPr>
        <w:t xml:space="preserve">  </w:t>
      </w:r>
      <w:r w:rsidRPr="006F5570">
        <w:rPr>
          <w:rFonts w:asciiTheme="minorHAnsi" w:hAnsiTheme="minorHAnsi" w:cstheme="minorHAnsi"/>
          <w:color w:val="000000"/>
          <w:sz w:val="22"/>
          <w:szCs w:val="22"/>
        </w:rPr>
        <w:t>The claimant must not be ordered by the court to pay costs incurred by another party to the proceedings, except in accordance with subsection (3) of this section.</w:t>
      </w:r>
    </w:p>
    <w:p w14:paraId="38B6EB81" w14:textId="51A8DD52" w:rsidR="006F5570" w:rsidRPr="006F5570" w:rsidRDefault="006F5570" w:rsidP="00952AF3">
      <w:pPr>
        <w:pStyle w:val="subsection"/>
        <w:shd w:val="clear" w:color="auto" w:fill="FFFFFF"/>
        <w:spacing w:before="120" w:beforeAutospacing="0" w:after="120" w:afterAutospacing="0"/>
        <w:ind w:left="1134" w:hanging="1134"/>
        <w:rPr>
          <w:rFonts w:asciiTheme="minorHAnsi" w:hAnsiTheme="minorHAnsi" w:cstheme="minorHAnsi"/>
          <w:color w:val="000000"/>
          <w:sz w:val="22"/>
          <w:szCs w:val="22"/>
        </w:rPr>
      </w:pPr>
      <w:r w:rsidRPr="006F5570">
        <w:rPr>
          <w:rFonts w:asciiTheme="minorHAnsi" w:hAnsiTheme="minorHAnsi" w:cstheme="minorHAnsi"/>
          <w:color w:val="000000"/>
          <w:sz w:val="22"/>
          <w:szCs w:val="22"/>
        </w:rPr>
        <w:lastRenderedPageBreak/>
        <w:t xml:space="preserve">             (3)  </w:t>
      </w:r>
      <w:r w:rsidR="003551BC">
        <w:rPr>
          <w:rFonts w:asciiTheme="minorHAnsi" w:hAnsiTheme="minorHAnsi" w:cstheme="minorHAnsi"/>
          <w:color w:val="000000"/>
          <w:sz w:val="22"/>
          <w:szCs w:val="22"/>
        </w:rPr>
        <w:t xml:space="preserve">  </w:t>
      </w:r>
      <w:r w:rsidRPr="006F5570">
        <w:rPr>
          <w:rFonts w:asciiTheme="minorHAnsi" w:hAnsiTheme="minorHAnsi" w:cstheme="minorHAnsi"/>
          <w:color w:val="000000"/>
          <w:sz w:val="22"/>
          <w:szCs w:val="22"/>
        </w:rPr>
        <w:t>The claimant may be ordered to pay the costs only if:</w:t>
      </w:r>
    </w:p>
    <w:p w14:paraId="5C7587A2" w14:textId="77777777" w:rsidR="006F5570" w:rsidRPr="006F5570" w:rsidRDefault="006F5570" w:rsidP="00952AF3">
      <w:pPr>
        <w:pStyle w:val="paragraph"/>
        <w:shd w:val="clear" w:color="auto" w:fill="FFFFFF"/>
        <w:spacing w:before="120" w:beforeAutospacing="0" w:after="120" w:afterAutospacing="0"/>
        <w:ind w:left="1644" w:hanging="1644"/>
        <w:rPr>
          <w:rFonts w:asciiTheme="minorHAnsi" w:hAnsiTheme="minorHAnsi" w:cstheme="minorHAnsi"/>
          <w:color w:val="000000"/>
          <w:sz w:val="22"/>
          <w:szCs w:val="22"/>
        </w:rPr>
      </w:pPr>
      <w:r w:rsidRPr="006F5570">
        <w:rPr>
          <w:rFonts w:asciiTheme="minorHAnsi" w:hAnsiTheme="minorHAnsi" w:cstheme="minorHAnsi"/>
          <w:color w:val="000000"/>
          <w:sz w:val="22"/>
          <w:szCs w:val="22"/>
        </w:rPr>
        <w:t>                     (a)  the court is satisfied that the claimant instituted the proceedings vexatiously or without reasonable cause; or</w:t>
      </w:r>
    </w:p>
    <w:p w14:paraId="23E12E8A" w14:textId="77777777" w:rsidR="006F5570" w:rsidRPr="006F5570" w:rsidRDefault="006F5570" w:rsidP="00952AF3">
      <w:pPr>
        <w:pStyle w:val="paragraph"/>
        <w:shd w:val="clear" w:color="auto" w:fill="FFFFFF"/>
        <w:spacing w:before="120" w:beforeAutospacing="0" w:after="120" w:afterAutospacing="0"/>
        <w:ind w:left="1644" w:hanging="1644"/>
        <w:rPr>
          <w:rFonts w:asciiTheme="minorHAnsi" w:hAnsiTheme="minorHAnsi" w:cstheme="minorHAnsi"/>
          <w:color w:val="000000"/>
          <w:sz w:val="22"/>
          <w:szCs w:val="22"/>
        </w:rPr>
      </w:pPr>
      <w:r w:rsidRPr="006F5570">
        <w:rPr>
          <w:rFonts w:asciiTheme="minorHAnsi" w:hAnsiTheme="minorHAnsi" w:cstheme="minorHAnsi"/>
          <w:color w:val="000000"/>
          <w:sz w:val="22"/>
          <w:szCs w:val="22"/>
        </w:rPr>
        <w:t>                     (b)  the court is satisfied that the claimant’s unreasonable act or omission caused the other party to incur the costs.</w:t>
      </w:r>
    </w:p>
    <w:p w14:paraId="3BE8C851" w14:textId="46287FD4" w:rsidR="002B08DF" w:rsidRPr="00546E31" w:rsidRDefault="002B08DF" w:rsidP="002C4156">
      <w:pPr>
        <w:pStyle w:val="Heading3"/>
      </w:pPr>
      <w:bookmarkStart w:id="59" w:name="_Toc127809133"/>
      <w:r w:rsidRPr="00546E31">
        <w:t xml:space="preserve">Anti-Discrimination and Human Rights Legislation Amendment (Respect at Work) Bill 2022 </w:t>
      </w:r>
      <w:r w:rsidR="000F517E">
        <w:t>(</w:t>
      </w:r>
      <w:proofErr w:type="spellStart"/>
      <w:r w:rsidR="000F517E">
        <w:t>Cth</w:t>
      </w:r>
      <w:proofErr w:type="spellEnd"/>
      <w:r w:rsidR="000F517E">
        <w:t>)</w:t>
      </w:r>
      <w:bookmarkEnd w:id="59"/>
    </w:p>
    <w:p w14:paraId="6B61AE0A" w14:textId="2B3B6579" w:rsidR="002B08DF" w:rsidRDefault="002B08DF" w:rsidP="00952AF3">
      <w:pPr>
        <w:spacing w:before="120" w:after="120" w:line="240" w:lineRule="auto"/>
        <w:rPr>
          <w:rFonts w:cstheme="minorHAnsi"/>
          <w:lang w:val="en-AU"/>
        </w:rPr>
      </w:pPr>
      <w:r>
        <w:rPr>
          <w:rFonts w:cstheme="minorHAnsi"/>
          <w:lang w:val="en-AU"/>
        </w:rPr>
        <w:t xml:space="preserve">(Note: </w:t>
      </w:r>
      <w:r w:rsidR="00546E31">
        <w:rPr>
          <w:rFonts w:cstheme="minorHAnsi"/>
          <w:lang w:val="en-AU"/>
        </w:rPr>
        <w:t xml:space="preserve">this </w:t>
      </w:r>
      <w:r>
        <w:rPr>
          <w:rFonts w:cstheme="minorHAnsi"/>
          <w:lang w:val="en-AU"/>
        </w:rPr>
        <w:t xml:space="preserve">provision </w:t>
      </w:r>
      <w:r w:rsidR="00546E31">
        <w:rPr>
          <w:rFonts w:cstheme="minorHAnsi"/>
          <w:lang w:val="en-AU"/>
        </w:rPr>
        <w:t xml:space="preserve">was </w:t>
      </w:r>
      <w:r>
        <w:rPr>
          <w:rFonts w:cstheme="minorHAnsi"/>
          <w:lang w:val="en-AU"/>
        </w:rPr>
        <w:t xml:space="preserve">removed prior to </w:t>
      </w:r>
      <w:r w:rsidR="00546E31">
        <w:rPr>
          <w:rFonts w:cstheme="minorHAnsi"/>
          <w:lang w:val="en-AU"/>
        </w:rPr>
        <w:t xml:space="preserve">the Bill’s </w:t>
      </w:r>
      <w:r>
        <w:rPr>
          <w:rFonts w:cstheme="minorHAnsi"/>
          <w:lang w:val="en-AU"/>
        </w:rPr>
        <w:t>passage)</w:t>
      </w:r>
    </w:p>
    <w:p w14:paraId="20B095B8" w14:textId="321C8D00" w:rsidR="00075DD6" w:rsidRPr="00075DD6" w:rsidRDefault="00075DD6" w:rsidP="00952AF3">
      <w:pPr>
        <w:spacing w:before="120" w:after="120" w:line="240" w:lineRule="auto"/>
        <w:rPr>
          <w:rFonts w:cstheme="minorHAnsi"/>
          <w:lang w:val="en-AU"/>
        </w:rPr>
      </w:pPr>
      <w:r>
        <w:rPr>
          <w:rFonts w:cstheme="minorHAnsi"/>
          <w:lang w:val="en-AU"/>
        </w:rPr>
        <w:t xml:space="preserve">(To be inserted into the </w:t>
      </w:r>
      <w:r>
        <w:rPr>
          <w:rFonts w:cstheme="minorHAnsi"/>
          <w:i/>
          <w:lang w:val="en-AU"/>
        </w:rPr>
        <w:t>Australian Human Rights Commission Act 1986</w:t>
      </w:r>
      <w:r>
        <w:rPr>
          <w:rFonts w:cstheme="minorHAnsi"/>
          <w:lang w:val="en-AU"/>
        </w:rPr>
        <w:t>)</w:t>
      </w:r>
    </w:p>
    <w:p w14:paraId="54CFEE9E" w14:textId="77777777" w:rsidR="00075DD6" w:rsidRPr="00F24096" w:rsidRDefault="00075DD6" w:rsidP="00F24096">
      <w:pPr>
        <w:rPr>
          <w:b/>
        </w:rPr>
      </w:pPr>
      <w:bookmarkStart w:id="60" w:name="_Toc113447425"/>
      <w:r w:rsidRPr="00F24096">
        <w:rPr>
          <w:rStyle w:val="CharSectno0"/>
          <w:rFonts w:cstheme="minorHAnsi"/>
          <w:b/>
        </w:rPr>
        <w:t>46</w:t>
      </w:r>
      <w:proofErr w:type="gramStart"/>
      <w:r w:rsidRPr="00F24096">
        <w:rPr>
          <w:rStyle w:val="CharSectno0"/>
          <w:rFonts w:cstheme="minorHAnsi"/>
          <w:b/>
        </w:rPr>
        <w:t>PSA</w:t>
      </w:r>
      <w:r w:rsidRPr="00F24096">
        <w:rPr>
          <w:b/>
        </w:rPr>
        <w:t xml:space="preserve">  Costs</w:t>
      </w:r>
      <w:bookmarkEnd w:id="60"/>
      <w:proofErr w:type="gramEnd"/>
    </w:p>
    <w:p w14:paraId="48020E79" w14:textId="54F76793" w:rsidR="00075DD6" w:rsidRPr="00075DD6" w:rsidRDefault="00075DD6" w:rsidP="00952AF3">
      <w:pPr>
        <w:pStyle w:val="subsection"/>
        <w:spacing w:before="120" w:beforeAutospacing="0" w:after="120" w:afterAutospacing="0"/>
        <w:ind w:left="567"/>
        <w:rPr>
          <w:rFonts w:asciiTheme="minorHAnsi" w:hAnsiTheme="minorHAnsi" w:cstheme="minorHAnsi"/>
          <w:sz w:val="22"/>
          <w:szCs w:val="22"/>
        </w:rPr>
      </w:pPr>
      <w:r w:rsidRPr="00075DD6">
        <w:rPr>
          <w:rFonts w:asciiTheme="minorHAnsi" w:hAnsiTheme="minorHAnsi" w:cstheme="minorHAnsi"/>
          <w:sz w:val="22"/>
          <w:szCs w:val="22"/>
        </w:rPr>
        <w:t>(1)</w:t>
      </w:r>
      <w:r>
        <w:rPr>
          <w:rFonts w:asciiTheme="minorHAnsi" w:hAnsiTheme="minorHAnsi" w:cstheme="minorHAnsi"/>
          <w:sz w:val="22"/>
          <w:szCs w:val="22"/>
        </w:rPr>
        <w:t xml:space="preserve">  </w:t>
      </w:r>
      <w:r w:rsidRPr="00075DD6">
        <w:rPr>
          <w:rFonts w:asciiTheme="minorHAnsi" w:hAnsiTheme="minorHAnsi" w:cstheme="minorHAnsi"/>
          <w:sz w:val="22"/>
          <w:szCs w:val="22"/>
        </w:rPr>
        <w:t>Subject to subsection (2), in proceedings under this Division against a respondent to a terminated complaint, each party is to bear that party’s own costs.</w:t>
      </w:r>
    </w:p>
    <w:p w14:paraId="11F20117" w14:textId="256BAF0B" w:rsidR="00075DD6" w:rsidRPr="00075DD6" w:rsidRDefault="00075DD6" w:rsidP="00952AF3">
      <w:pPr>
        <w:pStyle w:val="subsection"/>
        <w:spacing w:before="120" w:beforeAutospacing="0" w:after="120" w:afterAutospacing="0"/>
        <w:ind w:left="567"/>
        <w:rPr>
          <w:rFonts w:asciiTheme="minorHAnsi" w:hAnsiTheme="minorHAnsi" w:cstheme="minorHAnsi"/>
          <w:sz w:val="22"/>
          <w:szCs w:val="22"/>
        </w:rPr>
      </w:pPr>
      <w:r w:rsidRPr="00075DD6">
        <w:rPr>
          <w:rFonts w:asciiTheme="minorHAnsi" w:hAnsiTheme="minorHAnsi" w:cstheme="minorHAnsi"/>
          <w:sz w:val="22"/>
          <w:szCs w:val="22"/>
        </w:rPr>
        <w:t>(2)</w:t>
      </w:r>
      <w:r>
        <w:rPr>
          <w:rFonts w:asciiTheme="minorHAnsi" w:hAnsiTheme="minorHAnsi" w:cstheme="minorHAnsi"/>
          <w:sz w:val="22"/>
          <w:szCs w:val="22"/>
        </w:rPr>
        <w:t xml:space="preserve">  </w:t>
      </w:r>
      <w:r w:rsidRPr="00075DD6">
        <w:rPr>
          <w:rFonts w:asciiTheme="minorHAnsi" w:hAnsiTheme="minorHAnsi" w:cstheme="minorHAnsi"/>
          <w:sz w:val="22"/>
          <w:szCs w:val="22"/>
        </w:rPr>
        <w:t>If the court concerned considers that there are circumstances that justify it in doing so, the court may make such order as to costs, whether by way of interlocutory order or otherwise, as the court considers just.</w:t>
      </w:r>
    </w:p>
    <w:p w14:paraId="0C208DA0" w14:textId="1061BC3B" w:rsidR="00075DD6" w:rsidRPr="00075DD6" w:rsidRDefault="00075DD6" w:rsidP="00952AF3">
      <w:pPr>
        <w:pStyle w:val="subsection"/>
        <w:spacing w:before="120" w:beforeAutospacing="0" w:after="120" w:afterAutospacing="0"/>
        <w:ind w:left="567"/>
        <w:rPr>
          <w:rFonts w:asciiTheme="minorHAnsi" w:hAnsiTheme="minorHAnsi" w:cstheme="minorHAnsi"/>
          <w:sz w:val="22"/>
          <w:szCs w:val="22"/>
        </w:rPr>
      </w:pPr>
      <w:r w:rsidRPr="00075DD6">
        <w:rPr>
          <w:rFonts w:asciiTheme="minorHAnsi" w:hAnsiTheme="minorHAnsi" w:cstheme="minorHAnsi"/>
          <w:sz w:val="22"/>
          <w:szCs w:val="22"/>
        </w:rPr>
        <w:t>(3)</w:t>
      </w:r>
      <w:r>
        <w:rPr>
          <w:rFonts w:asciiTheme="minorHAnsi" w:hAnsiTheme="minorHAnsi" w:cstheme="minorHAnsi"/>
          <w:sz w:val="22"/>
          <w:szCs w:val="22"/>
        </w:rPr>
        <w:t xml:space="preserve">  </w:t>
      </w:r>
      <w:r w:rsidRPr="00075DD6">
        <w:rPr>
          <w:rFonts w:asciiTheme="minorHAnsi" w:hAnsiTheme="minorHAnsi" w:cstheme="minorHAnsi"/>
          <w:sz w:val="22"/>
          <w:szCs w:val="22"/>
        </w:rPr>
        <w:t>In considering whether there are circumstances justifying the making of an order under subsection (2), the court concerned must have regard to the following matters:</w:t>
      </w:r>
    </w:p>
    <w:p w14:paraId="57E5E46D" w14:textId="4B5D2657" w:rsidR="00075DD6" w:rsidRPr="00075DD6" w:rsidRDefault="00075DD6" w:rsidP="00952AF3">
      <w:pPr>
        <w:pStyle w:val="paragraph"/>
        <w:spacing w:before="120" w:beforeAutospacing="0" w:after="120" w:afterAutospacing="0"/>
        <w:ind w:left="1440"/>
        <w:rPr>
          <w:rFonts w:asciiTheme="minorHAnsi" w:hAnsiTheme="minorHAnsi" w:cstheme="minorHAnsi"/>
          <w:sz w:val="22"/>
          <w:szCs w:val="22"/>
        </w:rPr>
      </w:pPr>
      <w:r w:rsidRPr="00075DD6">
        <w:rPr>
          <w:rFonts w:asciiTheme="minorHAnsi" w:hAnsiTheme="minorHAnsi" w:cstheme="minorHAnsi"/>
          <w:sz w:val="22"/>
          <w:szCs w:val="22"/>
        </w:rPr>
        <w:t>(a)</w:t>
      </w:r>
      <w:r>
        <w:rPr>
          <w:rFonts w:asciiTheme="minorHAnsi" w:hAnsiTheme="minorHAnsi" w:cstheme="minorHAnsi"/>
          <w:sz w:val="22"/>
          <w:szCs w:val="22"/>
        </w:rPr>
        <w:t xml:space="preserve">  </w:t>
      </w:r>
      <w:r w:rsidRPr="00075DD6">
        <w:rPr>
          <w:rFonts w:asciiTheme="minorHAnsi" w:hAnsiTheme="minorHAnsi" w:cstheme="minorHAnsi"/>
          <w:sz w:val="22"/>
          <w:szCs w:val="22"/>
        </w:rPr>
        <w:t>the financial circumstances of each of the parties to the proceedings;</w:t>
      </w:r>
    </w:p>
    <w:p w14:paraId="2979175F" w14:textId="0D3CF6C3" w:rsidR="00075DD6" w:rsidRPr="00075DD6" w:rsidRDefault="00075DD6" w:rsidP="00952AF3">
      <w:pPr>
        <w:pStyle w:val="paragraph"/>
        <w:spacing w:before="120" w:beforeAutospacing="0" w:after="120" w:afterAutospacing="0"/>
        <w:ind w:left="1440"/>
        <w:rPr>
          <w:rFonts w:asciiTheme="minorHAnsi" w:hAnsiTheme="minorHAnsi" w:cstheme="minorHAnsi"/>
          <w:sz w:val="22"/>
          <w:szCs w:val="22"/>
        </w:rPr>
      </w:pPr>
      <w:r w:rsidRPr="00075DD6">
        <w:rPr>
          <w:rFonts w:asciiTheme="minorHAnsi" w:hAnsiTheme="minorHAnsi" w:cstheme="minorHAnsi"/>
          <w:sz w:val="22"/>
          <w:szCs w:val="22"/>
        </w:rPr>
        <w:t>(b)</w:t>
      </w:r>
      <w:r>
        <w:rPr>
          <w:rFonts w:asciiTheme="minorHAnsi" w:hAnsiTheme="minorHAnsi" w:cstheme="minorHAnsi"/>
          <w:sz w:val="22"/>
          <w:szCs w:val="22"/>
        </w:rPr>
        <w:t xml:space="preserve">  </w:t>
      </w:r>
      <w:r w:rsidRPr="00075DD6">
        <w:rPr>
          <w:rFonts w:asciiTheme="minorHAnsi" w:hAnsiTheme="minorHAnsi" w:cstheme="minorHAnsi"/>
          <w:sz w:val="22"/>
          <w:szCs w:val="22"/>
        </w:rPr>
        <w:t>the conduct of the parties to the proceedings (including any conduct of the parties in dealings with the Commission);</w:t>
      </w:r>
    </w:p>
    <w:p w14:paraId="25824EF6" w14:textId="13663960" w:rsidR="00075DD6" w:rsidRPr="00075DD6" w:rsidRDefault="00075DD6" w:rsidP="00952AF3">
      <w:pPr>
        <w:pStyle w:val="paragraph"/>
        <w:spacing w:before="120" w:beforeAutospacing="0" w:after="120" w:afterAutospacing="0"/>
        <w:ind w:left="1440"/>
        <w:rPr>
          <w:rFonts w:asciiTheme="minorHAnsi" w:hAnsiTheme="minorHAnsi" w:cstheme="minorHAnsi"/>
          <w:sz w:val="22"/>
          <w:szCs w:val="22"/>
        </w:rPr>
      </w:pPr>
      <w:r w:rsidRPr="00075DD6">
        <w:rPr>
          <w:rFonts w:asciiTheme="minorHAnsi" w:hAnsiTheme="minorHAnsi" w:cstheme="minorHAnsi"/>
          <w:sz w:val="22"/>
          <w:szCs w:val="22"/>
        </w:rPr>
        <w:t>(c)</w:t>
      </w:r>
      <w:r>
        <w:rPr>
          <w:rFonts w:asciiTheme="minorHAnsi" w:hAnsiTheme="minorHAnsi" w:cstheme="minorHAnsi"/>
          <w:sz w:val="22"/>
          <w:szCs w:val="22"/>
        </w:rPr>
        <w:t xml:space="preserve">  </w:t>
      </w:r>
      <w:r w:rsidRPr="00075DD6">
        <w:rPr>
          <w:rFonts w:asciiTheme="minorHAnsi" w:hAnsiTheme="minorHAnsi" w:cstheme="minorHAnsi"/>
          <w:sz w:val="22"/>
          <w:szCs w:val="22"/>
        </w:rPr>
        <w:t>whether any party to the proceedings has been wholly unsuccessful in the proceedings;</w:t>
      </w:r>
    </w:p>
    <w:p w14:paraId="131BF6BB" w14:textId="3AEA6879" w:rsidR="00075DD6" w:rsidRPr="00075DD6" w:rsidRDefault="00075DD6" w:rsidP="00952AF3">
      <w:pPr>
        <w:pStyle w:val="paragraph"/>
        <w:spacing w:before="120" w:beforeAutospacing="0" w:after="120" w:afterAutospacing="0"/>
        <w:ind w:left="1440"/>
        <w:rPr>
          <w:rFonts w:asciiTheme="minorHAnsi" w:hAnsiTheme="minorHAnsi" w:cstheme="minorHAnsi"/>
          <w:sz w:val="22"/>
          <w:szCs w:val="22"/>
        </w:rPr>
      </w:pPr>
      <w:r w:rsidRPr="00075DD6">
        <w:rPr>
          <w:rFonts w:asciiTheme="minorHAnsi" w:hAnsiTheme="minorHAnsi" w:cstheme="minorHAnsi"/>
          <w:sz w:val="22"/>
          <w:szCs w:val="22"/>
        </w:rPr>
        <w:t>(d)</w:t>
      </w:r>
      <w:r>
        <w:rPr>
          <w:rFonts w:asciiTheme="minorHAnsi" w:hAnsiTheme="minorHAnsi" w:cstheme="minorHAnsi"/>
          <w:sz w:val="22"/>
          <w:szCs w:val="22"/>
        </w:rPr>
        <w:t xml:space="preserve">  </w:t>
      </w:r>
      <w:r w:rsidRPr="00075DD6">
        <w:rPr>
          <w:rFonts w:asciiTheme="minorHAnsi" w:hAnsiTheme="minorHAnsi" w:cstheme="minorHAnsi"/>
          <w:sz w:val="22"/>
          <w:szCs w:val="22"/>
        </w:rPr>
        <w:t>whether any party to the proceedings has made an offer in writing to another party to the proceedings to settle:</w:t>
      </w:r>
    </w:p>
    <w:p w14:paraId="32D522BA" w14:textId="5EC1FB2C" w:rsidR="00075DD6" w:rsidRPr="00075DD6" w:rsidRDefault="00075DD6" w:rsidP="00952AF3">
      <w:pPr>
        <w:pStyle w:val="paragraphsub0"/>
        <w:spacing w:before="120" w:after="120"/>
        <w:ind w:left="3538" w:hanging="1411"/>
        <w:rPr>
          <w:rFonts w:asciiTheme="minorHAnsi" w:hAnsiTheme="minorHAnsi" w:cstheme="minorHAnsi"/>
          <w:szCs w:val="22"/>
        </w:rPr>
      </w:pPr>
      <w:r w:rsidRPr="00075DD6">
        <w:rPr>
          <w:rFonts w:asciiTheme="minorHAnsi" w:hAnsiTheme="minorHAnsi" w:cstheme="minorHAnsi"/>
          <w:szCs w:val="22"/>
        </w:rPr>
        <w:t>(</w:t>
      </w:r>
      <w:proofErr w:type="spellStart"/>
      <w:r w:rsidRPr="00075DD6">
        <w:rPr>
          <w:rFonts w:asciiTheme="minorHAnsi" w:hAnsiTheme="minorHAnsi" w:cstheme="minorHAnsi"/>
          <w:szCs w:val="22"/>
        </w:rPr>
        <w:t>i</w:t>
      </w:r>
      <w:proofErr w:type="spellEnd"/>
      <w:r w:rsidRPr="00075DD6">
        <w:rPr>
          <w:rFonts w:asciiTheme="minorHAnsi" w:hAnsiTheme="minorHAnsi" w:cstheme="minorHAnsi"/>
          <w:szCs w:val="22"/>
        </w:rPr>
        <w:t>)</w:t>
      </w:r>
      <w:r>
        <w:rPr>
          <w:rFonts w:asciiTheme="minorHAnsi" w:hAnsiTheme="minorHAnsi" w:cstheme="minorHAnsi"/>
          <w:szCs w:val="22"/>
        </w:rPr>
        <w:t xml:space="preserve"> </w:t>
      </w:r>
      <w:r w:rsidRPr="00075DD6">
        <w:rPr>
          <w:rFonts w:asciiTheme="minorHAnsi" w:hAnsiTheme="minorHAnsi" w:cstheme="minorHAnsi"/>
          <w:szCs w:val="22"/>
        </w:rPr>
        <w:t>the proceedings; or</w:t>
      </w:r>
    </w:p>
    <w:p w14:paraId="35A1F54A" w14:textId="062A9B50" w:rsidR="00075DD6" w:rsidRPr="00075DD6" w:rsidRDefault="00075DD6" w:rsidP="00952AF3">
      <w:pPr>
        <w:pStyle w:val="paragraphsub0"/>
        <w:spacing w:before="120" w:after="120"/>
        <w:ind w:left="3538" w:hanging="1411"/>
        <w:rPr>
          <w:rFonts w:asciiTheme="minorHAnsi" w:hAnsiTheme="minorHAnsi" w:cstheme="minorHAnsi"/>
          <w:szCs w:val="22"/>
        </w:rPr>
      </w:pPr>
      <w:r w:rsidRPr="00075DD6">
        <w:rPr>
          <w:rFonts w:asciiTheme="minorHAnsi" w:hAnsiTheme="minorHAnsi" w:cstheme="minorHAnsi"/>
          <w:szCs w:val="22"/>
        </w:rPr>
        <w:t>(ii)</w:t>
      </w:r>
      <w:r>
        <w:rPr>
          <w:rFonts w:asciiTheme="minorHAnsi" w:hAnsiTheme="minorHAnsi" w:cstheme="minorHAnsi"/>
          <w:szCs w:val="22"/>
        </w:rPr>
        <w:t xml:space="preserve"> </w:t>
      </w:r>
      <w:r w:rsidRPr="00075DD6">
        <w:rPr>
          <w:rFonts w:asciiTheme="minorHAnsi" w:hAnsiTheme="minorHAnsi" w:cstheme="minorHAnsi"/>
          <w:szCs w:val="22"/>
        </w:rPr>
        <w:t>the matter the subject of the terminated complaint;</w:t>
      </w:r>
    </w:p>
    <w:p w14:paraId="214BE8CF" w14:textId="0FBFCFED" w:rsidR="00075DD6" w:rsidRPr="00075DD6" w:rsidRDefault="00075DD6" w:rsidP="00952AF3">
      <w:pPr>
        <w:pStyle w:val="paragraphsub0"/>
        <w:spacing w:before="120" w:after="120"/>
        <w:ind w:left="3538" w:hanging="1411"/>
        <w:rPr>
          <w:rFonts w:asciiTheme="minorHAnsi" w:hAnsiTheme="minorHAnsi" w:cstheme="minorHAnsi"/>
          <w:szCs w:val="22"/>
        </w:rPr>
      </w:pPr>
      <w:r w:rsidRPr="00075DD6">
        <w:rPr>
          <w:rFonts w:asciiTheme="minorHAnsi" w:hAnsiTheme="minorHAnsi" w:cstheme="minorHAnsi"/>
          <w:szCs w:val="22"/>
        </w:rPr>
        <w:t>and, if so, the terms of the offer;</w:t>
      </w:r>
    </w:p>
    <w:p w14:paraId="782F0744" w14:textId="3B2B2E99" w:rsidR="00075DD6" w:rsidRPr="00075DD6" w:rsidRDefault="00075DD6" w:rsidP="00952AF3">
      <w:pPr>
        <w:pStyle w:val="paragraph"/>
        <w:spacing w:before="120" w:beforeAutospacing="0" w:after="120" w:afterAutospacing="0"/>
        <w:ind w:left="1440"/>
        <w:rPr>
          <w:rFonts w:asciiTheme="minorHAnsi" w:hAnsiTheme="minorHAnsi" w:cstheme="minorHAnsi"/>
          <w:sz w:val="22"/>
          <w:szCs w:val="22"/>
        </w:rPr>
      </w:pPr>
      <w:r w:rsidRPr="00075DD6">
        <w:rPr>
          <w:rFonts w:asciiTheme="minorHAnsi" w:hAnsiTheme="minorHAnsi" w:cstheme="minorHAnsi"/>
          <w:sz w:val="22"/>
          <w:szCs w:val="22"/>
        </w:rPr>
        <w:t>(e)</w:t>
      </w:r>
      <w:r>
        <w:rPr>
          <w:rFonts w:asciiTheme="minorHAnsi" w:hAnsiTheme="minorHAnsi" w:cstheme="minorHAnsi"/>
          <w:sz w:val="22"/>
          <w:szCs w:val="22"/>
        </w:rPr>
        <w:t xml:space="preserve">  </w:t>
      </w:r>
      <w:r w:rsidRPr="00075DD6">
        <w:rPr>
          <w:rFonts w:asciiTheme="minorHAnsi" w:hAnsiTheme="minorHAnsi" w:cstheme="minorHAnsi"/>
          <w:sz w:val="22"/>
          <w:szCs w:val="22"/>
        </w:rPr>
        <w:t>whether the subject matter of the proceedings involves an issue of public importance;</w:t>
      </w:r>
    </w:p>
    <w:p w14:paraId="3F36B324" w14:textId="780CDC52" w:rsidR="00075DD6" w:rsidRPr="00075DD6" w:rsidRDefault="00075DD6" w:rsidP="00952AF3">
      <w:pPr>
        <w:pStyle w:val="paragraph"/>
        <w:spacing w:before="120" w:beforeAutospacing="0" w:after="120" w:afterAutospacing="0"/>
        <w:ind w:left="1440"/>
        <w:rPr>
          <w:rFonts w:asciiTheme="minorHAnsi" w:hAnsiTheme="minorHAnsi" w:cstheme="minorHAnsi"/>
          <w:sz w:val="22"/>
          <w:szCs w:val="22"/>
        </w:rPr>
      </w:pPr>
      <w:r w:rsidRPr="00075DD6">
        <w:rPr>
          <w:rFonts w:asciiTheme="minorHAnsi" w:hAnsiTheme="minorHAnsi" w:cstheme="minorHAnsi"/>
          <w:sz w:val="22"/>
          <w:szCs w:val="22"/>
        </w:rPr>
        <w:t>(f)</w:t>
      </w:r>
      <w:r>
        <w:rPr>
          <w:rFonts w:asciiTheme="minorHAnsi" w:hAnsiTheme="minorHAnsi" w:cstheme="minorHAnsi"/>
          <w:sz w:val="22"/>
          <w:szCs w:val="22"/>
        </w:rPr>
        <w:t xml:space="preserve">  </w:t>
      </w:r>
      <w:r w:rsidRPr="00075DD6">
        <w:rPr>
          <w:rFonts w:asciiTheme="minorHAnsi" w:hAnsiTheme="minorHAnsi" w:cstheme="minorHAnsi"/>
          <w:sz w:val="22"/>
          <w:szCs w:val="22"/>
        </w:rPr>
        <w:t>any other matters that the court considers relevant.</w:t>
      </w:r>
    </w:p>
    <w:p w14:paraId="3083343C" w14:textId="77777777" w:rsidR="00075DD6" w:rsidRPr="004A6DEF" w:rsidRDefault="00075DD6" w:rsidP="00952AF3">
      <w:pPr>
        <w:pStyle w:val="paragraph"/>
        <w:spacing w:before="120" w:beforeAutospacing="0" w:after="120" w:afterAutospacing="0"/>
        <w:ind w:left="1440"/>
        <w:rPr>
          <w:rFonts w:asciiTheme="minorHAnsi" w:hAnsiTheme="minorHAnsi" w:cstheme="minorHAnsi"/>
          <w:sz w:val="20"/>
          <w:szCs w:val="20"/>
        </w:rPr>
      </w:pPr>
      <w:r w:rsidRPr="004A6DEF">
        <w:rPr>
          <w:rFonts w:asciiTheme="minorHAnsi" w:hAnsiTheme="minorHAnsi" w:cstheme="minorHAnsi"/>
          <w:sz w:val="20"/>
          <w:szCs w:val="20"/>
        </w:rPr>
        <w:t>Note:</w:t>
      </w:r>
      <w:r w:rsidRPr="004A6DEF">
        <w:rPr>
          <w:rFonts w:asciiTheme="minorHAnsi" w:hAnsiTheme="minorHAnsi" w:cstheme="minorHAnsi"/>
          <w:sz w:val="20"/>
          <w:szCs w:val="20"/>
        </w:rPr>
        <w:tab/>
        <w:t xml:space="preserve">Section 37N of the Federal Court of Australia Act 1976 and section 191 of the </w:t>
      </w:r>
      <w:r w:rsidRPr="004A6DEF">
        <w:rPr>
          <w:rFonts w:asciiTheme="minorHAnsi" w:hAnsiTheme="minorHAnsi" w:cstheme="minorHAnsi"/>
          <w:i/>
          <w:sz w:val="20"/>
          <w:szCs w:val="20"/>
        </w:rPr>
        <w:t>Federal Circuit and Family Court of Australia Act 2021</w:t>
      </w:r>
      <w:r w:rsidRPr="004A6DEF">
        <w:rPr>
          <w:rFonts w:asciiTheme="minorHAnsi" w:hAnsiTheme="minorHAnsi" w:cstheme="minorHAnsi"/>
          <w:sz w:val="20"/>
          <w:szCs w:val="20"/>
        </w:rPr>
        <w:t xml:space="preserve"> also provide for matters to be </w:t>
      </w:r>
      <w:proofErr w:type="gramStart"/>
      <w:r w:rsidRPr="004A6DEF">
        <w:rPr>
          <w:rFonts w:asciiTheme="minorHAnsi" w:hAnsiTheme="minorHAnsi" w:cstheme="minorHAnsi"/>
          <w:sz w:val="20"/>
          <w:szCs w:val="20"/>
        </w:rPr>
        <w:t>taken into account</w:t>
      </w:r>
      <w:proofErr w:type="gramEnd"/>
      <w:r w:rsidRPr="004A6DEF">
        <w:rPr>
          <w:rFonts w:asciiTheme="minorHAnsi" w:hAnsiTheme="minorHAnsi" w:cstheme="minorHAnsi"/>
          <w:sz w:val="20"/>
          <w:szCs w:val="20"/>
        </w:rPr>
        <w:t xml:space="preserve"> in awarding costs.</w:t>
      </w:r>
    </w:p>
    <w:p w14:paraId="3477B891" w14:textId="1ABCB711" w:rsidR="00075DD6" w:rsidRDefault="00075DD6" w:rsidP="00952AF3">
      <w:pPr>
        <w:pStyle w:val="subsection"/>
        <w:spacing w:before="120" w:beforeAutospacing="0" w:after="120" w:afterAutospacing="0"/>
        <w:ind w:left="567"/>
        <w:rPr>
          <w:rFonts w:asciiTheme="minorHAnsi" w:hAnsiTheme="minorHAnsi" w:cstheme="minorHAnsi"/>
          <w:sz w:val="22"/>
          <w:szCs w:val="22"/>
        </w:rPr>
      </w:pPr>
      <w:r w:rsidRPr="00075DD6">
        <w:rPr>
          <w:rFonts w:asciiTheme="minorHAnsi" w:hAnsiTheme="minorHAnsi" w:cstheme="minorHAnsi"/>
          <w:sz w:val="22"/>
          <w:szCs w:val="22"/>
        </w:rPr>
        <w:t>(4)</w:t>
      </w:r>
      <w:r>
        <w:rPr>
          <w:rFonts w:asciiTheme="minorHAnsi" w:hAnsiTheme="minorHAnsi" w:cstheme="minorHAnsi"/>
          <w:sz w:val="22"/>
          <w:szCs w:val="22"/>
        </w:rPr>
        <w:t xml:space="preserve">  </w:t>
      </w:r>
      <w:r w:rsidRPr="00075DD6">
        <w:rPr>
          <w:rFonts w:asciiTheme="minorHAnsi" w:hAnsiTheme="minorHAnsi" w:cstheme="minorHAnsi"/>
          <w:sz w:val="22"/>
          <w:szCs w:val="22"/>
        </w:rPr>
        <w:t>In the case of a representative application, subsection (2) does not authorise the court concerned to award costs against a person on whose behalf the application is made other than the person who made the application.</w:t>
      </w:r>
    </w:p>
    <w:p w14:paraId="54C7D2DA" w14:textId="3CEF19B5" w:rsidR="000F517E" w:rsidRPr="000F517E" w:rsidRDefault="000F517E" w:rsidP="002C4156">
      <w:pPr>
        <w:pStyle w:val="Heading3"/>
      </w:pPr>
      <w:bookmarkStart w:id="61" w:name="_Toc127809134"/>
      <w:r w:rsidRPr="0025037B">
        <w:rPr>
          <w:i/>
        </w:rPr>
        <w:lastRenderedPageBreak/>
        <w:t>Civil and Administrative Tribunal Act 2013 (No 2)</w:t>
      </w:r>
      <w:r w:rsidRPr="000F517E">
        <w:t xml:space="preserve"> (NSW)</w:t>
      </w:r>
      <w:bookmarkEnd w:id="61"/>
    </w:p>
    <w:p w14:paraId="47E66AC5" w14:textId="77777777" w:rsidR="000F517E" w:rsidRPr="00F24096" w:rsidRDefault="000F517E" w:rsidP="00F24096">
      <w:pPr>
        <w:rPr>
          <w:rStyle w:val="CharSectno0"/>
          <w:rFonts w:cstheme="minorHAnsi"/>
          <w:b/>
        </w:rPr>
      </w:pPr>
      <w:r w:rsidRPr="00F24096">
        <w:rPr>
          <w:rStyle w:val="CharSectno0"/>
          <w:rFonts w:eastAsia="SimSun" w:cstheme="minorHAnsi"/>
          <w:b/>
        </w:rPr>
        <w:t>60</w:t>
      </w:r>
      <w:r w:rsidRPr="00F24096">
        <w:rPr>
          <w:rStyle w:val="CharSectno0"/>
          <w:rFonts w:cstheme="minorHAnsi"/>
          <w:b/>
        </w:rPr>
        <w:t>   Costs</w:t>
      </w:r>
    </w:p>
    <w:p w14:paraId="6D9AF3E9" w14:textId="77777777" w:rsidR="000F517E" w:rsidRPr="000F517E" w:rsidRDefault="000F517E" w:rsidP="00952AF3">
      <w:pPr>
        <w:pStyle w:val="subsection"/>
        <w:spacing w:before="120" w:beforeAutospacing="0" w:after="120" w:afterAutospacing="0"/>
        <w:ind w:left="567"/>
        <w:rPr>
          <w:rFonts w:asciiTheme="minorHAnsi" w:hAnsiTheme="minorHAnsi" w:cstheme="minorHAnsi"/>
          <w:sz w:val="22"/>
          <w:szCs w:val="22"/>
        </w:rPr>
      </w:pPr>
      <w:r w:rsidRPr="000F517E">
        <w:rPr>
          <w:rFonts w:asciiTheme="minorHAnsi" w:hAnsiTheme="minorHAnsi" w:cstheme="minorHAnsi"/>
          <w:sz w:val="22"/>
          <w:szCs w:val="22"/>
        </w:rPr>
        <w:t>(1)  Each party to proceedings in the Tribunal is to pay the party’s own costs.</w:t>
      </w:r>
    </w:p>
    <w:p w14:paraId="6C8C2482" w14:textId="77777777" w:rsidR="000F517E" w:rsidRPr="000F517E" w:rsidRDefault="000F517E" w:rsidP="00952AF3">
      <w:pPr>
        <w:pStyle w:val="subsection"/>
        <w:spacing w:before="120" w:beforeAutospacing="0" w:after="120" w:afterAutospacing="0"/>
        <w:ind w:left="567"/>
        <w:rPr>
          <w:rFonts w:asciiTheme="minorHAnsi" w:hAnsiTheme="minorHAnsi" w:cstheme="minorHAnsi"/>
          <w:sz w:val="22"/>
          <w:szCs w:val="22"/>
        </w:rPr>
      </w:pPr>
      <w:r w:rsidRPr="000F517E">
        <w:rPr>
          <w:rFonts w:asciiTheme="minorHAnsi" w:hAnsiTheme="minorHAnsi" w:cstheme="minorHAnsi"/>
          <w:sz w:val="22"/>
          <w:szCs w:val="22"/>
        </w:rPr>
        <w:t>(2)  The Tribunal may award costs in relation to proceedings before it only if it is satisfied that there are special circumstances warranting an award of costs.</w:t>
      </w:r>
    </w:p>
    <w:p w14:paraId="57617A99" w14:textId="77777777" w:rsidR="000F517E" w:rsidRPr="000F517E" w:rsidRDefault="000F517E" w:rsidP="00952AF3">
      <w:pPr>
        <w:pStyle w:val="subsection"/>
        <w:spacing w:before="120" w:beforeAutospacing="0" w:after="120" w:afterAutospacing="0"/>
        <w:ind w:left="567"/>
        <w:rPr>
          <w:rFonts w:asciiTheme="minorHAnsi" w:hAnsiTheme="minorHAnsi" w:cstheme="minorHAnsi"/>
          <w:sz w:val="22"/>
          <w:szCs w:val="22"/>
        </w:rPr>
      </w:pPr>
      <w:r w:rsidRPr="000F517E">
        <w:rPr>
          <w:rFonts w:asciiTheme="minorHAnsi" w:hAnsiTheme="minorHAnsi" w:cstheme="minorHAnsi"/>
          <w:sz w:val="22"/>
          <w:szCs w:val="22"/>
        </w:rPr>
        <w:t>(3)  In determining whether there are special circumstances warranting an award of costs, the Tribunal may have regard to the following—</w:t>
      </w:r>
    </w:p>
    <w:p w14:paraId="51A924A9" w14:textId="77777777" w:rsidR="000F517E" w:rsidRPr="000F517E" w:rsidRDefault="000F517E" w:rsidP="00952AF3">
      <w:pPr>
        <w:pStyle w:val="subsection"/>
        <w:spacing w:before="120" w:beforeAutospacing="0" w:after="120" w:afterAutospacing="0"/>
        <w:ind w:left="1440"/>
        <w:rPr>
          <w:rFonts w:asciiTheme="minorHAnsi" w:hAnsiTheme="minorHAnsi" w:cstheme="minorHAnsi"/>
          <w:sz w:val="22"/>
          <w:szCs w:val="22"/>
        </w:rPr>
      </w:pPr>
      <w:r w:rsidRPr="000F517E">
        <w:rPr>
          <w:rFonts w:asciiTheme="minorHAnsi" w:hAnsiTheme="minorHAnsi" w:cstheme="minorHAnsi"/>
          <w:sz w:val="22"/>
          <w:szCs w:val="22"/>
        </w:rPr>
        <w:t>(a)  whether a party has conducted the proceedings in a way that unnecessarily disadvantaged another party to the proceedings,</w:t>
      </w:r>
    </w:p>
    <w:p w14:paraId="60F04281" w14:textId="77777777" w:rsidR="000F517E" w:rsidRPr="000F517E" w:rsidRDefault="000F517E" w:rsidP="00952AF3">
      <w:pPr>
        <w:pStyle w:val="subsection"/>
        <w:spacing w:before="120" w:beforeAutospacing="0" w:after="120" w:afterAutospacing="0"/>
        <w:ind w:left="1440"/>
        <w:rPr>
          <w:rFonts w:asciiTheme="minorHAnsi" w:hAnsiTheme="minorHAnsi" w:cstheme="minorHAnsi"/>
          <w:sz w:val="22"/>
          <w:szCs w:val="22"/>
        </w:rPr>
      </w:pPr>
      <w:r w:rsidRPr="000F517E">
        <w:rPr>
          <w:rFonts w:asciiTheme="minorHAnsi" w:hAnsiTheme="minorHAnsi" w:cstheme="minorHAnsi"/>
          <w:sz w:val="22"/>
          <w:szCs w:val="22"/>
        </w:rPr>
        <w:t>(b)  whether a party has been responsible for prolonging unreasonably the time taken to complete the proceedings,</w:t>
      </w:r>
    </w:p>
    <w:p w14:paraId="7C344A44" w14:textId="77777777" w:rsidR="000F517E" w:rsidRPr="000F517E" w:rsidRDefault="000F517E" w:rsidP="00952AF3">
      <w:pPr>
        <w:pStyle w:val="subsection"/>
        <w:spacing w:before="120" w:beforeAutospacing="0" w:after="120" w:afterAutospacing="0"/>
        <w:ind w:left="1440"/>
        <w:rPr>
          <w:rFonts w:asciiTheme="minorHAnsi" w:hAnsiTheme="minorHAnsi" w:cstheme="minorHAnsi"/>
          <w:sz w:val="22"/>
          <w:szCs w:val="22"/>
        </w:rPr>
      </w:pPr>
      <w:r w:rsidRPr="000F517E">
        <w:rPr>
          <w:rFonts w:asciiTheme="minorHAnsi" w:hAnsiTheme="minorHAnsi" w:cstheme="minorHAnsi"/>
          <w:sz w:val="22"/>
          <w:szCs w:val="22"/>
        </w:rPr>
        <w:t>(c)  the relative strengths of the claims made by each of the parties, including whether a party has made a claim that has no tenable basis in fact or law,</w:t>
      </w:r>
    </w:p>
    <w:p w14:paraId="7D12191F" w14:textId="77777777" w:rsidR="000F517E" w:rsidRPr="000F517E" w:rsidRDefault="000F517E" w:rsidP="00952AF3">
      <w:pPr>
        <w:pStyle w:val="subsection"/>
        <w:spacing w:before="120" w:beforeAutospacing="0" w:after="120" w:afterAutospacing="0"/>
        <w:ind w:left="1440"/>
        <w:rPr>
          <w:rFonts w:asciiTheme="minorHAnsi" w:hAnsiTheme="minorHAnsi" w:cstheme="minorHAnsi"/>
          <w:sz w:val="22"/>
          <w:szCs w:val="22"/>
        </w:rPr>
      </w:pPr>
      <w:r w:rsidRPr="000F517E">
        <w:rPr>
          <w:rFonts w:asciiTheme="minorHAnsi" w:hAnsiTheme="minorHAnsi" w:cstheme="minorHAnsi"/>
          <w:sz w:val="22"/>
          <w:szCs w:val="22"/>
        </w:rPr>
        <w:t>(d)  the nature and complexity of the proceedings,</w:t>
      </w:r>
    </w:p>
    <w:p w14:paraId="3A5AB55F" w14:textId="77777777" w:rsidR="000F517E" w:rsidRPr="000F517E" w:rsidRDefault="000F517E" w:rsidP="00952AF3">
      <w:pPr>
        <w:pStyle w:val="subsection"/>
        <w:spacing w:before="120" w:beforeAutospacing="0" w:after="120" w:afterAutospacing="0"/>
        <w:ind w:left="1440"/>
        <w:rPr>
          <w:rFonts w:asciiTheme="minorHAnsi" w:hAnsiTheme="minorHAnsi" w:cstheme="minorHAnsi"/>
          <w:sz w:val="22"/>
          <w:szCs w:val="22"/>
        </w:rPr>
      </w:pPr>
      <w:r w:rsidRPr="000F517E">
        <w:rPr>
          <w:rFonts w:asciiTheme="minorHAnsi" w:hAnsiTheme="minorHAnsi" w:cstheme="minorHAnsi"/>
          <w:sz w:val="22"/>
          <w:szCs w:val="22"/>
        </w:rPr>
        <w:t>(e)  whether the proceedings were frivolous or vexatious or otherwise misconceived or lacking in substance,</w:t>
      </w:r>
    </w:p>
    <w:p w14:paraId="44ECC1C5" w14:textId="77777777" w:rsidR="000F517E" w:rsidRPr="000F517E" w:rsidRDefault="000F517E" w:rsidP="00952AF3">
      <w:pPr>
        <w:pStyle w:val="subsection"/>
        <w:spacing w:before="120" w:beforeAutospacing="0" w:after="120" w:afterAutospacing="0"/>
        <w:ind w:left="1440"/>
        <w:rPr>
          <w:rFonts w:asciiTheme="minorHAnsi" w:hAnsiTheme="minorHAnsi" w:cstheme="minorHAnsi"/>
          <w:sz w:val="22"/>
          <w:szCs w:val="22"/>
        </w:rPr>
      </w:pPr>
      <w:r w:rsidRPr="000F517E">
        <w:rPr>
          <w:rFonts w:asciiTheme="minorHAnsi" w:hAnsiTheme="minorHAnsi" w:cstheme="minorHAnsi"/>
          <w:sz w:val="22"/>
          <w:szCs w:val="22"/>
        </w:rPr>
        <w:t>(f)  whether a party has refused or failed to comply with the duty imposed by section 36(3),</w:t>
      </w:r>
    </w:p>
    <w:p w14:paraId="49D28E9D" w14:textId="77777777" w:rsidR="000F517E" w:rsidRPr="000F517E" w:rsidRDefault="000F517E" w:rsidP="00952AF3">
      <w:pPr>
        <w:pStyle w:val="subsection"/>
        <w:spacing w:before="120" w:beforeAutospacing="0" w:after="120" w:afterAutospacing="0"/>
        <w:ind w:left="1440"/>
        <w:rPr>
          <w:rFonts w:asciiTheme="minorHAnsi" w:hAnsiTheme="minorHAnsi" w:cstheme="minorHAnsi"/>
          <w:sz w:val="22"/>
          <w:szCs w:val="22"/>
        </w:rPr>
      </w:pPr>
      <w:r w:rsidRPr="000F517E">
        <w:rPr>
          <w:rFonts w:asciiTheme="minorHAnsi" w:hAnsiTheme="minorHAnsi" w:cstheme="minorHAnsi"/>
          <w:sz w:val="22"/>
          <w:szCs w:val="22"/>
        </w:rPr>
        <w:t>(g)  any other matter that the Tribunal considers relevant.</w:t>
      </w:r>
    </w:p>
    <w:p w14:paraId="2DB5F407" w14:textId="77777777" w:rsidR="000F517E" w:rsidRPr="000F517E" w:rsidRDefault="000F517E" w:rsidP="00952AF3">
      <w:pPr>
        <w:pStyle w:val="subsection"/>
        <w:spacing w:before="120" w:beforeAutospacing="0" w:after="120" w:afterAutospacing="0"/>
        <w:ind w:left="567"/>
        <w:rPr>
          <w:rFonts w:asciiTheme="minorHAnsi" w:hAnsiTheme="minorHAnsi" w:cstheme="minorHAnsi"/>
          <w:sz w:val="22"/>
          <w:szCs w:val="22"/>
        </w:rPr>
      </w:pPr>
      <w:r w:rsidRPr="000F517E">
        <w:rPr>
          <w:rFonts w:asciiTheme="minorHAnsi" w:hAnsiTheme="minorHAnsi" w:cstheme="minorHAnsi"/>
          <w:sz w:val="22"/>
          <w:szCs w:val="22"/>
        </w:rPr>
        <w:t>(4)  If costs are to be awarded by the Tribunal, the Tribunal may—</w:t>
      </w:r>
    </w:p>
    <w:p w14:paraId="385F85F6" w14:textId="77777777" w:rsidR="000F517E" w:rsidRPr="000F517E" w:rsidRDefault="000F517E" w:rsidP="00952AF3">
      <w:pPr>
        <w:pStyle w:val="subsection"/>
        <w:spacing w:before="120" w:beforeAutospacing="0" w:after="120" w:afterAutospacing="0"/>
        <w:ind w:left="1440"/>
        <w:rPr>
          <w:rFonts w:asciiTheme="minorHAnsi" w:hAnsiTheme="minorHAnsi" w:cstheme="minorHAnsi"/>
          <w:sz w:val="22"/>
          <w:szCs w:val="22"/>
        </w:rPr>
      </w:pPr>
      <w:r w:rsidRPr="000F517E">
        <w:rPr>
          <w:rFonts w:asciiTheme="minorHAnsi" w:hAnsiTheme="minorHAnsi" w:cstheme="minorHAnsi"/>
          <w:sz w:val="22"/>
          <w:szCs w:val="22"/>
        </w:rPr>
        <w:t>(a)  determine by whom and to what extent costs are to be paid, and</w:t>
      </w:r>
    </w:p>
    <w:p w14:paraId="43A30AE7" w14:textId="3B076197" w:rsidR="000F517E" w:rsidRPr="000F517E" w:rsidRDefault="000F517E" w:rsidP="00952AF3">
      <w:pPr>
        <w:pStyle w:val="subsection"/>
        <w:spacing w:before="120" w:beforeAutospacing="0" w:after="120" w:afterAutospacing="0"/>
        <w:ind w:left="1440"/>
        <w:rPr>
          <w:rFonts w:asciiTheme="minorHAnsi" w:hAnsiTheme="minorHAnsi" w:cstheme="minorHAnsi"/>
          <w:sz w:val="22"/>
          <w:szCs w:val="22"/>
        </w:rPr>
      </w:pPr>
      <w:r w:rsidRPr="000F517E">
        <w:rPr>
          <w:rFonts w:asciiTheme="minorHAnsi" w:hAnsiTheme="minorHAnsi" w:cstheme="minorHAnsi"/>
          <w:sz w:val="22"/>
          <w:szCs w:val="22"/>
        </w:rPr>
        <w:t>(b)  order costs to be assessed on the basis set out in the legal costs legislation (as defined in section 3A of the </w:t>
      </w:r>
      <w:r w:rsidRPr="000F517E">
        <w:rPr>
          <w:rFonts w:asciiTheme="minorHAnsi" w:hAnsiTheme="minorHAnsi" w:cstheme="minorHAnsi"/>
          <w:i/>
          <w:sz w:val="22"/>
          <w:szCs w:val="22"/>
        </w:rPr>
        <w:t>Legal Profession Uniform Law Application Act 2014</w:t>
      </w:r>
      <w:r w:rsidRPr="000F517E">
        <w:rPr>
          <w:rFonts w:asciiTheme="minorHAnsi" w:hAnsiTheme="minorHAnsi" w:cstheme="minorHAnsi"/>
          <w:sz w:val="22"/>
          <w:szCs w:val="22"/>
        </w:rPr>
        <w:t>) or on any other basis.</w:t>
      </w:r>
    </w:p>
    <w:p w14:paraId="60E62645" w14:textId="77777777" w:rsidR="000F517E" w:rsidRPr="000F517E" w:rsidRDefault="000F517E" w:rsidP="00952AF3">
      <w:pPr>
        <w:pStyle w:val="subsection"/>
        <w:spacing w:before="120" w:beforeAutospacing="0" w:after="120" w:afterAutospacing="0"/>
        <w:ind w:left="567"/>
        <w:rPr>
          <w:rFonts w:asciiTheme="minorHAnsi" w:hAnsiTheme="minorHAnsi" w:cstheme="minorHAnsi"/>
          <w:sz w:val="22"/>
          <w:szCs w:val="22"/>
        </w:rPr>
      </w:pPr>
      <w:r w:rsidRPr="000F517E">
        <w:rPr>
          <w:rFonts w:asciiTheme="minorHAnsi" w:hAnsiTheme="minorHAnsi" w:cstheme="minorHAnsi"/>
          <w:sz w:val="22"/>
          <w:szCs w:val="22"/>
        </w:rPr>
        <w:t>(5)  In this section—</w:t>
      </w:r>
    </w:p>
    <w:p w14:paraId="7857038C" w14:textId="77777777" w:rsidR="000F517E" w:rsidRPr="000F517E" w:rsidRDefault="000F517E" w:rsidP="00952AF3">
      <w:pPr>
        <w:pStyle w:val="subsection"/>
        <w:spacing w:before="120" w:beforeAutospacing="0" w:after="120" w:afterAutospacing="0"/>
        <w:ind w:left="1440"/>
        <w:rPr>
          <w:rFonts w:asciiTheme="minorHAnsi" w:hAnsiTheme="minorHAnsi" w:cstheme="minorHAnsi"/>
          <w:sz w:val="22"/>
          <w:szCs w:val="22"/>
        </w:rPr>
      </w:pPr>
      <w:r w:rsidRPr="000F517E">
        <w:rPr>
          <w:rFonts w:asciiTheme="minorHAnsi" w:hAnsiTheme="minorHAnsi" w:cstheme="minorHAnsi"/>
          <w:sz w:val="22"/>
          <w:szCs w:val="22"/>
        </w:rPr>
        <w:t>costs </w:t>
      </w:r>
      <w:proofErr w:type="gramStart"/>
      <w:r w:rsidRPr="000F517E">
        <w:rPr>
          <w:rFonts w:asciiTheme="minorHAnsi" w:hAnsiTheme="minorHAnsi" w:cstheme="minorHAnsi"/>
          <w:sz w:val="22"/>
          <w:szCs w:val="22"/>
        </w:rPr>
        <w:t>includes</w:t>
      </w:r>
      <w:proofErr w:type="gramEnd"/>
      <w:r w:rsidRPr="000F517E">
        <w:rPr>
          <w:rFonts w:asciiTheme="minorHAnsi" w:hAnsiTheme="minorHAnsi" w:cstheme="minorHAnsi"/>
          <w:sz w:val="22"/>
          <w:szCs w:val="22"/>
        </w:rPr>
        <w:t>—</w:t>
      </w:r>
    </w:p>
    <w:p w14:paraId="3D3013EF" w14:textId="77777777" w:rsidR="000F517E" w:rsidRPr="000F517E" w:rsidRDefault="000F517E" w:rsidP="00952AF3">
      <w:pPr>
        <w:pStyle w:val="subsection"/>
        <w:spacing w:before="120" w:beforeAutospacing="0" w:after="120" w:afterAutospacing="0"/>
        <w:ind w:left="1440"/>
        <w:rPr>
          <w:rFonts w:asciiTheme="minorHAnsi" w:hAnsiTheme="minorHAnsi" w:cstheme="minorHAnsi"/>
          <w:sz w:val="22"/>
          <w:szCs w:val="22"/>
        </w:rPr>
      </w:pPr>
      <w:r w:rsidRPr="000F517E">
        <w:rPr>
          <w:rFonts w:asciiTheme="minorHAnsi" w:hAnsiTheme="minorHAnsi" w:cstheme="minorHAnsi"/>
          <w:sz w:val="22"/>
          <w:szCs w:val="22"/>
        </w:rPr>
        <w:t>(a)  the costs of, or incidental to, proceedings in the Tribunal, and</w:t>
      </w:r>
    </w:p>
    <w:p w14:paraId="78799E40" w14:textId="77777777" w:rsidR="000F517E" w:rsidRPr="000F517E" w:rsidRDefault="000F517E" w:rsidP="00952AF3">
      <w:pPr>
        <w:pStyle w:val="subsection"/>
        <w:spacing w:before="120" w:beforeAutospacing="0" w:after="120" w:afterAutospacing="0"/>
        <w:ind w:left="1440"/>
        <w:rPr>
          <w:rFonts w:asciiTheme="minorHAnsi" w:hAnsiTheme="minorHAnsi" w:cstheme="minorHAnsi"/>
          <w:sz w:val="22"/>
          <w:szCs w:val="22"/>
        </w:rPr>
      </w:pPr>
      <w:r w:rsidRPr="000F517E">
        <w:rPr>
          <w:rFonts w:asciiTheme="minorHAnsi" w:hAnsiTheme="minorHAnsi" w:cstheme="minorHAnsi"/>
          <w:sz w:val="22"/>
          <w:szCs w:val="22"/>
        </w:rPr>
        <w:t>(b)  the costs of, or incidental to, the proceedings giving rise to the application or appeal, as well as the costs of or incidental to the application or appeal.</w:t>
      </w:r>
    </w:p>
    <w:p w14:paraId="158DF6A2" w14:textId="77777777" w:rsidR="00075DD6" w:rsidRPr="00075DD6" w:rsidRDefault="00075DD6" w:rsidP="00AD7ECC">
      <w:pPr>
        <w:rPr>
          <w:rFonts w:cstheme="minorHAnsi"/>
          <w:lang w:val="en-AU"/>
        </w:rPr>
      </w:pPr>
    </w:p>
    <w:p w14:paraId="6BFFF8AD" w14:textId="77777777" w:rsidR="00546E31" w:rsidRDefault="00546E31" w:rsidP="00AD7ECC">
      <w:pPr>
        <w:rPr>
          <w:rFonts w:cstheme="minorHAnsi"/>
          <w:lang w:val="en-AU"/>
        </w:rPr>
      </w:pPr>
    </w:p>
    <w:p w14:paraId="4ADA2FA6" w14:textId="77777777" w:rsidR="002B08DF" w:rsidRDefault="002B08DF" w:rsidP="00AD7ECC">
      <w:pPr>
        <w:rPr>
          <w:rFonts w:cstheme="minorHAnsi"/>
          <w:lang w:val="en-AU"/>
        </w:rPr>
      </w:pPr>
    </w:p>
    <w:p w14:paraId="5256F2F2" w14:textId="77777777" w:rsidR="002B08DF" w:rsidRPr="00AD7ECC" w:rsidRDefault="002B08DF" w:rsidP="00AD7ECC">
      <w:pPr>
        <w:rPr>
          <w:rFonts w:cstheme="minorHAnsi"/>
          <w:lang w:val="en-AU"/>
        </w:rPr>
      </w:pPr>
    </w:p>
    <w:p w14:paraId="6529ADA1" w14:textId="77777777" w:rsidR="00075DD6" w:rsidRDefault="00075DD6">
      <w:pPr>
        <w:rPr>
          <w:rFonts w:ascii="Calibri" w:eastAsia="SimSun" w:hAnsi="Calibri" w:cs="Calibri"/>
          <w:b/>
          <w:iCs/>
          <w:color w:val="4D738A"/>
          <w:w w:val="105"/>
          <w:kern w:val="40"/>
          <w:sz w:val="40"/>
          <w:szCs w:val="48"/>
          <w:lang w:val="en-AU"/>
        </w:rPr>
      </w:pPr>
      <w:r>
        <w:br w:type="page"/>
      </w:r>
    </w:p>
    <w:p w14:paraId="638C97C3" w14:textId="2891483A" w:rsidR="004B13ED" w:rsidRDefault="004B13ED" w:rsidP="005306C8">
      <w:pPr>
        <w:pStyle w:val="Heading1"/>
      </w:pPr>
      <w:bookmarkStart w:id="62" w:name="_Toc127809135"/>
      <w:r>
        <w:lastRenderedPageBreak/>
        <w:t>Bibliography</w:t>
      </w:r>
      <w:bookmarkEnd w:id="62"/>
      <w:r>
        <w:t xml:space="preserve"> </w:t>
      </w:r>
    </w:p>
    <w:p w14:paraId="5D370672" w14:textId="0779088F" w:rsidR="00E05F33" w:rsidRDefault="006B6354" w:rsidP="006B6354">
      <w:pPr>
        <w:pStyle w:val="Heading2"/>
      </w:pPr>
      <w:bookmarkStart w:id="63" w:name="_Toc127809136"/>
      <w:r>
        <w:t>Articles/Books/Reports</w:t>
      </w:r>
      <w:bookmarkEnd w:id="63"/>
    </w:p>
    <w:p w14:paraId="025FFB10" w14:textId="77777777" w:rsidR="00EC24DB" w:rsidRPr="00FC2C59" w:rsidRDefault="00EC24DB" w:rsidP="00EC24DB">
      <w:pPr>
        <w:spacing w:after="0"/>
        <w:rPr>
          <w:rFonts w:cstheme="minorHAnsi"/>
        </w:rPr>
      </w:pPr>
      <w:r w:rsidRPr="00FC2C59">
        <w:t xml:space="preserve">Australian Human Rights Commission, </w:t>
      </w:r>
      <w:r w:rsidRPr="00FC2C59">
        <w:rPr>
          <w:rFonts w:cstheme="minorHAnsi"/>
          <w:i/>
        </w:rPr>
        <w:t xml:space="preserve">2021-22 Complaint statistics </w:t>
      </w:r>
      <w:r w:rsidRPr="00FC2C59">
        <w:rPr>
          <w:rFonts w:cstheme="minorHAnsi"/>
        </w:rPr>
        <w:t>(Publication, 2022)</w:t>
      </w:r>
      <w:r w:rsidRPr="00FC2C59">
        <w:t xml:space="preserve"> </w:t>
      </w:r>
      <w:r w:rsidRPr="00FC2C59">
        <w:rPr>
          <w:rFonts w:cstheme="minorHAnsi"/>
        </w:rPr>
        <w:t>&lt;https://humanrights.gov.au/sites/default/files/ahrc_ar_2021-2022_complaint_stats_0.pdf&gt;</w:t>
      </w:r>
    </w:p>
    <w:p w14:paraId="2E1737FD" w14:textId="49EE0FFC" w:rsidR="00EC24DB" w:rsidRDefault="00EC24DB" w:rsidP="00EC24DB">
      <w:pPr>
        <w:spacing w:after="0"/>
      </w:pPr>
    </w:p>
    <w:p w14:paraId="7F676503" w14:textId="77777777" w:rsidR="00EC24DB" w:rsidRPr="00FC2C59" w:rsidRDefault="00EC24DB" w:rsidP="00EC24DB">
      <w:pPr>
        <w:spacing w:after="0"/>
        <w:rPr>
          <w:lang w:val="en-AU"/>
        </w:rPr>
      </w:pPr>
      <w:r w:rsidRPr="00FC2C59">
        <w:t xml:space="preserve">Australian Human Rights Commission, </w:t>
      </w:r>
      <w:r w:rsidRPr="00FC2C59">
        <w:rPr>
          <w:i/>
        </w:rPr>
        <w:t xml:space="preserve">Everyone’s business: Fourth national survey on sexual harassment in Australian workplaces </w:t>
      </w:r>
      <w:r w:rsidRPr="00FC2C59">
        <w:t>(Report, September 2018) &lt;https://humanrights.gov.au/our-work/sex-discrimination/publications/everyones-business-fourth-national-survey-sexual&gt;</w:t>
      </w:r>
    </w:p>
    <w:p w14:paraId="240902CF" w14:textId="77777777" w:rsidR="00EC24DB" w:rsidRDefault="00EC24DB" w:rsidP="00EC24DB">
      <w:pPr>
        <w:spacing w:after="0"/>
      </w:pPr>
    </w:p>
    <w:p w14:paraId="68CA6DFC" w14:textId="372F5687" w:rsidR="00EC24DB" w:rsidRDefault="00EC24DB" w:rsidP="00EC24DB">
      <w:pPr>
        <w:spacing w:after="0"/>
      </w:pPr>
      <w:r w:rsidRPr="00FC2C59">
        <w:t xml:space="preserve">Australian Human Rights Commission, </w:t>
      </w:r>
      <w:r w:rsidRPr="00FC2C59">
        <w:rPr>
          <w:i/>
        </w:rPr>
        <w:t xml:space="preserve">Free and Equal: A reform agenda for federal discrimination laws </w:t>
      </w:r>
      <w:r w:rsidRPr="00FC2C59">
        <w:t>(Report, December 2021)</w:t>
      </w:r>
    </w:p>
    <w:p w14:paraId="65A43D24" w14:textId="77777777" w:rsidR="00EC24DB" w:rsidRDefault="00EC24DB" w:rsidP="00FC2C59">
      <w:pPr>
        <w:pStyle w:val="FootnoteText"/>
        <w:rPr>
          <w:sz w:val="22"/>
          <w:szCs w:val="22"/>
        </w:rPr>
      </w:pPr>
    </w:p>
    <w:p w14:paraId="38F96507" w14:textId="6A69530E" w:rsidR="005D187E" w:rsidRPr="00FC2C59" w:rsidRDefault="005D187E" w:rsidP="00FC2C59">
      <w:pPr>
        <w:pStyle w:val="FootnoteText"/>
        <w:rPr>
          <w:sz w:val="22"/>
          <w:szCs w:val="22"/>
          <w:lang w:val="en-AU"/>
        </w:rPr>
      </w:pPr>
      <w:r w:rsidRPr="00FC2C59">
        <w:rPr>
          <w:sz w:val="22"/>
          <w:szCs w:val="22"/>
        </w:rPr>
        <w:t xml:space="preserve">Australian Human Rights Commission, </w:t>
      </w:r>
      <w:r w:rsidRPr="00FC2C59">
        <w:rPr>
          <w:i/>
          <w:sz w:val="22"/>
          <w:szCs w:val="22"/>
          <w:lang w:val="en-AU"/>
        </w:rPr>
        <w:t>Respect@Work: National Inquiry into Sexual Harassment in Australian Workplaces</w:t>
      </w:r>
      <w:r w:rsidRPr="00FC2C59">
        <w:rPr>
          <w:sz w:val="22"/>
          <w:szCs w:val="22"/>
          <w:lang w:val="en-AU"/>
        </w:rPr>
        <w:t xml:space="preserve"> (Report, March 2020) </w:t>
      </w:r>
    </w:p>
    <w:p w14:paraId="01475DAE" w14:textId="77777777" w:rsidR="005D187E" w:rsidRPr="00FC2C59" w:rsidRDefault="005D187E" w:rsidP="00FC2C59">
      <w:pPr>
        <w:pStyle w:val="FootnoteText"/>
        <w:rPr>
          <w:sz w:val="22"/>
          <w:szCs w:val="22"/>
          <w:lang w:val="en-AU"/>
        </w:rPr>
      </w:pPr>
    </w:p>
    <w:p w14:paraId="3CE233A8" w14:textId="6D7CC695" w:rsidR="00DF493F" w:rsidRDefault="000C6D8F" w:rsidP="00FC2C59">
      <w:pPr>
        <w:pStyle w:val="FootnoteText"/>
        <w:rPr>
          <w:sz w:val="22"/>
          <w:szCs w:val="22"/>
        </w:rPr>
      </w:pPr>
      <w:r w:rsidRPr="00FC2C59">
        <w:rPr>
          <w:sz w:val="22"/>
          <w:szCs w:val="22"/>
        </w:rPr>
        <w:t xml:space="preserve">Australian Human Rights Commission, </w:t>
      </w:r>
      <w:r w:rsidRPr="00FC2C59">
        <w:rPr>
          <w:i/>
          <w:sz w:val="22"/>
          <w:szCs w:val="22"/>
        </w:rPr>
        <w:t xml:space="preserve">Time for respect: Fifth national survey on sexual harassment in Australian Workplaces </w:t>
      </w:r>
      <w:r w:rsidRPr="00FC2C59">
        <w:rPr>
          <w:sz w:val="22"/>
          <w:szCs w:val="22"/>
        </w:rPr>
        <w:t>(Report, November 2022)</w:t>
      </w:r>
    </w:p>
    <w:p w14:paraId="66DB3F68" w14:textId="77777777" w:rsidR="00FC2C59" w:rsidRPr="00FC2C59" w:rsidRDefault="00FC2C59" w:rsidP="00FC2C59">
      <w:pPr>
        <w:pStyle w:val="FootnoteText"/>
        <w:rPr>
          <w:sz w:val="22"/>
          <w:szCs w:val="22"/>
          <w:lang w:val="en-AU"/>
        </w:rPr>
      </w:pPr>
    </w:p>
    <w:p w14:paraId="1639E334" w14:textId="77777777" w:rsidR="00EC24DB" w:rsidRPr="00FC2C59" w:rsidRDefault="00EC24DB" w:rsidP="00EC24DB">
      <w:pPr>
        <w:pStyle w:val="FootnoteText"/>
        <w:rPr>
          <w:sz w:val="22"/>
          <w:szCs w:val="22"/>
          <w:lang w:val="en-AU"/>
        </w:rPr>
      </w:pPr>
      <w:r w:rsidRPr="00FC2C59">
        <w:rPr>
          <w:i/>
          <w:sz w:val="22"/>
          <w:szCs w:val="22"/>
        </w:rPr>
        <w:t xml:space="preserve">Federal Discrimination Law – Chapter Eight – Costs Awards </w:t>
      </w:r>
      <w:r w:rsidRPr="00FC2C59">
        <w:rPr>
          <w:sz w:val="22"/>
          <w:szCs w:val="22"/>
        </w:rPr>
        <w:t>(Australian Human Rights Commission, 2011)</w:t>
      </w:r>
      <w:r w:rsidRPr="00FC2C59">
        <w:rPr>
          <w:sz w:val="22"/>
          <w:szCs w:val="22"/>
          <w:lang w:val="en-AU"/>
        </w:rPr>
        <w:t xml:space="preserve"> </w:t>
      </w:r>
    </w:p>
    <w:p w14:paraId="45CDED80" w14:textId="77777777" w:rsidR="00EC24DB" w:rsidRPr="00FC2C59" w:rsidRDefault="00EC24DB" w:rsidP="00EC24DB">
      <w:pPr>
        <w:pStyle w:val="FootnoteText"/>
        <w:rPr>
          <w:sz w:val="22"/>
          <w:szCs w:val="22"/>
          <w:lang w:val="en-AU"/>
        </w:rPr>
      </w:pPr>
    </w:p>
    <w:p w14:paraId="081D1667" w14:textId="77777777" w:rsidR="00EC24DB" w:rsidRPr="00FC2C59" w:rsidRDefault="00EC24DB" w:rsidP="00EC24DB">
      <w:pPr>
        <w:pStyle w:val="FootnoteText"/>
        <w:rPr>
          <w:sz w:val="22"/>
          <w:szCs w:val="22"/>
        </w:rPr>
      </w:pPr>
      <w:r w:rsidRPr="00FC2C59">
        <w:rPr>
          <w:sz w:val="22"/>
          <w:szCs w:val="22"/>
        </w:rPr>
        <w:t>Gaze, Beth</w:t>
      </w:r>
      <w:r>
        <w:rPr>
          <w:sz w:val="22"/>
          <w:szCs w:val="22"/>
        </w:rPr>
        <w:t>,</w:t>
      </w:r>
      <w:r w:rsidRPr="00FC2C59">
        <w:rPr>
          <w:sz w:val="22"/>
          <w:szCs w:val="22"/>
        </w:rPr>
        <w:t xml:space="preserve"> ‘Damages for Discrimination – Compensating denial of a human right’ [2013] (116) </w:t>
      </w:r>
      <w:r w:rsidRPr="00FC2C59">
        <w:rPr>
          <w:i/>
          <w:sz w:val="22"/>
          <w:szCs w:val="22"/>
        </w:rPr>
        <w:t>Precedent (Australian Lawyers Alliance)</w:t>
      </w:r>
      <w:r w:rsidRPr="00FC2C59">
        <w:rPr>
          <w:sz w:val="22"/>
          <w:szCs w:val="22"/>
        </w:rPr>
        <w:t xml:space="preserve"> 20</w:t>
      </w:r>
    </w:p>
    <w:p w14:paraId="01267771" w14:textId="77777777" w:rsidR="00EC24DB" w:rsidRDefault="00EC24DB" w:rsidP="00EC24DB">
      <w:pPr>
        <w:spacing w:after="0"/>
        <w:rPr>
          <w:lang w:val="en-AU"/>
        </w:rPr>
      </w:pPr>
    </w:p>
    <w:p w14:paraId="2B92D1D5" w14:textId="77777777" w:rsidR="00EC24DB" w:rsidRPr="00FC2C59" w:rsidRDefault="00EC24DB" w:rsidP="00EC24DB">
      <w:pPr>
        <w:spacing w:after="0"/>
        <w:rPr>
          <w:rFonts w:cstheme="minorHAnsi"/>
        </w:rPr>
      </w:pPr>
      <w:r w:rsidRPr="00FC2C59">
        <w:rPr>
          <w:rFonts w:cstheme="minorHAnsi"/>
        </w:rPr>
        <w:t>Nawaz, Maria</w:t>
      </w:r>
      <w:r>
        <w:rPr>
          <w:rFonts w:cstheme="minorHAnsi"/>
        </w:rPr>
        <w:t>,</w:t>
      </w:r>
      <w:r w:rsidRPr="00FC2C59">
        <w:rPr>
          <w:rFonts w:cstheme="minorHAnsi"/>
        </w:rPr>
        <w:t xml:space="preserve"> ‘Respect@Work: What’s it going to take?’ [2021] (77) </w:t>
      </w:r>
      <w:r w:rsidRPr="00FC2C59">
        <w:rPr>
          <w:rFonts w:cstheme="minorHAnsi"/>
          <w:i/>
        </w:rPr>
        <w:t xml:space="preserve">Law Society Journal </w:t>
      </w:r>
      <w:r w:rsidRPr="00FC2C59">
        <w:rPr>
          <w:rFonts w:cstheme="minorHAnsi"/>
        </w:rPr>
        <w:t>68 &lt;https://search.informit.org/doi/epdf/10.3316/agispt.20210518046901&gt;</w:t>
      </w:r>
    </w:p>
    <w:p w14:paraId="24B1D37D" w14:textId="77777777" w:rsidR="00EC24DB" w:rsidRDefault="00EC24DB" w:rsidP="00EC24DB">
      <w:pPr>
        <w:spacing w:after="0"/>
        <w:rPr>
          <w:lang w:val="en-AU"/>
        </w:rPr>
      </w:pPr>
    </w:p>
    <w:p w14:paraId="6B22E198" w14:textId="3A889466" w:rsidR="00EC24DB" w:rsidRDefault="00EC24DB" w:rsidP="00EC24DB">
      <w:pPr>
        <w:spacing w:after="0"/>
        <w:rPr>
          <w:rFonts w:cstheme="minorHAnsi"/>
        </w:rPr>
      </w:pPr>
      <w:r w:rsidRPr="00FC2C59">
        <w:rPr>
          <w:lang w:val="en-AU"/>
        </w:rPr>
        <w:t xml:space="preserve">Productivity Commission, </w:t>
      </w:r>
      <w:r w:rsidRPr="00FC2C59">
        <w:rPr>
          <w:i/>
          <w:lang w:val="en-AU"/>
        </w:rPr>
        <w:t xml:space="preserve">Review of the Disability Discrimination Act 1992 </w:t>
      </w:r>
      <w:r w:rsidRPr="00FC2C59">
        <w:rPr>
          <w:lang w:val="en-AU"/>
        </w:rPr>
        <w:t>(Report, 2004) &lt;</w:t>
      </w:r>
      <w:r w:rsidRPr="00FC2C59">
        <w:rPr>
          <w:rFonts w:cstheme="minorHAnsi"/>
        </w:rPr>
        <w:t>https://www.pc.gov.au/inquiries/completed/disability-discrimination/report&gt;</w:t>
      </w:r>
    </w:p>
    <w:p w14:paraId="5E286AEC" w14:textId="77777777" w:rsidR="00EC24DB" w:rsidRDefault="00EC24DB" w:rsidP="00EC24DB">
      <w:pPr>
        <w:spacing w:after="0"/>
        <w:rPr>
          <w:lang w:val="en-AU"/>
        </w:rPr>
      </w:pPr>
    </w:p>
    <w:p w14:paraId="7F8E3678" w14:textId="77777777" w:rsidR="00EC24DB" w:rsidRDefault="00EC24DB" w:rsidP="00EC24DB">
      <w:pPr>
        <w:spacing w:after="0"/>
        <w:rPr>
          <w:rFonts w:cstheme="minorHAnsi"/>
        </w:rPr>
      </w:pPr>
      <w:r w:rsidRPr="00FC2C59">
        <w:rPr>
          <w:lang w:val="en-AU"/>
        </w:rPr>
        <w:t xml:space="preserve">Senate Standing Committee on Legal and Constitutional Affairs, </w:t>
      </w:r>
      <w:r w:rsidRPr="00FC2C59">
        <w:rPr>
          <w:i/>
          <w:lang w:val="en-AU"/>
        </w:rPr>
        <w:t xml:space="preserve">Effectiveness of </w:t>
      </w:r>
      <w:r w:rsidRPr="00FC2C59">
        <w:rPr>
          <w:rFonts w:cstheme="minorHAnsi"/>
          <w:i/>
          <w:lang w:val="en-AU"/>
        </w:rPr>
        <w:t>the Sex Discrimination Act 1984</w:t>
      </w:r>
      <w:r w:rsidRPr="00FC2C59">
        <w:rPr>
          <w:rFonts w:cstheme="minorHAnsi"/>
          <w:lang w:val="en-AU"/>
        </w:rPr>
        <w:t xml:space="preserve"> </w:t>
      </w:r>
      <w:r w:rsidRPr="00FC2C59">
        <w:rPr>
          <w:rFonts w:cstheme="minorHAnsi"/>
          <w:i/>
          <w:lang w:val="en-AU"/>
        </w:rPr>
        <w:t>in eliminating discrimination and promoting gender equality</w:t>
      </w:r>
      <w:r w:rsidRPr="00FC2C59">
        <w:rPr>
          <w:rFonts w:cstheme="minorHAnsi"/>
          <w:lang w:val="en-AU"/>
        </w:rPr>
        <w:t xml:space="preserve"> (Report, 2008)</w:t>
      </w:r>
      <w:r>
        <w:rPr>
          <w:rFonts w:cstheme="minorHAnsi"/>
        </w:rPr>
        <w:t xml:space="preserve"> </w:t>
      </w:r>
      <w:r w:rsidRPr="00FC2C59">
        <w:rPr>
          <w:rFonts w:cstheme="minorHAnsi"/>
          <w:lang w:val="en-AU"/>
        </w:rPr>
        <w:t>&lt;</w:t>
      </w:r>
      <w:r w:rsidRPr="00FC2C59">
        <w:rPr>
          <w:rFonts w:cstheme="minorHAnsi"/>
        </w:rPr>
        <w:t>https://www.aph.gov.au/Parliamentary_Business/Committees/Senate/Legal_and_Constitutional_Affairs/Completed_inquiries/2008-10/sex_discrim/report/index&gt;</w:t>
      </w:r>
      <w:r w:rsidRPr="00EC24DB">
        <w:rPr>
          <w:rFonts w:cstheme="minorHAnsi"/>
        </w:rPr>
        <w:t xml:space="preserve"> </w:t>
      </w:r>
    </w:p>
    <w:p w14:paraId="7D51B78F" w14:textId="77777777" w:rsidR="00EC24DB" w:rsidRDefault="00EC24DB" w:rsidP="00EC24DB">
      <w:pPr>
        <w:spacing w:after="0"/>
        <w:rPr>
          <w:rFonts w:cstheme="minorHAnsi"/>
        </w:rPr>
      </w:pPr>
    </w:p>
    <w:p w14:paraId="66D54A74" w14:textId="2A84BB11" w:rsidR="00EC24DB" w:rsidRPr="00EC24DB" w:rsidRDefault="00EC24DB" w:rsidP="00EC24DB">
      <w:pPr>
        <w:spacing w:after="0"/>
        <w:rPr>
          <w:rFonts w:cstheme="minorHAnsi"/>
        </w:rPr>
      </w:pPr>
      <w:r w:rsidRPr="00FC2C59">
        <w:rPr>
          <w:rFonts w:cstheme="minorHAnsi"/>
        </w:rPr>
        <w:t xml:space="preserve">Senate </w:t>
      </w:r>
      <w:r>
        <w:rPr>
          <w:rFonts w:cstheme="minorHAnsi"/>
        </w:rPr>
        <w:t xml:space="preserve">Standing Committee on </w:t>
      </w:r>
      <w:r w:rsidRPr="00FC2C59">
        <w:rPr>
          <w:rFonts w:cstheme="minorHAnsi"/>
        </w:rPr>
        <w:t xml:space="preserve">Legal and Constitutional Affairs, </w:t>
      </w:r>
      <w:r w:rsidRPr="00FC2C59">
        <w:rPr>
          <w:rFonts w:cstheme="minorHAnsi"/>
          <w:i/>
        </w:rPr>
        <w:t>Report on</w:t>
      </w:r>
      <w:r w:rsidRPr="00FC2C59">
        <w:rPr>
          <w:rFonts w:cstheme="minorHAnsi"/>
        </w:rPr>
        <w:t xml:space="preserve"> </w:t>
      </w:r>
      <w:r w:rsidRPr="00FC2C59">
        <w:rPr>
          <w:rFonts w:cstheme="minorHAnsi"/>
          <w:i/>
        </w:rPr>
        <w:t xml:space="preserve">Human Rights Bill </w:t>
      </w:r>
      <w:r w:rsidRPr="00FC2C59">
        <w:rPr>
          <w:rFonts w:cstheme="minorHAnsi"/>
        </w:rPr>
        <w:t>(Report, 1996)</w:t>
      </w:r>
      <w:r>
        <w:rPr>
          <w:rFonts w:cstheme="minorHAnsi"/>
        </w:rPr>
        <w:t xml:space="preserve"> </w:t>
      </w:r>
      <w:r w:rsidRPr="00FC2C59">
        <w:rPr>
          <w:rFonts w:cstheme="minorHAnsi"/>
        </w:rPr>
        <w:t>&lt;https://www.aph.gov.au/Parliamentary_Business/Committees/Senate/Legal_and_Constitutional_Affairs/Completed_inquiries/Pre1999/human/report/c04</w:t>
      </w:r>
      <w:r>
        <w:rPr>
          <w:rFonts w:cstheme="minorHAnsi"/>
        </w:rPr>
        <w:t>&gt;</w:t>
      </w:r>
    </w:p>
    <w:p w14:paraId="65119125" w14:textId="77777777" w:rsidR="00EC24DB" w:rsidRDefault="00EC24DB" w:rsidP="00FC2C59">
      <w:pPr>
        <w:pStyle w:val="FootnoteText"/>
        <w:rPr>
          <w:sz w:val="22"/>
          <w:szCs w:val="22"/>
          <w:lang w:val="en-AU"/>
        </w:rPr>
      </w:pPr>
    </w:p>
    <w:p w14:paraId="7686EB6C" w14:textId="5BB7E12D" w:rsidR="00FC2C59" w:rsidRDefault="00DF493F" w:rsidP="00EC24DB">
      <w:pPr>
        <w:pStyle w:val="FootnoteText"/>
        <w:rPr>
          <w:sz w:val="22"/>
          <w:szCs w:val="22"/>
          <w:lang w:val="en-AU"/>
        </w:rPr>
      </w:pPr>
      <w:r w:rsidRPr="00FC2C59">
        <w:rPr>
          <w:sz w:val="22"/>
          <w:szCs w:val="22"/>
          <w:lang w:val="en-AU"/>
        </w:rPr>
        <w:t xml:space="preserve">Thornton, </w:t>
      </w:r>
      <w:r w:rsidR="00FC2C59" w:rsidRPr="00FC2C59">
        <w:rPr>
          <w:sz w:val="22"/>
          <w:szCs w:val="22"/>
          <w:lang w:val="en-AU"/>
        </w:rPr>
        <w:t>Margaret</w:t>
      </w:r>
      <w:r w:rsidR="00FC2C59">
        <w:rPr>
          <w:sz w:val="22"/>
          <w:szCs w:val="22"/>
          <w:lang w:val="en-AU"/>
        </w:rPr>
        <w:t xml:space="preserve">, </w:t>
      </w:r>
      <w:r w:rsidRPr="00FC2C59">
        <w:rPr>
          <w:sz w:val="22"/>
          <w:szCs w:val="22"/>
          <w:lang w:val="en-AU"/>
        </w:rPr>
        <w:t xml:space="preserve">Kieran Pender and Madeleine Castles, </w:t>
      </w:r>
      <w:r w:rsidRPr="00FC2C59">
        <w:rPr>
          <w:i/>
          <w:sz w:val="22"/>
          <w:szCs w:val="22"/>
          <w:lang w:val="en-AU"/>
        </w:rPr>
        <w:t xml:space="preserve">Damages and Costs in Sexual Harassment Litigation </w:t>
      </w:r>
      <w:r w:rsidRPr="00FC2C59">
        <w:rPr>
          <w:sz w:val="22"/>
          <w:szCs w:val="22"/>
          <w:lang w:val="en-AU"/>
        </w:rPr>
        <w:t xml:space="preserve">(Report, 25 March 2022) </w:t>
      </w:r>
    </w:p>
    <w:p w14:paraId="384660E0" w14:textId="77777777" w:rsidR="00EC24DB" w:rsidRDefault="00EC24DB" w:rsidP="00EC24DB">
      <w:pPr>
        <w:pStyle w:val="FootnoteText"/>
        <w:rPr>
          <w:rFonts w:cstheme="minorHAnsi"/>
        </w:rPr>
      </w:pPr>
    </w:p>
    <w:p w14:paraId="2D909948" w14:textId="77777777" w:rsidR="006B6354" w:rsidRDefault="006B6354" w:rsidP="006B6354">
      <w:pPr>
        <w:pStyle w:val="Heading2"/>
      </w:pPr>
      <w:bookmarkStart w:id="64" w:name="_Toc127809137"/>
      <w:r>
        <w:lastRenderedPageBreak/>
        <w:t>Cases</w:t>
      </w:r>
      <w:bookmarkEnd w:id="64"/>
      <w:r>
        <w:t xml:space="preserve"> </w:t>
      </w:r>
    </w:p>
    <w:p w14:paraId="73F43CD4" w14:textId="77777777" w:rsidR="00EC24DB" w:rsidRPr="005D187E" w:rsidRDefault="00EC24DB" w:rsidP="00102F95">
      <w:pPr>
        <w:spacing w:after="0"/>
        <w:jc w:val="both"/>
        <w:rPr>
          <w:lang w:val="en-AU"/>
        </w:rPr>
      </w:pPr>
      <w:r w:rsidRPr="00DF493F">
        <w:rPr>
          <w:i/>
        </w:rPr>
        <w:t>Christiansburg Garment Co v EEOC</w:t>
      </w:r>
      <w:r w:rsidRPr="00DF493F">
        <w:t>, 434 US 412 (1978)</w:t>
      </w:r>
    </w:p>
    <w:p w14:paraId="0773A361" w14:textId="77777777" w:rsidR="00EC24DB" w:rsidRDefault="00EC24DB" w:rsidP="00102F95">
      <w:pPr>
        <w:pStyle w:val="FootnoteText"/>
        <w:jc w:val="both"/>
        <w:rPr>
          <w:i/>
          <w:sz w:val="22"/>
          <w:szCs w:val="22"/>
          <w:lang w:val="en-AU"/>
        </w:rPr>
      </w:pPr>
    </w:p>
    <w:p w14:paraId="28B6D8CC" w14:textId="09A7DA70" w:rsidR="00EC24DB" w:rsidRPr="005D187E" w:rsidRDefault="00EC24DB" w:rsidP="00102F95">
      <w:pPr>
        <w:pStyle w:val="FootnoteText"/>
        <w:jc w:val="both"/>
        <w:rPr>
          <w:sz w:val="22"/>
          <w:szCs w:val="22"/>
          <w:lang w:val="en-AU"/>
        </w:rPr>
      </w:pPr>
      <w:proofErr w:type="spellStart"/>
      <w:r w:rsidRPr="00DF493F">
        <w:rPr>
          <w:i/>
          <w:sz w:val="22"/>
          <w:szCs w:val="22"/>
          <w:lang w:val="en-AU"/>
        </w:rPr>
        <w:t>Fetherston</w:t>
      </w:r>
      <w:proofErr w:type="spellEnd"/>
      <w:r w:rsidRPr="00DF493F">
        <w:rPr>
          <w:i/>
          <w:sz w:val="22"/>
          <w:szCs w:val="22"/>
          <w:lang w:val="en-AU"/>
        </w:rPr>
        <w:t xml:space="preserve"> v Peninsula Health (No 2)</w:t>
      </w:r>
      <w:r w:rsidRPr="00DF493F">
        <w:rPr>
          <w:sz w:val="22"/>
          <w:szCs w:val="22"/>
        </w:rPr>
        <w:t xml:space="preserve"> [2004] FCA 594</w:t>
      </w:r>
    </w:p>
    <w:p w14:paraId="2F1147DE" w14:textId="77777777" w:rsidR="00EC24DB" w:rsidRDefault="00EC24DB" w:rsidP="00102F95">
      <w:pPr>
        <w:pStyle w:val="FootnoteText"/>
        <w:jc w:val="both"/>
        <w:rPr>
          <w:i/>
          <w:sz w:val="22"/>
          <w:szCs w:val="22"/>
        </w:rPr>
      </w:pPr>
    </w:p>
    <w:p w14:paraId="6A9ADF6B" w14:textId="527A0B53" w:rsidR="00EC24DB" w:rsidRDefault="00EC24DB" w:rsidP="00102F95">
      <w:pPr>
        <w:pStyle w:val="FootnoteText"/>
        <w:jc w:val="both"/>
        <w:rPr>
          <w:sz w:val="22"/>
          <w:szCs w:val="22"/>
          <w:lang w:val="en-AU"/>
        </w:rPr>
      </w:pPr>
      <w:r w:rsidRPr="00DF493F">
        <w:rPr>
          <w:i/>
          <w:sz w:val="22"/>
          <w:szCs w:val="22"/>
        </w:rPr>
        <w:t>New York Gaslight Club Inc v Carey</w:t>
      </w:r>
      <w:r w:rsidRPr="00DF493F">
        <w:rPr>
          <w:sz w:val="22"/>
          <w:szCs w:val="22"/>
        </w:rPr>
        <w:t>, 447 US 54 (1983)</w:t>
      </w:r>
    </w:p>
    <w:p w14:paraId="3F411C1B" w14:textId="77777777" w:rsidR="00EC24DB" w:rsidRDefault="00EC24DB" w:rsidP="00102F95">
      <w:pPr>
        <w:spacing w:after="0"/>
        <w:jc w:val="both"/>
        <w:rPr>
          <w:i/>
        </w:rPr>
      </w:pPr>
    </w:p>
    <w:p w14:paraId="4C3947EA" w14:textId="55C714D5" w:rsidR="005D187E" w:rsidRDefault="00D840E9" w:rsidP="00102F95">
      <w:pPr>
        <w:spacing w:after="0"/>
        <w:jc w:val="both"/>
        <w:rPr>
          <w:i/>
          <w:lang w:val="en-AU"/>
        </w:rPr>
      </w:pPr>
      <w:r w:rsidRPr="00AD35D6">
        <w:rPr>
          <w:i/>
        </w:rPr>
        <w:t xml:space="preserve">Tan v </w:t>
      </w:r>
      <w:proofErr w:type="spellStart"/>
      <w:r w:rsidRPr="00AD35D6">
        <w:rPr>
          <w:i/>
        </w:rPr>
        <w:t>Xenos</w:t>
      </w:r>
      <w:proofErr w:type="spellEnd"/>
      <w:r>
        <w:t xml:space="preserve"> [2008] VCAT 1273</w:t>
      </w:r>
    </w:p>
    <w:p w14:paraId="1415D682" w14:textId="7A26DC59" w:rsidR="006B6354" w:rsidRDefault="006B6354" w:rsidP="006B6354">
      <w:pPr>
        <w:pStyle w:val="Heading2"/>
      </w:pPr>
      <w:bookmarkStart w:id="65" w:name="_Toc127809138"/>
      <w:r>
        <w:t>Legislation</w:t>
      </w:r>
      <w:bookmarkEnd w:id="65"/>
    </w:p>
    <w:p w14:paraId="730D0FDD" w14:textId="77777777" w:rsidR="00333494" w:rsidRDefault="00333494" w:rsidP="00102F95">
      <w:pPr>
        <w:spacing w:after="0"/>
        <w:rPr>
          <w:i/>
        </w:rPr>
      </w:pPr>
    </w:p>
    <w:p w14:paraId="3514CD6B" w14:textId="0A582842" w:rsidR="005D187E" w:rsidRDefault="005D187E" w:rsidP="00102F95">
      <w:pPr>
        <w:spacing w:after="0"/>
        <w:rPr>
          <w:lang w:val="en-AU"/>
        </w:rPr>
      </w:pPr>
      <w:r w:rsidRPr="00DF493F">
        <w:rPr>
          <w:i/>
        </w:rPr>
        <w:t>Australian Human Rights Commission Act 1986</w:t>
      </w:r>
      <w:r w:rsidRPr="00DF493F">
        <w:t xml:space="preserve"> (</w:t>
      </w:r>
      <w:proofErr w:type="spellStart"/>
      <w:r w:rsidRPr="00DF493F">
        <w:t>Cth</w:t>
      </w:r>
      <w:proofErr w:type="spellEnd"/>
      <w:r w:rsidR="00FC2C59">
        <w:t>)</w:t>
      </w:r>
    </w:p>
    <w:p w14:paraId="6E0E1773" w14:textId="77777777" w:rsidR="00102F95" w:rsidRDefault="00102F95" w:rsidP="00102F95">
      <w:pPr>
        <w:pStyle w:val="FootnoteText"/>
        <w:rPr>
          <w:i/>
          <w:sz w:val="22"/>
          <w:szCs w:val="22"/>
        </w:rPr>
      </w:pPr>
    </w:p>
    <w:p w14:paraId="649092A1" w14:textId="77777777" w:rsidR="00102F95" w:rsidRPr="00DF493F" w:rsidRDefault="00102F95" w:rsidP="00102F95">
      <w:pPr>
        <w:pStyle w:val="FootnoteText"/>
        <w:rPr>
          <w:sz w:val="22"/>
          <w:szCs w:val="22"/>
          <w:lang w:val="en-AU"/>
        </w:rPr>
      </w:pPr>
      <w:r w:rsidRPr="00DF493F">
        <w:rPr>
          <w:i/>
          <w:sz w:val="22"/>
          <w:szCs w:val="22"/>
          <w:lang w:val="en-AU"/>
        </w:rPr>
        <w:t>Civil and Administrative Tribunal Act 2013</w:t>
      </w:r>
      <w:r w:rsidRPr="00DF493F">
        <w:rPr>
          <w:sz w:val="22"/>
          <w:szCs w:val="22"/>
          <w:lang w:val="en-AU"/>
        </w:rPr>
        <w:t xml:space="preserve"> (NSW) </w:t>
      </w:r>
    </w:p>
    <w:p w14:paraId="1979FC6F" w14:textId="77777777" w:rsidR="00102F95" w:rsidRDefault="00102F95" w:rsidP="00102F95">
      <w:pPr>
        <w:spacing w:after="0"/>
        <w:rPr>
          <w:i/>
          <w:lang w:val="en-AU"/>
        </w:rPr>
      </w:pPr>
    </w:p>
    <w:p w14:paraId="3182A811" w14:textId="19562945" w:rsidR="00102F95" w:rsidRPr="00DF493F" w:rsidRDefault="00102F95" w:rsidP="00102F95">
      <w:pPr>
        <w:spacing w:after="0"/>
        <w:rPr>
          <w:rFonts w:cstheme="minorHAnsi"/>
          <w:lang w:val="en-AU"/>
        </w:rPr>
      </w:pPr>
      <w:r w:rsidRPr="00DF493F">
        <w:rPr>
          <w:i/>
          <w:lang w:val="en-AU"/>
        </w:rPr>
        <w:t>Civil and Administrative Tribunal Act 2013 (No 2)</w:t>
      </w:r>
      <w:r w:rsidRPr="00DF493F">
        <w:rPr>
          <w:lang w:val="en-AU"/>
        </w:rPr>
        <w:t xml:space="preserve"> (NSW</w:t>
      </w:r>
      <w:r>
        <w:rPr>
          <w:lang w:val="en-AU"/>
        </w:rPr>
        <w:t>)</w:t>
      </w:r>
    </w:p>
    <w:p w14:paraId="226A10D5" w14:textId="77777777" w:rsidR="00102F95" w:rsidRDefault="00102F95" w:rsidP="00102F95">
      <w:pPr>
        <w:pStyle w:val="FootnoteText"/>
        <w:rPr>
          <w:i/>
          <w:sz w:val="22"/>
          <w:szCs w:val="22"/>
        </w:rPr>
      </w:pPr>
    </w:p>
    <w:p w14:paraId="19E618CE" w14:textId="77777777" w:rsidR="00333494" w:rsidRPr="00DF493F" w:rsidRDefault="00333494" w:rsidP="00333494">
      <w:pPr>
        <w:pStyle w:val="FootnoteText"/>
        <w:rPr>
          <w:sz w:val="22"/>
          <w:szCs w:val="22"/>
          <w:lang w:val="en-AU"/>
        </w:rPr>
      </w:pPr>
      <w:r w:rsidRPr="00DF493F">
        <w:rPr>
          <w:i/>
          <w:sz w:val="22"/>
          <w:szCs w:val="22"/>
        </w:rPr>
        <w:t>Employment Tribunals (Constitution and Rules of Procedure) Regulations 2013</w:t>
      </w:r>
      <w:r w:rsidRPr="00DF493F">
        <w:rPr>
          <w:sz w:val="22"/>
          <w:szCs w:val="22"/>
        </w:rPr>
        <w:t xml:space="preserve"> (UK)</w:t>
      </w:r>
    </w:p>
    <w:p w14:paraId="139CDB53" w14:textId="77777777" w:rsidR="00333494" w:rsidRDefault="00333494" w:rsidP="00333494">
      <w:pPr>
        <w:spacing w:after="0"/>
        <w:rPr>
          <w:i/>
        </w:rPr>
      </w:pPr>
    </w:p>
    <w:p w14:paraId="59B49C75" w14:textId="2B526942" w:rsidR="00333494" w:rsidRDefault="00333494" w:rsidP="00333494">
      <w:pPr>
        <w:spacing w:after="0"/>
        <w:rPr>
          <w:rFonts w:cstheme="minorHAnsi"/>
          <w:lang w:val="en-AU"/>
        </w:rPr>
      </w:pPr>
      <w:r w:rsidRPr="00DF493F">
        <w:rPr>
          <w:i/>
        </w:rPr>
        <w:t xml:space="preserve">Fair Work Act 2009 </w:t>
      </w:r>
      <w:r w:rsidRPr="00DF493F">
        <w:t>(</w:t>
      </w:r>
      <w:proofErr w:type="spellStart"/>
      <w:r w:rsidRPr="00DF493F">
        <w:t>Cth</w:t>
      </w:r>
      <w:proofErr w:type="spellEnd"/>
      <w:r w:rsidRPr="00DF493F">
        <w:t>)</w:t>
      </w:r>
    </w:p>
    <w:p w14:paraId="22596FC1" w14:textId="77777777" w:rsidR="00333494" w:rsidRDefault="00333494" w:rsidP="00102F95">
      <w:pPr>
        <w:pStyle w:val="FootnoteText"/>
        <w:rPr>
          <w:i/>
          <w:sz w:val="22"/>
          <w:szCs w:val="22"/>
        </w:rPr>
      </w:pPr>
    </w:p>
    <w:p w14:paraId="5857E227" w14:textId="77777777" w:rsidR="00333494" w:rsidRDefault="00333494" w:rsidP="00333494">
      <w:pPr>
        <w:pStyle w:val="FootnoteText"/>
        <w:rPr>
          <w:sz w:val="22"/>
          <w:szCs w:val="22"/>
        </w:rPr>
      </w:pPr>
      <w:r w:rsidRPr="00DF493F">
        <w:rPr>
          <w:i/>
          <w:sz w:val="22"/>
          <w:szCs w:val="22"/>
        </w:rPr>
        <w:t>Federal Circuit and Family Court of Australia Act 2021</w:t>
      </w:r>
      <w:r w:rsidRPr="00DF493F">
        <w:rPr>
          <w:sz w:val="22"/>
          <w:szCs w:val="22"/>
        </w:rPr>
        <w:t xml:space="preserve"> (</w:t>
      </w:r>
      <w:proofErr w:type="spellStart"/>
      <w:r w:rsidRPr="00DF493F">
        <w:rPr>
          <w:sz w:val="22"/>
          <w:szCs w:val="22"/>
        </w:rPr>
        <w:t>Cth</w:t>
      </w:r>
      <w:proofErr w:type="spellEnd"/>
      <w:r w:rsidRPr="00DF493F">
        <w:rPr>
          <w:sz w:val="22"/>
          <w:szCs w:val="22"/>
        </w:rPr>
        <w:t xml:space="preserve">) </w:t>
      </w:r>
    </w:p>
    <w:p w14:paraId="3073D4A6" w14:textId="77777777" w:rsidR="00333494" w:rsidRDefault="00333494" w:rsidP="00333494">
      <w:pPr>
        <w:pStyle w:val="FootnoteText"/>
        <w:rPr>
          <w:rFonts w:cstheme="minorHAnsi"/>
          <w:i/>
          <w:sz w:val="22"/>
          <w:szCs w:val="22"/>
        </w:rPr>
      </w:pPr>
    </w:p>
    <w:p w14:paraId="5A2BA2B0" w14:textId="570D333F" w:rsidR="00333494" w:rsidRPr="00DF493F" w:rsidRDefault="00333494" w:rsidP="00333494">
      <w:pPr>
        <w:pStyle w:val="FootnoteText"/>
        <w:rPr>
          <w:sz w:val="22"/>
          <w:szCs w:val="22"/>
          <w:lang w:val="en-AU"/>
        </w:rPr>
      </w:pPr>
      <w:r w:rsidRPr="00DF493F">
        <w:rPr>
          <w:rFonts w:cstheme="minorHAnsi"/>
          <w:i/>
          <w:sz w:val="22"/>
          <w:szCs w:val="22"/>
        </w:rPr>
        <w:t>Federal Circuit and Family Court of Australia (Division 2) (General Federal Law) Rules 2021</w:t>
      </w:r>
      <w:r w:rsidRPr="00DF493F">
        <w:rPr>
          <w:rFonts w:cstheme="minorHAnsi"/>
          <w:sz w:val="22"/>
          <w:szCs w:val="22"/>
        </w:rPr>
        <w:t xml:space="preserve"> (</w:t>
      </w:r>
      <w:proofErr w:type="spellStart"/>
      <w:r w:rsidRPr="00DF493F">
        <w:rPr>
          <w:rFonts w:cstheme="minorHAnsi"/>
          <w:sz w:val="22"/>
          <w:szCs w:val="22"/>
        </w:rPr>
        <w:t>Cth</w:t>
      </w:r>
      <w:proofErr w:type="spellEnd"/>
      <w:r w:rsidRPr="00DF493F">
        <w:rPr>
          <w:rFonts w:cstheme="minorHAnsi"/>
          <w:sz w:val="22"/>
          <w:szCs w:val="22"/>
        </w:rPr>
        <w:t>)</w:t>
      </w:r>
    </w:p>
    <w:p w14:paraId="147FF601" w14:textId="77777777" w:rsidR="00333494" w:rsidRDefault="00333494" w:rsidP="00102F95">
      <w:pPr>
        <w:pStyle w:val="FootnoteText"/>
        <w:rPr>
          <w:i/>
          <w:sz w:val="22"/>
          <w:szCs w:val="22"/>
        </w:rPr>
      </w:pPr>
    </w:p>
    <w:p w14:paraId="0DD06A90" w14:textId="3E8BCE8E" w:rsidR="005D187E" w:rsidRDefault="005D187E" w:rsidP="00102F95">
      <w:pPr>
        <w:pStyle w:val="FootnoteText"/>
        <w:rPr>
          <w:sz w:val="22"/>
          <w:szCs w:val="22"/>
        </w:rPr>
      </w:pPr>
      <w:r w:rsidRPr="00DF493F">
        <w:rPr>
          <w:i/>
          <w:sz w:val="22"/>
          <w:szCs w:val="22"/>
        </w:rPr>
        <w:t xml:space="preserve">Federal Court of Australia Act 1976 </w:t>
      </w:r>
      <w:r w:rsidRPr="00DF493F">
        <w:rPr>
          <w:sz w:val="22"/>
          <w:szCs w:val="22"/>
        </w:rPr>
        <w:t>(</w:t>
      </w:r>
      <w:proofErr w:type="spellStart"/>
      <w:r w:rsidRPr="00DF493F">
        <w:rPr>
          <w:sz w:val="22"/>
          <w:szCs w:val="22"/>
        </w:rPr>
        <w:t>Cth</w:t>
      </w:r>
      <w:proofErr w:type="spellEnd"/>
      <w:r w:rsidRPr="00DF493F">
        <w:rPr>
          <w:sz w:val="22"/>
          <w:szCs w:val="22"/>
        </w:rPr>
        <w:t xml:space="preserve">) </w:t>
      </w:r>
    </w:p>
    <w:p w14:paraId="4590ACE3" w14:textId="77777777" w:rsidR="00333494" w:rsidRDefault="00333494" w:rsidP="00333494">
      <w:pPr>
        <w:pStyle w:val="FootnoteText"/>
        <w:rPr>
          <w:i/>
          <w:sz w:val="22"/>
          <w:szCs w:val="22"/>
          <w:lang w:val="en-AU"/>
        </w:rPr>
      </w:pPr>
    </w:p>
    <w:p w14:paraId="4973B1EB" w14:textId="767D7223" w:rsidR="00333494" w:rsidRDefault="00333494" w:rsidP="00333494">
      <w:pPr>
        <w:pStyle w:val="FootnoteText"/>
        <w:rPr>
          <w:sz w:val="22"/>
          <w:szCs w:val="22"/>
          <w:lang w:val="en-AU"/>
        </w:rPr>
      </w:pPr>
      <w:r w:rsidRPr="00DF493F">
        <w:rPr>
          <w:i/>
          <w:sz w:val="22"/>
          <w:szCs w:val="22"/>
          <w:lang w:val="en-AU"/>
        </w:rPr>
        <w:t>Federal Court Rules 2011</w:t>
      </w:r>
      <w:r w:rsidRPr="00DF493F">
        <w:rPr>
          <w:sz w:val="22"/>
          <w:szCs w:val="22"/>
          <w:lang w:val="en-AU"/>
        </w:rPr>
        <w:t xml:space="preserve"> (</w:t>
      </w:r>
      <w:proofErr w:type="spellStart"/>
      <w:r w:rsidRPr="00DF493F">
        <w:rPr>
          <w:sz w:val="22"/>
          <w:szCs w:val="22"/>
          <w:lang w:val="en-AU"/>
        </w:rPr>
        <w:t>Cth</w:t>
      </w:r>
      <w:proofErr w:type="spellEnd"/>
      <w:r w:rsidRPr="00DF493F">
        <w:rPr>
          <w:sz w:val="22"/>
          <w:szCs w:val="22"/>
          <w:lang w:val="en-AU"/>
        </w:rPr>
        <w:t xml:space="preserve">) </w:t>
      </w:r>
    </w:p>
    <w:p w14:paraId="5CF69A8F" w14:textId="77777777" w:rsidR="005D187E" w:rsidRDefault="005D187E" w:rsidP="00102F95">
      <w:pPr>
        <w:pStyle w:val="FootnoteText"/>
        <w:rPr>
          <w:i/>
          <w:sz w:val="22"/>
          <w:szCs w:val="22"/>
        </w:rPr>
      </w:pPr>
    </w:p>
    <w:p w14:paraId="2A1DF13F" w14:textId="59BCB495" w:rsidR="00333494" w:rsidRPr="00DF493F" w:rsidRDefault="00333494" w:rsidP="00333494">
      <w:pPr>
        <w:spacing w:after="0"/>
        <w:rPr>
          <w:lang w:val="en-AU"/>
        </w:rPr>
      </w:pPr>
      <w:r w:rsidRPr="00DF493F">
        <w:rPr>
          <w:i/>
          <w:lang w:val="en-AU"/>
        </w:rPr>
        <w:t>Human Rights Act 1993</w:t>
      </w:r>
      <w:r w:rsidRPr="00DF493F">
        <w:rPr>
          <w:lang w:val="en-AU"/>
        </w:rPr>
        <w:t xml:space="preserve"> (NZ)</w:t>
      </w:r>
    </w:p>
    <w:p w14:paraId="6A6E1357" w14:textId="77777777" w:rsidR="00102F95" w:rsidRDefault="00102F95" w:rsidP="00102F95">
      <w:pPr>
        <w:spacing w:after="0"/>
        <w:rPr>
          <w:i/>
          <w:lang w:val="en-AU"/>
        </w:rPr>
      </w:pPr>
    </w:p>
    <w:p w14:paraId="681491F1" w14:textId="77777777" w:rsidR="00333494" w:rsidRDefault="00333494" w:rsidP="00333494">
      <w:pPr>
        <w:pStyle w:val="FootnoteText"/>
        <w:rPr>
          <w:sz w:val="22"/>
          <w:szCs w:val="22"/>
        </w:rPr>
      </w:pPr>
      <w:r>
        <w:rPr>
          <w:i/>
          <w:sz w:val="22"/>
          <w:szCs w:val="22"/>
        </w:rPr>
        <w:t xml:space="preserve">Labor, </w:t>
      </w:r>
      <w:r w:rsidRPr="00EC24DB">
        <w:rPr>
          <w:sz w:val="22"/>
          <w:szCs w:val="22"/>
        </w:rPr>
        <w:t>29 CFR § 1614 (2016)</w:t>
      </w:r>
    </w:p>
    <w:p w14:paraId="589CACA9" w14:textId="77777777" w:rsidR="00333494" w:rsidRDefault="00333494" w:rsidP="00102F95">
      <w:pPr>
        <w:spacing w:after="0"/>
        <w:rPr>
          <w:i/>
          <w:lang w:val="en-AU"/>
        </w:rPr>
      </w:pPr>
    </w:p>
    <w:p w14:paraId="4FF0A7FA" w14:textId="782FB0C0" w:rsidR="00102F95" w:rsidRDefault="00102F95" w:rsidP="00102F95">
      <w:pPr>
        <w:spacing w:after="0"/>
        <w:rPr>
          <w:lang w:val="en-AU"/>
        </w:rPr>
      </w:pPr>
      <w:r w:rsidRPr="00FC2C59">
        <w:rPr>
          <w:i/>
          <w:lang w:val="en-AU"/>
        </w:rPr>
        <w:t>Racial Discrimination Act 1975</w:t>
      </w:r>
      <w:r>
        <w:rPr>
          <w:lang w:val="en-AU"/>
        </w:rPr>
        <w:t xml:space="preserve"> (</w:t>
      </w:r>
      <w:proofErr w:type="spellStart"/>
      <w:r>
        <w:rPr>
          <w:lang w:val="en-AU"/>
        </w:rPr>
        <w:t>Cth</w:t>
      </w:r>
      <w:proofErr w:type="spellEnd"/>
      <w:r>
        <w:rPr>
          <w:lang w:val="en-AU"/>
        </w:rPr>
        <w:t>)</w:t>
      </w:r>
    </w:p>
    <w:p w14:paraId="094A8D22" w14:textId="77777777" w:rsidR="00333494" w:rsidRDefault="00333494" w:rsidP="00102F95">
      <w:pPr>
        <w:spacing w:after="0"/>
        <w:rPr>
          <w:i/>
          <w:lang w:val="en-AU"/>
        </w:rPr>
      </w:pPr>
    </w:p>
    <w:p w14:paraId="41575F52" w14:textId="729CED5A" w:rsidR="00102F95" w:rsidRPr="00102F95" w:rsidRDefault="00102F95" w:rsidP="00102F95">
      <w:pPr>
        <w:spacing w:after="0"/>
        <w:rPr>
          <w:lang w:val="en-AU"/>
        </w:rPr>
      </w:pPr>
      <w:r w:rsidRPr="00FC2C59">
        <w:rPr>
          <w:i/>
          <w:lang w:val="en-AU"/>
        </w:rPr>
        <w:t>Sex Discrimination Act 1984</w:t>
      </w:r>
      <w:r>
        <w:rPr>
          <w:lang w:val="en-AU"/>
        </w:rPr>
        <w:t xml:space="preserve"> (</w:t>
      </w:r>
      <w:proofErr w:type="spellStart"/>
      <w:r>
        <w:rPr>
          <w:lang w:val="en-AU"/>
        </w:rPr>
        <w:t>Cth</w:t>
      </w:r>
      <w:proofErr w:type="spellEnd"/>
      <w:r>
        <w:rPr>
          <w:lang w:val="en-AU"/>
        </w:rPr>
        <w:t>)</w:t>
      </w:r>
    </w:p>
    <w:p w14:paraId="208066FF" w14:textId="77777777" w:rsidR="00333494" w:rsidRDefault="00333494" w:rsidP="00102F95">
      <w:pPr>
        <w:pStyle w:val="FootnoteText"/>
        <w:rPr>
          <w:i/>
          <w:sz w:val="22"/>
          <w:szCs w:val="22"/>
          <w:lang w:val="en-AU"/>
        </w:rPr>
      </w:pPr>
    </w:p>
    <w:p w14:paraId="46CFA4EA" w14:textId="0C151983" w:rsidR="005D187E" w:rsidRPr="00DF493F" w:rsidRDefault="005D187E" w:rsidP="00102F95">
      <w:pPr>
        <w:pStyle w:val="FootnoteText"/>
        <w:rPr>
          <w:sz w:val="22"/>
          <w:szCs w:val="22"/>
          <w:lang w:val="en-AU"/>
        </w:rPr>
      </w:pPr>
      <w:r w:rsidRPr="00DF493F">
        <w:rPr>
          <w:i/>
          <w:sz w:val="22"/>
          <w:szCs w:val="22"/>
          <w:lang w:val="en-AU"/>
        </w:rPr>
        <w:t>South Australian Civil and Administrative Tribunal Act 2013</w:t>
      </w:r>
      <w:r w:rsidRPr="00DF493F">
        <w:rPr>
          <w:sz w:val="22"/>
          <w:szCs w:val="22"/>
          <w:lang w:val="en-AU"/>
        </w:rPr>
        <w:t xml:space="preserve"> (SA)</w:t>
      </w:r>
    </w:p>
    <w:p w14:paraId="3D18D08E" w14:textId="77777777" w:rsidR="005D187E" w:rsidRDefault="005D187E" w:rsidP="00102F95">
      <w:pPr>
        <w:pStyle w:val="FootnoteText"/>
        <w:rPr>
          <w:i/>
          <w:sz w:val="22"/>
          <w:szCs w:val="22"/>
        </w:rPr>
      </w:pPr>
    </w:p>
    <w:p w14:paraId="7E3B7962" w14:textId="0E825705" w:rsidR="005D187E" w:rsidRDefault="005D187E" w:rsidP="00102F95">
      <w:pPr>
        <w:pStyle w:val="FootnoteText"/>
        <w:rPr>
          <w:sz w:val="22"/>
          <w:szCs w:val="22"/>
        </w:rPr>
      </w:pPr>
      <w:r w:rsidRPr="00DF493F">
        <w:rPr>
          <w:i/>
          <w:sz w:val="22"/>
          <w:szCs w:val="22"/>
        </w:rPr>
        <w:t>Victorian Civil and Administrative Tribunal Act 1998</w:t>
      </w:r>
      <w:r w:rsidRPr="00DF493F">
        <w:rPr>
          <w:sz w:val="22"/>
          <w:szCs w:val="22"/>
        </w:rPr>
        <w:t xml:space="preserve"> (Vic</w:t>
      </w:r>
      <w:r w:rsidR="00FC2C59">
        <w:rPr>
          <w:sz w:val="22"/>
          <w:szCs w:val="22"/>
        </w:rPr>
        <w:t>)</w:t>
      </w:r>
    </w:p>
    <w:p w14:paraId="2E622969" w14:textId="6D35E4DD" w:rsidR="006B6354" w:rsidRPr="006B6354" w:rsidRDefault="006B6354" w:rsidP="006B6354">
      <w:pPr>
        <w:pStyle w:val="Heading2"/>
      </w:pPr>
      <w:bookmarkStart w:id="66" w:name="_Toc127809139"/>
      <w:r>
        <w:t>Other</w:t>
      </w:r>
      <w:bookmarkEnd w:id="66"/>
    </w:p>
    <w:p w14:paraId="276ABF68" w14:textId="1B79E89E" w:rsidR="005D187E" w:rsidRDefault="005D187E" w:rsidP="005D187E">
      <w:pPr>
        <w:pStyle w:val="FootnoteText"/>
        <w:rPr>
          <w:sz w:val="22"/>
          <w:szCs w:val="22"/>
        </w:rPr>
      </w:pPr>
      <w:r w:rsidRPr="00DF493F">
        <w:rPr>
          <w:sz w:val="22"/>
          <w:szCs w:val="22"/>
        </w:rPr>
        <w:t>Anti-Discrimination and Human Rights Legislation Amendment (Respect at Work) Bill 2022 (</w:t>
      </w:r>
      <w:proofErr w:type="spellStart"/>
      <w:r w:rsidRPr="00DF493F">
        <w:rPr>
          <w:sz w:val="22"/>
          <w:szCs w:val="22"/>
        </w:rPr>
        <w:t>Cth</w:t>
      </w:r>
      <w:proofErr w:type="spellEnd"/>
      <w:r w:rsidRPr="00DF493F">
        <w:rPr>
          <w:sz w:val="22"/>
          <w:szCs w:val="22"/>
        </w:rPr>
        <w:t>)</w:t>
      </w:r>
    </w:p>
    <w:p w14:paraId="2EDDB5EA" w14:textId="0A98948C" w:rsidR="00F75422" w:rsidRDefault="00F75422" w:rsidP="005D187E">
      <w:pPr>
        <w:pStyle w:val="FootnoteText"/>
        <w:rPr>
          <w:sz w:val="22"/>
          <w:szCs w:val="22"/>
        </w:rPr>
      </w:pPr>
    </w:p>
    <w:p w14:paraId="5AEF0B41" w14:textId="77777777" w:rsidR="00F75422" w:rsidRPr="00F75422" w:rsidRDefault="00F75422" w:rsidP="00F75422">
      <w:pPr>
        <w:pStyle w:val="FootnoteText"/>
        <w:rPr>
          <w:rFonts w:cstheme="minorHAnsi"/>
          <w:sz w:val="22"/>
          <w:szCs w:val="22"/>
        </w:rPr>
      </w:pPr>
      <w:r>
        <w:rPr>
          <w:rFonts w:cstheme="minorHAnsi"/>
          <w:sz w:val="22"/>
          <w:szCs w:val="22"/>
        </w:rPr>
        <w:t xml:space="preserve">Attorney-General’s Department, </w:t>
      </w:r>
      <w:r>
        <w:rPr>
          <w:rFonts w:cstheme="minorHAnsi"/>
          <w:i/>
          <w:sz w:val="22"/>
          <w:szCs w:val="22"/>
        </w:rPr>
        <w:t>Consultation Paper: Respect@Work – Options to progress further legislative recommendations</w:t>
      </w:r>
      <w:r>
        <w:rPr>
          <w:rFonts w:cstheme="minorHAnsi"/>
          <w:sz w:val="22"/>
          <w:szCs w:val="22"/>
        </w:rPr>
        <w:t xml:space="preserve"> (Consultation Paper, February 2022)</w:t>
      </w:r>
    </w:p>
    <w:p w14:paraId="5889F4AB" w14:textId="77777777" w:rsidR="000D75A0" w:rsidRDefault="000D75A0" w:rsidP="005D187E">
      <w:pPr>
        <w:pStyle w:val="FootnoteText"/>
        <w:rPr>
          <w:sz w:val="22"/>
          <w:szCs w:val="22"/>
        </w:rPr>
      </w:pPr>
    </w:p>
    <w:p w14:paraId="516DCA0D" w14:textId="77777777" w:rsidR="000D75A0" w:rsidRDefault="000D75A0" w:rsidP="000D75A0">
      <w:pPr>
        <w:pStyle w:val="FootnoteText"/>
        <w:rPr>
          <w:sz w:val="22"/>
          <w:szCs w:val="22"/>
          <w:lang w:val="en-AU"/>
        </w:rPr>
      </w:pPr>
      <w:r w:rsidRPr="00DF493F">
        <w:rPr>
          <w:sz w:val="22"/>
          <w:szCs w:val="22"/>
          <w:lang w:val="en-AU"/>
        </w:rPr>
        <w:t>Explanatory Memorandum, Anti-Discrimination and Human Rights Legislation Amendment (Respect at Work) Bill 2022 (</w:t>
      </w:r>
      <w:proofErr w:type="spellStart"/>
      <w:r w:rsidRPr="00DF493F">
        <w:rPr>
          <w:sz w:val="22"/>
          <w:szCs w:val="22"/>
          <w:lang w:val="en-AU"/>
        </w:rPr>
        <w:t>Cth</w:t>
      </w:r>
      <w:proofErr w:type="spellEnd"/>
      <w:r w:rsidRPr="00DF493F">
        <w:rPr>
          <w:sz w:val="22"/>
          <w:szCs w:val="22"/>
          <w:lang w:val="en-AU"/>
        </w:rPr>
        <w:t>)</w:t>
      </w:r>
      <w:r>
        <w:rPr>
          <w:sz w:val="22"/>
          <w:szCs w:val="22"/>
          <w:lang w:val="en-AU"/>
        </w:rPr>
        <w:t xml:space="preserve"> </w:t>
      </w:r>
      <w:r w:rsidRPr="00DF493F">
        <w:rPr>
          <w:sz w:val="22"/>
          <w:szCs w:val="22"/>
          <w:lang w:val="en-AU"/>
        </w:rPr>
        <w:t>&lt;https://www.aph.gov.au/Parliamentary_Business/Bills_Legislation/Bills_Search_Results/Result?bId=r6916&gt;</w:t>
      </w:r>
    </w:p>
    <w:p w14:paraId="5ED60312" w14:textId="77777777" w:rsidR="000D75A0" w:rsidRDefault="000D75A0" w:rsidP="000D75A0">
      <w:pPr>
        <w:pStyle w:val="FootnoteText"/>
        <w:rPr>
          <w:sz w:val="22"/>
          <w:szCs w:val="22"/>
        </w:rPr>
      </w:pPr>
    </w:p>
    <w:p w14:paraId="7E0EABCE" w14:textId="13E1F739" w:rsidR="000D75A0" w:rsidRPr="00DF493F" w:rsidRDefault="000D75A0" w:rsidP="000D75A0">
      <w:pPr>
        <w:pStyle w:val="FootnoteText"/>
        <w:rPr>
          <w:sz w:val="22"/>
          <w:szCs w:val="22"/>
          <w:lang w:val="en-AU"/>
        </w:rPr>
      </w:pPr>
      <w:r w:rsidRPr="00DF493F">
        <w:rPr>
          <w:sz w:val="22"/>
          <w:szCs w:val="22"/>
        </w:rPr>
        <w:t xml:space="preserve">‘Human Rights Review Tribunal’, </w:t>
      </w:r>
      <w:r w:rsidRPr="00DF493F">
        <w:rPr>
          <w:i/>
          <w:sz w:val="22"/>
          <w:szCs w:val="22"/>
        </w:rPr>
        <w:t xml:space="preserve">Ministry of Justice </w:t>
      </w:r>
      <w:r w:rsidRPr="00DF493F">
        <w:rPr>
          <w:sz w:val="22"/>
          <w:szCs w:val="22"/>
        </w:rPr>
        <w:t>(Web Page, December 2022) &lt;https://www.justice.govt.nz/tribunals/human-rights/costs-awarded/&gt;</w:t>
      </w:r>
    </w:p>
    <w:p w14:paraId="0C294EFE" w14:textId="77777777" w:rsidR="005D187E" w:rsidRPr="005D187E" w:rsidRDefault="005D187E" w:rsidP="005D187E">
      <w:pPr>
        <w:pStyle w:val="FootnoteText"/>
        <w:rPr>
          <w:sz w:val="22"/>
          <w:szCs w:val="22"/>
        </w:rPr>
      </w:pPr>
    </w:p>
    <w:p w14:paraId="144DF6CC" w14:textId="1B6AAF19" w:rsidR="000D75A0" w:rsidRPr="00DF493F" w:rsidRDefault="000D75A0" w:rsidP="000D75A0">
      <w:pPr>
        <w:pStyle w:val="FootnoteText"/>
        <w:rPr>
          <w:sz w:val="22"/>
          <w:szCs w:val="22"/>
          <w:lang w:val="en-AU"/>
        </w:rPr>
      </w:pPr>
      <w:r w:rsidRPr="00DF493F">
        <w:rPr>
          <w:sz w:val="22"/>
          <w:szCs w:val="22"/>
        </w:rPr>
        <w:t>Law Council of Australia, Submission to Attorney</w:t>
      </w:r>
      <w:r w:rsidR="00F75422">
        <w:rPr>
          <w:sz w:val="22"/>
          <w:szCs w:val="22"/>
        </w:rPr>
        <w:t>-</w:t>
      </w:r>
      <w:r w:rsidRPr="00DF493F">
        <w:rPr>
          <w:sz w:val="22"/>
          <w:szCs w:val="22"/>
        </w:rPr>
        <w:t xml:space="preserve">General’s Department, </w:t>
      </w:r>
      <w:r w:rsidRPr="00DF493F">
        <w:rPr>
          <w:i/>
          <w:sz w:val="22"/>
          <w:szCs w:val="22"/>
        </w:rPr>
        <w:t xml:space="preserve">Respect@Work Consultation </w:t>
      </w:r>
      <w:r w:rsidRPr="00DF493F">
        <w:rPr>
          <w:sz w:val="22"/>
          <w:szCs w:val="22"/>
        </w:rPr>
        <w:t>(23 March 2022)</w:t>
      </w:r>
      <w:r w:rsidRPr="00DF493F">
        <w:rPr>
          <w:rFonts w:cstheme="minorHAnsi"/>
          <w:sz w:val="22"/>
          <w:szCs w:val="22"/>
          <w:lang w:val="en-AU"/>
        </w:rPr>
        <w:t xml:space="preserve"> &lt;</w:t>
      </w:r>
      <w:r w:rsidRPr="000D75A0">
        <w:t xml:space="preserve"> </w:t>
      </w:r>
      <w:r w:rsidRPr="000D75A0">
        <w:rPr>
          <w:rFonts w:cstheme="minorHAnsi"/>
          <w:sz w:val="22"/>
          <w:szCs w:val="22"/>
        </w:rPr>
        <w:t>https://www.lawcouncil.asn.au/resources/submissions/consultation-paper-respect-work-options-to-progress-further-legislative-recommendations</w:t>
      </w:r>
      <w:r w:rsidRPr="00DF493F">
        <w:rPr>
          <w:rFonts w:cstheme="minorHAnsi"/>
          <w:sz w:val="22"/>
          <w:szCs w:val="22"/>
        </w:rPr>
        <w:t>&gt;</w:t>
      </w:r>
    </w:p>
    <w:p w14:paraId="6E73842B" w14:textId="77777777" w:rsidR="000D75A0" w:rsidRDefault="000D75A0" w:rsidP="005D187E">
      <w:pPr>
        <w:spacing w:after="0"/>
      </w:pPr>
    </w:p>
    <w:p w14:paraId="1C1C9BB2" w14:textId="0E0199BC" w:rsidR="005D187E" w:rsidRPr="00DF493F" w:rsidRDefault="005D187E" w:rsidP="005D187E">
      <w:pPr>
        <w:spacing w:after="0"/>
        <w:rPr>
          <w:lang w:val="en-AU"/>
        </w:rPr>
      </w:pPr>
      <w:r w:rsidRPr="00DF493F">
        <w:t xml:space="preserve">UNSW Kingsford Legal Centre, </w:t>
      </w:r>
      <w:r w:rsidRPr="00DF493F">
        <w:rPr>
          <w:i/>
        </w:rPr>
        <w:t xml:space="preserve">Open Letter on the Anti-Discrimination and Human Rights Legislation Amendment (Respect at Work) Bill 2022 </w:t>
      </w:r>
      <w:r w:rsidRPr="00DF493F">
        <w:t>(Letter, October 2022)</w:t>
      </w:r>
      <w:r w:rsidRPr="00DF493F">
        <w:rPr>
          <w:rFonts w:cstheme="minorHAnsi"/>
        </w:rPr>
        <w:t xml:space="preserve"> &lt;</w:t>
      </w:r>
      <w:r w:rsidR="000D75A0" w:rsidRPr="000D75A0">
        <w:rPr>
          <w:rFonts w:cstheme="minorHAnsi"/>
        </w:rPr>
        <w:t>https://rlc.org.au/news-and-media/news/open-letter-respect-work-law-reform-bill-does-not-go-far-enough</w:t>
      </w:r>
      <w:r w:rsidRPr="00DF493F">
        <w:rPr>
          <w:rFonts w:cstheme="minorHAnsi"/>
        </w:rPr>
        <w:t>&gt;</w:t>
      </w:r>
    </w:p>
    <w:p w14:paraId="2E5A73B3" w14:textId="77777777" w:rsidR="000D75A0" w:rsidRDefault="000D75A0" w:rsidP="000D75A0">
      <w:pPr>
        <w:pStyle w:val="FootnoteText"/>
        <w:rPr>
          <w:rFonts w:cstheme="minorHAnsi"/>
          <w:sz w:val="22"/>
          <w:szCs w:val="22"/>
        </w:rPr>
      </w:pPr>
    </w:p>
    <w:p w14:paraId="02BAAB95" w14:textId="2E6079F3" w:rsidR="00F22924" w:rsidRDefault="000D75A0" w:rsidP="000D75A0">
      <w:pPr>
        <w:pStyle w:val="FootnoteText"/>
        <w:rPr>
          <w:rFonts w:cstheme="minorHAnsi"/>
          <w:sz w:val="22"/>
          <w:szCs w:val="22"/>
        </w:rPr>
      </w:pPr>
      <w:r w:rsidRPr="00DF493F">
        <w:rPr>
          <w:rFonts w:cstheme="minorHAnsi"/>
          <w:sz w:val="22"/>
          <w:szCs w:val="22"/>
        </w:rPr>
        <w:t xml:space="preserve">US Equal Employment Opportunity Commission, </w:t>
      </w:r>
      <w:r w:rsidRPr="00DF493F">
        <w:rPr>
          <w:rFonts w:cstheme="minorHAnsi"/>
          <w:i/>
          <w:sz w:val="22"/>
          <w:szCs w:val="22"/>
        </w:rPr>
        <w:t xml:space="preserve">Management Directive 110 </w:t>
      </w:r>
      <w:r w:rsidRPr="00DF493F">
        <w:rPr>
          <w:rFonts w:cstheme="minorHAnsi"/>
          <w:sz w:val="22"/>
          <w:szCs w:val="22"/>
        </w:rPr>
        <w:t>(August 2015)</w:t>
      </w:r>
      <w:r>
        <w:rPr>
          <w:rFonts w:cstheme="minorHAnsi"/>
          <w:i/>
          <w:sz w:val="22"/>
          <w:szCs w:val="22"/>
        </w:rPr>
        <w:t xml:space="preserve"> </w:t>
      </w:r>
      <w:r w:rsidRPr="00DF493F">
        <w:rPr>
          <w:rFonts w:cstheme="minorHAnsi"/>
          <w:sz w:val="22"/>
          <w:szCs w:val="22"/>
        </w:rPr>
        <w:t>&lt;https://www.eeoc.gov/federal-sector/management-directive/chapter-11-remedies&gt;</w:t>
      </w:r>
    </w:p>
    <w:p w14:paraId="639215BC" w14:textId="2E84500B" w:rsidR="00DB3722" w:rsidRDefault="00DB3722" w:rsidP="00DB3722"/>
    <w:sectPr w:rsidR="00DB3722" w:rsidSect="00DB37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DD4D9" w14:textId="77777777" w:rsidR="00A241A3" w:rsidRDefault="00A241A3" w:rsidP="00185A28">
      <w:pPr>
        <w:spacing w:after="0" w:line="240" w:lineRule="auto"/>
      </w:pPr>
      <w:r>
        <w:separator/>
      </w:r>
    </w:p>
  </w:endnote>
  <w:endnote w:type="continuationSeparator" w:id="0">
    <w:p w14:paraId="78234B0A" w14:textId="77777777" w:rsidR="00A241A3" w:rsidRDefault="00A241A3" w:rsidP="00185A28">
      <w:pPr>
        <w:spacing w:after="0" w:line="240" w:lineRule="auto"/>
      </w:pPr>
      <w:r>
        <w:continuationSeparator/>
      </w:r>
    </w:p>
  </w:endnote>
  <w:endnote w:type="continuationNotice" w:id="1">
    <w:p w14:paraId="6DD8A40E" w14:textId="77777777" w:rsidR="00A241A3" w:rsidRDefault="00A24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38937"/>
      <w:docPartObj>
        <w:docPartGallery w:val="Page Numbers (Bottom of Page)"/>
        <w:docPartUnique/>
      </w:docPartObj>
    </w:sdtPr>
    <w:sdtEndPr>
      <w:rPr>
        <w:noProof/>
      </w:rPr>
    </w:sdtEndPr>
    <w:sdtContent>
      <w:p w14:paraId="4CECC596" w14:textId="6417DB8A" w:rsidR="00384EDB" w:rsidRDefault="00384E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AB39AB" w14:textId="649F437C" w:rsidR="00384EDB" w:rsidRDefault="0038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0BB28" w14:textId="77777777" w:rsidR="00A241A3" w:rsidRDefault="00A241A3" w:rsidP="00185A28">
      <w:pPr>
        <w:spacing w:after="0" w:line="240" w:lineRule="auto"/>
      </w:pPr>
      <w:r>
        <w:separator/>
      </w:r>
    </w:p>
  </w:footnote>
  <w:footnote w:type="continuationSeparator" w:id="0">
    <w:p w14:paraId="41F04155" w14:textId="77777777" w:rsidR="00A241A3" w:rsidRDefault="00A241A3" w:rsidP="00185A28">
      <w:pPr>
        <w:spacing w:after="0" w:line="240" w:lineRule="auto"/>
      </w:pPr>
      <w:r>
        <w:continuationSeparator/>
      </w:r>
    </w:p>
  </w:footnote>
  <w:footnote w:type="continuationNotice" w:id="1">
    <w:p w14:paraId="62F09BAE" w14:textId="77777777" w:rsidR="00A241A3" w:rsidRDefault="00A241A3">
      <w:pPr>
        <w:spacing w:after="0" w:line="240" w:lineRule="auto"/>
      </w:pPr>
    </w:p>
  </w:footnote>
  <w:footnote w:id="2">
    <w:p w14:paraId="48919D20" w14:textId="3B479CCC" w:rsidR="00384EDB" w:rsidRPr="002F7C43" w:rsidRDefault="00384EDB">
      <w:pPr>
        <w:pStyle w:val="FootnoteText"/>
        <w:rPr>
          <w:lang w:val="en-AU"/>
        </w:rPr>
      </w:pPr>
      <w:r>
        <w:rPr>
          <w:rStyle w:val="FootnoteReference"/>
        </w:rPr>
        <w:footnoteRef/>
      </w:r>
      <w:r>
        <w:t xml:space="preserve"> Australian Human Rights Commission, </w:t>
      </w:r>
      <w:r>
        <w:rPr>
          <w:i/>
        </w:rPr>
        <w:t xml:space="preserve">Time for respect: Fifth national survey on sexual harassment in Australian Workplaces </w:t>
      </w:r>
      <w:r>
        <w:t>(Report, November 2022) 47 (‘</w:t>
      </w:r>
      <w:r>
        <w:rPr>
          <w:i/>
        </w:rPr>
        <w:t>Fifth National Survey’</w:t>
      </w:r>
      <w:r>
        <w:t xml:space="preserve">).  </w:t>
      </w:r>
    </w:p>
  </w:footnote>
  <w:footnote w:id="3">
    <w:p w14:paraId="12574468" w14:textId="4B404125" w:rsidR="00384EDB" w:rsidRPr="002F7C43" w:rsidRDefault="00384EDB">
      <w:pPr>
        <w:pStyle w:val="FootnoteText"/>
        <w:rPr>
          <w:lang w:val="en-AU"/>
        </w:rPr>
      </w:pPr>
      <w:r>
        <w:rPr>
          <w:rStyle w:val="FootnoteReference"/>
        </w:rPr>
        <w:footnoteRef/>
      </w:r>
      <w:r>
        <w:t xml:space="preserve"> Ibid. </w:t>
      </w:r>
    </w:p>
  </w:footnote>
  <w:footnote w:id="4">
    <w:p w14:paraId="247CC9E6" w14:textId="449D8B29" w:rsidR="00384EDB" w:rsidRPr="00721259" w:rsidRDefault="00384EDB">
      <w:pPr>
        <w:pStyle w:val="FootnoteText"/>
        <w:rPr>
          <w:lang w:val="en-AU"/>
        </w:rPr>
      </w:pPr>
      <w:r>
        <w:rPr>
          <w:rStyle w:val="FootnoteReference"/>
        </w:rPr>
        <w:footnoteRef/>
      </w:r>
      <w:r>
        <w:t xml:space="preserve"> Australian Human Rights Commission, </w:t>
      </w:r>
      <w:r>
        <w:rPr>
          <w:i/>
        </w:rPr>
        <w:t xml:space="preserve">Free and Equal: A reform agenda for federal discrimination laws </w:t>
      </w:r>
      <w:r>
        <w:t>(Report, December 2021) 191 (‘</w:t>
      </w:r>
      <w:r>
        <w:rPr>
          <w:i/>
        </w:rPr>
        <w:t>Free and Equal Paper’</w:t>
      </w:r>
      <w:r>
        <w:t xml:space="preserve">). </w:t>
      </w:r>
    </w:p>
  </w:footnote>
  <w:footnote w:id="5">
    <w:p w14:paraId="71B070F4" w14:textId="46A9B494" w:rsidR="00384EDB" w:rsidRPr="00721259" w:rsidRDefault="00384EDB">
      <w:pPr>
        <w:pStyle w:val="FootnoteText"/>
        <w:rPr>
          <w:lang w:val="en-AU"/>
        </w:rPr>
      </w:pPr>
      <w:r>
        <w:rPr>
          <w:rStyle w:val="FootnoteReference"/>
        </w:rPr>
        <w:footnoteRef/>
      </w:r>
      <w:r>
        <w:t xml:space="preserve"> </w:t>
      </w:r>
      <w:r w:rsidRPr="00B068C3">
        <w:t>Anti-Discrimination and Human Rights Legislation Amendment (Respect at Work) Bill 2022</w:t>
      </w:r>
      <w:r>
        <w:t xml:space="preserve"> (</w:t>
      </w:r>
      <w:r>
        <w:t>Cth) sch 5.</w:t>
      </w:r>
    </w:p>
  </w:footnote>
  <w:footnote w:id="6">
    <w:p w14:paraId="46B72A0B" w14:textId="5DB494E7" w:rsidR="00384EDB" w:rsidRPr="00721259" w:rsidRDefault="00384EDB" w:rsidP="00721259">
      <w:pPr>
        <w:spacing w:after="0" w:line="240" w:lineRule="auto"/>
        <w:rPr>
          <w:lang w:val="en-AU"/>
        </w:rPr>
      </w:pPr>
      <w:r>
        <w:rPr>
          <w:rStyle w:val="FootnoteReference"/>
        </w:rPr>
        <w:footnoteRef/>
      </w:r>
      <w:r>
        <w:t xml:space="preserve"> </w:t>
      </w:r>
      <w:r w:rsidRPr="00721259">
        <w:rPr>
          <w:sz w:val="20"/>
          <w:szCs w:val="20"/>
        </w:rPr>
        <w:t>These grounds are where the President is</w:t>
      </w:r>
      <w:r w:rsidRPr="00721259">
        <w:rPr>
          <w:sz w:val="20"/>
          <w:szCs w:val="20"/>
          <w:lang w:val="en-AU"/>
        </w:rPr>
        <w:t xml:space="preserve"> satisfied that the subject matter of the complaint involved an issue of public importance that should be considered by the court, or that there was no reasonable prospect of the matter being settled by conciliation</w:t>
      </w:r>
      <w:r>
        <w:rPr>
          <w:sz w:val="20"/>
          <w:szCs w:val="20"/>
          <w:lang w:val="en-AU"/>
        </w:rPr>
        <w:t xml:space="preserve">. See </w:t>
      </w:r>
      <w:r w:rsidRPr="00721259">
        <w:rPr>
          <w:i/>
          <w:sz w:val="20"/>
          <w:szCs w:val="20"/>
        </w:rPr>
        <w:t>Australian Human Rights Commission Act 1986</w:t>
      </w:r>
      <w:r w:rsidRPr="00721259">
        <w:rPr>
          <w:sz w:val="20"/>
          <w:szCs w:val="20"/>
        </w:rPr>
        <w:t xml:space="preserve"> (</w:t>
      </w:r>
      <w:r w:rsidRPr="00721259">
        <w:rPr>
          <w:sz w:val="20"/>
          <w:szCs w:val="20"/>
        </w:rPr>
        <w:t xml:space="preserve">Cth) </w:t>
      </w:r>
      <w:r w:rsidRPr="00721259">
        <w:rPr>
          <w:sz w:val="20"/>
          <w:szCs w:val="20"/>
          <w:lang w:val="en-AU"/>
        </w:rPr>
        <w:t>s 46</w:t>
      </w:r>
      <w:r w:rsidRPr="00721259">
        <w:rPr>
          <w:sz w:val="20"/>
          <w:szCs w:val="20"/>
          <w:lang w:val="en-AU"/>
        </w:rPr>
        <w:t>PO(3) (</w:t>
      </w:r>
      <w:r w:rsidRPr="00721259">
        <w:rPr>
          <w:i/>
          <w:sz w:val="20"/>
          <w:szCs w:val="20"/>
          <w:lang w:val="en-AU"/>
        </w:rPr>
        <w:t>‘AHRC Act’</w:t>
      </w:r>
      <w:r w:rsidRPr="00721259">
        <w:rPr>
          <w:sz w:val="20"/>
          <w:szCs w:val="20"/>
          <w:lang w:val="en-AU"/>
        </w:rPr>
        <w:t>).</w:t>
      </w:r>
    </w:p>
  </w:footnote>
  <w:footnote w:id="7">
    <w:p w14:paraId="523CDA84" w14:textId="195B5571" w:rsidR="00384EDB" w:rsidRPr="00C54187" w:rsidRDefault="00384EDB">
      <w:pPr>
        <w:pStyle w:val="FootnoteText"/>
        <w:rPr>
          <w:lang w:val="en-AU"/>
        </w:rPr>
      </w:pPr>
      <w:r>
        <w:rPr>
          <w:rStyle w:val="FootnoteReference"/>
        </w:rPr>
        <w:footnoteRef/>
      </w:r>
      <w:r>
        <w:t xml:space="preserve"> </w:t>
      </w:r>
      <w:r>
        <w:rPr>
          <w:i/>
        </w:rPr>
        <w:t xml:space="preserve">Free and Equal Paper </w:t>
      </w:r>
      <w:r>
        <w:t xml:space="preserve">(n 3) 191; Law Council of Australia, Submission to Attorney-General’s Department, </w:t>
      </w:r>
      <w:r>
        <w:rPr>
          <w:i/>
        </w:rPr>
        <w:t xml:space="preserve">Respect@Work Consultation </w:t>
      </w:r>
      <w:r>
        <w:t>(23 March 2022)</w:t>
      </w:r>
      <w:r w:rsidRPr="002D34EC">
        <w:rPr>
          <w:rFonts w:cstheme="minorHAnsi"/>
          <w:lang w:val="en-AU"/>
        </w:rPr>
        <w:t xml:space="preserve"> </w:t>
      </w:r>
      <w:r>
        <w:rPr>
          <w:rFonts w:cstheme="minorHAnsi"/>
          <w:lang w:val="en-AU"/>
        </w:rPr>
        <w:t>&lt;</w:t>
      </w:r>
      <w:r w:rsidRPr="000D75A0">
        <w:rPr>
          <w:rFonts w:cstheme="minorHAnsi"/>
        </w:rPr>
        <w:t>https://www.lawcouncil.asn.au/resources/submissions/consultation-paper-respect-work-options-to-progress-further-legislative-recommendations</w:t>
      </w:r>
      <w:r>
        <w:rPr>
          <w:rFonts w:cstheme="minorHAnsi"/>
        </w:rPr>
        <w:t>&gt;; Maria Nawaz, ‘</w:t>
      </w:r>
      <w:r w:rsidRPr="0025037B">
        <w:rPr>
          <w:rFonts w:cstheme="minorHAnsi"/>
        </w:rPr>
        <w:t>Respect@Work: What’s it going to take?</w:t>
      </w:r>
      <w:r>
        <w:rPr>
          <w:rFonts w:cstheme="minorHAnsi"/>
        </w:rPr>
        <w:t>’</w:t>
      </w:r>
      <w:r w:rsidRPr="00D548D1">
        <w:rPr>
          <w:rFonts w:cstheme="minorHAnsi"/>
        </w:rPr>
        <w:t xml:space="preserve"> </w:t>
      </w:r>
      <w:r>
        <w:rPr>
          <w:rFonts w:cstheme="minorHAnsi"/>
        </w:rPr>
        <w:t xml:space="preserve">[2021] (77) </w:t>
      </w:r>
      <w:r>
        <w:rPr>
          <w:rFonts w:cstheme="minorHAnsi"/>
          <w:i/>
        </w:rPr>
        <w:t xml:space="preserve">Law Society Journal </w:t>
      </w:r>
      <w:r>
        <w:rPr>
          <w:rFonts w:cstheme="minorHAnsi"/>
        </w:rPr>
        <w:t>68 &lt;</w:t>
      </w:r>
      <w:r w:rsidRPr="00877AAD">
        <w:rPr>
          <w:rFonts w:cstheme="minorHAnsi"/>
        </w:rPr>
        <w:t>https://search.informit.org/doi/epdf/10.3316/agispt.20210518046901</w:t>
      </w:r>
      <w:r>
        <w:rPr>
          <w:rFonts w:cstheme="minorHAnsi"/>
        </w:rPr>
        <w:t xml:space="preserve">&gt;; </w:t>
      </w:r>
      <w:r w:rsidRPr="00877AAD">
        <w:rPr>
          <w:rFonts w:cstheme="minorHAnsi"/>
        </w:rPr>
        <w:t xml:space="preserve">Senate </w:t>
      </w:r>
      <w:r>
        <w:rPr>
          <w:rFonts w:cstheme="minorHAnsi"/>
        </w:rPr>
        <w:t xml:space="preserve">Standing Committee on </w:t>
      </w:r>
      <w:r w:rsidRPr="00877AAD">
        <w:rPr>
          <w:rFonts w:cstheme="minorHAnsi"/>
        </w:rPr>
        <w:t>Legal and Constitutional Affairs</w:t>
      </w:r>
      <w:r>
        <w:rPr>
          <w:rFonts w:cstheme="minorHAnsi"/>
        </w:rPr>
        <w:t xml:space="preserve">, </w:t>
      </w:r>
      <w:r w:rsidRPr="0025037B">
        <w:rPr>
          <w:rFonts w:cstheme="minorHAnsi"/>
          <w:i/>
        </w:rPr>
        <w:t>Report on</w:t>
      </w:r>
      <w:r>
        <w:rPr>
          <w:rFonts w:cstheme="minorHAnsi"/>
        </w:rPr>
        <w:t xml:space="preserve"> </w:t>
      </w:r>
      <w:r>
        <w:rPr>
          <w:rFonts w:cstheme="minorHAnsi"/>
          <w:i/>
        </w:rPr>
        <w:t xml:space="preserve">Human Rights Bill </w:t>
      </w:r>
      <w:r>
        <w:rPr>
          <w:rFonts w:cstheme="minorHAnsi"/>
        </w:rPr>
        <w:t xml:space="preserve">(Report, 1996) </w:t>
      </w:r>
      <w:r>
        <w:rPr>
          <w:rFonts w:cstheme="minorHAnsi"/>
        </w:rPr>
        <w:t>ch 4 &lt;</w:t>
      </w:r>
      <w:r w:rsidRPr="00877AAD">
        <w:rPr>
          <w:rFonts w:cstheme="minorHAnsi"/>
        </w:rPr>
        <w:t>https://www.aph.gov.au/Parliamentary_Business/Committees/Senate/Legal_and_Constitutional_Affairs/Completed_inquiries/Pre1999/human/report/c04</w:t>
      </w:r>
      <w:r>
        <w:rPr>
          <w:rFonts w:cstheme="minorHAnsi"/>
        </w:rPr>
        <w:t>&gt; (‘</w:t>
      </w:r>
      <w:r w:rsidRPr="00731496">
        <w:rPr>
          <w:rFonts w:cstheme="minorHAnsi"/>
          <w:i/>
        </w:rPr>
        <w:t>Senate Committee Report on Human Rights Bill</w:t>
      </w:r>
      <w:r>
        <w:rPr>
          <w:rFonts w:cstheme="minorHAnsi"/>
        </w:rPr>
        <w:t>’)</w:t>
      </w:r>
      <w:r w:rsidRPr="00877AAD">
        <w:rPr>
          <w:rFonts w:cstheme="minorHAnsi"/>
        </w:rPr>
        <w:t>.</w:t>
      </w:r>
    </w:p>
  </w:footnote>
  <w:footnote w:id="8">
    <w:p w14:paraId="3BCCDC5E" w14:textId="22AA89BA" w:rsidR="00384EDB" w:rsidRPr="00B32B39" w:rsidRDefault="00384EDB">
      <w:pPr>
        <w:pStyle w:val="FootnoteText"/>
        <w:rPr>
          <w:lang w:val="en-AU"/>
        </w:rPr>
      </w:pPr>
      <w:r>
        <w:rPr>
          <w:rStyle w:val="FootnoteReference"/>
        </w:rPr>
        <w:footnoteRef/>
      </w:r>
      <w:r>
        <w:t xml:space="preserve"> </w:t>
      </w:r>
      <w:r w:rsidRPr="0025037B">
        <w:rPr>
          <w:i/>
        </w:rPr>
        <w:t>Free and Equal Paper</w:t>
      </w:r>
      <w:r>
        <w:t xml:space="preserve"> (n 3) 192.</w:t>
      </w:r>
    </w:p>
  </w:footnote>
  <w:footnote w:id="9">
    <w:p w14:paraId="475B9C27" w14:textId="02908653" w:rsidR="00384EDB" w:rsidRPr="00B76D62" w:rsidRDefault="00384EDB">
      <w:pPr>
        <w:pStyle w:val="FootnoteText"/>
        <w:rPr>
          <w:lang w:val="en-AU"/>
        </w:rPr>
      </w:pPr>
      <w:r>
        <w:rPr>
          <w:rStyle w:val="FootnoteReference"/>
        </w:rPr>
        <w:footnoteRef/>
      </w:r>
      <w:r>
        <w:t xml:space="preserve"> Ibid. </w:t>
      </w:r>
    </w:p>
  </w:footnote>
  <w:footnote w:id="10">
    <w:p w14:paraId="271A3DBA" w14:textId="7894EDFA" w:rsidR="00384EDB" w:rsidRPr="00E34FD5" w:rsidRDefault="00384EDB">
      <w:pPr>
        <w:pStyle w:val="FootnoteText"/>
        <w:rPr>
          <w:lang w:val="en-AU"/>
        </w:rPr>
      </w:pPr>
      <w:r>
        <w:rPr>
          <w:rStyle w:val="FootnoteReference"/>
        </w:rPr>
        <w:footnoteRef/>
      </w:r>
      <w:r>
        <w:t xml:space="preserve"> Australian Human Rights Commission, </w:t>
      </w:r>
      <w:r w:rsidRPr="0025037B">
        <w:rPr>
          <w:i/>
          <w:lang w:val="en-AU"/>
        </w:rPr>
        <w:t>Respect@Work: National Inquiry into Sexual Harassment in Australian Workplaces</w:t>
      </w:r>
      <w:r>
        <w:rPr>
          <w:lang w:val="en-AU"/>
        </w:rPr>
        <w:t xml:space="preserve"> (Report, March 2020) 507 (‘</w:t>
      </w:r>
      <w:r>
        <w:rPr>
          <w:i/>
          <w:lang w:val="en-AU"/>
        </w:rPr>
        <w:t>Respect@Work Report’</w:t>
      </w:r>
      <w:r>
        <w:rPr>
          <w:lang w:val="en-AU"/>
        </w:rPr>
        <w:t xml:space="preserve">). </w:t>
      </w:r>
    </w:p>
  </w:footnote>
  <w:footnote w:id="11">
    <w:p w14:paraId="3A4B8F14" w14:textId="6A035F8E" w:rsidR="00384EDB" w:rsidRPr="00F41B9E" w:rsidRDefault="00384EDB" w:rsidP="0060037E">
      <w:pPr>
        <w:pStyle w:val="FootnoteText"/>
        <w:rPr>
          <w:lang w:val="en-AU"/>
        </w:rPr>
      </w:pPr>
      <w:r>
        <w:rPr>
          <w:rStyle w:val="FootnoteReference"/>
        </w:rPr>
        <w:footnoteRef/>
      </w:r>
      <w:r>
        <w:t xml:space="preserve"> See </w:t>
      </w:r>
      <w:r>
        <w:rPr>
          <w:i/>
        </w:rPr>
        <w:t xml:space="preserve">Federal Court of Australia Act 1976 </w:t>
      </w:r>
      <w:r>
        <w:t>(</w:t>
      </w:r>
      <w:r>
        <w:t xml:space="preserve">Cth) s 43; </w:t>
      </w:r>
      <w:r w:rsidRPr="00A25085">
        <w:rPr>
          <w:i/>
        </w:rPr>
        <w:t>Federal Circuit and Family Court of Australia Act 2021</w:t>
      </w:r>
      <w:r>
        <w:t xml:space="preserve"> (Cth) s 214.</w:t>
      </w:r>
    </w:p>
  </w:footnote>
  <w:footnote w:id="12">
    <w:p w14:paraId="7FBCCAC1" w14:textId="7351984A" w:rsidR="00384EDB" w:rsidRPr="00390B39" w:rsidRDefault="00384EDB" w:rsidP="0060037E">
      <w:pPr>
        <w:pStyle w:val="FootnoteText"/>
        <w:rPr>
          <w:lang w:val="en-AU"/>
        </w:rPr>
      </w:pPr>
      <w:r>
        <w:rPr>
          <w:rStyle w:val="FootnoteReference"/>
        </w:rPr>
        <w:footnoteRef/>
      </w:r>
      <w:r>
        <w:t xml:space="preserve"> </w:t>
      </w:r>
      <w:r>
        <w:rPr>
          <w:i/>
        </w:rPr>
        <w:t xml:space="preserve">Federal Court of Australia Act 1976 </w:t>
      </w:r>
      <w:r>
        <w:t>(</w:t>
      </w:r>
      <w:r>
        <w:t>Cth) s</w:t>
      </w:r>
      <w:r>
        <w:rPr>
          <w:lang w:val="en-AU"/>
        </w:rPr>
        <w:t xml:space="preserve"> 43(3).</w:t>
      </w:r>
    </w:p>
  </w:footnote>
  <w:footnote w:id="13">
    <w:p w14:paraId="5E0C8907" w14:textId="74E5187C" w:rsidR="00384EDB" w:rsidRPr="00BA46EA" w:rsidRDefault="00384EDB">
      <w:pPr>
        <w:pStyle w:val="FootnoteText"/>
        <w:rPr>
          <w:lang w:val="en-AU"/>
        </w:rPr>
      </w:pPr>
      <w:r>
        <w:rPr>
          <w:rStyle w:val="FootnoteReference"/>
        </w:rPr>
        <w:footnoteRef/>
      </w:r>
      <w:r>
        <w:t xml:space="preserve"> </w:t>
      </w:r>
      <w:r w:rsidRPr="008C6B72">
        <w:rPr>
          <w:i/>
          <w:lang w:val="en-AU"/>
        </w:rPr>
        <w:t>Federal Court Rules 2011</w:t>
      </w:r>
      <w:r>
        <w:rPr>
          <w:lang w:val="en-AU"/>
        </w:rPr>
        <w:t xml:space="preserve"> (</w:t>
      </w:r>
      <w:r>
        <w:rPr>
          <w:lang w:val="en-AU"/>
        </w:rPr>
        <w:t xml:space="preserve">Cth) rule 40.51. The </w:t>
      </w:r>
      <w:r w:rsidRPr="00C763B9">
        <w:rPr>
          <w:rFonts w:cstheme="minorHAnsi"/>
        </w:rPr>
        <w:t>Federal Circuit and Family Court of Australia</w:t>
      </w:r>
      <w:r>
        <w:rPr>
          <w:rFonts w:cstheme="minorHAnsi"/>
        </w:rPr>
        <w:t xml:space="preserve"> can also make cost-capping orders: see </w:t>
      </w:r>
      <w:r w:rsidRPr="00C763B9">
        <w:rPr>
          <w:rFonts w:cstheme="minorHAnsi"/>
          <w:i/>
        </w:rPr>
        <w:t>Federal Circuit and Family Court of Australia (Division 2) (General Federal Law) Rules 2021</w:t>
      </w:r>
      <w:r>
        <w:rPr>
          <w:rFonts w:cstheme="minorHAnsi"/>
        </w:rPr>
        <w:t xml:space="preserve"> (Cth) rule 22.03.</w:t>
      </w:r>
    </w:p>
  </w:footnote>
  <w:footnote w:id="14">
    <w:p w14:paraId="0CFD88F3" w14:textId="74C0A439" w:rsidR="00384EDB" w:rsidRPr="00904B92" w:rsidRDefault="00384EDB">
      <w:pPr>
        <w:pStyle w:val="FootnoteText"/>
        <w:rPr>
          <w:lang w:val="en-AU"/>
        </w:rPr>
      </w:pPr>
      <w:r>
        <w:rPr>
          <w:rStyle w:val="FootnoteReference"/>
        </w:rPr>
        <w:footnoteRef/>
      </w:r>
      <w:r>
        <w:t xml:space="preserve"> </w:t>
      </w:r>
      <w:r w:rsidRPr="008C6B72">
        <w:rPr>
          <w:i/>
          <w:lang w:val="en-AU"/>
        </w:rPr>
        <w:t>Federal Court Rules 2011</w:t>
      </w:r>
      <w:r>
        <w:rPr>
          <w:lang w:val="en-AU"/>
        </w:rPr>
        <w:t xml:space="preserve"> (</w:t>
      </w:r>
      <w:r>
        <w:rPr>
          <w:lang w:val="en-AU"/>
        </w:rPr>
        <w:t>Cth) rule 40.51.</w:t>
      </w:r>
    </w:p>
  </w:footnote>
  <w:footnote w:id="15">
    <w:p w14:paraId="6B44A6CC" w14:textId="68B02D9B" w:rsidR="00384EDB" w:rsidRPr="0025037B" w:rsidRDefault="00384EDB">
      <w:pPr>
        <w:pStyle w:val="FootnoteText"/>
        <w:rPr>
          <w:highlight w:val="yellow"/>
          <w:lang w:val="en-AU"/>
        </w:rPr>
      </w:pPr>
      <w:r w:rsidRPr="00651C53">
        <w:rPr>
          <w:rStyle w:val="FootnoteReference"/>
        </w:rPr>
        <w:footnoteRef/>
      </w:r>
      <w:r w:rsidRPr="00651C53">
        <w:t xml:space="preserve"> </w:t>
      </w:r>
      <w:r w:rsidRPr="00651C53">
        <w:rPr>
          <w:lang w:val="en-AU"/>
        </w:rPr>
        <w:t xml:space="preserve">See </w:t>
      </w:r>
      <w:r w:rsidRPr="00F75422">
        <w:rPr>
          <w:lang w:val="en-AU"/>
        </w:rPr>
        <w:t xml:space="preserve">Attorney-General’s Department, </w:t>
      </w:r>
      <w:r w:rsidRPr="00F75422">
        <w:rPr>
          <w:i/>
          <w:lang w:val="en-AU"/>
        </w:rPr>
        <w:t>Consultation Paper: Respect@Work – Options to progress further legislative recommendations</w:t>
      </w:r>
      <w:r w:rsidRPr="00F75422">
        <w:rPr>
          <w:lang w:val="en-AU"/>
        </w:rPr>
        <w:t xml:space="preserve"> (Consultation Paper, February 2022)</w:t>
      </w:r>
      <w:r w:rsidRPr="00F96EBB">
        <w:rPr>
          <w:lang w:val="en-AU"/>
        </w:rPr>
        <w:t xml:space="preserve"> (‘</w:t>
      </w:r>
      <w:r>
        <w:rPr>
          <w:i/>
          <w:lang w:val="en-AU"/>
        </w:rPr>
        <w:t>AGD Consultation Paper 2022</w:t>
      </w:r>
      <w:r>
        <w:rPr>
          <w:lang w:val="en-AU"/>
        </w:rPr>
        <w:t xml:space="preserve">’). </w:t>
      </w:r>
    </w:p>
  </w:footnote>
  <w:footnote w:id="16">
    <w:p w14:paraId="1977B899" w14:textId="1D690EBA" w:rsidR="00384EDB" w:rsidRPr="007F73F1" w:rsidRDefault="00384EDB">
      <w:pPr>
        <w:pStyle w:val="FootnoteText"/>
        <w:rPr>
          <w:lang w:val="en-AU"/>
        </w:rPr>
      </w:pPr>
      <w:r>
        <w:rPr>
          <w:rStyle w:val="FootnoteReference"/>
        </w:rPr>
        <w:footnoteRef/>
      </w:r>
      <w:r w:rsidRPr="00372238">
        <w:t xml:space="preserve"> </w:t>
      </w:r>
      <w:r>
        <w:rPr>
          <w:lang w:val="en-AU"/>
        </w:rPr>
        <w:t xml:space="preserve"> Margaret Thornton, Kieran Pender and Madeleine Castles, </w:t>
      </w:r>
      <w:r>
        <w:rPr>
          <w:i/>
          <w:lang w:val="en-AU"/>
        </w:rPr>
        <w:t xml:space="preserve">Damages and Costs in Sexual Harassment Litigation </w:t>
      </w:r>
      <w:r>
        <w:rPr>
          <w:lang w:val="en-AU"/>
        </w:rPr>
        <w:t>(Report, 25 March 2022) 14 (</w:t>
      </w:r>
      <w:r w:rsidRPr="0025037B">
        <w:rPr>
          <w:i/>
          <w:lang w:val="en-AU"/>
        </w:rPr>
        <w:t>‘ANU Damages and Costs Report’</w:t>
      </w:r>
      <w:r>
        <w:rPr>
          <w:lang w:val="en-AU"/>
        </w:rPr>
        <w:t xml:space="preserve">). </w:t>
      </w:r>
    </w:p>
  </w:footnote>
  <w:footnote w:id="17">
    <w:p w14:paraId="4589737F" w14:textId="619BC196" w:rsidR="00384EDB" w:rsidRPr="00552B5E" w:rsidRDefault="00384EDB" w:rsidP="00D55F2A">
      <w:pPr>
        <w:pStyle w:val="FootnoteText"/>
        <w:rPr>
          <w:lang w:val="en-AU"/>
        </w:rPr>
      </w:pPr>
      <w:r>
        <w:rPr>
          <w:rStyle w:val="FootnoteReference"/>
        </w:rPr>
        <w:footnoteRef/>
      </w:r>
      <w:r>
        <w:t xml:space="preserve"> </w:t>
      </w:r>
      <w:r>
        <w:rPr>
          <w:lang w:val="en-AU"/>
        </w:rPr>
        <w:t>Ibid 39.</w:t>
      </w:r>
    </w:p>
  </w:footnote>
  <w:footnote w:id="18">
    <w:p w14:paraId="4520B1AB" w14:textId="5F4600B8" w:rsidR="00384EDB" w:rsidRPr="00327828" w:rsidRDefault="00384EDB" w:rsidP="00D55F2A">
      <w:pPr>
        <w:pStyle w:val="FootnoteText"/>
        <w:rPr>
          <w:lang w:val="en-AU"/>
        </w:rPr>
      </w:pPr>
      <w:r>
        <w:rPr>
          <w:rStyle w:val="FootnoteReference"/>
        </w:rPr>
        <w:footnoteRef/>
      </w:r>
      <w:r>
        <w:t xml:space="preserve"> Ibid </w:t>
      </w:r>
      <w:r>
        <w:rPr>
          <w:lang w:val="en-AU"/>
        </w:rPr>
        <w:t xml:space="preserve">34-38. </w:t>
      </w:r>
    </w:p>
  </w:footnote>
  <w:footnote w:id="19">
    <w:p w14:paraId="71F567C1" w14:textId="5272721E" w:rsidR="00384EDB" w:rsidRPr="00545291" w:rsidRDefault="00384EDB">
      <w:pPr>
        <w:pStyle w:val="FootnoteText"/>
        <w:rPr>
          <w:lang w:val="en-AU"/>
        </w:rPr>
      </w:pPr>
      <w:r>
        <w:rPr>
          <w:rStyle w:val="FootnoteReference"/>
        </w:rPr>
        <w:footnoteRef/>
      </w:r>
      <w:r>
        <w:t xml:space="preserve"> </w:t>
      </w:r>
      <w:r>
        <w:rPr>
          <w:lang w:val="en-AU"/>
        </w:rPr>
        <w:t>Ibid 42.</w:t>
      </w:r>
    </w:p>
  </w:footnote>
  <w:footnote w:id="20">
    <w:p w14:paraId="79FC14C6" w14:textId="2B807716" w:rsidR="00384EDB" w:rsidRPr="002D34EC" w:rsidRDefault="00384EDB">
      <w:pPr>
        <w:pStyle w:val="FootnoteText"/>
        <w:rPr>
          <w:rFonts w:cstheme="minorHAnsi"/>
          <w:lang w:val="en-AU"/>
        </w:rPr>
      </w:pPr>
      <w:r>
        <w:rPr>
          <w:rStyle w:val="FootnoteReference"/>
        </w:rPr>
        <w:footnoteRef/>
      </w:r>
      <w:r>
        <w:t xml:space="preserve"> See </w:t>
      </w:r>
      <w:r w:rsidRPr="00F75422">
        <w:rPr>
          <w:lang w:val="en-AU"/>
        </w:rPr>
        <w:t>Attorney-General’s Department</w:t>
      </w:r>
      <w:r>
        <w:t xml:space="preserve"> (n </w:t>
      </w:r>
      <w:hyperlink w:history="1"/>
      <w:r>
        <w:rPr>
          <w:rFonts w:cstheme="minorHAnsi"/>
          <w:lang w:val="en-AU"/>
        </w:rPr>
        <w:t xml:space="preserve">; </w:t>
      </w:r>
      <w:r>
        <w:t>Law Council of Australia (n 6).</w:t>
      </w:r>
    </w:p>
  </w:footnote>
  <w:footnote w:id="21">
    <w:p w14:paraId="0EDACDD2" w14:textId="3F6BE11B" w:rsidR="00384EDB" w:rsidRPr="009C471D" w:rsidRDefault="00384EDB">
      <w:pPr>
        <w:pStyle w:val="FootnoteText"/>
        <w:rPr>
          <w:lang w:val="en-AU"/>
        </w:rPr>
      </w:pPr>
      <w:r w:rsidRPr="002D34EC">
        <w:rPr>
          <w:rStyle w:val="FootnoteReference"/>
          <w:rFonts w:cstheme="minorHAnsi"/>
        </w:rPr>
        <w:footnoteRef/>
      </w:r>
      <w:r w:rsidRPr="002D34EC">
        <w:rPr>
          <w:rFonts w:cstheme="minorHAnsi"/>
        </w:rPr>
        <w:t xml:space="preserve"> </w:t>
      </w:r>
      <w:r>
        <w:rPr>
          <w:rFonts w:cstheme="minorHAnsi"/>
        </w:rPr>
        <w:t xml:space="preserve">See </w:t>
      </w:r>
      <w:r>
        <w:rPr>
          <w:i/>
          <w:lang w:val="en-AU"/>
        </w:rPr>
        <w:t>AGD Consultation Paper 2022</w:t>
      </w:r>
      <w:r>
        <w:rPr>
          <w:lang w:val="en-AU"/>
        </w:rPr>
        <w:t xml:space="preserve"> (n 14)</w:t>
      </w:r>
      <w:r>
        <w:rPr>
          <w:rFonts w:cstheme="minorHAnsi"/>
          <w:lang w:val="en-AU"/>
        </w:rPr>
        <w:t>.</w:t>
      </w:r>
      <w:r>
        <w:rPr>
          <w:lang w:val="en-AU"/>
        </w:rPr>
        <w:t xml:space="preserve"> </w:t>
      </w:r>
    </w:p>
  </w:footnote>
  <w:footnote w:id="22">
    <w:p w14:paraId="0B6A882D" w14:textId="16C59355" w:rsidR="00384EDB" w:rsidRPr="009C471D" w:rsidRDefault="00384EDB">
      <w:pPr>
        <w:pStyle w:val="FootnoteText"/>
        <w:rPr>
          <w:lang w:val="en-AU"/>
        </w:rPr>
      </w:pPr>
      <w:r>
        <w:rPr>
          <w:rStyle w:val="FootnoteReference"/>
        </w:rPr>
        <w:footnoteRef/>
      </w:r>
      <w:r>
        <w:t xml:space="preserve"> </w:t>
      </w:r>
      <w:r>
        <w:rPr>
          <w:rFonts w:cstheme="minorHAnsi"/>
        </w:rPr>
        <w:t xml:space="preserve">See </w:t>
      </w:r>
      <w:r>
        <w:rPr>
          <w:i/>
          <w:lang w:val="en-AU"/>
        </w:rPr>
        <w:t>AGD Consultation Paper 2022</w:t>
      </w:r>
      <w:r>
        <w:rPr>
          <w:lang w:val="en-AU"/>
        </w:rPr>
        <w:t xml:space="preserve"> (n 14).</w:t>
      </w:r>
    </w:p>
  </w:footnote>
  <w:footnote w:id="23">
    <w:p w14:paraId="74B2DCEC" w14:textId="4533424E" w:rsidR="00384EDB" w:rsidRPr="00DA72E0" w:rsidRDefault="00384EDB" w:rsidP="00A3204B">
      <w:pPr>
        <w:pStyle w:val="FootnoteText"/>
        <w:rPr>
          <w:lang w:val="en-AU"/>
        </w:rPr>
      </w:pPr>
      <w:r>
        <w:rPr>
          <w:rStyle w:val="FootnoteReference"/>
        </w:rPr>
        <w:footnoteRef/>
      </w:r>
      <w:r>
        <w:t xml:space="preserve"> </w:t>
      </w:r>
      <w:r w:rsidRPr="001A212F">
        <w:rPr>
          <w:i/>
          <w:lang w:val="en-AU"/>
        </w:rPr>
        <w:t>Respect@Work Report</w:t>
      </w:r>
      <w:r>
        <w:rPr>
          <w:lang w:val="en-AU"/>
        </w:rPr>
        <w:t xml:space="preserve"> (n 9) 507.</w:t>
      </w:r>
    </w:p>
  </w:footnote>
  <w:footnote w:id="24">
    <w:p w14:paraId="0CD24D50" w14:textId="0283C33F" w:rsidR="00384EDB" w:rsidRPr="00DA72E0" w:rsidRDefault="00384EDB" w:rsidP="00A3204B">
      <w:pPr>
        <w:pStyle w:val="FootnoteText"/>
        <w:rPr>
          <w:lang w:val="en-AU"/>
        </w:rPr>
      </w:pPr>
      <w:r>
        <w:rPr>
          <w:rStyle w:val="FootnoteReference"/>
        </w:rPr>
        <w:footnoteRef/>
      </w:r>
      <w:r>
        <w:t xml:space="preserve"> </w:t>
      </w:r>
      <w:r>
        <w:rPr>
          <w:lang w:val="en-AU"/>
        </w:rPr>
        <w:t xml:space="preserve">See for example, Productivity Commission, </w:t>
      </w:r>
      <w:r w:rsidRPr="009C7FD6">
        <w:rPr>
          <w:i/>
          <w:lang w:val="en-AU"/>
        </w:rPr>
        <w:t>Review of the Disability Discrimination Act</w:t>
      </w:r>
      <w:r>
        <w:rPr>
          <w:i/>
          <w:lang w:val="en-AU"/>
        </w:rPr>
        <w:t xml:space="preserve"> 1992 </w:t>
      </w:r>
      <w:r>
        <w:rPr>
          <w:lang w:val="en-AU"/>
        </w:rPr>
        <w:t xml:space="preserve">(Report, 2004) </w:t>
      </w:r>
      <w:r w:rsidRPr="00372238">
        <w:rPr>
          <w:lang w:val="en-AU"/>
        </w:rPr>
        <w:t>58, 136, 368-369</w:t>
      </w:r>
      <w:r>
        <w:rPr>
          <w:lang w:val="en-AU"/>
        </w:rPr>
        <w:t xml:space="preserve"> &lt;</w:t>
      </w:r>
      <w:r w:rsidRPr="009C7FD6">
        <w:rPr>
          <w:rFonts w:cstheme="minorHAnsi"/>
        </w:rPr>
        <w:t>https://www.pc.gov.au/inquiries/completed/disability-discrimination/</w:t>
      </w:r>
      <w:r w:rsidRPr="009F18BF">
        <w:rPr>
          <w:rFonts w:cstheme="minorHAnsi"/>
        </w:rPr>
        <w:t>report</w:t>
      </w:r>
      <w:r>
        <w:rPr>
          <w:rFonts w:cstheme="minorHAnsi"/>
        </w:rPr>
        <w:t>&gt;</w:t>
      </w:r>
      <w:r w:rsidRPr="00372238">
        <w:rPr>
          <w:rFonts w:cstheme="minorHAnsi"/>
          <w:lang w:val="en-AU"/>
        </w:rPr>
        <w:t>;</w:t>
      </w:r>
      <w:r w:rsidRPr="009F18BF">
        <w:rPr>
          <w:rFonts w:cstheme="minorHAnsi"/>
          <w:lang w:val="en-AU"/>
        </w:rPr>
        <w:t xml:space="preserve"> </w:t>
      </w:r>
      <w:r>
        <w:rPr>
          <w:lang w:val="en-AU"/>
        </w:rPr>
        <w:t xml:space="preserve">Senate Standing Committee on Legal and Constitutional </w:t>
      </w:r>
      <w:r w:rsidRPr="00372238">
        <w:rPr>
          <w:lang w:val="en-AU"/>
        </w:rPr>
        <w:t>Affairs</w:t>
      </w:r>
      <w:r>
        <w:rPr>
          <w:lang w:val="en-AU"/>
        </w:rPr>
        <w:t xml:space="preserve">, </w:t>
      </w:r>
      <w:r>
        <w:rPr>
          <w:i/>
          <w:lang w:val="en-AU"/>
        </w:rPr>
        <w:t xml:space="preserve">Effectiveness of </w:t>
      </w:r>
      <w:r w:rsidRPr="00F91334">
        <w:rPr>
          <w:rFonts w:cstheme="minorHAnsi"/>
          <w:i/>
          <w:lang w:val="en-AU"/>
        </w:rPr>
        <w:t xml:space="preserve">the </w:t>
      </w:r>
      <w:r w:rsidRPr="001A212F">
        <w:rPr>
          <w:rFonts w:cstheme="minorHAnsi"/>
          <w:i/>
          <w:lang w:val="en-AU"/>
        </w:rPr>
        <w:t>Sex Discrimination Act 1984</w:t>
      </w:r>
      <w:r w:rsidRPr="00F91334">
        <w:rPr>
          <w:rFonts w:cstheme="minorHAnsi"/>
          <w:lang w:val="en-AU"/>
        </w:rPr>
        <w:t xml:space="preserve"> </w:t>
      </w:r>
      <w:r w:rsidRPr="00F91334">
        <w:rPr>
          <w:rFonts w:cstheme="minorHAnsi"/>
          <w:i/>
          <w:lang w:val="en-AU"/>
        </w:rPr>
        <w:t>in eliminating discrimination and promoting gender equality</w:t>
      </w:r>
      <w:r w:rsidRPr="00F91334">
        <w:rPr>
          <w:rFonts w:cstheme="minorHAnsi"/>
          <w:lang w:val="en-AU"/>
        </w:rPr>
        <w:t xml:space="preserve"> </w:t>
      </w:r>
      <w:r>
        <w:rPr>
          <w:rFonts w:cstheme="minorHAnsi"/>
          <w:lang w:val="en-AU"/>
        </w:rPr>
        <w:t>(Report, 2008)</w:t>
      </w:r>
      <w:r w:rsidRPr="008F2D5F">
        <w:rPr>
          <w:rFonts w:cstheme="minorHAnsi"/>
        </w:rPr>
        <w:t xml:space="preserve"> 72-73, 84-85 and 156</w:t>
      </w:r>
      <w:r w:rsidRPr="00F91334">
        <w:rPr>
          <w:rFonts w:cstheme="minorHAnsi"/>
          <w:lang w:val="en-AU"/>
        </w:rPr>
        <w:t xml:space="preserve"> </w:t>
      </w:r>
      <w:r>
        <w:rPr>
          <w:rFonts w:cstheme="minorHAnsi"/>
          <w:lang w:val="en-AU"/>
        </w:rPr>
        <w:t>&lt;</w:t>
      </w:r>
      <w:r w:rsidRPr="00B820BB">
        <w:rPr>
          <w:rFonts w:cstheme="minorHAnsi"/>
        </w:rPr>
        <w:t>https://www.aph.gov.au/Parliamentary_Business/Committees/Senate/Legal_and_Constitutional_Affairs/Completed_inquiries/2008-10/sex_discrim/report/index</w:t>
      </w:r>
      <w:r>
        <w:rPr>
          <w:rFonts w:cstheme="minorHAnsi"/>
        </w:rPr>
        <w:t xml:space="preserve">&gt;; </w:t>
      </w:r>
      <w:r w:rsidRPr="00FA3776">
        <w:rPr>
          <w:i/>
          <w:lang w:val="en-AU"/>
        </w:rPr>
        <w:t>Free and Equal</w:t>
      </w:r>
      <w:r>
        <w:rPr>
          <w:i/>
          <w:lang w:val="en-AU"/>
        </w:rPr>
        <w:t xml:space="preserve"> Paper </w:t>
      </w:r>
      <w:r>
        <w:rPr>
          <w:lang w:val="en-AU"/>
        </w:rPr>
        <w:t>(n 3) 191-194</w:t>
      </w:r>
      <w:r w:rsidRPr="00F91334">
        <w:rPr>
          <w:rFonts w:cstheme="minorHAnsi"/>
          <w:lang w:val="en-AU"/>
        </w:rPr>
        <w:t>.</w:t>
      </w:r>
    </w:p>
  </w:footnote>
  <w:footnote w:id="25">
    <w:p w14:paraId="6737D7CC" w14:textId="6E2C1F7B" w:rsidR="00384EDB" w:rsidRPr="008009D4" w:rsidRDefault="00384EDB">
      <w:pPr>
        <w:pStyle w:val="FootnoteText"/>
        <w:rPr>
          <w:lang w:val="en-AU"/>
        </w:rPr>
      </w:pPr>
      <w:r>
        <w:rPr>
          <w:rStyle w:val="FootnoteReference"/>
        </w:rPr>
        <w:footnoteRef/>
      </w:r>
      <w:r>
        <w:t xml:space="preserve"> </w:t>
      </w:r>
      <w:r w:rsidRPr="001A212F">
        <w:t>[2004] FCA 594</w:t>
      </w:r>
      <w:r w:rsidRPr="008F2D5F">
        <w:t>.</w:t>
      </w:r>
    </w:p>
  </w:footnote>
  <w:footnote w:id="26">
    <w:p w14:paraId="3B972EF8" w14:textId="2DC0AA8B" w:rsidR="00384EDB" w:rsidRPr="00CD4BF3" w:rsidRDefault="00384EDB">
      <w:pPr>
        <w:pStyle w:val="FootnoteText"/>
        <w:rPr>
          <w:lang w:val="en-AU"/>
        </w:rPr>
      </w:pPr>
      <w:r>
        <w:rPr>
          <w:rStyle w:val="FootnoteReference"/>
        </w:rPr>
        <w:footnoteRef/>
      </w:r>
      <w:r>
        <w:t xml:space="preserve"> Ibid</w:t>
      </w:r>
      <w:r w:rsidRPr="001A212F">
        <w:t xml:space="preserve"> [9].</w:t>
      </w:r>
    </w:p>
  </w:footnote>
  <w:footnote w:id="27">
    <w:p w14:paraId="7AECA809" w14:textId="7AE2D9B2" w:rsidR="00384EDB" w:rsidRPr="0015656A" w:rsidRDefault="00384EDB" w:rsidP="00A3204B">
      <w:pPr>
        <w:pStyle w:val="FootnoteText"/>
        <w:rPr>
          <w:lang w:val="en-AU"/>
        </w:rPr>
      </w:pPr>
      <w:r>
        <w:rPr>
          <w:rStyle w:val="FootnoteReference"/>
        </w:rPr>
        <w:footnoteRef/>
      </w:r>
      <w:r>
        <w:t xml:space="preserve"> </w:t>
      </w:r>
      <w:r w:rsidRPr="001A212F">
        <w:rPr>
          <w:i/>
        </w:rPr>
        <w:t>Free and Equal</w:t>
      </w:r>
      <w:r>
        <w:t xml:space="preserve"> Paper</w:t>
      </w:r>
      <w:r>
        <w:rPr>
          <w:lang w:val="en-AU"/>
        </w:rPr>
        <w:t xml:space="preserve"> (n 3)</w:t>
      </w:r>
      <w:r w:rsidRPr="008F2D5F">
        <w:rPr>
          <w:lang w:val="en-AU"/>
        </w:rPr>
        <w:t xml:space="preserve"> </w:t>
      </w:r>
      <w:r>
        <w:rPr>
          <w:lang w:val="en-AU"/>
        </w:rPr>
        <w:t>191.</w:t>
      </w:r>
    </w:p>
  </w:footnote>
  <w:footnote w:id="28">
    <w:p w14:paraId="34142495" w14:textId="3312C30E" w:rsidR="00384EDB" w:rsidRPr="00AD35D6" w:rsidRDefault="00384EDB" w:rsidP="00284AF6">
      <w:pPr>
        <w:pStyle w:val="FootnoteText"/>
        <w:rPr>
          <w:lang w:val="en-AU"/>
        </w:rPr>
      </w:pPr>
      <w:r>
        <w:rPr>
          <w:rStyle w:val="FootnoteReference"/>
        </w:rPr>
        <w:footnoteRef/>
      </w:r>
      <w:r>
        <w:t xml:space="preserve"> </w:t>
      </w:r>
      <w:r w:rsidRPr="00AD35D6">
        <w:rPr>
          <w:i/>
        </w:rPr>
        <w:t xml:space="preserve">Tan v </w:t>
      </w:r>
      <w:r w:rsidRPr="00AD35D6">
        <w:rPr>
          <w:i/>
        </w:rPr>
        <w:t>Xenos</w:t>
      </w:r>
      <w:r>
        <w:t xml:space="preserve"> [2008] VCAT 1273 (Judge Harbison VP)</w:t>
      </w:r>
      <w:r w:rsidRPr="008F2D5F">
        <w:t>.</w:t>
      </w:r>
      <w:r>
        <w:t xml:space="preserve"> </w:t>
      </w:r>
    </w:p>
  </w:footnote>
  <w:footnote w:id="29">
    <w:p w14:paraId="34ABA3CC" w14:textId="0B2B76D3" w:rsidR="00384EDB" w:rsidRPr="0061778D" w:rsidRDefault="00384EDB" w:rsidP="001A212F">
      <w:pPr>
        <w:pStyle w:val="FootnoteText"/>
        <w:rPr>
          <w:lang w:val="en-AU"/>
        </w:rPr>
      </w:pPr>
      <w:r>
        <w:rPr>
          <w:rStyle w:val="FootnoteReference"/>
        </w:rPr>
        <w:footnoteRef/>
      </w:r>
      <w:r>
        <w:t xml:space="preserve"> </w:t>
      </w:r>
      <w:r>
        <w:rPr>
          <w:lang w:val="en-AU"/>
        </w:rPr>
        <w:t xml:space="preserve">The previous Human Rights and Equal Opportunity Commission, which predated the Commission, could hear and determine matters in a similar way to the state or territory tribunals: see </w:t>
      </w:r>
      <w:r w:rsidRPr="004C5775">
        <w:rPr>
          <w:i/>
          <w:lang w:val="en-AU"/>
        </w:rPr>
        <w:t xml:space="preserve">Free and Equal </w:t>
      </w:r>
      <w:r>
        <w:rPr>
          <w:i/>
          <w:lang w:val="en-AU"/>
        </w:rPr>
        <w:t xml:space="preserve">Paper </w:t>
      </w:r>
      <w:r>
        <w:rPr>
          <w:lang w:val="en-AU"/>
        </w:rPr>
        <w:t>(n 3) 41-42.</w:t>
      </w:r>
    </w:p>
  </w:footnote>
  <w:footnote w:id="30">
    <w:p w14:paraId="05AA6340" w14:textId="72BD9D5B" w:rsidR="00384EDB" w:rsidRPr="00FA750E" w:rsidRDefault="00384EDB">
      <w:pPr>
        <w:pStyle w:val="FootnoteText"/>
        <w:rPr>
          <w:lang w:val="en-AU"/>
        </w:rPr>
      </w:pPr>
      <w:r>
        <w:rPr>
          <w:rStyle w:val="FootnoteReference"/>
        </w:rPr>
        <w:footnoteRef/>
      </w:r>
      <w:r>
        <w:t xml:space="preserve"> </w:t>
      </w:r>
      <w:r>
        <w:rPr>
          <w:i/>
        </w:rPr>
        <w:t xml:space="preserve">AHRC Act </w:t>
      </w:r>
      <w:r>
        <w:t xml:space="preserve">(n 5) s </w:t>
      </w:r>
      <w:r>
        <w:rPr>
          <w:lang w:val="en-AU"/>
        </w:rPr>
        <w:t>46PK.</w:t>
      </w:r>
    </w:p>
  </w:footnote>
  <w:footnote w:id="31">
    <w:p w14:paraId="7FEEBBCD" w14:textId="30BA547B" w:rsidR="00384EDB" w:rsidRPr="005F2B9E" w:rsidRDefault="00384EDB">
      <w:pPr>
        <w:pStyle w:val="FootnoteText"/>
        <w:rPr>
          <w:lang w:val="en-AU"/>
        </w:rPr>
      </w:pPr>
      <w:r>
        <w:rPr>
          <w:rStyle w:val="FootnoteReference"/>
        </w:rPr>
        <w:footnoteRef/>
      </w:r>
      <w:r>
        <w:t xml:space="preserve"> </w:t>
      </w:r>
      <w:r w:rsidRPr="000A0F81">
        <w:t>Note that discrimination complaints under the AHRC Act cannot proceed to the federal courts for determination (they may result in a report to the Minister).</w:t>
      </w:r>
    </w:p>
  </w:footnote>
  <w:footnote w:id="32">
    <w:p w14:paraId="4D59B93E" w14:textId="5FB14859" w:rsidR="00384EDB" w:rsidRPr="0070636A" w:rsidRDefault="00384EDB">
      <w:pPr>
        <w:pStyle w:val="FootnoteText"/>
        <w:rPr>
          <w:lang w:val="en-AU"/>
        </w:rPr>
      </w:pPr>
      <w:r>
        <w:rPr>
          <w:rStyle w:val="FootnoteReference"/>
        </w:rPr>
        <w:footnoteRef/>
      </w:r>
      <w:r>
        <w:t xml:space="preserve"> </w:t>
      </w:r>
      <w:r>
        <w:rPr>
          <w:i/>
        </w:rPr>
        <w:t xml:space="preserve">ANU Damages and Costs Report </w:t>
      </w:r>
      <w:r>
        <w:t xml:space="preserve">(n 15) </w:t>
      </w:r>
      <w:r w:rsidRPr="005062E2">
        <w:rPr>
          <w:lang w:val="en-AU"/>
        </w:rPr>
        <w:t>27</w:t>
      </w:r>
      <w:r>
        <w:rPr>
          <w:lang w:val="en-AU"/>
        </w:rPr>
        <w:t>.</w:t>
      </w:r>
    </w:p>
  </w:footnote>
  <w:footnote w:id="33">
    <w:p w14:paraId="32ED5547" w14:textId="1E257E8C" w:rsidR="00384EDB" w:rsidRPr="0056247F" w:rsidRDefault="00384EDB">
      <w:pPr>
        <w:pStyle w:val="FootnoteText"/>
        <w:rPr>
          <w:lang w:val="en-AU"/>
        </w:rPr>
      </w:pPr>
      <w:r>
        <w:rPr>
          <w:rStyle w:val="FootnoteReference"/>
        </w:rPr>
        <w:footnoteRef/>
      </w:r>
      <w:r>
        <w:t xml:space="preserve"> Australian Human Rights Commission, </w:t>
      </w:r>
      <w:r w:rsidRPr="000B2EE8">
        <w:rPr>
          <w:rFonts w:cstheme="minorHAnsi"/>
          <w:i/>
        </w:rPr>
        <w:t>2021-22 Complaint statistics</w:t>
      </w:r>
      <w:r>
        <w:rPr>
          <w:rFonts w:cstheme="minorHAnsi"/>
          <w:i/>
        </w:rPr>
        <w:t xml:space="preserve"> </w:t>
      </w:r>
      <w:r>
        <w:rPr>
          <w:rFonts w:cstheme="minorHAnsi"/>
        </w:rPr>
        <w:t>(Publication, 2022)</w:t>
      </w:r>
      <w:r>
        <w:t xml:space="preserve"> </w:t>
      </w:r>
      <w:r>
        <w:rPr>
          <w:rFonts w:cstheme="minorHAnsi"/>
        </w:rPr>
        <w:t>&lt;</w:t>
      </w:r>
      <w:r w:rsidRPr="0056247F">
        <w:rPr>
          <w:rFonts w:cstheme="minorHAnsi"/>
        </w:rPr>
        <w:t>https://humanrights.gov.au/sites/default/files/ahrc_ar_2021-2022_complaint_stats_0.pdf</w:t>
      </w:r>
      <w:r>
        <w:rPr>
          <w:rFonts w:cstheme="minorHAnsi"/>
        </w:rPr>
        <w:t>&gt;</w:t>
      </w:r>
      <w:r w:rsidRPr="0056247F">
        <w:rPr>
          <w:rFonts w:cstheme="minorHAnsi"/>
        </w:rPr>
        <w:t>.</w:t>
      </w:r>
      <w:r>
        <w:rPr>
          <w:rFonts w:ascii="Open Sans" w:hAnsi="Open Sans"/>
        </w:rPr>
        <w:t xml:space="preserve"> </w:t>
      </w:r>
    </w:p>
  </w:footnote>
  <w:footnote w:id="34">
    <w:p w14:paraId="1D6EB142" w14:textId="27CD5F8E" w:rsidR="00384EDB" w:rsidRPr="007F1106" w:rsidRDefault="00384EDB">
      <w:pPr>
        <w:pStyle w:val="FootnoteText"/>
        <w:rPr>
          <w:lang w:val="en-AU"/>
        </w:rPr>
      </w:pPr>
      <w:r>
        <w:rPr>
          <w:rStyle w:val="FootnoteReference"/>
        </w:rPr>
        <w:footnoteRef/>
      </w:r>
      <w:r>
        <w:t xml:space="preserve"> Table extracted fro</w:t>
      </w:r>
      <w:r w:rsidRPr="000B2EE8">
        <w:rPr>
          <w:rFonts w:cstheme="minorHAnsi"/>
        </w:rPr>
        <w:t xml:space="preserve">m </w:t>
      </w:r>
      <w:r>
        <w:rPr>
          <w:rFonts w:cstheme="minorHAnsi"/>
        </w:rPr>
        <w:t xml:space="preserve">Australian Human Rights Commission, </w:t>
      </w:r>
      <w:r w:rsidRPr="000B2EE8">
        <w:rPr>
          <w:rFonts w:cstheme="minorHAnsi"/>
          <w:i/>
        </w:rPr>
        <w:t>2021-22 Complaint statistics</w:t>
      </w:r>
      <w:r>
        <w:rPr>
          <w:rFonts w:cstheme="minorHAnsi"/>
          <w:i/>
        </w:rPr>
        <w:t xml:space="preserve"> </w:t>
      </w:r>
      <w:r>
        <w:rPr>
          <w:rFonts w:cstheme="minorHAnsi"/>
        </w:rPr>
        <w:t>(Publication, 2022) 12 &lt;</w:t>
      </w:r>
      <w:hyperlink r:id="rId1" w:history="1">
        <w:r w:rsidRPr="0025037B">
          <w:t>https://humanrights.gov.au/sites/default/files/ahrc_ar_2021-2022_complaint_stats_0.pdf</w:t>
        </w:r>
      </w:hyperlink>
      <w:r>
        <w:t>&gt;</w:t>
      </w:r>
      <w:r w:rsidRPr="000B2EE8">
        <w:rPr>
          <w:rFonts w:cstheme="minorHAnsi"/>
        </w:rPr>
        <w:t>.</w:t>
      </w:r>
      <w:r>
        <w:rPr>
          <w:rFonts w:cstheme="minorHAnsi"/>
        </w:rPr>
        <w:t xml:space="preserve">  </w:t>
      </w:r>
    </w:p>
  </w:footnote>
  <w:footnote w:id="35">
    <w:p w14:paraId="6C13D3A4" w14:textId="29955D7F" w:rsidR="00384EDB" w:rsidRPr="00481663" w:rsidRDefault="00384EDB">
      <w:pPr>
        <w:pStyle w:val="FootnoteText"/>
        <w:rPr>
          <w:lang w:val="en-AU"/>
        </w:rPr>
      </w:pPr>
      <w:r>
        <w:rPr>
          <w:rStyle w:val="FootnoteReference"/>
        </w:rPr>
        <w:footnoteRef/>
      </w:r>
      <w:r>
        <w:t xml:space="preserve"> </w:t>
      </w:r>
      <w:r>
        <w:rPr>
          <w:lang w:val="en-AU"/>
        </w:rPr>
        <w:t>Note, that complaints made under the AHRC Act cannot proceed to the federal courts.</w:t>
      </w:r>
    </w:p>
  </w:footnote>
  <w:footnote w:id="36">
    <w:p w14:paraId="58870280" w14:textId="3992F71B" w:rsidR="00384EDB" w:rsidRPr="00325F41" w:rsidRDefault="00384EDB">
      <w:pPr>
        <w:pStyle w:val="FootnoteText"/>
        <w:rPr>
          <w:lang w:val="en-AU"/>
        </w:rPr>
      </w:pPr>
      <w:r>
        <w:rPr>
          <w:rStyle w:val="FootnoteReference"/>
        </w:rPr>
        <w:footnoteRef/>
      </w:r>
      <w:r>
        <w:t xml:space="preserve"> </w:t>
      </w:r>
      <w:r>
        <w:rPr>
          <w:rFonts w:cstheme="minorHAnsi"/>
        </w:rPr>
        <w:t xml:space="preserve">Note, the percentages have been rounded to the nearest whole number. As such, not all percentage totals add to exactly 100. </w:t>
      </w:r>
    </w:p>
  </w:footnote>
  <w:footnote w:id="37">
    <w:p w14:paraId="4E777BC2" w14:textId="67D1849B" w:rsidR="00384EDB" w:rsidRPr="008A6FB2" w:rsidRDefault="00384EDB">
      <w:pPr>
        <w:pStyle w:val="FootnoteText"/>
        <w:rPr>
          <w:lang w:val="en-AU"/>
        </w:rPr>
      </w:pPr>
      <w:r>
        <w:rPr>
          <w:rStyle w:val="FootnoteReference"/>
        </w:rPr>
        <w:footnoteRef/>
      </w:r>
      <w:r>
        <w:t xml:space="preserve"> </w:t>
      </w:r>
      <w:r>
        <w:rPr>
          <w:lang w:val="en-AU"/>
        </w:rPr>
        <w:t xml:space="preserve">See section 14 of the Sex Discrimination Act, which prohibits ‘employers’ from engaging in discrimination in an employment context, compared to section 15 of the Disability Discrimination Act, for example, which prohibits discrimination by an </w:t>
      </w:r>
      <w:r w:rsidRPr="00E439F5">
        <w:rPr>
          <w:lang w:val="en-AU"/>
        </w:rPr>
        <w:t>employer or a person acting or purporting to act on behalf of an employer</w:t>
      </w:r>
      <w:r>
        <w:rPr>
          <w:lang w:val="en-AU"/>
        </w:rPr>
        <w:t xml:space="preserve">. </w:t>
      </w:r>
    </w:p>
  </w:footnote>
  <w:footnote w:id="38">
    <w:p w14:paraId="019E90E8" w14:textId="651CC708" w:rsidR="00384EDB" w:rsidRPr="00102CE0" w:rsidRDefault="00384EDB">
      <w:pPr>
        <w:pStyle w:val="FootnoteText"/>
        <w:rPr>
          <w:lang w:val="en-AU"/>
        </w:rPr>
      </w:pPr>
      <w:r w:rsidRPr="009B705A">
        <w:rPr>
          <w:rStyle w:val="FootnoteReference"/>
        </w:rPr>
        <w:footnoteRef/>
      </w:r>
      <w:r w:rsidRPr="009B705A">
        <w:t xml:space="preserve"> </w:t>
      </w:r>
      <w:r>
        <w:rPr>
          <w:lang w:val="en-AU"/>
        </w:rPr>
        <w:t xml:space="preserve">See for example </w:t>
      </w:r>
      <w:r>
        <w:rPr>
          <w:i/>
          <w:lang w:val="en-AU"/>
        </w:rPr>
        <w:t xml:space="preserve">Free and Equal Paper </w:t>
      </w:r>
      <w:r>
        <w:rPr>
          <w:lang w:val="en-AU"/>
        </w:rPr>
        <w:t>(n 3)</w:t>
      </w:r>
      <w:r w:rsidRPr="00A10329">
        <w:rPr>
          <w:lang w:val="en-AU"/>
        </w:rPr>
        <w:t xml:space="preserve"> 103.</w:t>
      </w:r>
    </w:p>
  </w:footnote>
  <w:footnote w:id="39">
    <w:p w14:paraId="7FBA24DF" w14:textId="7289A82B" w:rsidR="00384EDB" w:rsidRPr="00F30919" w:rsidRDefault="00384EDB">
      <w:pPr>
        <w:pStyle w:val="FootnoteText"/>
        <w:rPr>
          <w:lang w:val="en-AU"/>
        </w:rPr>
      </w:pPr>
      <w:r>
        <w:rPr>
          <w:rStyle w:val="FootnoteReference"/>
        </w:rPr>
        <w:footnoteRef/>
      </w:r>
      <w:r>
        <w:t xml:space="preserve"> Australian Human Rights Commission, </w:t>
      </w:r>
      <w:r>
        <w:rPr>
          <w:i/>
        </w:rPr>
        <w:t xml:space="preserve">Everyone’s business: Fourth national survey on sexual harassment in Australian workplaces </w:t>
      </w:r>
      <w:r>
        <w:t>(Report, September 2018) 71 &lt;</w:t>
      </w:r>
      <w:r w:rsidRPr="008F2D5F">
        <w:t>https://humanrights.gov.au/our-work/sex-discrimination/publications/everyones-business-fourth-national-survey-sexual</w:t>
      </w:r>
      <w:r>
        <w:t>&gt;</w:t>
      </w:r>
      <w:r>
        <w:rPr>
          <w:lang w:val="en-AU"/>
        </w:rPr>
        <w:t xml:space="preserve">; </w:t>
      </w:r>
      <w:r w:rsidRPr="0025037B">
        <w:rPr>
          <w:i/>
          <w:lang w:val="en-AU"/>
        </w:rPr>
        <w:t>Fifth National Survey</w:t>
      </w:r>
      <w:r>
        <w:rPr>
          <w:lang w:val="en-AU"/>
        </w:rPr>
        <w:t xml:space="preserve"> (n 1) 139.</w:t>
      </w:r>
    </w:p>
  </w:footnote>
  <w:footnote w:id="40">
    <w:p w14:paraId="42F2784D" w14:textId="380E4BAC" w:rsidR="00384EDB" w:rsidRPr="00A50033" w:rsidRDefault="00384EDB" w:rsidP="001C423C">
      <w:pPr>
        <w:pStyle w:val="FootnoteText"/>
        <w:rPr>
          <w:lang w:val="en-AU"/>
        </w:rPr>
      </w:pPr>
      <w:r>
        <w:rPr>
          <w:rStyle w:val="FootnoteReference"/>
        </w:rPr>
        <w:footnoteRef/>
      </w:r>
      <w:r>
        <w:t xml:space="preserve"> </w:t>
      </w:r>
      <w:r w:rsidRPr="0025037B">
        <w:rPr>
          <w:i/>
        </w:rPr>
        <w:t>Respect@Work Report</w:t>
      </w:r>
      <w:r w:rsidRPr="00076D43">
        <w:t xml:space="preserve"> </w:t>
      </w:r>
      <w:r>
        <w:t xml:space="preserve">(n 9) 414; </w:t>
      </w:r>
      <w:r>
        <w:rPr>
          <w:i/>
        </w:rPr>
        <w:t xml:space="preserve">ANU Damage and Costs Report </w:t>
      </w:r>
      <w:r>
        <w:t>(</w:t>
      </w:r>
      <w:r w:rsidRPr="009B705A">
        <w:t>n 1</w:t>
      </w:r>
      <w:r>
        <w:t>5</w:t>
      </w:r>
      <w:r w:rsidRPr="009B705A">
        <w:t>) 18;</w:t>
      </w:r>
      <w:r>
        <w:t xml:space="preserve"> Beth Gaze, ‘Damages for Discrimination – Compensating denial of a human right’ [2013] (116) </w:t>
      </w:r>
      <w:r>
        <w:rPr>
          <w:i/>
        </w:rPr>
        <w:t>Precedent (Australian Lawyers Alliance)</w:t>
      </w:r>
      <w:r>
        <w:t xml:space="preserve"> 20, 22</w:t>
      </w:r>
      <w:r w:rsidRPr="009B705A">
        <w:t>.</w:t>
      </w:r>
    </w:p>
  </w:footnote>
  <w:footnote w:id="41">
    <w:p w14:paraId="26FE4ACB" w14:textId="073CBEEA" w:rsidR="00384EDB" w:rsidRPr="00CA74A8" w:rsidRDefault="00384EDB" w:rsidP="00546ED7">
      <w:pPr>
        <w:pStyle w:val="FootnoteText"/>
        <w:rPr>
          <w:lang w:val="en-AU"/>
        </w:rPr>
      </w:pPr>
      <w:r>
        <w:rPr>
          <w:rStyle w:val="FootnoteReference"/>
        </w:rPr>
        <w:footnoteRef/>
      </w:r>
      <w:r>
        <w:t xml:space="preserve"> See </w:t>
      </w:r>
      <w:r>
        <w:rPr>
          <w:i/>
        </w:rPr>
        <w:t xml:space="preserve">ANU Damages and Costs Report </w:t>
      </w:r>
      <w:r>
        <w:t xml:space="preserve">(n 15) </w:t>
      </w:r>
      <w:r>
        <w:rPr>
          <w:lang w:val="en-AU"/>
        </w:rPr>
        <w:t>23.</w:t>
      </w:r>
    </w:p>
  </w:footnote>
  <w:footnote w:id="42">
    <w:p w14:paraId="6545A10F" w14:textId="0AFFEF02" w:rsidR="00384EDB" w:rsidRPr="00DC039E" w:rsidRDefault="00384EDB">
      <w:pPr>
        <w:pStyle w:val="FootnoteText"/>
        <w:rPr>
          <w:lang w:val="en-AU"/>
        </w:rPr>
      </w:pPr>
      <w:r>
        <w:rPr>
          <w:rStyle w:val="FootnoteReference"/>
        </w:rPr>
        <w:footnoteRef/>
      </w:r>
      <w:r>
        <w:t xml:space="preserve"> Note,</w:t>
      </w:r>
      <w:r>
        <w:rPr>
          <w:lang w:val="en-AU"/>
        </w:rPr>
        <w:t xml:space="preserve"> while the </w:t>
      </w:r>
      <w:r w:rsidRPr="0025037B">
        <w:rPr>
          <w:i/>
          <w:lang w:val="en-AU"/>
        </w:rPr>
        <w:t>Racial Discrimination Act 1975</w:t>
      </w:r>
      <w:r>
        <w:rPr>
          <w:lang w:val="en-AU"/>
        </w:rPr>
        <w:t xml:space="preserve"> (</w:t>
      </w:r>
      <w:r>
        <w:rPr>
          <w:lang w:val="en-AU"/>
        </w:rPr>
        <w:t>Cth) commenced in 1975, the ANU research only collected case data from 1984.</w:t>
      </w:r>
    </w:p>
  </w:footnote>
  <w:footnote w:id="43">
    <w:p w14:paraId="42DD73C8" w14:textId="7E426004" w:rsidR="00384EDB" w:rsidRPr="008040BB" w:rsidRDefault="00384EDB">
      <w:pPr>
        <w:pStyle w:val="FootnoteText"/>
        <w:rPr>
          <w:lang w:val="en-AU"/>
        </w:rPr>
      </w:pPr>
      <w:r>
        <w:rPr>
          <w:rStyle w:val="FootnoteReference"/>
        </w:rPr>
        <w:footnoteRef/>
      </w:r>
      <w:r>
        <w:t xml:space="preserve"> </w:t>
      </w:r>
      <w:r w:rsidRPr="006170B3">
        <w:rPr>
          <w:i/>
        </w:rPr>
        <w:t>Human Rights Act 1993</w:t>
      </w:r>
      <w:r>
        <w:t xml:space="preserve"> (NZ) </w:t>
      </w:r>
      <w:r>
        <w:rPr>
          <w:lang w:val="en-AU"/>
        </w:rPr>
        <w:t>s 92L.</w:t>
      </w:r>
    </w:p>
  </w:footnote>
  <w:footnote w:id="44">
    <w:p w14:paraId="3F5AECF8" w14:textId="295CA003" w:rsidR="00384EDB" w:rsidRPr="00892546" w:rsidRDefault="00384EDB">
      <w:pPr>
        <w:pStyle w:val="FootnoteText"/>
      </w:pPr>
      <w:r>
        <w:rPr>
          <w:rStyle w:val="FootnoteReference"/>
        </w:rPr>
        <w:footnoteRef/>
      </w:r>
      <w:r>
        <w:t xml:space="preserve"> ‘Human Rights Review Tribunal’, </w:t>
      </w:r>
      <w:r w:rsidRPr="0025037B">
        <w:rPr>
          <w:i/>
        </w:rPr>
        <w:t>Ministry of Justice</w:t>
      </w:r>
      <w:r>
        <w:rPr>
          <w:i/>
        </w:rPr>
        <w:t xml:space="preserve"> </w:t>
      </w:r>
      <w:r>
        <w:t>(Web Page, December 2022) &lt;</w:t>
      </w:r>
      <w:r w:rsidRPr="00892546">
        <w:t>https://www.justice.govt.nz/tribunals/human-rights/costs-awarded/</w:t>
      </w:r>
      <w:r>
        <w:t>&gt;.</w:t>
      </w:r>
    </w:p>
  </w:footnote>
  <w:footnote w:id="45">
    <w:p w14:paraId="2ABD0527" w14:textId="3CA63E0E" w:rsidR="00384EDB" w:rsidRPr="00E71E0F" w:rsidRDefault="00384EDB">
      <w:pPr>
        <w:pStyle w:val="FootnoteText"/>
        <w:rPr>
          <w:lang w:val="en-AU"/>
        </w:rPr>
      </w:pPr>
      <w:r>
        <w:rPr>
          <w:rStyle w:val="FootnoteReference"/>
        </w:rPr>
        <w:footnoteRef/>
      </w:r>
      <w:r>
        <w:t xml:space="preserve"> </w:t>
      </w:r>
      <w:r w:rsidRPr="006170B3">
        <w:rPr>
          <w:i/>
        </w:rPr>
        <w:t>Employment Tribunals (Constitution and Rules of Procedure) Regulations 2013</w:t>
      </w:r>
      <w:r>
        <w:t xml:space="preserve"> (UK) r</w:t>
      </w:r>
      <w:r w:rsidRPr="00CD226A">
        <w:t>ule 76(1)</w:t>
      </w:r>
      <w:r>
        <w:t>(a).</w:t>
      </w:r>
    </w:p>
  </w:footnote>
  <w:footnote w:id="46">
    <w:p w14:paraId="75352020" w14:textId="0A29568A" w:rsidR="00384EDB" w:rsidRPr="00E71E0F" w:rsidRDefault="00384EDB">
      <w:pPr>
        <w:pStyle w:val="FootnoteText"/>
        <w:rPr>
          <w:lang w:val="en-AU"/>
        </w:rPr>
      </w:pPr>
      <w:r>
        <w:rPr>
          <w:rStyle w:val="FootnoteReference"/>
        </w:rPr>
        <w:footnoteRef/>
      </w:r>
      <w:r>
        <w:rPr>
          <w:i/>
        </w:rPr>
        <w:t xml:space="preserve"> </w:t>
      </w:r>
      <w:r>
        <w:t>Ibid r</w:t>
      </w:r>
      <w:r w:rsidRPr="00CD226A">
        <w:t>ule 76(1)</w:t>
      </w:r>
      <w:r>
        <w:t>(b).</w:t>
      </w:r>
    </w:p>
  </w:footnote>
  <w:footnote w:id="47">
    <w:p w14:paraId="70355FF9" w14:textId="7BD62480" w:rsidR="00384EDB" w:rsidRPr="002A010A" w:rsidRDefault="00384EDB" w:rsidP="009C5B97">
      <w:pPr>
        <w:pStyle w:val="FootnoteText"/>
        <w:rPr>
          <w:lang w:val="en-AU"/>
        </w:rPr>
      </w:pPr>
      <w:r>
        <w:rPr>
          <w:rStyle w:val="FootnoteReference"/>
        </w:rPr>
        <w:footnoteRef/>
      </w:r>
      <w:r>
        <w:t xml:space="preserve"> </w:t>
      </w:r>
      <w:r>
        <w:rPr>
          <w:i/>
        </w:rPr>
        <w:t xml:space="preserve">Labor, </w:t>
      </w:r>
      <w:r w:rsidRPr="00E42432">
        <w:t>29 CFR § 1614.501(e)(1)(</w:t>
      </w:r>
      <w:r w:rsidRPr="00E42432">
        <w:t xml:space="preserve">i); </w:t>
      </w:r>
      <w:r w:rsidRPr="00D76B4E">
        <w:rPr>
          <w:i/>
        </w:rPr>
        <w:t>New York Gaslight Club Inc v Carey</w:t>
      </w:r>
      <w:r>
        <w:t>,</w:t>
      </w:r>
      <w:r w:rsidRPr="00E42432">
        <w:t xml:space="preserve"> 447 US 54 (1983)</w:t>
      </w:r>
      <w:r>
        <w:t xml:space="preserve">. </w:t>
      </w:r>
    </w:p>
  </w:footnote>
  <w:footnote w:id="48">
    <w:p w14:paraId="4AAFCF50" w14:textId="50063A66" w:rsidR="00384EDB" w:rsidRPr="004C4F4F" w:rsidRDefault="00384EDB" w:rsidP="009C5B97">
      <w:pPr>
        <w:pStyle w:val="FootnoteText"/>
        <w:rPr>
          <w:rFonts w:cstheme="minorHAnsi"/>
          <w:lang w:val="en-AU"/>
        </w:rPr>
      </w:pPr>
      <w:r w:rsidRPr="004C4F4F">
        <w:rPr>
          <w:rStyle w:val="FootnoteReference"/>
          <w:rFonts w:cstheme="minorHAnsi"/>
        </w:rPr>
        <w:footnoteRef/>
      </w:r>
      <w:r w:rsidRPr="004C4F4F">
        <w:rPr>
          <w:rFonts w:cstheme="minorHAnsi"/>
        </w:rPr>
        <w:t xml:space="preserve"> </w:t>
      </w:r>
      <w:r>
        <w:rPr>
          <w:rFonts w:cstheme="minorHAnsi"/>
        </w:rPr>
        <w:t xml:space="preserve">US Equal Employment Opportunity Commission, </w:t>
      </w:r>
      <w:r>
        <w:rPr>
          <w:rFonts w:cstheme="minorHAnsi"/>
          <w:i/>
        </w:rPr>
        <w:t xml:space="preserve">Management Directive 110 </w:t>
      </w:r>
      <w:r>
        <w:rPr>
          <w:rFonts w:cstheme="minorHAnsi"/>
        </w:rPr>
        <w:t>(August 2015)</w:t>
      </w:r>
      <w:r>
        <w:rPr>
          <w:rFonts w:cstheme="minorHAnsi"/>
          <w:i/>
        </w:rPr>
        <w:t xml:space="preserve"> </w:t>
      </w:r>
      <w:r>
        <w:rPr>
          <w:rFonts w:cstheme="minorHAnsi"/>
        </w:rPr>
        <w:t>ch 11 &lt;</w:t>
      </w:r>
      <w:r w:rsidRPr="004C4F4F">
        <w:rPr>
          <w:rFonts w:cstheme="minorHAnsi"/>
        </w:rPr>
        <w:t>https://www.eeoc.gov/federal-sector/management-directive/chapter-11-remedies</w:t>
      </w:r>
      <w:r>
        <w:rPr>
          <w:rFonts w:cstheme="minorHAnsi"/>
        </w:rPr>
        <w:t>&gt;</w:t>
      </w:r>
      <w:r w:rsidRPr="004C4F4F">
        <w:rPr>
          <w:rFonts w:cstheme="minorHAnsi"/>
        </w:rPr>
        <w:t xml:space="preserve">. </w:t>
      </w:r>
    </w:p>
  </w:footnote>
  <w:footnote w:id="49">
    <w:p w14:paraId="55B113A4" w14:textId="19B7C053" w:rsidR="00384EDB" w:rsidRPr="00052FF4" w:rsidRDefault="00384EDB" w:rsidP="009C5B97">
      <w:pPr>
        <w:pStyle w:val="FootnoteText"/>
        <w:rPr>
          <w:lang w:val="en-AU"/>
        </w:rPr>
      </w:pPr>
      <w:r>
        <w:rPr>
          <w:rStyle w:val="FootnoteReference"/>
        </w:rPr>
        <w:footnoteRef/>
      </w:r>
      <w:r>
        <w:t xml:space="preserve"> </w:t>
      </w:r>
      <w:r w:rsidRPr="006170B3">
        <w:rPr>
          <w:i/>
        </w:rPr>
        <w:t>Christiansburg Garment Co v EEOC</w:t>
      </w:r>
      <w:r w:rsidRPr="00052FF4">
        <w:t>, 434 US 412 (1978)</w:t>
      </w:r>
      <w:r>
        <w:t>.</w:t>
      </w:r>
    </w:p>
  </w:footnote>
  <w:footnote w:id="50">
    <w:p w14:paraId="7AA79EC5" w14:textId="5D1B369D" w:rsidR="00384EDB" w:rsidRPr="00834162" w:rsidRDefault="00384EDB" w:rsidP="006B2B4A">
      <w:pPr>
        <w:pStyle w:val="FootnoteText"/>
        <w:rPr>
          <w:lang w:val="en-AU"/>
        </w:rPr>
      </w:pPr>
      <w:r>
        <w:rPr>
          <w:rStyle w:val="FootnoteReference"/>
        </w:rPr>
        <w:footnoteRef/>
      </w:r>
      <w:r>
        <w:t xml:space="preserve"> </w:t>
      </w:r>
      <w:r>
        <w:rPr>
          <w:lang w:val="en-AU"/>
        </w:rPr>
        <w:t xml:space="preserve">Such as the </w:t>
      </w:r>
      <w:r>
        <w:rPr>
          <w:i/>
          <w:lang w:val="en-AU"/>
        </w:rPr>
        <w:t xml:space="preserve">Free and Equal Paper </w:t>
      </w:r>
      <w:r>
        <w:rPr>
          <w:lang w:val="en-AU"/>
        </w:rPr>
        <w:t xml:space="preserve">(n 3). </w:t>
      </w:r>
    </w:p>
  </w:footnote>
  <w:footnote w:id="51">
    <w:p w14:paraId="41443FEB" w14:textId="54939ED0" w:rsidR="00384EDB" w:rsidRPr="003C6FFC" w:rsidRDefault="00384EDB">
      <w:pPr>
        <w:pStyle w:val="FootnoteText"/>
        <w:rPr>
          <w:lang w:val="en-AU"/>
        </w:rPr>
      </w:pPr>
      <w:r>
        <w:rPr>
          <w:rStyle w:val="FootnoteReference"/>
        </w:rPr>
        <w:footnoteRef/>
      </w:r>
      <w:r>
        <w:t xml:space="preserve"> </w:t>
      </w:r>
      <w:r>
        <w:rPr>
          <w:i/>
        </w:rPr>
        <w:t xml:space="preserve">AHRC Act </w:t>
      </w:r>
      <w:r>
        <w:t>(n 5)</w:t>
      </w:r>
      <w:r>
        <w:rPr>
          <w:lang w:val="en-AU"/>
        </w:rPr>
        <w:t xml:space="preserve"> s 46PH(1</w:t>
      </w:r>
      <w:r>
        <w:rPr>
          <w:lang w:val="en-AU"/>
        </w:rPr>
        <w:t>B)(a).</w:t>
      </w:r>
    </w:p>
  </w:footnote>
  <w:footnote w:id="52">
    <w:p w14:paraId="52A5B80F" w14:textId="2DBB5B13" w:rsidR="00384EDB" w:rsidRPr="000D2474" w:rsidRDefault="00384EDB">
      <w:pPr>
        <w:pStyle w:val="FootnoteText"/>
        <w:rPr>
          <w:lang w:val="en-AU"/>
        </w:rPr>
      </w:pPr>
      <w:r>
        <w:rPr>
          <w:rStyle w:val="FootnoteReference"/>
        </w:rPr>
        <w:footnoteRef/>
      </w:r>
      <w:r>
        <w:t xml:space="preserve"> Ibid s 46PH</w:t>
      </w:r>
      <w:r>
        <w:rPr>
          <w:lang w:val="en-AU"/>
        </w:rPr>
        <w:t>(1C).</w:t>
      </w:r>
    </w:p>
  </w:footnote>
  <w:footnote w:id="53">
    <w:p w14:paraId="3AA3651D" w14:textId="1A8BA7C9" w:rsidR="00384EDB" w:rsidRPr="009B020E" w:rsidRDefault="00384EDB" w:rsidP="00621CEB">
      <w:pPr>
        <w:pStyle w:val="FootnoteText"/>
        <w:rPr>
          <w:lang w:val="en-AU"/>
        </w:rPr>
      </w:pPr>
      <w:r>
        <w:rPr>
          <w:rStyle w:val="FootnoteReference"/>
        </w:rPr>
        <w:footnoteRef/>
      </w:r>
      <w:r>
        <w:t xml:space="preserve"> Ibid </w:t>
      </w:r>
      <w:r>
        <w:rPr>
          <w:lang w:val="en-AU"/>
        </w:rPr>
        <w:t>s 46</w:t>
      </w:r>
      <w:r>
        <w:rPr>
          <w:lang w:val="en-AU"/>
        </w:rPr>
        <w:t xml:space="preserve">PO(3). </w:t>
      </w:r>
    </w:p>
  </w:footnote>
  <w:footnote w:id="54">
    <w:p w14:paraId="00E62856" w14:textId="585E3BE9" w:rsidR="00384EDB" w:rsidRPr="00B7433A" w:rsidRDefault="00384EDB">
      <w:pPr>
        <w:pStyle w:val="FootnoteText"/>
        <w:rPr>
          <w:lang w:val="en-AU"/>
        </w:rPr>
      </w:pPr>
      <w:r>
        <w:rPr>
          <w:rStyle w:val="FootnoteReference"/>
        </w:rPr>
        <w:footnoteRef/>
      </w:r>
      <w:r>
        <w:t xml:space="preserve"> </w:t>
      </w:r>
      <w:r>
        <w:rPr>
          <w:lang w:val="en-AU"/>
        </w:rPr>
        <w:t xml:space="preserve">See </w:t>
      </w:r>
      <w:r w:rsidRPr="00B7433A">
        <w:rPr>
          <w:i/>
          <w:lang w:val="en-AU"/>
        </w:rPr>
        <w:t>Federal Court of Australia Act 1976</w:t>
      </w:r>
      <w:r>
        <w:rPr>
          <w:i/>
          <w:lang w:val="en-AU"/>
        </w:rPr>
        <w:t xml:space="preserve"> </w:t>
      </w:r>
      <w:r>
        <w:rPr>
          <w:lang w:val="en-AU"/>
        </w:rPr>
        <w:t>(</w:t>
      </w:r>
      <w:r>
        <w:rPr>
          <w:lang w:val="en-AU"/>
        </w:rPr>
        <w:t xml:space="preserve">Cth) pt VAAA; </w:t>
      </w:r>
      <w:r w:rsidRPr="00BE59BE">
        <w:rPr>
          <w:i/>
          <w:lang w:val="en-AU"/>
        </w:rPr>
        <w:t>Federal Circuit and Family Court of Australia Act 2021</w:t>
      </w:r>
      <w:r>
        <w:rPr>
          <w:i/>
          <w:lang w:val="en-AU"/>
        </w:rPr>
        <w:t xml:space="preserve"> </w:t>
      </w:r>
      <w:r>
        <w:rPr>
          <w:lang w:val="en-AU"/>
        </w:rPr>
        <w:t>(Cth) pt 8.</w:t>
      </w:r>
    </w:p>
  </w:footnote>
  <w:footnote w:id="55">
    <w:p w14:paraId="26D0E6A0" w14:textId="3E407F1C" w:rsidR="00384EDB" w:rsidRPr="003551BC" w:rsidRDefault="00384EDB" w:rsidP="00524CC1">
      <w:pPr>
        <w:pStyle w:val="FootnoteText"/>
        <w:rPr>
          <w:lang w:val="en-AU"/>
        </w:rPr>
      </w:pPr>
      <w:r>
        <w:rPr>
          <w:rStyle w:val="FootnoteReference"/>
        </w:rPr>
        <w:footnoteRef/>
      </w:r>
      <w:r>
        <w:t xml:space="preserve"> </w:t>
      </w:r>
      <w:r>
        <w:rPr>
          <w:i/>
        </w:rPr>
        <w:t xml:space="preserve">Fair Work Act 2009 </w:t>
      </w:r>
      <w:r>
        <w:t>(</w:t>
      </w:r>
      <w:r>
        <w:t xml:space="preserve">Cth) s </w:t>
      </w:r>
      <w:r w:rsidRPr="005856FC">
        <w:rPr>
          <w:rFonts w:cstheme="minorHAnsi"/>
          <w:lang w:val="en-AU"/>
        </w:rPr>
        <w:t>570(2)</w:t>
      </w:r>
      <w:r>
        <w:rPr>
          <w:rFonts w:cstheme="minorHAnsi"/>
          <w:lang w:val="en-AU"/>
        </w:rPr>
        <w:t>.</w:t>
      </w:r>
      <w:r w:rsidRPr="005856FC">
        <w:rPr>
          <w:rFonts w:cstheme="minorHAnsi"/>
          <w:lang w:val="en-AU"/>
        </w:rPr>
        <w:t xml:space="preserve"> </w:t>
      </w:r>
    </w:p>
  </w:footnote>
  <w:footnote w:id="56">
    <w:p w14:paraId="7598DC9F" w14:textId="34E3B4FE" w:rsidR="00384EDB" w:rsidRPr="00B64ECB" w:rsidRDefault="00384EDB" w:rsidP="00A853C0">
      <w:pPr>
        <w:pStyle w:val="FootnoteText"/>
        <w:rPr>
          <w:lang w:val="en-AU"/>
        </w:rPr>
      </w:pPr>
      <w:r>
        <w:rPr>
          <w:rStyle w:val="FootnoteReference"/>
        </w:rPr>
        <w:footnoteRef/>
      </w:r>
      <w:r>
        <w:t xml:space="preserve"> </w:t>
      </w:r>
      <w:r>
        <w:rPr>
          <w:i/>
        </w:rPr>
        <w:t xml:space="preserve">ANU Damages and Costs Report </w:t>
      </w:r>
      <w:r>
        <w:t>(n 15)</w:t>
      </w:r>
      <w:r>
        <w:rPr>
          <w:lang w:val="en-AU"/>
        </w:rPr>
        <w:t xml:space="preserve"> 15.</w:t>
      </w:r>
    </w:p>
  </w:footnote>
  <w:footnote w:id="57">
    <w:p w14:paraId="63A70CE9" w14:textId="608EABB6" w:rsidR="00384EDB" w:rsidRPr="002E132F" w:rsidRDefault="00384EDB" w:rsidP="00BC6F2B">
      <w:pPr>
        <w:pStyle w:val="FootnoteText"/>
        <w:rPr>
          <w:lang w:val="en-AU"/>
        </w:rPr>
      </w:pPr>
      <w:r>
        <w:rPr>
          <w:rStyle w:val="FootnoteReference"/>
        </w:rPr>
        <w:footnoteRef/>
      </w:r>
      <w:r w:rsidRPr="00113A65">
        <w:t xml:space="preserve"> Ibid 102-3.</w:t>
      </w:r>
      <w:r>
        <w:t xml:space="preserve"> </w:t>
      </w:r>
    </w:p>
  </w:footnote>
  <w:footnote w:id="58">
    <w:p w14:paraId="70DA9B53" w14:textId="78136C63" w:rsidR="00384EDB" w:rsidRPr="002B59FA" w:rsidRDefault="00384EDB">
      <w:pPr>
        <w:pStyle w:val="FootnoteText"/>
        <w:rPr>
          <w:lang w:val="en-AU"/>
        </w:rPr>
      </w:pPr>
      <w:r>
        <w:rPr>
          <w:rStyle w:val="FootnoteReference"/>
        </w:rPr>
        <w:footnoteRef/>
      </w:r>
      <w:r>
        <w:t xml:space="preserve"> F</w:t>
      </w:r>
      <w:r>
        <w:rPr>
          <w:lang w:val="en-AU"/>
        </w:rPr>
        <w:t xml:space="preserve">or example, see </w:t>
      </w:r>
      <w:r w:rsidRPr="002B59FA">
        <w:rPr>
          <w:i/>
          <w:lang w:val="en-AU"/>
        </w:rPr>
        <w:t>Civil and Administrative Tribunal Act 2013</w:t>
      </w:r>
      <w:r>
        <w:rPr>
          <w:i/>
          <w:lang w:val="en-AU"/>
        </w:rPr>
        <w:t xml:space="preserve"> (No 2)</w:t>
      </w:r>
      <w:r>
        <w:rPr>
          <w:lang w:val="en-AU"/>
        </w:rPr>
        <w:t xml:space="preserve"> (NSW) s 60.</w:t>
      </w:r>
    </w:p>
  </w:footnote>
  <w:footnote w:id="59">
    <w:p w14:paraId="61C93EAC" w14:textId="4499D3BE" w:rsidR="00384EDB" w:rsidRPr="00FF4C1F" w:rsidRDefault="00384EDB">
      <w:pPr>
        <w:pStyle w:val="FootnoteText"/>
        <w:rPr>
          <w:lang w:val="en-AU"/>
        </w:rPr>
      </w:pPr>
      <w:r>
        <w:rPr>
          <w:rStyle w:val="FootnoteReference"/>
        </w:rPr>
        <w:footnoteRef/>
      </w:r>
      <w:r>
        <w:t xml:space="preserve"> </w:t>
      </w:r>
      <w:r w:rsidRPr="00AD3D30">
        <w:rPr>
          <w:i/>
          <w:lang w:val="en-AU"/>
        </w:rPr>
        <w:t>Civil and Administrative Tribunal Act 2013</w:t>
      </w:r>
      <w:r>
        <w:rPr>
          <w:lang w:val="en-AU"/>
        </w:rPr>
        <w:t xml:space="preserve"> (NSW) s 60(2).  </w:t>
      </w:r>
    </w:p>
  </w:footnote>
  <w:footnote w:id="60">
    <w:p w14:paraId="12E0269A" w14:textId="73720168" w:rsidR="00384EDB" w:rsidRPr="00EB15F4" w:rsidRDefault="00384EDB">
      <w:pPr>
        <w:pStyle w:val="FootnoteText"/>
        <w:rPr>
          <w:lang w:val="en-AU"/>
        </w:rPr>
      </w:pPr>
      <w:r>
        <w:rPr>
          <w:rStyle w:val="FootnoteReference"/>
        </w:rPr>
        <w:footnoteRef/>
      </w:r>
      <w:r>
        <w:t xml:space="preserve"> </w:t>
      </w:r>
      <w:r w:rsidRPr="006170B3">
        <w:rPr>
          <w:i/>
          <w:lang w:val="en-AU"/>
        </w:rPr>
        <w:t>South Australian Civil and Administrative Tribunal Act 2013</w:t>
      </w:r>
      <w:r>
        <w:rPr>
          <w:lang w:val="en-AU"/>
        </w:rPr>
        <w:t xml:space="preserve"> (SA) s 57(2)(b).</w:t>
      </w:r>
    </w:p>
  </w:footnote>
  <w:footnote w:id="61">
    <w:p w14:paraId="2F5B3F2F" w14:textId="77ACE472" w:rsidR="00384EDB" w:rsidRPr="00C74A18" w:rsidRDefault="00384EDB">
      <w:pPr>
        <w:pStyle w:val="FootnoteText"/>
        <w:rPr>
          <w:lang w:val="en-AU"/>
        </w:rPr>
      </w:pPr>
      <w:r>
        <w:rPr>
          <w:rStyle w:val="FootnoteReference"/>
        </w:rPr>
        <w:footnoteRef/>
      </w:r>
      <w:r>
        <w:t xml:space="preserve"> </w:t>
      </w:r>
      <w:bookmarkStart w:id="40" w:name="_Hlk124943737"/>
      <w:r w:rsidRPr="00C74A18">
        <w:rPr>
          <w:i/>
        </w:rPr>
        <w:t>Victorian Civil and Administrative Tribunal Act 1998</w:t>
      </w:r>
      <w:r>
        <w:t xml:space="preserve"> (Vic</w:t>
      </w:r>
      <w:bookmarkEnd w:id="40"/>
      <w:r>
        <w:t>) s 109(3)(c).</w:t>
      </w:r>
    </w:p>
  </w:footnote>
  <w:footnote w:id="62">
    <w:p w14:paraId="182A9861" w14:textId="3EC4D862" w:rsidR="00384EDB" w:rsidRPr="00EB15F4" w:rsidRDefault="00384EDB">
      <w:pPr>
        <w:pStyle w:val="FootnoteText"/>
        <w:rPr>
          <w:lang w:val="en-AU"/>
        </w:rPr>
      </w:pPr>
      <w:r>
        <w:rPr>
          <w:rStyle w:val="FootnoteReference"/>
        </w:rPr>
        <w:footnoteRef/>
      </w:r>
      <w:r>
        <w:t xml:space="preserve"> </w:t>
      </w:r>
      <w:r w:rsidRPr="006170B3">
        <w:rPr>
          <w:i/>
          <w:lang w:val="en-AU"/>
        </w:rPr>
        <w:t>Human Rights Act 1993</w:t>
      </w:r>
      <w:r>
        <w:rPr>
          <w:lang w:val="en-AU"/>
        </w:rPr>
        <w:t xml:space="preserve"> (NZ) s 92L(2)(a).</w:t>
      </w:r>
    </w:p>
  </w:footnote>
  <w:footnote w:id="63">
    <w:p w14:paraId="5E447745" w14:textId="75BFB0D5" w:rsidR="00384EDB" w:rsidRPr="006F2EFB" w:rsidRDefault="00384EDB">
      <w:pPr>
        <w:pStyle w:val="FootnoteText"/>
        <w:rPr>
          <w:lang w:val="en-AU"/>
        </w:rPr>
      </w:pPr>
      <w:r>
        <w:rPr>
          <w:rStyle w:val="FootnoteReference"/>
        </w:rPr>
        <w:footnoteRef/>
      </w:r>
      <w:r>
        <w:t xml:space="preserve"> </w:t>
      </w:r>
      <w:r>
        <w:rPr>
          <w:i/>
        </w:rPr>
        <w:t xml:space="preserve">Free and Equal Paper </w:t>
      </w:r>
      <w:r>
        <w:t xml:space="preserve">(n 3) </w:t>
      </w:r>
      <w:r>
        <w:rPr>
          <w:lang w:val="en-AU"/>
        </w:rPr>
        <w:t>201.</w:t>
      </w:r>
    </w:p>
  </w:footnote>
  <w:footnote w:id="64">
    <w:p w14:paraId="2F524F65" w14:textId="02DE6329" w:rsidR="00384EDB" w:rsidRPr="007A786E" w:rsidRDefault="00384EDB">
      <w:pPr>
        <w:pStyle w:val="FootnoteText"/>
        <w:rPr>
          <w:lang w:val="en-AU"/>
        </w:rPr>
      </w:pPr>
      <w:r>
        <w:rPr>
          <w:rStyle w:val="FootnoteReference"/>
        </w:rPr>
        <w:footnoteRef/>
      </w:r>
      <w:r>
        <w:t xml:space="preserve"> </w:t>
      </w:r>
      <w:r w:rsidRPr="00455A22">
        <w:rPr>
          <w:lang w:val="en-AU"/>
        </w:rPr>
        <w:t>Explanatory Memorandum</w:t>
      </w:r>
      <w:r w:rsidRPr="00D76B4E">
        <w:rPr>
          <w:lang w:val="en-AU"/>
        </w:rPr>
        <w:t xml:space="preserve">, Anti-Discrimination and Human Rights Legislation Amendment (Respect at Work) Bill 2022 </w:t>
      </w:r>
      <w:r>
        <w:rPr>
          <w:lang w:val="en-AU"/>
        </w:rPr>
        <w:t>(</w:t>
      </w:r>
      <w:r>
        <w:rPr>
          <w:lang w:val="en-AU"/>
        </w:rPr>
        <w:t xml:space="preserve">Cth) </w:t>
      </w:r>
      <w:r w:rsidRPr="00455A22">
        <w:rPr>
          <w:lang w:val="en-AU"/>
        </w:rPr>
        <w:t>8</w:t>
      </w:r>
      <w:r w:rsidRPr="002B0414">
        <w:rPr>
          <w:lang w:val="en-AU"/>
        </w:rPr>
        <w:t>7</w:t>
      </w:r>
      <w:r>
        <w:rPr>
          <w:lang w:val="en-AU"/>
        </w:rPr>
        <w:t xml:space="preserve"> &lt;</w:t>
      </w:r>
      <w:r w:rsidRPr="00455A22">
        <w:rPr>
          <w:lang w:val="en-AU"/>
        </w:rPr>
        <w:t>https://www.aph.gov.au/Parliamentary_Business/Bills_Legislation/Bills_Search_Results/Result?bId=r6916</w:t>
      </w:r>
      <w:r>
        <w:rPr>
          <w:lang w:val="en-AU"/>
        </w:rPr>
        <w:t>&gt;.</w:t>
      </w:r>
    </w:p>
  </w:footnote>
  <w:footnote w:id="65">
    <w:p w14:paraId="42DA139B" w14:textId="734E11B9" w:rsidR="00384EDB" w:rsidRPr="00F86BC9" w:rsidRDefault="00384EDB" w:rsidP="003E3E7F">
      <w:pPr>
        <w:pStyle w:val="FootnoteText"/>
        <w:rPr>
          <w:lang w:val="en-AU"/>
        </w:rPr>
      </w:pPr>
      <w:r>
        <w:rPr>
          <w:rStyle w:val="FootnoteReference"/>
        </w:rPr>
        <w:footnoteRef/>
      </w:r>
      <w:r>
        <w:t xml:space="preserve"> </w:t>
      </w:r>
      <w:r>
        <w:rPr>
          <w:lang w:val="en-AU"/>
        </w:rPr>
        <w:t>These concerns have been raised in the past</w:t>
      </w:r>
      <w:r w:rsidRPr="009B705A">
        <w:rPr>
          <w:lang w:val="en-AU"/>
        </w:rPr>
        <w:t xml:space="preserve"> – </w:t>
      </w:r>
      <w:r>
        <w:rPr>
          <w:lang w:val="en-AU"/>
        </w:rPr>
        <w:t>see</w:t>
      </w:r>
      <w:r w:rsidRPr="00F86BC9">
        <w:rPr>
          <w:lang w:val="en-AU"/>
        </w:rPr>
        <w:t xml:space="preserve"> </w:t>
      </w:r>
      <w:r w:rsidRPr="007D1A20">
        <w:rPr>
          <w:lang w:val="en-AU"/>
        </w:rPr>
        <w:t xml:space="preserve">the </w:t>
      </w:r>
      <w:r w:rsidRPr="007D1A20">
        <w:rPr>
          <w:i/>
          <w:lang w:val="en-AU"/>
        </w:rPr>
        <w:t xml:space="preserve">Free and Equal Paper </w:t>
      </w:r>
      <w:r w:rsidRPr="007D1A20">
        <w:rPr>
          <w:lang w:val="en-AU"/>
        </w:rPr>
        <w:t xml:space="preserve">(n </w:t>
      </w:r>
      <w:r>
        <w:rPr>
          <w:lang w:val="en-AU"/>
        </w:rPr>
        <w:t>3</w:t>
      </w:r>
      <w:r w:rsidRPr="007D1A20">
        <w:rPr>
          <w:lang w:val="en-AU"/>
        </w:rPr>
        <w:t>) 200</w:t>
      </w:r>
      <w:r>
        <w:rPr>
          <w:lang w:val="en-AU"/>
        </w:rPr>
        <w:t>, for example</w:t>
      </w:r>
      <w:r w:rsidRPr="007D1A20">
        <w:rPr>
          <w:lang w:val="en-AU"/>
        </w:rPr>
        <w:t>.</w:t>
      </w:r>
    </w:p>
  </w:footnote>
  <w:footnote w:id="66">
    <w:p w14:paraId="3C42DD2E" w14:textId="34B2B6EC" w:rsidR="00384EDB" w:rsidRPr="00D77409" w:rsidRDefault="00384EDB">
      <w:pPr>
        <w:pStyle w:val="FootnoteText"/>
        <w:rPr>
          <w:lang w:val="en-AU"/>
        </w:rPr>
      </w:pPr>
      <w:r>
        <w:rPr>
          <w:rStyle w:val="FootnoteReference"/>
        </w:rPr>
        <w:footnoteRef/>
      </w:r>
      <w:r>
        <w:t xml:space="preserve"> </w:t>
      </w:r>
      <w:r w:rsidRPr="00E85D49">
        <w:rPr>
          <w:i/>
          <w:lang w:val="en-AU"/>
        </w:rPr>
        <w:t>Free and Equal</w:t>
      </w:r>
      <w:r>
        <w:rPr>
          <w:i/>
          <w:lang w:val="en-AU"/>
        </w:rPr>
        <w:t xml:space="preserve"> Paper </w:t>
      </w:r>
      <w:r>
        <w:rPr>
          <w:lang w:val="en-AU"/>
        </w:rPr>
        <w:t>(n 3) 199-201.</w:t>
      </w:r>
    </w:p>
  </w:footnote>
  <w:footnote w:id="67">
    <w:p w14:paraId="032B7588" w14:textId="0DCE0A87" w:rsidR="00384EDB" w:rsidRPr="00F766C0" w:rsidRDefault="00384EDB" w:rsidP="003E3E7F">
      <w:pPr>
        <w:pStyle w:val="FootnoteText"/>
        <w:rPr>
          <w:lang w:val="en-AU"/>
        </w:rPr>
      </w:pPr>
      <w:r>
        <w:rPr>
          <w:rStyle w:val="FootnoteReference"/>
        </w:rPr>
        <w:footnoteRef/>
      </w:r>
      <w:r>
        <w:t xml:space="preserve"> See UNSW Kingsford Legal Centre, </w:t>
      </w:r>
      <w:r w:rsidRPr="00717263">
        <w:rPr>
          <w:i/>
        </w:rPr>
        <w:t>Open Letter on the Anti-Discrimination and Human Rights Legislation Amendment (Respect at Work) Bill 2022</w:t>
      </w:r>
      <w:r>
        <w:rPr>
          <w:i/>
        </w:rPr>
        <w:t xml:space="preserve"> </w:t>
      </w:r>
      <w:r>
        <w:t>(Letter, October 2022)</w:t>
      </w:r>
      <w:r w:rsidRPr="00103191">
        <w:rPr>
          <w:rFonts w:cstheme="minorHAnsi"/>
        </w:rPr>
        <w:t xml:space="preserve"> </w:t>
      </w:r>
      <w:r>
        <w:rPr>
          <w:rFonts w:cstheme="minorHAnsi"/>
        </w:rPr>
        <w:t>&lt;</w:t>
      </w:r>
      <w:r w:rsidRPr="000D75A0">
        <w:rPr>
          <w:rFonts w:cstheme="minorHAnsi"/>
        </w:rPr>
        <w:t>https://rlc.org.au/news-and-media/news/open-letter-respect-work-law-reform-bill-does-not-go-far-enough</w:t>
      </w:r>
      <w:r>
        <w:rPr>
          <w:rFonts w:cstheme="minorHAnsi"/>
        </w:rPr>
        <w:t>&gt;</w:t>
      </w:r>
      <w:r>
        <w:rPr>
          <w:lang w:val="en-AU"/>
        </w:rPr>
        <w:t xml:space="preserve">. </w:t>
      </w:r>
    </w:p>
  </w:footnote>
  <w:footnote w:id="68">
    <w:p w14:paraId="4C11127F" w14:textId="564BD7ED" w:rsidR="00384EDB" w:rsidRPr="0039430F" w:rsidRDefault="00384EDB">
      <w:pPr>
        <w:pStyle w:val="FootnoteText"/>
        <w:rPr>
          <w:rFonts w:cstheme="minorHAnsi"/>
          <w:lang w:val="en-AU"/>
        </w:rPr>
      </w:pPr>
      <w:r w:rsidRPr="0039430F">
        <w:rPr>
          <w:rStyle w:val="FootnoteReference"/>
          <w:rFonts w:cstheme="minorHAnsi"/>
        </w:rPr>
        <w:footnoteRef/>
      </w:r>
      <w:r w:rsidRPr="0039430F">
        <w:rPr>
          <w:rFonts w:cstheme="minorHAnsi"/>
        </w:rPr>
        <w:t xml:space="preserve"> </w:t>
      </w:r>
      <w:r w:rsidRPr="00731496">
        <w:rPr>
          <w:rFonts w:cstheme="minorHAnsi"/>
          <w:i/>
        </w:rPr>
        <w:t>Senate Committee Report on Human Rights Bill</w:t>
      </w:r>
      <w:r>
        <w:rPr>
          <w:rFonts w:cstheme="minorHAnsi"/>
        </w:rPr>
        <w:t xml:space="preserve"> (n 6) </w:t>
      </w:r>
      <w:r w:rsidRPr="0039430F">
        <w:rPr>
          <w:rFonts w:cstheme="minorHAnsi"/>
        </w:rPr>
        <w:t xml:space="preserve">para </w:t>
      </w:r>
      <w:r w:rsidRPr="0039430F">
        <w:rPr>
          <w:rFonts w:cstheme="minorHAnsi"/>
          <w:color w:val="222222"/>
          <w:shd w:val="clear" w:color="auto" w:fill="FFFFFF"/>
        </w:rPr>
        <w:t xml:space="preserve">4.42; </w:t>
      </w:r>
      <w:r w:rsidRPr="003746F0">
        <w:rPr>
          <w:rFonts w:cstheme="minorHAnsi"/>
          <w:i/>
          <w:lang w:val="en-AU"/>
        </w:rPr>
        <w:t>Free and Equal</w:t>
      </w:r>
      <w:r>
        <w:rPr>
          <w:rFonts w:cstheme="minorHAnsi"/>
          <w:lang w:val="en-AU"/>
        </w:rPr>
        <w:t xml:space="preserve"> </w:t>
      </w:r>
      <w:r>
        <w:rPr>
          <w:rFonts w:cstheme="minorHAnsi"/>
          <w:i/>
          <w:lang w:val="en-AU"/>
        </w:rPr>
        <w:t xml:space="preserve">Paper </w:t>
      </w:r>
      <w:r>
        <w:rPr>
          <w:rFonts w:cstheme="minorHAnsi"/>
          <w:lang w:val="en-AU"/>
        </w:rPr>
        <w:t>(n 3)</w:t>
      </w:r>
      <w:r w:rsidRPr="0039430F">
        <w:rPr>
          <w:rFonts w:cstheme="minorHAnsi"/>
          <w:lang w:val="en-AU"/>
        </w:rPr>
        <w:t xml:space="preserve"> 195</w:t>
      </w:r>
      <w:r>
        <w:rPr>
          <w:rFonts w:cstheme="minorHAnsi"/>
          <w:lang w:val="en-AU"/>
        </w:rPr>
        <w:t>.</w:t>
      </w:r>
    </w:p>
  </w:footnote>
  <w:footnote w:id="69">
    <w:p w14:paraId="54FC99DF" w14:textId="67D7510E" w:rsidR="00384EDB" w:rsidRPr="00047BD6" w:rsidRDefault="00384EDB">
      <w:pPr>
        <w:pStyle w:val="FootnoteText"/>
      </w:pPr>
      <w:r>
        <w:rPr>
          <w:rStyle w:val="FootnoteReference"/>
        </w:rPr>
        <w:footnoteRef/>
      </w:r>
      <w:r>
        <w:t xml:space="preserve"> </w:t>
      </w:r>
      <w:r>
        <w:rPr>
          <w:i/>
        </w:rPr>
        <w:t xml:space="preserve">ANU Damages and Costs Paper </w:t>
      </w:r>
      <w:r>
        <w:t xml:space="preserve">(n 15) 16; </w:t>
      </w:r>
      <w:r>
        <w:rPr>
          <w:i/>
        </w:rPr>
        <w:t xml:space="preserve">Respect@Work Report </w:t>
      </w:r>
      <w:r>
        <w:t xml:space="preserve">(n 9) 506. </w:t>
      </w:r>
    </w:p>
  </w:footnote>
  <w:footnote w:id="70">
    <w:p w14:paraId="73A2E96E" w14:textId="1A5C5F9C" w:rsidR="00384EDB" w:rsidRPr="00FD6957" w:rsidRDefault="00384EDB">
      <w:pPr>
        <w:pStyle w:val="FootnoteText"/>
        <w:rPr>
          <w:lang w:val="en-AU"/>
        </w:rPr>
      </w:pPr>
      <w:r>
        <w:rPr>
          <w:rStyle w:val="FootnoteReference"/>
        </w:rPr>
        <w:footnoteRef/>
      </w:r>
      <w:r>
        <w:t xml:space="preserve"> </w:t>
      </w:r>
      <w:r>
        <w:rPr>
          <w:i/>
        </w:rPr>
        <w:t xml:space="preserve">ANU Damages and Costs Paper </w:t>
      </w:r>
      <w:r>
        <w:t>(n 15)</w:t>
      </w:r>
      <w:r>
        <w:rPr>
          <w:lang w:val="en-AU"/>
        </w:rPr>
        <w:t xml:space="preserve"> 42.</w:t>
      </w:r>
    </w:p>
  </w:footnote>
  <w:footnote w:id="71">
    <w:p w14:paraId="7E676CF8" w14:textId="724BAF6B" w:rsidR="00384EDB" w:rsidRPr="00FD6957" w:rsidRDefault="00384EDB">
      <w:pPr>
        <w:pStyle w:val="FootnoteText"/>
        <w:rPr>
          <w:lang w:val="en-AU"/>
        </w:rPr>
      </w:pPr>
      <w:r>
        <w:rPr>
          <w:rStyle w:val="FootnoteReference"/>
        </w:rPr>
        <w:footnoteRef/>
      </w:r>
      <w:r>
        <w:t xml:space="preserve"> </w:t>
      </w:r>
      <w:r>
        <w:rPr>
          <w:lang w:val="en-AU"/>
        </w:rPr>
        <w:t>Ibid 49.</w:t>
      </w:r>
    </w:p>
  </w:footnote>
  <w:footnote w:id="72">
    <w:p w14:paraId="55384C70" w14:textId="5026BDEB" w:rsidR="00384EDB" w:rsidRPr="0025037B" w:rsidRDefault="00384EDB">
      <w:pPr>
        <w:pStyle w:val="FootnoteText"/>
        <w:rPr>
          <w:lang w:val="en-AU"/>
        </w:rPr>
      </w:pPr>
      <w:r>
        <w:rPr>
          <w:rStyle w:val="FootnoteReference"/>
        </w:rPr>
        <w:footnoteRef/>
      </w:r>
      <w:r>
        <w:t xml:space="preserve"> </w:t>
      </w:r>
      <w:r>
        <w:rPr>
          <w:i/>
        </w:rPr>
        <w:t xml:space="preserve">Federal Discrimination Law – Chapter Eight – Costs Awards </w:t>
      </w:r>
      <w:r>
        <w:t>(Australian Human Rights Commission, 2011)</w:t>
      </w:r>
      <w:r>
        <w:rPr>
          <w:lang w:val="en-AU"/>
        </w:rPr>
        <w:t xml:space="preserve"> 15. </w:t>
      </w:r>
    </w:p>
  </w:footnote>
  <w:footnote w:id="73">
    <w:p w14:paraId="6D00007B" w14:textId="77777777" w:rsidR="00384EDB" w:rsidRPr="00F41B9E" w:rsidRDefault="00384EDB" w:rsidP="00FD6957">
      <w:pPr>
        <w:pStyle w:val="FootnoteText"/>
        <w:rPr>
          <w:lang w:val="en-AU"/>
        </w:rPr>
      </w:pPr>
      <w:r>
        <w:rPr>
          <w:rStyle w:val="FootnoteReference"/>
        </w:rPr>
        <w:footnoteRef/>
      </w:r>
      <w:r>
        <w:t xml:space="preserve"> See </w:t>
      </w:r>
      <w:r>
        <w:rPr>
          <w:i/>
        </w:rPr>
        <w:t xml:space="preserve">Federal Court of Australia Act 1976 </w:t>
      </w:r>
      <w:r>
        <w:t>(</w:t>
      </w:r>
      <w:r>
        <w:t xml:space="preserve">Cth) s 43; </w:t>
      </w:r>
      <w:r w:rsidRPr="00047BD6">
        <w:rPr>
          <w:i/>
        </w:rPr>
        <w:t>Federal Circuit and Family Court of Australia Act 2021</w:t>
      </w:r>
      <w:r>
        <w:t xml:space="preserve"> (Cth) s 214.</w:t>
      </w:r>
    </w:p>
  </w:footnote>
  <w:footnote w:id="74">
    <w:p w14:paraId="46FE082F" w14:textId="1ABABCDB" w:rsidR="00384EDB" w:rsidRPr="00334F03" w:rsidRDefault="00384EDB" w:rsidP="00FD6957">
      <w:pPr>
        <w:pStyle w:val="FootnoteText"/>
        <w:rPr>
          <w:lang w:val="en-AU"/>
        </w:rPr>
      </w:pPr>
      <w:r>
        <w:rPr>
          <w:rStyle w:val="FootnoteReference"/>
        </w:rPr>
        <w:footnoteRef/>
      </w:r>
      <w:r>
        <w:t xml:space="preserve"> </w:t>
      </w:r>
      <w:r>
        <w:rPr>
          <w:i/>
        </w:rPr>
        <w:t xml:space="preserve">ANU Damages and Costs Report </w:t>
      </w:r>
      <w:r>
        <w:t>(n 15) 86</w:t>
      </w:r>
      <w:r>
        <w:rPr>
          <w:lang w:val="en-A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8FE"/>
    <w:multiLevelType w:val="hybridMultilevel"/>
    <w:tmpl w:val="F8AC6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67ABA"/>
    <w:multiLevelType w:val="hybridMultilevel"/>
    <w:tmpl w:val="1C228AE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0CA25B43"/>
    <w:multiLevelType w:val="hybridMultilevel"/>
    <w:tmpl w:val="8DE61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B31E5"/>
    <w:multiLevelType w:val="hybridMultilevel"/>
    <w:tmpl w:val="CA942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E63037"/>
    <w:multiLevelType w:val="hybridMultilevel"/>
    <w:tmpl w:val="77CC4F1A"/>
    <w:lvl w:ilvl="0" w:tplc="548CE142">
      <w:start w:val="1"/>
      <w:numFmt w:val="lowerLetter"/>
      <w:lvlText w:val="(%1)"/>
      <w:lvlJc w:val="left"/>
      <w:pPr>
        <w:ind w:left="1800" w:hanging="360"/>
      </w:pPr>
      <w:rPr>
        <w:rFonts w:hint="default"/>
      </w:rPr>
    </w:lvl>
    <w:lvl w:ilvl="1" w:tplc="EE7EE064">
      <w:start w:val="1"/>
      <w:numFmt w:val="lowerRoman"/>
      <w:lvlText w:val="(%2)"/>
      <w:lvlJc w:val="left"/>
      <w:pPr>
        <w:ind w:left="2880" w:hanging="72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1AA57F7"/>
    <w:multiLevelType w:val="hybridMultilevel"/>
    <w:tmpl w:val="B238A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9A23B2"/>
    <w:multiLevelType w:val="hybridMultilevel"/>
    <w:tmpl w:val="58B45B9C"/>
    <w:lvl w:ilvl="0" w:tplc="0C09000F">
      <w:start w:val="1"/>
      <w:numFmt w:val="decimal"/>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6EC1F38"/>
    <w:multiLevelType w:val="hybridMultilevel"/>
    <w:tmpl w:val="C76CFA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18B16825"/>
    <w:multiLevelType w:val="hybridMultilevel"/>
    <w:tmpl w:val="FE64D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4307C"/>
    <w:multiLevelType w:val="hybridMultilevel"/>
    <w:tmpl w:val="8CE6D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E17B0A"/>
    <w:multiLevelType w:val="hybridMultilevel"/>
    <w:tmpl w:val="1FDC8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7209A5"/>
    <w:multiLevelType w:val="hybridMultilevel"/>
    <w:tmpl w:val="55724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B06CAF"/>
    <w:multiLevelType w:val="hybridMultilevel"/>
    <w:tmpl w:val="94085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45E0D"/>
    <w:multiLevelType w:val="hybridMultilevel"/>
    <w:tmpl w:val="E1FAE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801073"/>
    <w:multiLevelType w:val="hybridMultilevel"/>
    <w:tmpl w:val="20D01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C14951"/>
    <w:multiLevelType w:val="hybridMultilevel"/>
    <w:tmpl w:val="CFC8DB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675B36"/>
    <w:multiLevelType w:val="hybridMultilevel"/>
    <w:tmpl w:val="E19A5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787EB7"/>
    <w:multiLevelType w:val="hybridMultilevel"/>
    <w:tmpl w:val="667CF8E2"/>
    <w:lvl w:ilvl="0" w:tplc="0C090001">
      <w:start w:val="1"/>
      <w:numFmt w:val="bullet"/>
      <w:lvlText w:val=""/>
      <w:lvlJc w:val="left"/>
      <w:pPr>
        <w:ind w:left="820" w:hanging="360"/>
      </w:pPr>
      <w:rPr>
        <w:rFonts w:ascii="Symbol" w:hAnsi="Symbol" w:hint="default"/>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18" w15:restartNumberingAfterBreak="0">
    <w:nsid w:val="2EE25AF1"/>
    <w:multiLevelType w:val="hybridMultilevel"/>
    <w:tmpl w:val="52FA93C4"/>
    <w:lvl w:ilvl="0" w:tplc="7EC23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514F92"/>
    <w:multiLevelType w:val="hybridMultilevel"/>
    <w:tmpl w:val="E2B01138"/>
    <w:lvl w:ilvl="0" w:tplc="ACE8B1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F0487F"/>
    <w:multiLevelType w:val="hybridMultilevel"/>
    <w:tmpl w:val="54F2329C"/>
    <w:lvl w:ilvl="0" w:tplc="196226EC">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FA44C8C0">
      <w:start w:val="1"/>
      <w:numFmt w:val="bullet"/>
      <w:lvlText w:val=""/>
      <w:lvlJc w:val="left"/>
      <w:pPr>
        <w:ind w:left="2520" w:hanging="360"/>
      </w:pPr>
      <w:rPr>
        <w:rFonts w:ascii="Wingdings" w:hAnsi="Wingdings" w:hint="default"/>
      </w:rPr>
    </w:lvl>
    <w:lvl w:ilvl="3" w:tplc="F7C4D772">
      <w:start w:val="1"/>
      <w:numFmt w:val="bullet"/>
      <w:lvlText w:val=""/>
      <w:lvlJc w:val="left"/>
      <w:pPr>
        <w:ind w:left="3240" w:hanging="360"/>
      </w:pPr>
      <w:rPr>
        <w:rFonts w:ascii="Symbol" w:hAnsi="Symbol" w:hint="default"/>
      </w:rPr>
    </w:lvl>
    <w:lvl w:ilvl="4" w:tplc="E5A20340">
      <w:start w:val="1"/>
      <w:numFmt w:val="bullet"/>
      <w:lvlText w:val="o"/>
      <w:lvlJc w:val="left"/>
      <w:pPr>
        <w:ind w:left="3960" w:hanging="360"/>
      </w:pPr>
      <w:rPr>
        <w:rFonts w:ascii="Courier New" w:hAnsi="Courier New" w:cs="Courier New" w:hint="default"/>
      </w:rPr>
    </w:lvl>
    <w:lvl w:ilvl="5" w:tplc="0C986FA4" w:tentative="1">
      <w:start w:val="1"/>
      <w:numFmt w:val="bullet"/>
      <w:lvlText w:val=""/>
      <w:lvlJc w:val="left"/>
      <w:pPr>
        <w:ind w:left="4680" w:hanging="360"/>
      </w:pPr>
      <w:rPr>
        <w:rFonts w:ascii="Wingdings" w:hAnsi="Wingdings" w:hint="default"/>
      </w:rPr>
    </w:lvl>
    <w:lvl w:ilvl="6" w:tplc="6A12ADA0" w:tentative="1">
      <w:start w:val="1"/>
      <w:numFmt w:val="bullet"/>
      <w:lvlText w:val=""/>
      <w:lvlJc w:val="left"/>
      <w:pPr>
        <w:ind w:left="5400" w:hanging="360"/>
      </w:pPr>
      <w:rPr>
        <w:rFonts w:ascii="Symbol" w:hAnsi="Symbol" w:hint="default"/>
      </w:rPr>
    </w:lvl>
    <w:lvl w:ilvl="7" w:tplc="4502CA3A" w:tentative="1">
      <w:start w:val="1"/>
      <w:numFmt w:val="bullet"/>
      <w:lvlText w:val="o"/>
      <w:lvlJc w:val="left"/>
      <w:pPr>
        <w:ind w:left="6120" w:hanging="360"/>
      </w:pPr>
      <w:rPr>
        <w:rFonts w:ascii="Courier New" w:hAnsi="Courier New" w:cs="Courier New" w:hint="default"/>
      </w:rPr>
    </w:lvl>
    <w:lvl w:ilvl="8" w:tplc="AEA8ED7A" w:tentative="1">
      <w:start w:val="1"/>
      <w:numFmt w:val="bullet"/>
      <w:lvlText w:val=""/>
      <w:lvlJc w:val="left"/>
      <w:pPr>
        <w:ind w:left="6840" w:hanging="360"/>
      </w:pPr>
      <w:rPr>
        <w:rFonts w:ascii="Wingdings" w:hAnsi="Wingdings" w:hint="default"/>
      </w:rPr>
    </w:lvl>
  </w:abstractNum>
  <w:abstractNum w:abstractNumId="21" w15:restartNumberingAfterBreak="0">
    <w:nsid w:val="38183C63"/>
    <w:multiLevelType w:val="hybridMultilevel"/>
    <w:tmpl w:val="BDE8E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1F2F1C"/>
    <w:multiLevelType w:val="hybridMultilevel"/>
    <w:tmpl w:val="37947BDE"/>
    <w:lvl w:ilvl="0" w:tplc="01BABD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8A34C9"/>
    <w:multiLevelType w:val="hybridMultilevel"/>
    <w:tmpl w:val="2EAE4166"/>
    <w:lvl w:ilvl="0" w:tplc="A4B8C5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CD39F6"/>
    <w:multiLevelType w:val="hybridMultilevel"/>
    <w:tmpl w:val="E0722222"/>
    <w:lvl w:ilvl="0" w:tplc="CE809202">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414F25B4"/>
    <w:multiLevelType w:val="hybridMultilevel"/>
    <w:tmpl w:val="5CAA6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17A76"/>
    <w:multiLevelType w:val="hybridMultilevel"/>
    <w:tmpl w:val="71321A3E"/>
    <w:lvl w:ilvl="0" w:tplc="3E548FEC">
      <w:start w:val="1"/>
      <w:numFmt w:val="lowerLetter"/>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F09A5"/>
    <w:multiLevelType w:val="hybridMultilevel"/>
    <w:tmpl w:val="69A8A8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4D18600F"/>
    <w:multiLevelType w:val="hybridMultilevel"/>
    <w:tmpl w:val="EE1423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E01490C"/>
    <w:multiLevelType w:val="hybridMultilevel"/>
    <w:tmpl w:val="2DE62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BE30C3"/>
    <w:multiLevelType w:val="hybridMultilevel"/>
    <w:tmpl w:val="BA1C6F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15:restartNumberingAfterBreak="0">
    <w:nsid w:val="533A1492"/>
    <w:multiLevelType w:val="hybridMultilevel"/>
    <w:tmpl w:val="CC405FC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15:restartNumberingAfterBreak="0">
    <w:nsid w:val="541F6015"/>
    <w:multiLevelType w:val="hybridMultilevel"/>
    <w:tmpl w:val="4F06FAF2"/>
    <w:lvl w:ilvl="0" w:tplc="7EC23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D431ED"/>
    <w:multiLevelType w:val="hybridMultilevel"/>
    <w:tmpl w:val="5D4C9D2A"/>
    <w:lvl w:ilvl="0" w:tplc="0360E4F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B25D17"/>
    <w:multiLevelType w:val="hybridMultilevel"/>
    <w:tmpl w:val="53F437F6"/>
    <w:lvl w:ilvl="0" w:tplc="D9B2182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D05D2F"/>
    <w:multiLevelType w:val="hybridMultilevel"/>
    <w:tmpl w:val="1706A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470273"/>
    <w:multiLevelType w:val="hybridMultilevel"/>
    <w:tmpl w:val="2C1A6F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60DC2CF4"/>
    <w:multiLevelType w:val="multilevel"/>
    <w:tmpl w:val="7512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445783"/>
    <w:multiLevelType w:val="hybridMultilevel"/>
    <w:tmpl w:val="02C8F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0F6B4D"/>
    <w:multiLevelType w:val="hybridMultilevel"/>
    <w:tmpl w:val="6164C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8D343D"/>
    <w:multiLevelType w:val="hybridMultilevel"/>
    <w:tmpl w:val="6BC608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1" w15:restartNumberingAfterBreak="0">
    <w:nsid w:val="75297675"/>
    <w:multiLevelType w:val="hybridMultilevel"/>
    <w:tmpl w:val="5FD849B2"/>
    <w:lvl w:ilvl="0" w:tplc="A46C5B8C">
      <w:start w:val="1"/>
      <w:numFmt w:val="bullet"/>
      <w:lvlText w:val=""/>
      <w:lvlJc w:val="left"/>
      <w:pPr>
        <w:ind w:left="720" w:hanging="360"/>
      </w:pPr>
      <w:rPr>
        <w:rFonts w:ascii="Symbol" w:hAnsi="Symbol" w:hint="default"/>
        <w:color w:val="auto"/>
        <w:sz w:val="32"/>
        <w:szCs w:val="32"/>
      </w:rPr>
    </w:lvl>
    <w:lvl w:ilvl="1" w:tplc="9DD0DED6">
      <w:start w:val="1"/>
      <w:numFmt w:val="bullet"/>
      <w:lvlText w:val="o"/>
      <w:lvlJc w:val="left"/>
      <w:pPr>
        <w:ind w:left="1440" w:hanging="360"/>
      </w:pPr>
      <w:rPr>
        <w:rFonts w:ascii="Courier New" w:hAnsi="Courier New" w:cs="Courier New" w:hint="default"/>
      </w:rPr>
    </w:lvl>
    <w:lvl w:ilvl="2" w:tplc="7388C2A0" w:tentative="1">
      <w:start w:val="1"/>
      <w:numFmt w:val="bullet"/>
      <w:lvlText w:val=""/>
      <w:lvlJc w:val="left"/>
      <w:pPr>
        <w:ind w:left="2160" w:hanging="360"/>
      </w:pPr>
      <w:rPr>
        <w:rFonts w:ascii="Wingdings" w:hAnsi="Wingdings" w:hint="default"/>
      </w:rPr>
    </w:lvl>
    <w:lvl w:ilvl="3" w:tplc="F73A021E" w:tentative="1">
      <w:start w:val="1"/>
      <w:numFmt w:val="bullet"/>
      <w:lvlText w:val=""/>
      <w:lvlJc w:val="left"/>
      <w:pPr>
        <w:ind w:left="2880" w:hanging="360"/>
      </w:pPr>
      <w:rPr>
        <w:rFonts w:ascii="Symbol" w:hAnsi="Symbol" w:hint="default"/>
      </w:rPr>
    </w:lvl>
    <w:lvl w:ilvl="4" w:tplc="A25E86D6" w:tentative="1">
      <w:start w:val="1"/>
      <w:numFmt w:val="bullet"/>
      <w:lvlText w:val="o"/>
      <w:lvlJc w:val="left"/>
      <w:pPr>
        <w:ind w:left="3600" w:hanging="360"/>
      </w:pPr>
      <w:rPr>
        <w:rFonts w:ascii="Courier New" w:hAnsi="Courier New" w:cs="Courier New" w:hint="default"/>
      </w:rPr>
    </w:lvl>
    <w:lvl w:ilvl="5" w:tplc="5756F644" w:tentative="1">
      <w:start w:val="1"/>
      <w:numFmt w:val="bullet"/>
      <w:lvlText w:val=""/>
      <w:lvlJc w:val="left"/>
      <w:pPr>
        <w:ind w:left="4320" w:hanging="360"/>
      </w:pPr>
      <w:rPr>
        <w:rFonts w:ascii="Wingdings" w:hAnsi="Wingdings" w:hint="default"/>
      </w:rPr>
    </w:lvl>
    <w:lvl w:ilvl="6" w:tplc="2940D166" w:tentative="1">
      <w:start w:val="1"/>
      <w:numFmt w:val="bullet"/>
      <w:lvlText w:val=""/>
      <w:lvlJc w:val="left"/>
      <w:pPr>
        <w:ind w:left="5040" w:hanging="360"/>
      </w:pPr>
      <w:rPr>
        <w:rFonts w:ascii="Symbol" w:hAnsi="Symbol" w:hint="default"/>
      </w:rPr>
    </w:lvl>
    <w:lvl w:ilvl="7" w:tplc="D8F269B4" w:tentative="1">
      <w:start w:val="1"/>
      <w:numFmt w:val="bullet"/>
      <w:lvlText w:val="o"/>
      <w:lvlJc w:val="left"/>
      <w:pPr>
        <w:ind w:left="5760" w:hanging="360"/>
      </w:pPr>
      <w:rPr>
        <w:rFonts w:ascii="Courier New" w:hAnsi="Courier New" w:cs="Courier New" w:hint="default"/>
      </w:rPr>
    </w:lvl>
    <w:lvl w:ilvl="8" w:tplc="7F80B942" w:tentative="1">
      <w:start w:val="1"/>
      <w:numFmt w:val="bullet"/>
      <w:lvlText w:val=""/>
      <w:lvlJc w:val="left"/>
      <w:pPr>
        <w:ind w:left="6480" w:hanging="360"/>
      </w:pPr>
      <w:rPr>
        <w:rFonts w:ascii="Wingdings" w:hAnsi="Wingdings" w:hint="default"/>
      </w:rPr>
    </w:lvl>
  </w:abstractNum>
  <w:abstractNum w:abstractNumId="42" w15:restartNumberingAfterBreak="0">
    <w:nsid w:val="7AE1693E"/>
    <w:multiLevelType w:val="hybridMultilevel"/>
    <w:tmpl w:val="06148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F7C05CC"/>
    <w:multiLevelType w:val="hybridMultilevel"/>
    <w:tmpl w:val="36B2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6"/>
  </w:num>
  <w:num w:numId="4">
    <w:abstractNumId w:val="39"/>
  </w:num>
  <w:num w:numId="5">
    <w:abstractNumId w:val="15"/>
  </w:num>
  <w:num w:numId="6">
    <w:abstractNumId w:val="4"/>
  </w:num>
  <w:num w:numId="7">
    <w:abstractNumId w:val="13"/>
  </w:num>
  <w:num w:numId="8">
    <w:abstractNumId w:val="41"/>
  </w:num>
  <w:num w:numId="9">
    <w:abstractNumId w:val="16"/>
  </w:num>
  <w:num w:numId="10">
    <w:abstractNumId w:val="0"/>
  </w:num>
  <w:num w:numId="11">
    <w:abstractNumId w:val="42"/>
  </w:num>
  <w:num w:numId="12">
    <w:abstractNumId w:val="29"/>
  </w:num>
  <w:num w:numId="13">
    <w:abstractNumId w:val="38"/>
  </w:num>
  <w:num w:numId="14">
    <w:abstractNumId w:val="42"/>
  </w:num>
  <w:num w:numId="15">
    <w:abstractNumId w:val="35"/>
  </w:num>
  <w:num w:numId="16">
    <w:abstractNumId w:val="43"/>
  </w:num>
  <w:num w:numId="17">
    <w:abstractNumId w:val="2"/>
  </w:num>
  <w:num w:numId="18">
    <w:abstractNumId w:val="21"/>
  </w:num>
  <w:num w:numId="19">
    <w:abstractNumId w:val="28"/>
  </w:num>
  <w:num w:numId="20">
    <w:abstractNumId w:val="3"/>
  </w:num>
  <w:num w:numId="21">
    <w:abstractNumId w:val="11"/>
  </w:num>
  <w:num w:numId="22">
    <w:abstractNumId w:val="28"/>
  </w:num>
  <w:num w:numId="23">
    <w:abstractNumId w:val="36"/>
  </w:num>
  <w:num w:numId="24">
    <w:abstractNumId w:val="40"/>
  </w:num>
  <w:num w:numId="25">
    <w:abstractNumId w:val="37"/>
  </w:num>
  <w:num w:numId="26">
    <w:abstractNumId w:val="25"/>
  </w:num>
  <w:num w:numId="27">
    <w:abstractNumId w:val="31"/>
  </w:num>
  <w:num w:numId="28">
    <w:abstractNumId w:val="7"/>
  </w:num>
  <w:num w:numId="29">
    <w:abstractNumId w:val="8"/>
  </w:num>
  <w:num w:numId="30">
    <w:abstractNumId w:val="14"/>
  </w:num>
  <w:num w:numId="31">
    <w:abstractNumId w:val="26"/>
  </w:num>
  <w:num w:numId="32">
    <w:abstractNumId w:val="23"/>
  </w:num>
  <w:num w:numId="33">
    <w:abstractNumId w:val="20"/>
  </w:num>
  <w:num w:numId="34">
    <w:abstractNumId w:val="5"/>
  </w:num>
  <w:num w:numId="35">
    <w:abstractNumId w:val="10"/>
  </w:num>
  <w:num w:numId="36">
    <w:abstractNumId w:val="22"/>
  </w:num>
  <w:num w:numId="37">
    <w:abstractNumId w:val="30"/>
  </w:num>
  <w:num w:numId="38">
    <w:abstractNumId w:val="19"/>
  </w:num>
  <w:num w:numId="39">
    <w:abstractNumId w:val="33"/>
  </w:num>
  <w:num w:numId="40">
    <w:abstractNumId w:val="1"/>
  </w:num>
  <w:num w:numId="41">
    <w:abstractNumId w:val="12"/>
  </w:num>
  <w:num w:numId="42">
    <w:abstractNumId w:val="32"/>
  </w:num>
  <w:num w:numId="43">
    <w:abstractNumId w:val="27"/>
  </w:num>
  <w:num w:numId="44">
    <w:abstractNumId w:val="18"/>
  </w:num>
  <w:num w:numId="45">
    <w:abstractNumId w:val="1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D9CDBE"/>
    <w:rsid w:val="0000082F"/>
    <w:rsid w:val="00002D16"/>
    <w:rsid w:val="00003822"/>
    <w:rsid w:val="000044F3"/>
    <w:rsid w:val="00004975"/>
    <w:rsid w:val="00006946"/>
    <w:rsid w:val="0001449B"/>
    <w:rsid w:val="00015C68"/>
    <w:rsid w:val="00016233"/>
    <w:rsid w:val="00016B3D"/>
    <w:rsid w:val="00020191"/>
    <w:rsid w:val="00020595"/>
    <w:rsid w:val="0002218D"/>
    <w:rsid w:val="00022375"/>
    <w:rsid w:val="00022696"/>
    <w:rsid w:val="00022DC5"/>
    <w:rsid w:val="000236D7"/>
    <w:rsid w:val="00024F93"/>
    <w:rsid w:val="00025AFA"/>
    <w:rsid w:val="000306A1"/>
    <w:rsid w:val="00031DF9"/>
    <w:rsid w:val="00032071"/>
    <w:rsid w:val="000324AE"/>
    <w:rsid w:val="000326C6"/>
    <w:rsid w:val="00035D9A"/>
    <w:rsid w:val="00036DAB"/>
    <w:rsid w:val="00043DBF"/>
    <w:rsid w:val="00045A7A"/>
    <w:rsid w:val="00047566"/>
    <w:rsid w:val="000475B2"/>
    <w:rsid w:val="00047BD6"/>
    <w:rsid w:val="00047FF0"/>
    <w:rsid w:val="0005072D"/>
    <w:rsid w:val="00054573"/>
    <w:rsid w:val="000559FB"/>
    <w:rsid w:val="00055CAC"/>
    <w:rsid w:val="00056DAE"/>
    <w:rsid w:val="0006512D"/>
    <w:rsid w:val="0006698E"/>
    <w:rsid w:val="0006773C"/>
    <w:rsid w:val="00071029"/>
    <w:rsid w:val="00075DD6"/>
    <w:rsid w:val="00075E14"/>
    <w:rsid w:val="00076D43"/>
    <w:rsid w:val="0008164E"/>
    <w:rsid w:val="000818D0"/>
    <w:rsid w:val="00081EA2"/>
    <w:rsid w:val="00082B1F"/>
    <w:rsid w:val="00082ECC"/>
    <w:rsid w:val="0008549F"/>
    <w:rsid w:val="000858CC"/>
    <w:rsid w:val="00087BDD"/>
    <w:rsid w:val="00092C90"/>
    <w:rsid w:val="00094775"/>
    <w:rsid w:val="000975B0"/>
    <w:rsid w:val="000A016A"/>
    <w:rsid w:val="000A0F81"/>
    <w:rsid w:val="000A2989"/>
    <w:rsid w:val="000A3272"/>
    <w:rsid w:val="000A466D"/>
    <w:rsid w:val="000B092B"/>
    <w:rsid w:val="000B2714"/>
    <w:rsid w:val="000B285C"/>
    <w:rsid w:val="000B2D26"/>
    <w:rsid w:val="000B2EE8"/>
    <w:rsid w:val="000B4172"/>
    <w:rsid w:val="000C0E3E"/>
    <w:rsid w:val="000C1AF1"/>
    <w:rsid w:val="000C2404"/>
    <w:rsid w:val="000C4D59"/>
    <w:rsid w:val="000C5D92"/>
    <w:rsid w:val="000C6D8F"/>
    <w:rsid w:val="000C78F7"/>
    <w:rsid w:val="000C7FC1"/>
    <w:rsid w:val="000D0468"/>
    <w:rsid w:val="000D2474"/>
    <w:rsid w:val="000D3680"/>
    <w:rsid w:val="000D5EE0"/>
    <w:rsid w:val="000D725E"/>
    <w:rsid w:val="000D75A0"/>
    <w:rsid w:val="000D7B09"/>
    <w:rsid w:val="000E281E"/>
    <w:rsid w:val="000E3BD5"/>
    <w:rsid w:val="000E3D55"/>
    <w:rsid w:val="000E76CC"/>
    <w:rsid w:val="000E79E6"/>
    <w:rsid w:val="000E7C0C"/>
    <w:rsid w:val="000F0C17"/>
    <w:rsid w:val="000F41E8"/>
    <w:rsid w:val="000F517E"/>
    <w:rsid w:val="000F569F"/>
    <w:rsid w:val="000F661C"/>
    <w:rsid w:val="00101384"/>
    <w:rsid w:val="00102116"/>
    <w:rsid w:val="00102609"/>
    <w:rsid w:val="00102CE0"/>
    <w:rsid w:val="00102F95"/>
    <w:rsid w:val="00103191"/>
    <w:rsid w:val="001068A7"/>
    <w:rsid w:val="00106EA8"/>
    <w:rsid w:val="00113444"/>
    <w:rsid w:val="00113A65"/>
    <w:rsid w:val="00114E8A"/>
    <w:rsid w:val="00116F7F"/>
    <w:rsid w:val="001175D8"/>
    <w:rsid w:val="001243CA"/>
    <w:rsid w:val="00126E0B"/>
    <w:rsid w:val="0013048C"/>
    <w:rsid w:val="001330B8"/>
    <w:rsid w:val="00134A2D"/>
    <w:rsid w:val="00142C2B"/>
    <w:rsid w:val="00144198"/>
    <w:rsid w:val="00146C9E"/>
    <w:rsid w:val="00150B08"/>
    <w:rsid w:val="001530FC"/>
    <w:rsid w:val="0015488F"/>
    <w:rsid w:val="0015656A"/>
    <w:rsid w:val="00156FD2"/>
    <w:rsid w:val="001600C9"/>
    <w:rsid w:val="001666FE"/>
    <w:rsid w:val="001703D5"/>
    <w:rsid w:val="00170AA1"/>
    <w:rsid w:val="0017162F"/>
    <w:rsid w:val="001752B1"/>
    <w:rsid w:val="00176B2B"/>
    <w:rsid w:val="001826D0"/>
    <w:rsid w:val="001833E8"/>
    <w:rsid w:val="00185A28"/>
    <w:rsid w:val="00187104"/>
    <w:rsid w:val="0019069D"/>
    <w:rsid w:val="00191DD5"/>
    <w:rsid w:val="0019235E"/>
    <w:rsid w:val="00193BE6"/>
    <w:rsid w:val="001A0457"/>
    <w:rsid w:val="001A212F"/>
    <w:rsid w:val="001A5B31"/>
    <w:rsid w:val="001A6745"/>
    <w:rsid w:val="001B075F"/>
    <w:rsid w:val="001B152B"/>
    <w:rsid w:val="001B2F66"/>
    <w:rsid w:val="001B775F"/>
    <w:rsid w:val="001B7C42"/>
    <w:rsid w:val="001C0710"/>
    <w:rsid w:val="001C3753"/>
    <w:rsid w:val="001C423C"/>
    <w:rsid w:val="001C73DB"/>
    <w:rsid w:val="001D0256"/>
    <w:rsid w:val="001D06FB"/>
    <w:rsid w:val="001D2AA7"/>
    <w:rsid w:val="001D2C0C"/>
    <w:rsid w:val="001D2D71"/>
    <w:rsid w:val="001D394D"/>
    <w:rsid w:val="001D4410"/>
    <w:rsid w:val="001D5E64"/>
    <w:rsid w:val="001E1327"/>
    <w:rsid w:val="001E19E4"/>
    <w:rsid w:val="001F4EE8"/>
    <w:rsid w:val="001F7396"/>
    <w:rsid w:val="001F7E7E"/>
    <w:rsid w:val="00212A58"/>
    <w:rsid w:val="0021568E"/>
    <w:rsid w:val="00215CA0"/>
    <w:rsid w:val="002168CD"/>
    <w:rsid w:val="0022170A"/>
    <w:rsid w:val="00221DAB"/>
    <w:rsid w:val="0022375E"/>
    <w:rsid w:val="0022618E"/>
    <w:rsid w:val="00226C76"/>
    <w:rsid w:val="00226FD7"/>
    <w:rsid w:val="0023251F"/>
    <w:rsid w:val="00232B7F"/>
    <w:rsid w:val="0023357A"/>
    <w:rsid w:val="00234D91"/>
    <w:rsid w:val="00235553"/>
    <w:rsid w:val="00235DB1"/>
    <w:rsid w:val="0023671F"/>
    <w:rsid w:val="002369E7"/>
    <w:rsid w:val="002413D9"/>
    <w:rsid w:val="00244FEB"/>
    <w:rsid w:val="00246838"/>
    <w:rsid w:val="00247D05"/>
    <w:rsid w:val="0025037B"/>
    <w:rsid w:val="00251279"/>
    <w:rsid w:val="00256214"/>
    <w:rsid w:val="00257FC7"/>
    <w:rsid w:val="0026009A"/>
    <w:rsid w:val="00260BD0"/>
    <w:rsid w:val="002617E3"/>
    <w:rsid w:val="00264E71"/>
    <w:rsid w:val="002651B3"/>
    <w:rsid w:val="002651C9"/>
    <w:rsid w:val="00265513"/>
    <w:rsid w:val="002656AD"/>
    <w:rsid w:val="00265EAB"/>
    <w:rsid w:val="00270A04"/>
    <w:rsid w:val="002718BE"/>
    <w:rsid w:val="002719AF"/>
    <w:rsid w:val="00271D5D"/>
    <w:rsid w:val="00273D2C"/>
    <w:rsid w:val="00277F7B"/>
    <w:rsid w:val="00280953"/>
    <w:rsid w:val="002821DF"/>
    <w:rsid w:val="00282B57"/>
    <w:rsid w:val="00284AF6"/>
    <w:rsid w:val="0028625C"/>
    <w:rsid w:val="002942A7"/>
    <w:rsid w:val="00294E61"/>
    <w:rsid w:val="00295BBB"/>
    <w:rsid w:val="002971CD"/>
    <w:rsid w:val="002A0A82"/>
    <w:rsid w:val="002A28DE"/>
    <w:rsid w:val="002A6AF1"/>
    <w:rsid w:val="002A6B17"/>
    <w:rsid w:val="002A72BC"/>
    <w:rsid w:val="002B0414"/>
    <w:rsid w:val="002B08DF"/>
    <w:rsid w:val="002B08E2"/>
    <w:rsid w:val="002B0E1A"/>
    <w:rsid w:val="002B14AE"/>
    <w:rsid w:val="002B1D60"/>
    <w:rsid w:val="002B234F"/>
    <w:rsid w:val="002B2CFA"/>
    <w:rsid w:val="002B59FA"/>
    <w:rsid w:val="002B6BC4"/>
    <w:rsid w:val="002C15EE"/>
    <w:rsid w:val="002C36C8"/>
    <w:rsid w:val="002C4156"/>
    <w:rsid w:val="002C7677"/>
    <w:rsid w:val="002D0713"/>
    <w:rsid w:val="002D0D7B"/>
    <w:rsid w:val="002D1D50"/>
    <w:rsid w:val="002D34EC"/>
    <w:rsid w:val="002D387E"/>
    <w:rsid w:val="002D3B9E"/>
    <w:rsid w:val="002D4881"/>
    <w:rsid w:val="002D6EA2"/>
    <w:rsid w:val="002E0FC0"/>
    <w:rsid w:val="002E132F"/>
    <w:rsid w:val="002E244A"/>
    <w:rsid w:val="002E5528"/>
    <w:rsid w:val="002E5B7C"/>
    <w:rsid w:val="002E726D"/>
    <w:rsid w:val="002E7686"/>
    <w:rsid w:val="002E77AE"/>
    <w:rsid w:val="002F0746"/>
    <w:rsid w:val="002F11DE"/>
    <w:rsid w:val="002F70D3"/>
    <w:rsid w:val="002F7C43"/>
    <w:rsid w:val="00300961"/>
    <w:rsid w:val="00302D47"/>
    <w:rsid w:val="00306273"/>
    <w:rsid w:val="003067EB"/>
    <w:rsid w:val="003119B9"/>
    <w:rsid w:val="00316702"/>
    <w:rsid w:val="00316C8F"/>
    <w:rsid w:val="00321419"/>
    <w:rsid w:val="00325F41"/>
    <w:rsid w:val="0032749D"/>
    <w:rsid w:val="00327730"/>
    <w:rsid w:val="00327828"/>
    <w:rsid w:val="00330041"/>
    <w:rsid w:val="00332DDE"/>
    <w:rsid w:val="00333311"/>
    <w:rsid w:val="00333494"/>
    <w:rsid w:val="00333858"/>
    <w:rsid w:val="0033421C"/>
    <w:rsid w:val="00334EA0"/>
    <w:rsid w:val="00337472"/>
    <w:rsid w:val="003429AD"/>
    <w:rsid w:val="00345988"/>
    <w:rsid w:val="00351913"/>
    <w:rsid w:val="003535B3"/>
    <w:rsid w:val="0035509B"/>
    <w:rsid w:val="003551BC"/>
    <w:rsid w:val="003632FE"/>
    <w:rsid w:val="00365757"/>
    <w:rsid w:val="00365E32"/>
    <w:rsid w:val="00365FDB"/>
    <w:rsid w:val="003677B8"/>
    <w:rsid w:val="003720BA"/>
    <w:rsid w:val="00372238"/>
    <w:rsid w:val="0037296B"/>
    <w:rsid w:val="003746F0"/>
    <w:rsid w:val="00376F38"/>
    <w:rsid w:val="00377D62"/>
    <w:rsid w:val="00382D69"/>
    <w:rsid w:val="00383FD8"/>
    <w:rsid w:val="00384BFB"/>
    <w:rsid w:val="00384D3C"/>
    <w:rsid w:val="00384EDB"/>
    <w:rsid w:val="00386326"/>
    <w:rsid w:val="0038742C"/>
    <w:rsid w:val="00387734"/>
    <w:rsid w:val="00387A85"/>
    <w:rsid w:val="00390B39"/>
    <w:rsid w:val="00391D1B"/>
    <w:rsid w:val="0039430F"/>
    <w:rsid w:val="003A0447"/>
    <w:rsid w:val="003A0A72"/>
    <w:rsid w:val="003A0D69"/>
    <w:rsid w:val="003A49E4"/>
    <w:rsid w:val="003A6BF5"/>
    <w:rsid w:val="003A7678"/>
    <w:rsid w:val="003B2446"/>
    <w:rsid w:val="003B264B"/>
    <w:rsid w:val="003B7441"/>
    <w:rsid w:val="003B753A"/>
    <w:rsid w:val="003B7B58"/>
    <w:rsid w:val="003C1B16"/>
    <w:rsid w:val="003C41A4"/>
    <w:rsid w:val="003C5462"/>
    <w:rsid w:val="003C6FFC"/>
    <w:rsid w:val="003C7216"/>
    <w:rsid w:val="003D058B"/>
    <w:rsid w:val="003D2DD8"/>
    <w:rsid w:val="003D3659"/>
    <w:rsid w:val="003D772A"/>
    <w:rsid w:val="003E1902"/>
    <w:rsid w:val="003E255A"/>
    <w:rsid w:val="003E2BBD"/>
    <w:rsid w:val="003E3E7F"/>
    <w:rsid w:val="003E6E0E"/>
    <w:rsid w:val="003F0FBE"/>
    <w:rsid w:val="003F2BCD"/>
    <w:rsid w:val="00402E7D"/>
    <w:rsid w:val="00403518"/>
    <w:rsid w:val="0040380A"/>
    <w:rsid w:val="00406DDF"/>
    <w:rsid w:val="00415217"/>
    <w:rsid w:val="00415A2A"/>
    <w:rsid w:val="00416A46"/>
    <w:rsid w:val="00417D2D"/>
    <w:rsid w:val="004200A3"/>
    <w:rsid w:val="00423557"/>
    <w:rsid w:val="00424697"/>
    <w:rsid w:val="004260FF"/>
    <w:rsid w:val="0042749B"/>
    <w:rsid w:val="00427A2F"/>
    <w:rsid w:val="00435D5D"/>
    <w:rsid w:val="00440B9C"/>
    <w:rsid w:val="00440E1E"/>
    <w:rsid w:val="0044478A"/>
    <w:rsid w:val="004451B4"/>
    <w:rsid w:val="00446CBF"/>
    <w:rsid w:val="00450C73"/>
    <w:rsid w:val="00455A22"/>
    <w:rsid w:val="0046040F"/>
    <w:rsid w:val="00460615"/>
    <w:rsid w:val="00460E05"/>
    <w:rsid w:val="00460E2C"/>
    <w:rsid w:val="00460FFA"/>
    <w:rsid w:val="004621E1"/>
    <w:rsid w:val="004640E4"/>
    <w:rsid w:val="0046477A"/>
    <w:rsid w:val="004669FB"/>
    <w:rsid w:val="00467BEA"/>
    <w:rsid w:val="0047129F"/>
    <w:rsid w:val="00474D89"/>
    <w:rsid w:val="00481663"/>
    <w:rsid w:val="0048399F"/>
    <w:rsid w:val="00483EC1"/>
    <w:rsid w:val="004856D5"/>
    <w:rsid w:val="004876CE"/>
    <w:rsid w:val="004902EA"/>
    <w:rsid w:val="00493065"/>
    <w:rsid w:val="0049400D"/>
    <w:rsid w:val="004A0D16"/>
    <w:rsid w:val="004A45FE"/>
    <w:rsid w:val="004A4DCB"/>
    <w:rsid w:val="004A6BC9"/>
    <w:rsid w:val="004A6DEF"/>
    <w:rsid w:val="004B13ED"/>
    <w:rsid w:val="004B2121"/>
    <w:rsid w:val="004C05B4"/>
    <w:rsid w:val="004C19DC"/>
    <w:rsid w:val="004C27F4"/>
    <w:rsid w:val="004C4F4F"/>
    <w:rsid w:val="004C5775"/>
    <w:rsid w:val="004C6A3D"/>
    <w:rsid w:val="004C7491"/>
    <w:rsid w:val="004D02A5"/>
    <w:rsid w:val="004D483C"/>
    <w:rsid w:val="004D6985"/>
    <w:rsid w:val="004D6EE1"/>
    <w:rsid w:val="004D7994"/>
    <w:rsid w:val="004E068D"/>
    <w:rsid w:val="004E41C1"/>
    <w:rsid w:val="004E52D6"/>
    <w:rsid w:val="004E57FA"/>
    <w:rsid w:val="004F2B03"/>
    <w:rsid w:val="004F3C29"/>
    <w:rsid w:val="004F7CB0"/>
    <w:rsid w:val="00501EC7"/>
    <w:rsid w:val="0050253A"/>
    <w:rsid w:val="00503C3A"/>
    <w:rsid w:val="00504836"/>
    <w:rsid w:val="0050505F"/>
    <w:rsid w:val="005062E2"/>
    <w:rsid w:val="00506574"/>
    <w:rsid w:val="00506E1B"/>
    <w:rsid w:val="00507E2D"/>
    <w:rsid w:val="00510316"/>
    <w:rsid w:val="00512DD3"/>
    <w:rsid w:val="00512EA8"/>
    <w:rsid w:val="00512F25"/>
    <w:rsid w:val="00513974"/>
    <w:rsid w:val="0052030A"/>
    <w:rsid w:val="005205F4"/>
    <w:rsid w:val="0052362F"/>
    <w:rsid w:val="00524CC1"/>
    <w:rsid w:val="005306C8"/>
    <w:rsid w:val="00533E68"/>
    <w:rsid w:val="00533E74"/>
    <w:rsid w:val="00534B26"/>
    <w:rsid w:val="005361FC"/>
    <w:rsid w:val="00540316"/>
    <w:rsid w:val="00544ADD"/>
    <w:rsid w:val="00545291"/>
    <w:rsid w:val="005459CE"/>
    <w:rsid w:val="00546E31"/>
    <w:rsid w:val="00546ED7"/>
    <w:rsid w:val="00551BF5"/>
    <w:rsid w:val="00551F25"/>
    <w:rsid w:val="00552B5E"/>
    <w:rsid w:val="00554825"/>
    <w:rsid w:val="00554ADD"/>
    <w:rsid w:val="00556C0F"/>
    <w:rsid w:val="00561A66"/>
    <w:rsid w:val="0056247F"/>
    <w:rsid w:val="00563298"/>
    <w:rsid w:val="00566C9D"/>
    <w:rsid w:val="00571A8A"/>
    <w:rsid w:val="00572285"/>
    <w:rsid w:val="00573F3E"/>
    <w:rsid w:val="00576597"/>
    <w:rsid w:val="00581759"/>
    <w:rsid w:val="00581829"/>
    <w:rsid w:val="00581D10"/>
    <w:rsid w:val="00581F78"/>
    <w:rsid w:val="00581F7C"/>
    <w:rsid w:val="00582A13"/>
    <w:rsid w:val="005856FC"/>
    <w:rsid w:val="00586351"/>
    <w:rsid w:val="005874E7"/>
    <w:rsid w:val="00587C41"/>
    <w:rsid w:val="0059477C"/>
    <w:rsid w:val="00595D51"/>
    <w:rsid w:val="00595F69"/>
    <w:rsid w:val="0059715D"/>
    <w:rsid w:val="00597C17"/>
    <w:rsid w:val="00597D8B"/>
    <w:rsid w:val="005A44D6"/>
    <w:rsid w:val="005A668D"/>
    <w:rsid w:val="005B0872"/>
    <w:rsid w:val="005B22E7"/>
    <w:rsid w:val="005B2FB3"/>
    <w:rsid w:val="005B3A16"/>
    <w:rsid w:val="005B74D9"/>
    <w:rsid w:val="005C18DF"/>
    <w:rsid w:val="005C590A"/>
    <w:rsid w:val="005D0DED"/>
    <w:rsid w:val="005D187E"/>
    <w:rsid w:val="005D18CD"/>
    <w:rsid w:val="005D58F1"/>
    <w:rsid w:val="005D5EE8"/>
    <w:rsid w:val="005E3236"/>
    <w:rsid w:val="005E45A4"/>
    <w:rsid w:val="005E6942"/>
    <w:rsid w:val="005F2B9E"/>
    <w:rsid w:val="0060037E"/>
    <w:rsid w:val="00600979"/>
    <w:rsid w:val="006012A9"/>
    <w:rsid w:val="00603086"/>
    <w:rsid w:val="006044B1"/>
    <w:rsid w:val="00607DD5"/>
    <w:rsid w:val="0061114F"/>
    <w:rsid w:val="006127C0"/>
    <w:rsid w:val="00612A7E"/>
    <w:rsid w:val="00613DF0"/>
    <w:rsid w:val="0061608C"/>
    <w:rsid w:val="00617AA6"/>
    <w:rsid w:val="00617F0F"/>
    <w:rsid w:val="00620576"/>
    <w:rsid w:val="00620D37"/>
    <w:rsid w:val="00621CEB"/>
    <w:rsid w:val="006222C0"/>
    <w:rsid w:val="00622AA0"/>
    <w:rsid w:val="00622E8D"/>
    <w:rsid w:val="0062368B"/>
    <w:rsid w:val="00623799"/>
    <w:rsid w:val="00623988"/>
    <w:rsid w:val="006266F4"/>
    <w:rsid w:val="00627CA8"/>
    <w:rsid w:val="006302F9"/>
    <w:rsid w:val="00631099"/>
    <w:rsid w:val="00632147"/>
    <w:rsid w:val="00633886"/>
    <w:rsid w:val="00644459"/>
    <w:rsid w:val="00651572"/>
    <w:rsid w:val="00651C53"/>
    <w:rsid w:val="006524EB"/>
    <w:rsid w:val="0065360B"/>
    <w:rsid w:val="00654469"/>
    <w:rsid w:val="00654B40"/>
    <w:rsid w:val="00661B4F"/>
    <w:rsid w:val="00662432"/>
    <w:rsid w:val="00662942"/>
    <w:rsid w:val="00664826"/>
    <w:rsid w:val="00670A44"/>
    <w:rsid w:val="00670C81"/>
    <w:rsid w:val="00672AE8"/>
    <w:rsid w:val="006734D8"/>
    <w:rsid w:val="00683549"/>
    <w:rsid w:val="00692385"/>
    <w:rsid w:val="00692ABB"/>
    <w:rsid w:val="0069374D"/>
    <w:rsid w:val="00693BD9"/>
    <w:rsid w:val="00694CFA"/>
    <w:rsid w:val="0069631A"/>
    <w:rsid w:val="00697424"/>
    <w:rsid w:val="006A02B0"/>
    <w:rsid w:val="006A11E5"/>
    <w:rsid w:val="006A21BC"/>
    <w:rsid w:val="006A700D"/>
    <w:rsid w:val="006A7AEF"/>
    <w:rsid w:val="006B1693"/>
    <w:rsid w:val="006B1F90"/>
    <w:rsid w:val="006B2B4A"/>
    <w:rsid w:val="006B41F6"/>
    <w:rsid w:val="006B47BB"/>
    <w:rsid w:val="006B6354"/>
    <w:rsid w:val="006B648D"/>
    <w:rsid w:val="006B7E71"/>
    <w:rsid w:val="006C0676"/>
    <w:rsid w:val="006C192D"/>
    <w:rsid w:val="006C215C"/>
    <w:rsid w:val="006C282D"/>
    <w:rsid w:val="006C3A18"/>
    <w:rsid w:val="006C4688"/>
    <w:rsid w:val="006D1C9D"/>
    <w:rsid w:val="006D2C14"/>
    <w:rsid w:val="006D30AA"/>
    <w:rsid w:val="006D4179"/>
    <w:rsid w:val="006D522F"/>
    <w:rsid w:val="006D5AD5"/>
    <w:rsid w:val="006D5C9C"/>
    <w:rsid w:val="006D6967"/>
    <w:rsid w:val="006D7801"/>
    <w:rsid w:val="006E4BA2"/>
    <w:rsid w:val="006E7FBF"/>
    <w:rsid w:val="006F0372"/>
    <w:rsid w:val="006F2EFB"/>
    <w:rsid w:val="006F37A9"/>
    <w:rsid w:val="006F5139"/>
    <w:rsid w:val="006F5570"/>
    <w:rsid w:val="006F5986"/>
    <w:rsid w:val="006F6B5C"/>
    <w:rsid w:val="006F6BF5"/>
    <w:rsid w:val="00700412"/>
    <w:rsid w:val="0070323A"/>
    <w:rsid w:val="00703B27"/>
    <w:rsid w:val="0070636A"/>
    <w:rsid w:val="0070772F"/>
    <w:rsid w:val="0071451E"/>
    <w:rsid w:val="00714B19"/>
    <w:rsid w:val="00714F0E"/>
    <w:rsid w:val="00715EC0"/>
    <w:rsid w:val="00717263"/>
    <w:rsid w:val="00721259"/>
    <w:rsid w:val="00722B1E"/>
    <w:rsid w:val="00722DD1"/>
    <w:rsid w:val="0072687F"/>
    <w:rsid w:val="0072708E"/>
    <w:rsid w:val="00727838"/>
    <w:rsid w:val="00730A4B"/>
    <w:rsid w:val="00731496"/>
    <w:rsid w:val="00731550"/>
    <w:rsid w:val="00734A2E"/>
    <w:rsid w:val="00734CE1"/>
    <w:rsid w:val="00735989"/>
    <w:rsid w:val="007363E6"/>
    <w:rsid w:val="00740B88"/>
    <w:rsid w:val="00741A1F"/>
    <w:rsid w:val="00743D0D"/>
    <w:rsid w:val="007440E9"/>
    <w:rsid w:val="00744E9F"/>
    <w:rsid w:val="00746DF4"/>
    <w:rsid w:val="00747EC7"/>
    <w:rsid w:val="00750A30"/>
    <w:rsid w:val="00751BE8"/>
    <w:rsid w:val="00754A19"/>
    <w:rsid w:val="007554C4"/>
    <w:rsid w:val="00755511"/>
    <w:rsid w:val="00757119"/>
    <w:rsid w:val="00763DFE"/>
    <w:rsid w:val="0077090F"/>
    <w:rsid w:val="00770C6E"/>
    <w:rsid w:val="00770DC2"/>
    <w:rsid w:val="007736D4"/>
    <w:rsid w:val="0077736B"/>
    <w:rsid w:val="00781088"/>
    <w:rsid w:val="00782B57"/>
    <w:rsid w:val="0078309C"/>
    <w:rsid w:val="007830ED"/>
    <w:rsid w:val="00783153"/>
    <w:rsid w:val="00783E46"/>
    <w:rsid w:val="00784485"/>
    <w:rsid w:val="0078475A"/>
    <w:rsid w:val="00785EBB"/>
    <w:rsid w:val="00786763"/>
    <w:rsid w:val="007870CD"/>
    <w:rsid w:val="0078719D"/>
    <w:rsid w:val="00791F2A"/>
    <w:rsid w:val="007922FB"/>
    <w:rsid w:val="0079371C"/>
    <w:rsid w:val="00796305"/>
    <w:rsid w:val="007979BC"/>
    <w:rsid w:val="007A1E7E"/>
    <w:rsid w:val="007A40D6"/>
    <w:rsid w:val="007A4F20"/>
    <w:rsid w:val="007A66DE"/>
    <w:rsid w:val="007A6B63"/>
    <w:rsid w:val="007A786E"/>
    <w:rsid w:val="007B0B66"/>
    <w:rsid w:val="007B188C"/>
    <w:rsid w:val="007B1F01"/>
    <w:rsid w:val="007B2044"/>
    <w:rsid w:val="007B4CA8"/>
    <w:rsid w:val="007B6128"/>
    <w:rsid w:val="007B71C3"/>
    <w:rsid w:val="007C1B47"/>
    <w:rsid w:val="007C256C"/>
    <w:rsid w:val="007C36F6"/>
    <w:rsid w:val="007C55F7"/>
    <w:rsid w:val="007C6563"/>
    <w:rsid w:val="007D1390"/>
    <w:rsid w:val="007D1A20"/>
    <w:rsid w:val="007D2043"/>
    <w:rsid w:val="007D3C2D"/>
    <w:rsid w:val="007D5E85"/>
    <w:rsid w:val="007D6A25"/>
    <w:rsid w:val="007E0023"/>
    <w:rsid w:val="007E08D2"/>
    <w:rsid w:val="007E1607"/>
    <w:rsid w:val="007E6124"/>
    <w:rsid w:val="007F1106"/>
    <w:rsid w:val="007F2D83"/>
    <w:rsid w:val="007F71FC"/>
    <w:rsid w:val="007F73F1"/>
    <w:rsid w:val="00800104"/>
    <w:rsid w:val="008009D4"/>
    <w:rsid w:val="00801E7E"/>
    <w:rsid w:val="008040BB"/>
    <w:rsid w:val="00806B95"/>
    <w:rsid w:val="008072B0"/>
    <w:rsid w:val="00817CE8"/>
    <w:rsid w:val="00817FD8"/>
    <w:rsid w:val="0082241E"/>
    <w:rsid w:val="00824DBF"/>
    <w:rsid w:val="00826FDE"/>
    <w:rsid w:val="008270AF"/>
    <w:rsid w:val="00827B4C"/>
    <w:rsid w:val="00831BD7"/>
    <w:rsid w:val="00834162"/>
    <w:rsid w:val="00834992"/>
    <w:rsid w:val="008502AE"/>
    <w:rsid w:val="00850DD4"/>
    <w:rsid w:val="0085136F"/>
    <w:rsid w:val="0085379B"/>
    <w:rsid w:val="00857564"/>
    <w:rsid w:val="00861769"/>
    <w:rsid w:val="0086285A"/>
    <w:rsid w:val="00863138"/>
    <w:rsid w:val="008677FA"/>
    <w:rsid w:val="00874B6C"/>
    <w:rsid w:val="00875DD7"/>
    <w:rsid w:val="00877AAD"/>
    <w:rsid w:val="00880A5E"/>
    <w:rsid w:val="0088291E"/>
    <w:rsid w:val="00882D88"/>
    <w:rsid w:val="00883053"/>
    <w:rsid w:val="00883D74"/>
    <w:rsid w:val="00890B27"/>
    <w:rsid w:val="00890DC9"/>
    <w:rsid w:val="008917AA"/>
    <w:rsid w:val="00892379"/>
    <w:rsid w:val="00892546"/>
    <w:rsid w:val="00893D64"/>
    <w:rsid w:val="00893E65"/>
    <w:rsid w:val="008944D0"/>
    <w:rsid w:val="00894DDC"/>
    <w:rsid w:val="00895E6A"/>
    <w:rsid w:val="008A696A"/>
    <w:rsid w:val="008A6FB2"/>
    <w:rsid w:val="008A724A"/>
    <w:rsid w:val="008A7C91"/>
    <w:rsid w:val="008B00FB"/>
    <w:rsid w:val="008B027C"/>
    <w:rsid w:val="008B0FA7"/>
    <w:rsid w:val="008B1BF4"/>
    <w:rsid w:val="008B1E17"/>
    <w:rsid w:val="008B3DBB"/>
    <w:rsid w:val="008B4001"/>
    <w:rsid w:val="008B66CB"/>
    <w:rsid w:val="008B68F3"/>
    <w:rsid w:val="008B725B"/>
    <w:rsid w:val="008B779F"/>
    <w:rsid w:val="008C0821"/>
    <w:rsid w:val="008C51A3"/>
    <w:rsid w:val="008C78D7"/>
    <w:rsid w:val="008D11E7"/>
    <w:rsid w:val="008D3371"/>
    <w:rsid w:val="008D3436"/>
    <w:rsid w:val="008D3B8A"/>
    <w:rsid w:val="008D3DFF"/>
    <w:rsid w:val="008D680A"/>
    <w:rsid w:val="008E251D"/>
    <w:rsid w:val="008E366F"/>
    <w:rsid w:val="008E3B8E"/>
    <w:rsid w:val="008E3CD4"/>
    <w:rsid w:val="008E429B"/>
    <w:rsid w:val="008E4F54"/>
    <w:rsid w:val="008E6B81"/>
    <w:rsid w:val="008E6E8F"/>
    <w:rsid w:val="008E7E4B"/>
    <w:rsid w:val="008F2D5F"/>
    <w:rsid w:val="008F4A1D"/>
    <w:rsid w:val="008F5BE7"/>
    <w:rsid w:val="00902718"/>
    <w:rsid w:val="0090406C"/>
    <w:rsid w:val="0090476E"/>
    <w:rsid w:val="009047F0"/>
    <w:rsid w:val="00904B92"/>
    <w:rsid w:val="00905575"/>
    <w:rsid w:val="00905E4C"/>
    <w:rsid w:val="0090651D"/>
    <w:rsid w:val="00906F7D"/>
    <w:rsid w:val="00907586"/>
    <w:rsid w:val="00910EAC"/>
    <w:rsid w:val="00915240"/>
    <w:rsid w:val="00922A1B"/>
    <w:rsid w:val="00923D75"/>
    <w:rsid w:val="00926B84"/>
    <w:rsid w:val="00927148"/>
    <w:rsid w:val="0092747E"/>
    <w:rsid w:val="009306FD"/>
    <w:rsid w:val="00932400"/>
    <w:rsid w:val="00943D28"/>
    <w:rsid w:val="00944004"/>
    <w:rsid w:val="00944A7A"/>
    <w:rsid w:val="0094554F"/>
    <w:rsid w:val="00947893"/>
    <w:rsid w:val="00947F1F"/>
    <w:rsid w:val="00952242"/>
    <w:rsid w:val="00952295"/>
    <w:rsid w:val="00952AF3"/>
    <w:rsid w:val="0095503D"/>
    <w:rsid w:val="00955918"/>
    <w:rsid w:val="00957186"/>
    <w:rsid w:val="00957267"/>
    <w:rsid w:val="00957E1B"/>
    <w:rsid w:val="00963FCC"/>
    <w:rsid w:val="009645F2"/>
    <w:rsid w:val="009648C5"/>
    <w:rsid w:val="00965281"/>
    <w:rsid w:val="00966BCA"/>
    <w:rsid w:val="00967B36"/>
    <w:rsid w:val="009707AC"/>
    <w:rsid w:val="00971752"/>
    <w:rsid w:val="00972379"/>
    <w:rsid w:val="00972F75"/>
    <w:rsid w:val="009730C9"/>
    <w:rsid w:val="00973676"/>
    <w:rsid w:val="00973907"/>
    <w:rsid w:val="00975793"/>
    <w:rsid w:val="00976CE5"/>
    <w:rsid w:val="00981102"/>
    <w:rsid w:val="00981F43"/>
    <w:rsid w:val="00985BC4"/>
    <w:rsid w:val="0099027B"/>
    <w:rsid w:val="00990E37"/>
    <w:rsid w:val="009915CA"/>
    <w:rsid w:val="009920B4"/>
    <w:rsid w:val="009939B7"/>
    <w:rsid w:val="00994863"/>
    <w:rsid w:val="00997081"/>
    <w:rsid w:val="009A044F"/>
    <w:rsid w:val="009A04EF"/>
    <w:rsid w:val="009A2D9A"/>
    <w:rsid w:val="009A42A8"/>
    <w:rsid w:val="009A5C9D"/>
    <w:rsid w:val="009B020E"/>
    <w:rsid w:val="009B0263"/>
    <w:rsid w:val="009B19D3"/>
    <w:rsid w:val="009B705A"/>
    <w:rsid w:val="009B7AD5"/>
    <w:rsid w:val="009C2412"/>
    <w:rsid w:val="009C471D"/>
    <w:rsid w:val="009C5B97"/>
    <w:rsid w:val="009C7FD6"/>
    <w:rsid w:val="009D2EB3"/>
    <w:rsid w:val="009D674A"/>
    <w:rsid w:val="009D7D10"/>
    <w:rsid w:val="009E2BF1"/>
    <w:rsid w:val="009E394D"/>
    <w:rsid w:val="009E5BDC"/>
    <w:rsid w:val="009E5E1E"/>
    <w:rsid w:val="009F166F"/>
    <w:rsid w:val="009F18BF"/>
    <w:rsid w:val="009F35CE"/>
    <w:rsid w:val="009F7694"/>
    <w:rsid w:val="00A01956"/>
    <w:rsid w:val="00A04315"/>
    <w:rsid w:val="00A055C7"/>
    <w:rsid w:val="00A05BBE"/>
    <w:rsid w:val="00A10329"/>
    <w:rsid w:val="00A137DE"/>
    <w:rsid w:val="00A14653"/>
    <w:rsid w:val="00A1639F"/>
    <w:rsid w:val="00A1678C"/>
    <w:rsid w:val="00A202A3"/>
    <w:rsid w:val="00A241A3"/>
    <w:rsid w:val="00A25085"/>
    <w:rsid w:val="00A25B71"/>
    <w:rsid w:val="00A27E15"/>
    <w:rsid w:val="00A27F88"/>
    <w:rsid w:val="00A3204B"/>
    <w:rsid w:val="00A323FD"/>
    <w:rsid w:val="00A356E4"/>
    <w:rsid w:val="00A35C3B"/>
    <w:rsid w:val="00A37124"/>
    <w:rsid w:val="00A47D99"/>
    <w:rsid w:val="00A50033"/>
    <w:rsid w:val="00A519B2"/>
    <w:rsid w:val="00A537AB"/>
    <w:rsid w:val="00A571DD"/>
    <w:rsid w:val="00A6011A"/>
    <w:rsid w:val="00A60798"/>
    <w:rsid w:val="00A61774"/>
    <w:rsid w:val="00A63682"/>
    <w:rsid w:val="00A638CD"/>
    <w:rsid w:val="00A64891"/>
    <w:rsid w:val="00A65237"/>
    <w:rsid w:val="00A657F7"/>
    <w:rsid w:val="00A663C7"/>
    <w:rsid w:val="00A67767"/>
    <w:rsid w:val="00A74F34"/>
    <w:rsid w:val="00A75889"/>
    <w:rsid w:val="00A76E67"/>
    <w:rsid w:val="00A83103"/>
    <w:rsid w:val="00A853C0"/>
    <w:rsid w:val="00A96613"/>
    <w:rsid w:val="00AA0536"/>
    <w:rsid w:val="00AA05E1"/>
    <w:rsid w:val="00AA09E8"/>
    <w:rsid w:val="00AA3C95"/>
    <w:rsid w:val="00AA495C"/>
    <w:rsid w:val="00AA7A9C"/>
    <w:rsid w:val="00AB32B5"/>
    <w:rsid w:val="00AB64A2"/>
    <w:rsid w:val="00AC104C"/>
    <w:rsid w:val="00AC2B3C"/>
    <w:rsid w:val="00AC49A3"/>
    <w:rsid w:val="00AC4A4B"/>
    <w:rsid w:val="00AC5550"/>
    <w:rsid w:val="00AD0BF2"/>
    <w:rsid w:val="00AD17D7"/>
    <w:rsid w:val="00AD1826"/>
    <w:rsid w:val="00AD4AA3"/>
    <w:rsid w:val="00AD7ECC"/>
    <w:rsid w:val="00AE0456"/>
    <w:rsid w:val="00AE0750"/>
    <w:rsid w:val="00AE1036"/>
    <w:rsid w:val="00AE14F0"/>
    <w:rsid w:val="00AE1BBE"/>
    <w:rsid w:val="00AE6AFB"/>
    <w:rsid w:val="00AE737F"/>
    <w:rsid w:val="00AF1094"/>
    <w:rsid w:val="00AF6147"/>
    <w:rsid w:val="00AF7F7B"/>
    <w:rsid w:val="00B027AF"/>
    <w:rsid w:val="00B068C3"/>
    <w:rsid w:val="00B06E90"/>
    <w:rsid w:val="00B12F09"/>
    <w:rsid w:val="00B159B4"/>
    <w:rsid w:val="00B15B1D"/>
    <w:rsid w:val="00B22ED1"/>
    <w:rsid w:val="00B25950"/>
    <w:rsid w:val="00B31792"/>
    <w:rsid w:val="00B32B39"/>
    <w:rsid w:val="00B33AFD"/>
    <w:rsid w:val="00B4231A"/>
    <w:rsid w:val="00B436DD"/>
    <w:rsid w:val="00B46227"/>
    <w:rsid w:val="00B47642"/>
    <w:rsid w:val="00B47683"/>
    <w:rsid w:val="00B5264E"/>
    <w:rsid w:val="00B562BD"/>
    <w:rsid w:val="00B603A1"/>
    <w:rsid w:val="00B61C10"/>
    <w:rsid w:val="00B62010"/>
    <w:rsid w:val="00B64ECB"/>
    <w:rsid w:val="00B65385"/>
    <w:rsid w:val="00B66916"/>
    <w:rsid w:val="00B66ADB"/>
    <w:rsid w:val="00B71716"/>
    <w:rsid w:val="00B7433A"/>
    <w:rsid w:val="00B7481A"/>
    <w:rsid w:val="00B75265"/>
    <w:rsid w:val="00B76403"/>
    <w:rsid w:val="00B76D62"/>
    <w:rsid w:val="00B820BB"/>
    <w:rsid w:val="00B82144"/>
    <w:rsid w:val="00B86520"/>
    <w:rsid w:val="00B8789A"/>
    <w:rsid w:val="00B92E93"/>
    <w:rsid w:val="00B9333D"/>
    <w:rsid w:val="00B94624"/>
    <w:rsid w:val="00BA055D"/>
    <w:rsid w:val="00BA25F1"/>
    <w:rsid w:val="00BA46EA"/>
    <w:rsid w:val="00BA7432"/>
    <w:rsid w:val="00BB0CB5"/>
    <w:rsid w:val="00BB103B"/>
    <w:rsid w:val="00BB3E0C"/>
    <w:rsid w:val="00BB5208"/>
    <w:rsid w:val="00BB5E09"/>
    <w:rsid w:val="00BB7AD0"/>
    <w:rsid w:val="00BC0726"/>
    <w:rsid w:val="00BC56DC"/>
    <w:rsid w:val="00BC68ED"/>
    <w:rsid w:val="00BC6BDA"/>
    <w:rsid w:val="00BC6F2B"/>
    <w:rsid w:val="00BD1614"/>
    <w:rsid w:val="00BD6E53"/>
    <w:rsid w:val="00BE13F0"/>
    <w:rsid w:val="00BE59BE"/>
    <w:rsid w:val="00BE5B8D"/>
    <w:rsid w:val="00BF2517"/>
    <w:rsid w:val="00BF49AC"/>
    <w:rsid w:val="00BF4B1F"/>
    <w:rsid w:val="00BF5109"/>
    <w:rsid w:val="00BF5FCE"/>
    <w:rsid w:val="00BF6112"/>
    <w:rsid w:val="00C01CCD"/>
    <w:rsid w:val="00C04ADA"/>
    <w:rsid w:val="00C07143"/>
    <w:rsid w:val="00C07DA5"/>
    <w:rsid w:val="00C10660"/>
    <w:rsid w:val="00C11503"/>
    <w:rsid w:val="00C12016"/>
    <w:rsid w:val="00C13BFB"/>
    <w:rsid w:val="00C147A7"/>
    <w:rsid w:val="00C14DF3"/>
    <w:rsid w:val="00C16545"/>
    <w:rsid w:val="00C21CCE"/>
    <w:rsid w:val="00C24FF7"/>
    <w:rsid w:val="00C26146"/>
    <w:rsid w:val="00C2629A"/>
    <w:rsid w:val="00C26C22"/>
    <w:rsid w:val="00C3182F"/>
    <w:rsid w:val="00C32C2F"/>
    <w:rsid w:val="00C33193"/>
    <w:rsid w:val="00C3653F"/>
    <w:rsid w:val="00C414F9"/>
    <w:rsid w:val="00C41C14"/>
    <w:rsid w:val="00C46707"/>
    <w:rsid w:val="00C46877"/>
    <w:rsid w:val="00C46F26"/>
    <w:rsid w:val="00C47DA5"/>
    <w:rsid w:val="00C51FBF"/>
    <w:rsid w:val="00C523DA"/>
    <w:rsid w:val="00C54187"/>
    <w:rsid w:val="00C55915"/>
    <w:rsid w:val="00C57C50"/>
    <w:rsid w:val="00C600EF"/>
    <w:rsid w:val="00C60BEF"/>
    <w:rsid w:val="00C60C5E"/>
    <w:rsid w:val="00C61165"/>
    <w:rsid w:val="00C6398D"/>
    <w:rsid w:val="00C63AF4"/>
    <w:rsid w:val="00C6435C"/>
    <w:rsid w:val="00C64B33"/>
    <w:rsid w:val="00C6546E"/>
    <w:rsid w:val="00C66851"/>
    <w:rsid w:val="00C729BC"/>
    <w:rsid w:val="00C72E9E"/>
    <w:rsid w:val="00C74A18"/>
    <w:rsid w:val="00C763B9"/>
    <w:rsid w:val="00C76E47"/>
    <w:rsid w:val="00C803D3"/>
    <w:rsid w:val="00C851F0"/>
    <w:rsid w:val="00C855C8"/>
    <w:rsid w:val="00C85E67"/>
    <w:rsid w:val="00C9169D"/>
    <w:rsid w:val="00C91AEA"/>
    <w:rsid w:val="00C93AE0"/>
    <w:rsid w:val="00C94325"/>
    <w:rsid w:val="00C94782"/>
    <w:rsid w:val="00C967AA"/>
    <w:rsid w:val="00C96908"/>
    <w:rsid w:val="00CA02D2"/>
    <w:rsid w:val="00CA06FE"/>
    <w:rsid w:val="00CA1155"/>
    <w:rsid w:val="00CA1E3D"/>
    <w:rsid w:val="00CA45E9"/>
    <w:rsid w:val="00CA74A8"/>
    <w:rsid w:val="00CB221D"/>
    <w:rsid w:val="00CB4C6F"/>
    <w:rsid w:val="00CB5D8E"/>
    <w:rsid w:val="00CB5E4F"/>
    <w:rsid w:val="00CB6CE6"/>
    <w:rsid w:val="00CB6D6E"/>
    <w:rsid w:val="00CC0AB2"/>
    <w:rsid w:val="00CC14FF"/>
    <w:rsid w:val="00CC2E1D"/>
    <w:rsid w:val="00CC3758"/>
    <w:rsid w:val="00CC376D"/>
    <w:rsid w:val="00CD03A4"/>
    <w:rsid w:val="00CD26D8"/>
    <w:rsid w:val="00CD4BF3"/>
    <w:rsid w:val="00CD5B56"/>
    <w:rsid w:val="00CD6DD9"/>
    <w:rsid w:val="00CE2AE8"/>
    <w:rsid w:val="00CE38A9"/>
    <w:rsid w:val="00CE3AC7"/>
    <w:rsid w:val="00CE3E1B"/>
    <w:rsid w:val="00CF10FA"/>
    <w:rsid w:val="00CF2BE6"/>
    <w:rsid w:val="00CF2EE7"/>
    <w:rsid w:val="00CF4713"/>
    <w:rsid w:val="00CF7160"/>
    <w:rsid w:val="00CF73BB"/>
    <w:rsid w:val="00CF79A8"/>
    <w:rsid w:val="00D06C6F"/>
    <w:rsid w:val="00D11A35"/>
    <w:rsid w:val="00D12394"/>
    <w:rsid w:val="00D12887"/>
    <w:rsid w:val="00D226ED"/>
    <w:rsid w:val="00D22ECB"/>
    <w:rsid w:val="00D23966"/>
    <w:rsid w:val="00D246B3"/>
    <w:rsid w:val="00D24A1D"/>
    <w:rsid w:val="00D24D49"/>
    <w:rsid w:val="00D264DC"/>
    <w:rsid w:val="00D30C27"/>
    <w:rsid w:val="00D345B2"/>
    <w:rsid w:val="00D457F3"/>
    <w:rsid w:val="00D474E2"/>
    <w:rsid w:val="00D47FF4"/>
    <w:rsid w:val="00D548D1"/>
    <w:rsid w:val="00D55F2A"/>
    <w:rsid w:val="00D56833"/>
    <w:rsid w:val="00D6184F"/>
    <w:rsid w:val="00D64D62"/>
    <w:rsid w:val="00D6509D"/>
    <w:rsid w:val="00D675C1"/>
    <w:rsid w:val="00D71224"/>
    <w:rsid w:val="00D719ED"/>
    <w:rsid w:val="00D76B4E"/>
    <w:rsid w:val="00D77405"/>
    <w:rsid w:val="00D77409"/>
    <w:rsid w:val="00D827E0"/>
    <w:rsid w:val="00D840E9"/>
    <w:rsid w:val="00D8619A"/>
    <w:rsid w:val="00D90378"/>
    <w:rsid w:val="00D90D2F"/>
    <w:rsid w:val="00D94086"/>
    <w:rsid w:val="00D94D13"/>
    <w:rsid w:val="00D97247"/>
    <w:rsid w:val="00DA1DF7"/>
    <w:rsid w:val="00DA2A8A"/>
    <w:rsid w:val="00DA3267"/>
    <w:rsid w:val="00DA415C"/>
    <w:rsid w:val="00DA65DC"/>
    <w:rsid w:val="00DA6D82"/>
    <w:rsid w:val="00DA72E0"/>
    <w:rsid w:val="00DB29CF"/>
    <w:rsid w:val="00DB3722"/>
    <w:rsid w:val="00DB6CF4"/>
    <w:rsid w:val="00DB6FD6"/>
    <w:rsid w:val="00DC039E"/>
    <w:rsid w:val="00DC13B4"/>
    <w:rsid w:val="00DC43DD"/>
    <w:rsid w:val="00DC45B6"/>
    <w:rsid w:val="00DC6A2D"/>
    <w:rsid w:val="00DD3C31"/>
    <w:rsid w:val="00DD74AB"/>
    <w:rsid w:val="00DD7C0F"/>
    <w:rsid w:val="00DE1C11"/>
    <w:rsid w:val="00DE2EFA"/>
    <w:rsid w:val="00DE3200"/>
    <w:rsid w:val="00DE397A"/>
    <w:rsid w:val="00DE68D6"/>
    <w:rsid w:val="00DF204A"/>
    <w:rsid w:val="00DF3956"/>
    <w:rsid w:val="00DF493F"/>
    <w:rsid w:val="00DF532D"/>
    <w:rsid w:val="00DF58CA"/>
    <w:rsid w:val="00E0134B"/>
    <w:rsid w:val="00E0361B"/>
    <w:rsid w:val="00E0479F"/>
    <w:rsid w:val="00E05984"/>
    <w:rsid w:val="00E05F33"/>
    <w:rsid w:val="00E065C7"/>
    <w:rsid w:val="00E06E79"/>
    <w:rsid w:val="00E0725D"/>
    <w:rsid w:val="00E079AF"/>
    <w:rsid w:val="00E13251"/>
    <w:rsid w:val="00E17539"/>
    <w:rsid w:val="00E22713"/>
    <w:rsid w:val="00E230F1"/>
    <w:rsid w:val="00E241D6"/>
    <w:rsid w:val="00E31B67"/>
    <w:rsid w:val="00E34FD5"/>
    <w:rsid w:val="00E36A58"/>
    <w:rsid w:val="00E40DAE"/>
    <w:rsid w:val="00E439F5"/>
    <w:rsid w:val="00E508CE"/>
    <w:rsid w:val="00E5266B"/>
    <w:rsid w:val="00E62254"/>
    <w:rsid w:val="00E62710"/>
    <w:rsid w:val="00E66F25"/>
    <w:rsid w:val="00E70BD0"/>
    <w:rsid w:val="00E71E0F"/>
    <w:rsid w:val="00E734AE"/>
    <w:rsid w:val="00E73804"/>
    <w:rsid w:val="00E758C3"/>
    <w:rsid w:val="00E81413"/>
    <w:rsid w:val="00E82298"/>
    <w:rsid w:val="00E85A8B"/>
    <w:rsid w:val="00E85D49"/>
    <w:rsid w:val="00E86839"/>
    <w:rsid w:val="00E86C1D"/>
    <w:rsid w:val="00E90064"/>
    <w:rsid w:val="00E901D7"/>
    <w:rsid w:val="00E93D7B"/>
    <w:rsid w:val="00E94AEB"/>
    <w:rsid w:val="00EA7289"/>
    <w:rsid w:val="00EA79A4"/>
    <w:rsid w:val="00EA7F12"/>
    <w:rsid w:val="00EB00F5"/>
    <w:rsid w:val="00EB08BC"/>
    <w:rsid w:val="00EB15F4"/>
    <w:rsid w:val="00EB15FF"/>
    <w:rsid w:val="00EB1E37"/>
    <w:rsid w:val="00EB4457"/>
    <w:rsid w:val="00EB7B70"/>
    <w:rsid w:val="00EC14A3"/>
    <w:rsid w:val="00EC24DB"/>
    <w:rsid w:val="00EC3026"/>
    <w:rsid w:val="00EC30B8"/>
    <w:rsid w:val="00EC364F"/>
    <w:rsid w:val="00EC3710"/>
    <w:rsid w:val="00EC6021"/>
    <w:rsid w:val="00ED058B"/>
    <w:rsid w:val="00ED53AC"/>
    <w:rsid w:val="00ED7F3F"/>
    <w:rsid w:val="00EE0817"/>
    <w:rsid w:val="00EE1643"/>
    <w:rsid w:val="00EE2E14"/>
    <w:rsid w:val="00EE33DA"/>
    <w:rsid w:val="00EE75E9"/>
    <w:rsid w:val="00EF0487"/>
    <w:rsid w:val="00F00460"/>
    <w:rsid w:val="00F03871"/>
    <w:rsid w:val="00F046B7"/>
    <w:rsid w:val="00F04D03"/>
    <w:rsid w:val="00F11E20"/>
    <w:rsid w:val="00F12A49"/>
    <w:rsid w:val="00F13717"/>
    <w:rsid w:val="00F169F3"/>
    <w:rsid w:val="00F22924"/>
    <w:rsid w:val="00F23D81"/>
    <w:rsid w:val="00F24096"/>
    <w:rsid w:val="00F24D12"/>
    <w:rsid w:val="00F26698"/>
    <w:rsid w:val="00F30919"/>
    <w:rsid w:val="00F35E96"/>
    <w:rsid w:val="00F36851"/>
    <w:rsid w:val="00F40F81"/>
    <w:rsid w:val="00F4180E"/>
    <w:rsid w:val="00F41B9E"/>
    <w:rsid w:val="00F44C9B"/>
    <w:rsid w:val="00F52D03"/>
    <w:rsid w:val="00F5427C"/>
    <w:rsid w:val="00F544B0"/>
    <w:rsid w:val="00F56835"/>
    <w:rsid w:val="00F56950"/>
    <w:rsid w:val="00F57C25"/>
    <w:rsid w:val="00F70D87"/>
    <w:rsid w:val="00F72E31"/>
    <w:rsid w:val="00F75422"/>
    <w:rsid w:val="00F766C0"/>
    <w:rsid w:val="00F76941"/>
    <w:rsid w:val="00F77F5E"/>
    <w:rsid w:val="00F838BF"/>
    <w:rsid w:val="00F86BC9"/>
    <w:rsid w:val="00F8760C"/>
    <w:rsid w:val="00F8777C"/>
    <w:rsid w:val="00F9096E"/>
    <w:rsid w:val="00F90BE6"/>
    <w:rsid w:val="00F91334"/>
    <w:rsid w:val="00F920DA"/>
    <w:rsid w:val="00F94958"/>
    <w:rsid w:val="00F96EBB"/>
    <w:rsid w:val="00F975A4"/>
    <w:rsid w:val="00FA0EBF"/>
    <w:rsid w:val="00FA2E72"/>
    <w:rsid w:val="00FA3776"/>
    <w:rsid w:val="00FA4BA4"/>
    <w:rsid w:val="00FA4DFC"/>
    <w:rsid w:val="00FA750E"/>
    <w:rsid w:val="00FB1FEF"/>
    <w:rsid w:val="00FB208F"/>
    <w:rsid w:val="00FB2D61"/>
    <w:rsid w:val="00FB5EFF"/>
    <w:rsid w:val="00FB7E64"/>
    <w:rsid w:val="00FC0049"/>
    <w:rsid w:val="00FC2C59"/>
    <w:rsid w:val="00FC471B"/>
    <w:rsid w:val="00FC4DEE"/>
    <w:rsid w:val="00FC606B"/>
    <w:rsid w:val="00FD2034"/>
    <w:rsid w:val="00FD3678"/>
    <w:rsid w:val="00FD46E7"/>
    <w:rsid w:val="00FD5C6F"/>
    <w:rsid w:val="00FD679E"/>
    <w:rsid w:val="00FD6957"/>
    <w:rsid w:val="00FE0EF6"/>
    <w:rsid w:val="00FE0F9C"/>
    <w:rsid w:val="00FE1266"/>
    <w:rsid w:val="00FE1C9A"/>
    <w:rsid w:val="00FE4FFB"/>
    <w:rsid w:val="00FE6A1C"/>
    <w:rsid w:val="00FE6F9C"/>
    <w:rsid w:val="00FE74A3"/>
    <w:rsid w:val="00FE796C"/>
    <w:rsid w:val="00FF4C1F"/>
    <w:rsid w:val="00FF6561"/>
    <w:rsid w:val="00FF6ADE"/>
    <w:rsid w:val="68D9C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720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5306C8"/>
    <w:pPr>
      <w:outlineLvl w:val="0"/>
    </w:pPr>
    <w:rPr>
      <w:bCs w:val="0"/>
      <w:iCs/>
      <w:color w:val="4D738A"/>
      <w:sz w:val="40"/>
      <w:szCs w:val="48"/>
    </w:rPr>
  </w:style>
  <w:style w:type="paragraph" w:styleId="Heading2">
    <w:name w:val="heading 2"/>
    <w:basedOn w:val="Normal"/>
    <w:next w:val="Normal"/>
    <w:link w:val="Heading2Char"/>
    <w:uiPriority w:val="9"/>
    <w:unhideWhenUsed/>
    <w:qFormat/>
    <w:rsid w:val="004B13ED"/>
    <w:pPr>
      <w:keepNext/>
      <w:spacing w:before="240" w:after="240" w:line="240" w:lineRule="auto"/>
      <w:outlineLvl w:val="1"/>
    </w:pPr>
    <w:rPr>
      <w:rFonts w:ascii="Calibri" w:eastAsia="SimSun" w:hAnsi="Calibri" w:cs="Calibri"/>
      <w:b/>
      <w:bCs/>
      <w:w w:val="105"/>
      <w:kern w:val="40"/>
      <w:sz w:val="32"/>
      <w:szCs w:val="32"/>
      <w:lang w:val="en-AU"/>
    </w:rPr>
  </w:style>
  <w:style w:type="paragraph" w:styleId="Heading3">
    <w:name w:val="heading 3"/>
    <w:basedOn w:val="Normal"/>
    <w:next w:val="Normal"/>
    <w:link w:val="Heading3Char"/>
    <w:uiPriority w:val="9"/>
    <w:unhideWhenUsed/>
    <w:qFormat/>
    <w:rsid w:val="00C04ADA"/>
    <w:pPr>
      <w:keepNext/>
      <w:spacing w:before="240" w:after="240" w:line="240" w:lineRule="auto"/>
      <w:outlineLvl w:val="2"/>
    </w:pPr>
    <w:rPr>
      <w:rFonts w:ascii="Calibri" w:eastAsia="SimSun" w:hAnsi="Calibri" w:cs="Calibri"/>
      <w:b/>
      <w:bCs/>
      <w:color w:val="595959" w:themeColor="text1" w:themeTint="A6"/>
      <w:w w:val="105"/>
      <w:kern w:val="40"/>
      <w:sz w:val="26"/>
      <w:szCs w:val="26"/>
      <w:lang w:val="en-AU"/>
    </w:rPr>
  </w:style>
  <w:style w:type="paragraph" w:styleId="Heading4">
    <w:name w:val="heading 4"/>
    <w:basedOn w:val="Normal"/>
    <w:next w:val="Normal"/>
    <w:link w:val="Heading4Char"/>
    <w:uiPriority w:val="9"/>
    <w:semiHidden/>
    <w:unhideWhenUsed/>
    <w:qFormat/>
    <w:rsid w:val="00C04A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 point,Bullet points,CV text,Content descriptions,DDM Gen Text,Dot pt,F5 List Paragraph,L,List Paragraph1,List Paragraph11,List Paragraph111,Main,Medium Grid 1 - Accent 21,NFP GP Bulleted List,Recommendation,Table,列,列出"/>
    <w:basedOn w:val="Normal"/>
    <w:link w:val="ListParagraphChar"/>
    <w:uiPriority w:val="34"/>
    <w:qFormat/>
    <w:rsid w:val="00EC6021"/>
    <w:pPr>
      <w:ind w:left="720"/>
      <w:contextualSpacing/>
    </w:pPr>
  </w:style>
  <w:style w:type="character" w:customStyle="1" w:styleId="Heading2Char">
    <w:name w:val="Heading 2 Char"/>
    <w:basedOn w:val="DefaultParagraphFont"/>
    <w:link w:val="Heading2"/>
    <w:uiPriority w:val="9"/>
    <w:rsid w:val="004B13ED"/>
    <w:rPr>
      <w:rFonts w:ascii="Calibri" w:eastAsia="SimSun" w:hAnsi="Calibri" w:cs="Calibri"/>
      <w:b/>
      <w:bCs/>
      <w:w w:val="105"/>
      <w:kern w:val="40"/>
      <w:sz w:val="32"/>
      <w:szCs w:val="32"/>
      <w:lang w:val="en-AU"/>
    </w:rPr>
  </w:style>
  <w:style w:type="character" w:customStyle="1" w:styleId="Heading1Char">
    <w:name w:val="Heading 1 Char"/>
    <w:basedOn w:val="DefaultParagraphFont"/>
    <w:link w:val="Heading1"/>
    <w:uiPriority w:val="9"/>
    <w:rsid w:val="005306C8"/>
    <w:rPr>
      <w:rFonts w:ascii="Calibri" w:eastAsia="SimSun" w:hAnsi="Calibri" w:cs="Calibri"/>
      <w:b/>
      <w:iCs/>
      <w:color w:val="4D738A"/>
      <w:w w:val="105"/>
      <w:kern w:val="40"/>
      <w:sz w:val="40"/>
      <w:szCs w:val="48"/>
      <w:lang w:val="en-AU"/>
    </w:rPr>
  </w:style>
  <w:style w:type="table" w:styleId="TableGrid">
    <w:name w:val="Table Grid"/>
    <w:basedOn w:val="TableNormal"/>
    <w:uiPriority w:val="39"/>
    <w:rsid w:val="00BB7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A28"/>
  </w:style>
  <w:style w:type="paragraph" w:styleId="Footer">
    <w:name w:val="footer"/>
    <w:basedOn w:val="Normal"/>
    <w:link w:val="FooterChar"/>
    <w:uiPriority w:val="99"/>
    <w:unhideWhenUsed/>
    <w:rsid w:val="00185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A28"/>
  </w:style>
  <w:style w:type="character" w:styleId="Hyperlink">
    <w:name w:val="Hyperlink"/>
    <w:uiPriority w:val="99"/>
    <w:unhideWhenUsed/>
    <w:rsid w:val="00DB3722"/>
    <w:rPr>
      <w:rFonts w:ascii="Open Sans" w:hAnsi="Open Sans"/>
      <w:color w:val="4472C4" w:themeColor="accent5"/>
      <w:u w:val="none"/>
    </w:rPr>
  </w:style>
  <w:style w:type="paragraph" w:styleId="TOC2">
    <w:name w:val="toc 2"/>
    <w:basedOn w:val="Normal"/>
    <w:next w:val="Normal"/>
    <w:autoRedefine/>
    <w:uiPriority w:val="39"/>
    <w:unhideWhenUsed/>
    <w:rsid w:val="00DB3722"/>
    <w:pPr>
      <w:tabs>
        <w:tab w:val="right" w:leader="dot" w:pos="9350"/>
      </w:tabs>
      <w:spacing w:after="100" w:line="256" w:lineRule="auto"/>
      <w:ind w:left="220"/>
    </w:pPr>
    <w:rPr>
      <w:sz w:val="16"/>
      <w:lang w:val="en-GB"/>
    </w:rPr>
  </w:style>
  <w:style w:type="paragraph" w:styleId="TOC3">
    <w:name w:val="toc 3"/>
    <w:basedOn w:val="Normal"/>
    <w:next w:val="Normal"/>
    <w:autoRedefine/>
    <w:uiPriority w:val="39"/>
    <w:unhideWhenUsed/>
    <w:rsid w:val="00DB3722"/>
    <w:pPr>
      <w:spacing w:after="100" w:line="256" w:lineRule="auto"/>
      <w:ind w:left="440"/>
    </w:pPr>
    <w:rPr>
      <w:sz w:val="16"/>
      <w:lang w:val="en-GB"/>
    </w:rPr>
  </w:style>
  <w:style w:type="character" w:customStyle="1" w:styleId="Heading3Char">
    <w:name w:val="Heading 3 Char"/>
    <w:basedOn w:val="DefaultParagraphFont"/>
    <w:link w:val="Heading3"/>
    <w:uiPriority w:val="9"/>
    <w:rsid w:val="00C04ADA"/>
    <w:rPr>
      <w:rFonts w:ascii="Calibri" w:eastAsia="SimSun" w:hAnsi="Calibri" w:cs="Calibri"/>
      <w:b/>
      <w:bCs/>
      <w:color w:val="595959" w:themeColor="text1" w:themeTint="A6"/>
      <w:w w:val="105"/>
      <w:kern w:val="40"/>
      <w:sz w:val="26"/>
      <w:szCs w:val="26"/>
      <w:lang w:val="en-AU"/>
    </w:rPr>
  </w:style>
  <w:style w:type="character" w:styleId="CommentReference">
    <w:name w:val="annotation reference"/>
    <w:basedOn w:val="DefaultParagraphFont"/>
    <w:uiPriority w:val="99"/>
    <w:semiHidden/>
    <w:unhideWhenUsed/>
    <w:rsid w:val="00E05F33"/>
    <w:rPr>
      <w:sz w:val="16"/>
      <w:szCs w:val="16"/>
    </w:rPr>
  </w:style>
  <w:style w:type="paragraph" w:styleId="CommentText">
    <w:name w:val="annotation text"/>
    <w:basedOn w:val="Normal"/>
    <w:link w:val="CommentTextChar"/>
    <w:uiPriority w:val="99"/>
    <w:unhideWhenUsed/>
    <w:rsid w:val="00E05F33"/>
    <w:pPr>
      <w:spacing w:line="240" w:lineRule="auto"/>
    </w:pPr>
    <w:rPr>
      <w:sz w:val="20"/>
      <w:szCs w:val="20"/>
    </w:rPr>
  </w:style>
  <w:style w:type="character" w:customStyle="1" w:styleId="CommentTextChar">
    <w:name w:val="Comment Text Char"/>
    <w:basedOn w:val="DefaultParagraphFont"/>
    <w:link w:val="CommentText"/>
    <w:uiPriority w:val="99"/>
    <w:rsid w:val="00E05F33"/>
    <w:rPr>
      <w:sz w:val="20"/>
      <w:szCs w:val="20"/>
    </w:rPr>
  </w:style>
  <w:style w:type="paragraph" w:styleId="CommentSubject">
    <w:name w:val="annotation subject"/>
    <w:basedOn w:val="CommentText"/>
    <w:next w:val="CommentText"/>
    <w:link w:val="CommentSubjectChar"/>
    <w:uiPriority w:val="99"/>
    <w:semiHidden/>
    <w:unhideWhenUsed/>
    <w:rsid w:val="00E05F33"/>
    <w:rPr>
      <w:b/>
      <w:bCs/>
    </w:rPr>
  </w:style>
  <w:style w:type="character" w:customStyle="1" w:styleId="CommentSubjectChar">
    <w:name w:val="Comment Subject Char"/>
    <w:basedOn w:val="CommentTextChar"/>
    <w:link w:val="CommentSubject"/>
    <w:uiPriority w:val="99"/>
    <w:semiHidden/>
    <w:rsid w:val="00E05F33"/>
    <w:rPr>
      <w:b/>
      <w:bCs/>
      <w:sz w:val="20"/>
      <w:szCs w:val="20"/>
    </w:rPr>
  </w:style>
  <w:style w:type="paragraph" w:styleId="BalloonText">
    <w:name w:val="Balloon Text"/>
    <w:basedOn w:val="Normal"/>
    <w:link w:val="BalloonTextChar"/>
    <w:uiPriority w:val="99"/>
    <w:semiHidden/>
    <w:unhideWhenUsed/>
    <w:rsid w:val="00E05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F33"/>
    <w:rPr>
      <w:rFonts w:ascii="Segoe UI" w:hAnsi="Segoe UI" w:cs="Segoe UI"/>
      <w:sz w:val="18"/>
      <w:szCs w:val="18"/>
    </w:rPr>
  </w:style>
  <w:style w:type="paragraph" w:styleId="TOCHeading">
    <w:name w:val="TOC Heading"/>
    <w:basedOn w:val="Heading1"/>
    <w:next w:val="Normal"/>
    <w:uiPriority w:val="39"/>
    <w:unhideWhenUsed/>
    <w:qFormat/>
    <w:rsid w:val="004B13ED"/>
    <w:pPr>
      <w:outlineLvl w:val="9"/>
    </w:pPr>
    <w:rPr>
      <w:rFonts w:asciiTheme="majorHAnsi" w:eastAsiaTheme="majorEastAsia" w:hAnsiTheme="majorHAnsi" w:cstheme="majorBidi"/>
      <w:b w:val="0"/>
      <w:bCs/>
      <w:iCs w:val="0"/>
      <w:color w:val="2E74B5" w:themeColor="accent1" w:themeShade="BF"/>
      <w:w w:val="100"/>
      <w:kern w:val="0"/>
      <w:sz w:val="32"/>
      <w:szCs w:val="32"/>
      <w:lang w:val="en-US"/>
    </w:rPr>
  </w:style>
  <w:style w:type="paragraph" w:styleId="TOC1">
    <w:name w:val="toc 1"/>
    <w:basedOn w:val="Normal"/>
    <w:next w:val="Normal"/>
    <w:autoRedefine/>
    <w:uiPriority w:val="39"/>
    <w:unhideWhenUsed/>
    <w:rsid w:val="004B13ED"/>
    <w:pPr>
      <w:spacing w:after="100"/>
    </w:pPr>
  </w:style>
  <w:style w:type="character" w:customStyle="1" w:styleId="Heading4Char">
    <w:name w:val="Heading 4 Char"/>
    <w:basedOn w:val="DefaultParagraphFont"/>
    <w:link w:val="Heading4"/>
    <w:uiPriority w:val="9"/>
    <w:semiHidden/>
    <w:rsid w:val="00C04ADA"/>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unhideWhenUsed/>
    <w:rsid w:val="00FA3776"/>
    <w:pPr>
      <w:spacing w:after="0" w:line="240" w:lineRule="auto"/>
    </w:pPr>
    <w:rPr>
      <w:sz w:val="20"/>
      <w:szCs w:val="20"/>
    </w:rPr>
  </w:style>
  <w:style w:type="character" w:customStyle="1" w:styleId="FootnoteTextChar">
    <w:name w:val="Footnote Text Char"/>
    <w:basedOn w:val="DefaultParagraphFont"/>
    <w:link w:val="FootnoteText"/>
    <w:uiPriority w:val="99"/>
    <w:rsid w:val="00FA3776"/>
    <w:rPr>
      <w:sz w:val="20"/>
      <w:szCs w:val="20"/>
    </w:rPr>
  </w:style>
  <w:style w:type="character" w:styleId="FootnoteReference">
    <w:name w:val="footnote reference"/>
    <w:basedOn w:val="DefaultParagraphFont"/>
    <w:uiPriority w:val="99"/>
    <w:semiHidden/>
    <w:unhideWhenUsed/>
    <w:rsid w:val="00FA3776"/>
    <w:rPr>
      <w:vertAlign w:val="superscript"/>
    </w:rPr>
  </w:style>
  <w:style w:type="character" w:styleId="UnresolvedMention">
    <w:name w:val="Unresolved Mention"/>
    <w:basedOn w:val="DefaultParagraphFont"/>
    <w:uiPriority w:val="99"/>
    <w:semiHidden/>
    <w:unhideWhenUsed/>
    <w:rsid w:val="00FA3776"/>
    <w:rPr>
      <w:color w:val="605E5C"/>
      <w:shd w:val="clear" w:color="auto" w:fill="E1DFDD"/>
    </w:rPr>
  </w:style>
  <w:style w:type="paragraph" w:customStyle="1" w:styleId="Default">
    <w:name w:val="Default"/>
    <w:rsid w:val="008B68F3"/>
    <w:pPr>
      <w:autoSpaceDE w:val="0"/>
      <w:autoSpaceDN w:val="0"/>
      <w:adjustRightInd w:val="0"/>
      <w:spacing w:after="0" w:line="240" w:lineRule="auto"/>
    </w:pPr>
    <w:rPr>
      <w:rFonts w:ascii="Calibri" w:hAnsi="Calibri" w:cs="Calibri"/>
      <w:color w:val="000000"/>
      <w:sz w:val="24"/>
      <w:szCs w:val="24"/>
      <w:lang w:val="en-AU"/>
    </w:rPr>
  </w:style>
  <w:style w:type="paragraph" w:customStyle="1" w:styleId="paragraph">
    <w:name w:val="paragraph"/>
    <w:aliases w:val="a"/>
    <w:basedOn w:val="Normal"/>
    <w:link w:val="paragraphChar"/>
    <w:rsid w:val="00390B3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acthead5">
    <w:name w:val="acthead5"/>
    <w:basedOn w:val="Normal"/>
    <w:rsid w:val="00AD7EC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harsectno">
    <w:name w:val="charsectno"/>
    <w:basedOn w:val="DefaultParagraphFont"/>
    <w:rsid w:val="00AD7ECC"/>
  </w:style>
  <w:style w:type="paragraph" w:customStyle="1" w:styleId="subsection">
    <w:name w:val="subsection"/>
    <w:aliases w:val="ss,Subsection"/>
    <w:basedOn w:val="Normal"/>
    <w:link w:val="subsectionChar"/>
    <w:rsid w:val="00AD7EC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notetext">
    <w:name w:val="notetext"/>
    <w:basedOn w:val="Normal"/>
    <w:rsid w:val="00AD7EC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ragraphsub">
    <w:name w:val="paragraphsub"/>
    <w:basedOn w:val="Normal"/>
    <w:rsid w:val="00AD7EC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ctHead5Char">
    <w:name w:val="ActHead 5 Char"/>
    <w:aliases w:val="s Char"/>
    <w:basedOn w:val="DefaultParagraphFont"/>
    <w:link w:val="ActHead50"/>
    <w:locked/>
    <w:rsid w:val="00075DD6"/>
    <w:rPr>
      <w:rFonts w:ascii="Times New Roman" w:eastAsia="Times New Roman" w:hAnsi="Times New Roman" w:cs="Times New Roman"/>
      <w:b/>
      <w:kern w:val="28"/>
      <w:sz w:val="24"/>
      <w:lang w:eastAsia="en-AU"/>
    </w:rPr>
  </w:style>
  <w:style w:type="paragraph" w:customStyle="1" w:styleId="ActHead50">
    <w:name w:val="ActHead 5"/>
    <w:aliases w:val="s"/>
    <w:basedOn w:val="Normal"/>
    <w:next w:val="subsection"/>
    <w:link w:val="ActHead5Char"/>
    <w:qFormat/>
    <w:rsid w:val="00075DD6"/>
    <w:pPr>
      <w:keepNext/>
      <w:keepLines/>
      <w:spacing w:before="280" w:after="0" w:line="240" w:lineRule="auto"/>
      <w:ind w:left="1134" w:hanging="1134"/>
      <w:outlineLvl w:val="4"/>
    </w:pPr>
    <w:rPr>
      <w:rFonts w:ascii="Times New Roman" w:eastAsia="Times New Roman" w:hAnsi="Times New Roman" w:cs="Times New Roman"/>
      <w:b/>
      <w:kern w:val="28"/>
      <w:sz w:val="24"/>
      <w:lang w:eastAsia="en-AU"/>
    </w:rPr>
  </w:style>
  <w:style w:type="character" w:customStyle="1" w:styleId="subsectionChar">
    <w:name w:val="subsection Char"/>
    <w:aliases w:val="ss Char"/>
    <w:link w:val="subsection"/>
    <w:locked/>
    <w:rsid w:val="00075DD6"/>
    <w:rPr>
      <w:rFonts w:ascii="Times New Roman" w:eastAsia="Times New Roman" w:hAnsi="Times New Roman" w:cs="Times New Roman"/>
      <w:sz w:val="24"/>
      <w:szCs w:val="24"/>
      <w:lang w:val="en-AU" w:eastAsia="en-AU"/>
    </w:rPr>
  </w:style>
  <w:style w:type="paragraph" w:customStyle="1" w:styleId="paragraphsub0">
    <w:name w:val="paragraph(sub)"/>
    <w:aliases w:val="aa"/>
    <w:basedOn w:val="Normal"/>
    <w:rsid w:val="00075DD6"/>
    <w:pPr>
      <w:tabs>
        <w:tab w:val="right" w:pos="1985"/>
      </w:tabs>
      <w:spacing w:before="40" w:after="0" w:line="240" w:lineRule="auto"/>
      <w:ind w:left="2098" w:hanging="2098"/>
    </w:pPr>
    <w:rPr>
      <w:rFonts w:ascii="Times New Roman" w:eastAsia="Times New Roman" w:hAnsi="Times New Roman" w:cs="Times New Roman"/>
      <w:szCs w:val="20"/>
      <w:lang w:val="en-AU" w:eastAsia="en-AU"/>
    </w:rPr>
  </w:style>
  <w:style w:type="character" w:customStyle="1" w:styleId="paragraphChar">
    <w:name w:val="paragraph Char"/>
    <w:aliases w:val="a Char"/>
    <w:link w:val="paragraph"/>
    <w:locked/>
    <w:rsid w:val="00075DD6"/>
    <w:rPr>
      <w:rFonts w:ascii="Times New Roman" w:eastAsia="Times New Roman" w:hAnsi="Times New Roman" w:cs="Times New Roman"/>
      <w:sz w:val="24"/>
      <w:szCs w:val="24"/>
      <w:lang w:val="en-AU" w:eastAsia="en-AU"/>
    </w:rPr>
  </w:style>
  <w:style w:type="character" w:customStyle="1" w:styleId="notetextChar">
    <w:name w:val="note(text) Char"/>
    <w:aliases w:val="n Char"/>
    <w:link w:val="notetext0"/>
    <w:locked/>
    <w:rsid w:val="00075DD6"/>
    <w:rPr>
      <w:rFonts w:ascii="Times New Roman" w:eastAsia="Times New Roman" w:hAnsi="Times New Roman" w:cs="Times New Roman"/>
      <w:sz w:val="18"/>
      <w:lang w:eastAsia="en-AU"/>
    </w:rPr>
  </w:style>
  <w:style w:type="paragraph" w:customStyle="1" w:styleId="notetext0">
    <w:name w:val="note(text)"/>
    <w:aliases w:val="n"/>
    <w:basedOn w:val="Normal"/>
    <w:link w:val="notetextChar"/>
    <w:rsid w:val="00075DD6"/>
    <w:pPr>
      <w:spacing w:before="122" w:after="0" w:line="240" w:lineRule="auto"/>
      <w:ind w:left="1985" w:hanging="851"/>
    </w:pPr>
    <w:rPr>
      <w:rFonts w:ascii="Times New Roman" w:eastAsia="Times New Roman" w:hAnsi="Times New Roman" w:cs="Times New Roman"/>
      <w:sz w:val="18"/>
      <w:lang w:eastAsia="en-AU"/>
    </w:rPr>
  </w:style>
  <w:style w:type="character" w:customStyle="1" w:styleId="CharSectno0">
    <w:name w:val="CharSectno"/>
    <w:basedOn w:val="DefaultParagraphFont"/>
    <w:qFormat/>
    <w:rsid w:val="00075DD6"/>
  </w:style>
  <w:style w:type="character" w:customStyle="1" w:styleId="ListParagraphChar">
    <w:name w:val="List Paragraph Char"/>
    <w:aliases w:val="Bullet Point Char,Bullet point Char,Bullet points Char,CV text Char,Content descriptions Char,DDM Gen Text Char,Dot pt Char,F5 List Paragraph Char,L Char,List Paragraph1 Char,List Paragraph11 Char,List Paragraph111 Char,Main Char"/>
    <w:basedOn w:val="DefaultParagraphFont"/>
    <w:link w:val="ListParagraph"/>
    <w:uiPriority w:val="34"/>
    <w:qFormat/>
    <w:locked/>
    <w:rsid w:val="006C4688"/>
  </w:style>
  <w:style w:type="character" w:customStyle="1" w:styleId="frag-no">
    <w:name w:val="frag-no"/>
    <w:basedOn w:val="DefaultParagraphFont"/>
    <w:rsid w:val="000F517E"/>
  </w:style>
  <w:style w:type="character" w:customStyle="1" w:styleId="frag-heading">
    <w:name w:val="frag-heading"/>
    <w:basedOn w:val="DefaultParagraphFont"/>
    <w:rsid w:val="000F517E"/>
  </w:style>
  <w:style w:type="character" w:customStyle="1" w:styleId="frag-name">
    <w:name w:val="frag-name"/>
    <w:basedOn w:val="DefaultParagraphFont"/>
    <w:rsid w:val="000F517E"/>
  </w:style>
  <w:style w:type="character" w:customStyle="1" w:styleId="frag-defterm">
    <w:name w:val="frag-defterm"/>
    <w:basedOn w:val="DefaultParagraphFont"/>
    <w:rsid w:val="000F517E"/>
  </w:style>
  <w:style w:type="paragraph" w:styleId="NoSpacing">
    <w:name w:val="No Spacing"/>
    <w:aliases w:val="Intro text"/>
    <w:uiPriority w:val="1"/>
    <w:qFormat/>
    <w:rsid w:val="00654B40"/>
    <w:pPr>
      <w:spacing w:after="0" w:line="240" w:lineRule="auto"/>
    </w:pPr>
    <w:rPr>
      <w:rFonts w:ascii="Calibri" w:hAnsi="Calibri" w:cs="Calibri"/>
      <w:sz w:val="20"/>
      <w:szCs w:val="20"/>
      <w:lang w:val="en-AU" w:eastAsia="en-AU"/>
    </w:rPr>
  </w:style>
  <w:style w:type="paragraph" w:styleId="NormalWeb">
    <w:name w:val="Normal (Web)"/>
    <w:basedOn w:val="Normal"/>
    <w:uiPriority w:val="99"/>
    <w:semiHidden/>
    <w:unhideWhenUsed/>
    <w:rsid w:val="00722DD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556C0F"/>
    <w:rPr>
      <w:color w:val="954F72" w:themeColor="followedHyperlink"/>
      <w:u w:val="single"/>
    </w:rPr>
  </w:style>
  <w:style w:type="paragraph" w:styleId="Revision">
    <w:name w:val="Revision"/>
    <w:hidden/>
    <w:uiPriority w:val="99"/>
    <w:semiHidden/>
    <w:rsid w:val="00E868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55363">
      <w:bodyDiv w:val="1"/>
      <w:marLeft w:val="0"/>
      <w:marRight w:val="0"/>
      <w:marTop w:val="0"/>
      <w:marBottom w:val="0"/>
      <w:divBdr>
        <w:top w:val="none" w:sz="0" w:space="0" w:color="auto"/>
        <w:left w:val="none" w:sz="0" w:space="0" w:color="auto"/>
        <w:bottom w:val="none" w:sz="0" w:space="0" w:color="auto"/>
        <w:right w:val="none" w:sz="0" w:space="0" w:color="auto"/>
      </w:divBdr>
    </w:div>
    <w:div w:id="516501654">
      <w:bodyDiv w:val="1"/>
      <w:marLeft w:val="0"/>
      <w:marRight w:val="0"/>
      <w:marTop w:val="0"/>
      <w:marBottom w:val="0"/>
      <w:divBdr>
        <w:top w:val="none" w:sz="0" w:space="0" w:color="auto"/>
        <w:left w:val="none" w:sz="0" w:space="0" w:color="auto"/>
        <w:bottom w:val="none" w:sz="0" w:space="0" w:color="auto"/>
        <w:right w:val="none" w:sz="0" w:space="0" w:color="auto"/>
      </w:divBdr>
    </w:div>
    <w:div w:id="613710579">
      <w:bodyDiv w:val="1"/>
      <w:marLeft w:val="0"/>
      <w:marRight w:val="0"/>
      <w:marTop w:val="0"/>
      <w:marBottom w:val="0"/>
      <w:divBdr>
        <w:top w:val="none" w:sz="0" w:space="0" w:color="auto"/>
        <w:left w:val="none" w:sz="0" w:space="0" w:color="auto"/>
        <w:bottom w:val="none" w:sz="0" w:space="0" w:color="auto"/>
        <w:right w:val="none" w:sz="0" w:space="0" w:color="auto"/>
      </w:divBdr>
    </w:div>
    <w:div w:id="696320046">
      <w:bodyDiv w:val="1"/>
      <w:marLeft w:val="0"/>
      <w:marRight w:val="0"/>
      <w:marTop w:val="0"/>
      <w:marBottom w:val="0"/>
      <w:divBdr>
        <w:top w:val="none" w:sz="0" w:space="0" w:color="auto"/>
        <w:left w:val="none" w:sz="0" w:space="0" w:color="auto"/>
        <w:bottom w:val="none" w:sz="0" w:space="0" w:color="auto"/>
        <w:right w:val="none" w:sz="0" w:space="0" w:color="auto"/>
      </w:divBdr>
    </w:div>
    <w:div w:id="724840141">
      <w:bodyDiv w:val="1"/>
      <w:marLeft w:val="0"/>
      <w:marRight w:val="0"/>
      <w:marTop w:val="0"/>
      <w:marBottom w:val="0"/>
      <w:divBdr>
        <w:top w:val="none" w:sz="0" w:space="0" w:color="auto"/>
        <w:left w:val="none" w:sz="0" w:space="0" w:color="auto"/>
        <w:bottom w:val="none" w:sz="0" w:space="0" w:color="auto"/>
        <w:right w:val="none" w:sz="0" w:space="0" w:color="auto"/>
      </w:divBdr>
    </w:div>
    <w:div w:id="882908072">
      <w:bodyDiv w:val="1"/>
      <w:marLeft w:val="0"/>
      <w:marRight w:val="0"/>
      <w:marTop w:val="0"/>
      <w:marBottom w:val="0"/>
      <w:divBdr>
        <w:top w:val="none" w:sz="0" w:space="0" w:color="auto"/>
        <w:left w:val="none" w:sz="0" w:space="0" w:color="auto"/>
        <w:bottom w:val="none" w:sz="0" w:space="0" w:color="auto"/>
        <w:right w:val="none" w:sz="0" w:space="0" w:color="auto"/>
      </w:divBdr>
    </w:div>
    <w:div w:id="946546294">
      <w:bodyDiv w:val="1"/>
      <w:marLeft w:val="0"/>
      <w:marRight w:val="0"/>
      <w:marTop w:val="0"/>
      <w:marBottom w:val="0"/>
      <w:divBdr>
        <w:top w:val="none" w:sz="0" w:space="0" w:color="auto"/>
        <w:left w:val="none" w:sz="0" w:space="0" w:color="auto"/>
        <w:bottom w:val="none" w:sz="0" w:space="0" w:color="auto"/>
        <w:right w:val="none" w:sz="0" w:space="0" w:color="auto"/>
      </w:divBdr>
    </w:div>
    <w:div w:id="1231890912">
      <w:bodyDiv w:val="1"/>
      <w:marLeft w:val="0"/>
      <w:marRight w:val="0"/>
      <w:marTop w:val="0"/>
      <w:marBottom w:val="0"/>
      <w:divBdr>
        <w:top w:val="none" w:sz="0" w:space="0" w:color="auto"/>
        <w:left w:val="none" w:sz="0" w:space="0" w:color="auto"/>
        <w:bottom w:val="none" w:sz="0" w:space="0" w:color="auto"/>
        <w:right w:val="none" w:sz="0" w:space="0" w:color="auto"/>
      </w:divBdr>
    </w:div>
    <w:div w:id="1342271644">
      <w:bodyDiv w:val="1"/>
      <w:marLeft w:val="0"/>
      <w:marRight w:val="0"/>
      <w:marTop w:val="0"/>
      <w:marBottom w:val="0"/>
      <w:divBdr>
        <w:top w:val="none" w:sz="0" w:space="0" w:color="auto"/>
        <w:left w:val="none" w:sz="0" w:space="0" w:color="auto"/>
        <w:bottom w:val="none" w:sz="0" w:space="0" w:color="auto"/>
        <w:right w:val="none" w:sz="0" w:space="0" w:color="auto"/>
      </w:divBdr>
    </w:div>
    <w:div w:id="1570455677">
      <w:bodyDiv w:val="1"/>
      <w:marLeft w:val="0"/>
      <w:marRight w:val="0"/>
      <w:marTop w:val="0"/>
      <w:marBottom w:val="0"/>
      <w:divBdr>
        <w:top w:val="none" w:sz="0" w:space="0" w:color="auto"/>
        <w:left w:val="none" w:sz="0" w:space="0" w:color="auto"/>
        <w:bottom w:val="none" w:sz="0" w:space="0" w:color="auto"/>
        <w:right w:val="none" w:sz="0" w:space="0" w:color="auto"/>
      </w:divBdr>
    </w:div>
    <w:div w:id="1788113178">
      <w:bodyDiv w:val="1"/>
      <w:marLeft w:val="0"/>
      <w:marRight w:val="0"/>
      <w:marTop w:val="0"/>
      <w:marBottom w:val="0"/>
      <w:divBdr>
        <w:top w:val="none" w:sz="0" w:space="0" w:color="auto"/>
        <w:left w:val="none" w:sz="0" w:space="0" w:color="auto"/>
        <w:bottom w:val="none" w:sz="0" w:space="0" w:color="auto"/>
        <w:right w:val="none" w:sz="0" w:space="0" w:color="auto"/>
      </w:divBdr>
    </w:div>
    <w:div w:id="1811744918">
      <w:bodyDiv w:val="1"/>
      <w:marLeft w:val="0"/>
      <w:marRight w:val="0"/>
      <w:marTop w:val="0"/>
      <w:marBottom w:val="0"/>
      <w:divBdr>
        <w:top w:val="none" w:sz="0" w:space="0" w:color="auto"/>
        <w:left w:val="none" w:sz="0" w:space="0" w:color="auto"/>
        <w:bottom w:val="none" w:sz="0" w:space="0" w:color="auto"/>
        <w:right w:val="none" w:sz="0" w:space="0" w:color="auto"/>
      </w:divBdr>
      <w:divsChild>
        <w:div w:id="839196289">
          <w:marLeft w:val="340"/>
          <w:marRight w:val="0"/>
          <w:marTop w:val="160"/>
          <w:marBottom w:val="200"/>
          <w:divBdr>
            <w:top w:val="none" w:sz="0" w:space="0" w:color="auto"/>
            <w:left w:val="none" w:sz="0" w:space="0" w:color="auto"/>
            <w:bottom w:val="none" w:sz="0" w:space="0" w:color="auto"/>
            <w:right w:val="none" w:sz="0" w:space="0" w:color="auto"/>
          </w:divBdr>
        </w:div>
        <w:div w:id="19799881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36555626">
              <w:blockQuote w:val="1"/>
              <w:marLeft w:val="400"/>
              <w:marRight w:val="0"/>
              <w:marTop w:val="160"/>
              <w:marBottom w:val="200"/>
              <w:divBdr>
                <w:top w:val="none" w:sz="0" w:space="0" w:color="auto"/>
                <w:left w:val="none" w:sz="0" w:space="0" w:color="auto"/>
                <w:bottom w:val="none" w:sz="0" w:space="0" w:color="auto"/>
                <w:right w:val="none" w:sz="0" w:space="0" w:color="auto"/>
              </w:divBdr>
            </w:div>
            <w:div w:id="2057311893">
              <w:blockQuote w:val="1"/>
              <w:marLeft w:val="400"/>
              <w:marRight w:val="0"/>
              <w:marTop w:val="160"/>
              <w:marBottom w:val="200"/>
              <w:divBdr>
                <w:top w:val="none" w:sz="0" w:space="0" w:color="auto"/>
                <w:left w:val="none" w:sz="0" w:space="0" w:color="auto"/>
                <w:bottom w:val="none" w:sz="0" w:space="0" w:color="auto"/>
                <w:right w:val="none" w:sz="0" w:space="0" w:color="auto"/>
              </w:divBdr>
            </w:div>
            <w:div w:id="124638420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90973243">
                  <w:marLeft w:val="0"/>
                  <w:marRight w:val="0"/>
                  <w:marTop w:val="0"/>
                  <w:marBottom w:val="0"/>
                  <w:divBdr>
                    <w:top w:val="none" w:sz="0" w:space="0" w:color="auto"/>
                    <w:left w:val="none" w:sz="0" w:space="0" w:color="auto"/>
                    <w:bottom w:val="none" w:sz="0" w:space="0" w:color="auto"/>
                    <w:right w:val="none" w:sz="0" w:space="0" w:color="auto"/>
                  </w:divBdr>
                  <w:divsChild>
                    <w:div w:id="18499052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29719903">
                  <w:marLeft w:val="0"/>
                  <w:marRight w:val="0"/>
                  <w:marTop w:val="0"/>
                  <w:marBottom w:val="0"/>
                  <w:divBdr>
                    <w:top w:val="none" w:sz="0" w:space="0" w:color="auto"/>
                    <w:left w:val="none" w:sz="0" w:space="0" w:color="auto"/>
                    <w:bottom w:val="none" w:sz="0" w:space="0" w:color="auto"/>
                    <w:right w:val="none" w:sz="0" w:space="0" w:color="auto"/>
                  </w:divBdr>
                  <w:divsChild>
                    <w:div w:id="21252974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9857434">
                  <w:marLeft w:val="0"/>
                  <w:marRight w:val="0"/>
                  <w:marTop w:val="0"/>
                  <w:marBottom w:val="0"/>
                  <w:divBdr>
                    <w:top w:val="none" w:sz="0" w:space="0" w:color="auto"/>
                    <w:left w:val="none" w:sz="0" w:space="0" w:color="auto"/>
                    <w:bottom w:val="none" w:sz="0" w:space="0" w:color="auto"/>
                    <w:right w:val="none" w:sz="0" w:space="0" w:color="auto"/>
                  </w:divBdr>
                  <w:divsChild>
                    <w:div w:id="9241915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6056064">
                  <w:marLeft w:val="0"/>
                  <w:marRight w:val="0"/>
                  <w:marTop w:val="0"/>
                  <w:marBottom w:val="0"/>
                  <w:divBdr>
                    <w:top w:val="none" w:sz="0" w:space="0" w:color="auto"/>
                    <w:left w:val="none" w:sz="0" w:space="0" w:color="auto"/>
                    <w:bottom w:val="none" w:sz="0" w:space="0" w:color="auto"/>
                    <w:right w:val="none" w:sz="0" w:space="0" w:color="auto"/>
                  </w:divBdr>
                  <w:divsChild>
                    <w:div w:id="1864539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37449787">
                  <w:marLeft w:val="0"/>
                  <w:marRight w:val="0"/>
                  <w:marTop w:val="0"/>
                  <w:marBottom w:val="0"/>
                  <w:divBdr>
                    <w:top w:val="none" w:sz="0" w:space="0" w:color="auto"/>
                    <w:left w:val="none" w:sz="0" w:space="0" w:color="auto"/>
                    <w:bottom w:val="none" w:sz="0" w:space="0" w:color="auto"/>
                    <w:right w:val="none" w:sz="0" w:space="0" w:color="auto"/>
                  </w:divBdr>
                  <w:divsChild>
                    <w:div w:id="178084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32101292">
                  <w:marLeft w:val="0"/>
                  <w:marRight w:val="0"/>
                  <w:marTop w:val="0"/>
                  <w:marBottom w:val="0"/>
                  <w:divBdr>
                    <w:top w:val="none" w:sz="0" w:space="0" w:color="auto"/>
                    <w:left w:val="none" w:sz="0" w:space="0" w:color="auto"/>
                    <w:bottom w:val="none" w:sz="0" w:space="0" w:color="auto"/>
                    <w:right w:val="none" w:sz="0" w:space="0" w:color="auto"/>
                  </w:divBdr>
                  <w:divsChild>
                    <w:div w:id="3347739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15687937">
                  <w:marLeft w:val="0"/>
                  <w:marRight w:val="0"/>
                  <w:marTop w:val="0"/>
                  <w:marBottom w:val="0"/>
                  <w:divBdr>
                    <w:top w:val="none" w:sz="0" w:space="0" w:color="auto"/>
                    <w:left w:val="none" w:sz="0" w:space="0" w:color="auto"/>
                    <w:bottom w:val="none" w:sz="0" w:space="0" w:color="auto"/>
                    <w:right w:val="none" w:sz="0" w:space="0" w:color="auto"/>
                  </w:divBdr>
                  <w:divsChild>
                    <w:div w:id="8864570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074499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90819558">
                  <w:marLeft w:val="0"/>
                  <w:marRight w:val="0"/>
                  <w:marTop w:val="0"/>
                  <w:marBottom w:val="0"/>
                  <w:divBdr>
                    <w:top w:val="none" w:sz="0" w:space="0" w:color="auto"/>
                    <w:left w:val="none" w:sz="0" w:space="0" w:color="auto"/>
                    <w:bottom w:val="none" w:sz="0" w:space="0" w:color="auto"/>
                    <w:right w:val="none" w:sz="0" w:space="0" w:color="auto"/>
                  </w:divBdr>
                  <w:divsChild>
                    <w:div w:id="7425251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96465663">
                  <w:marLeft w:val="0"/>
                  <w:marRight w:val="0"/>
                  <w:marTop w:val="0"/>
                  <w:marBottom w:val="0"/>
                  <w:divBdr>
                    <w:top w:val="none" w:sz="0" w:space="0" w:color="auto"/>
                    <w:left w:val="none" w:sz="0" w:space="0" w:color="auto"/>
                    <w:bottom w:val="none" w:sz="0" w:space="0" w:color="auto"/>
                    <w:right w:val="none" w:sz="0" w:space="0" w:color="auto"/>
                  </w:divBdr>
                  <w:divsChild>
                    <w:div w:id="6601590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9248335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55103517">
                  <w:marLeft w:val="0"/>
                  <w:marRight w:val="0"/>
                  <w:marTop w:val="160"/>
                  <w:marBottom w:val="200"/>
                  <w:divBdr>
                    <w:top w:val="none" w:sz="0" w:space="0" w:color="auto"/>
                    <w:left w:val="none" w:sz="0" w:space="0" w:color="auto"/>
                    <w:bottom w:val="none" w:sz="0" w:space="0" w:color="auto"/>
                    <w:right w:val="none" w:sz="0" w:space="0" w:color="auto"/>
                  </w:divBdr>
                  <w:divsChild>
                    <w:div w:id="653604668">
                      <w:marLeft w:val="0"/>
                      <w:marRight w:val="0"/>
                      <w:marTop w:val="0"/>
                      <w:marBottom w:val="0"/>
                      <w:divBdr>
                        <w:top w:val="none" w:sz="0" w:space="0" w:color="auto"/>
                        <w:left w:val="none" w:sz="0" w:space="0" w:color="auto"/>
                        <w:bottom w:val="none" w:sz="0" w:space="0" w:color="auto"/>
                        <w:right w:val="none" w:sz="0" w:space="0" w:color="auto"/>
                      </w:divBdr>
                      <w:divsChild>
                        <w:div w:id="7987668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6627756">
                      <w:marLeft w:val="0"/>
                      <w:marRight w:val="0"/>
                      <w:marTop w:val="0"/>
                      <w:marBottom w:val="0"/>
                      <w:divBdr>
                        <w:top w:val="none" w:sz="0" w:space="0" w:color="auto"/>
                        <w:left w:val="none" w:sz="0" w:space="0" w:color="auto"/>
                        <w:bottom w:val="none" w:sz="0" w:space="0" w:color="auto"/>
                        <w:right w:val="none" w:sz="0" w:space="0" w:color="auto"/>
                      </w:divBdr>
                      <w:divsChild>
                        <w:div w:id="762499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908030338">
      <w:bodyDiv w:val="1"/>
      <w:marLeft w:val="0"/>
      <w:marRight w:val="0"/>
      <w:marTop w:val="0"/>
      <w:marBottom w:val="0"/>
      <w:divBdr>
        <w:top w:val="none" w:sz="0" w:space="0" w:color="auto"/>
        <w:left w:val="none" w:sz="0" w:space="0" w:color="auto"/>
        <w:bottom w:val="none" w:sz="0" w:space="0" w:color="auto"/>
        <w:right w:val="none" w:sz="0" w:space="0" w:color="auto"/>
      </w:divBdr>
    </w:div>
    <w:div w:id="1962567848">
      <w:bodyDiv w:val="1"/>
      <w:marLeft w:val="0"/>
      <w:marRight w:val="0"/>
      <w:marTop w:val="0"/>
      <w:marBottom w:val="0"/>
      <w:divBdr>
        <w:top w:val="none" w:sz="0" w:space="0" w:color="auto"/>
        <w:left w:val="none" w:sz="0" w:space="0" w:color="auto"/>
        <w:bottom w:val="none" w:sz="0" w:space="0" w:color="auto"/>
        <w:right w:val="none" w:sz="0" w:space="0" w:color="auto"/>
      </w:divBdr>
    </w:div>
    <w:div w:id="20666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umanrights.gov.au/sites/default/files/ahrc_ar_2021-2022_complaint_sta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12280</Words>
  <Characters>69996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Review into an appropriate cost model for Commonwealth anti-discrimination laws</dc:title>
  <dc:subject/>
  <dc:creator/>
  <cp:keywords/>
  <dc:description/>
  <cp:lastModifiedBy/>
  <cp:revision>1</cp:revision>
  <dcterms:created xsi:type="dcterms:W3CDTF">2023-02-22T06:44:00Z</dcterms:created>
  <dcterms:modified xsi:type="dcterms:W3CDTF">2023-02-22T06:44:00Z</dcterms:modified>
</cp:coreProperties>
</file>