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1CC0" w14:textId="5033848F" w:rsidR="007D070A" w:rsidRPr="00864934" w:rsidRDefault="007423F9" w:rsidP="00932DD0">
      <w:pPr>
        <w:pStyle w:val="Heading1"/>
        <w:ind w:left="-426"/>
        <w:jc w:val="center"/>
        <w:rPr>
          <w:rFonts w:ascii="Segoe UI" w:hAnsi="Segoe UI" w:cs="Segoe UI"/>
        </w:rPr>
      </w:pPr>
      <w:r w:rsidRPr="00864934">
        <w:rPr>
          <w:rFonts w:ascii="Segoe UI" w:hAnsi="Segoe UI" w:cs="Segoe UI"/>
          <w:noProof/>
          <w:lang w:val="en-GB" w:eastAsia="en-GB"/>
        </w:rPr>
        <w:drawing>
          <wp:inline distT="0" distB="0" distL="0" distR="0" wp14:anchorId="0F1C0A16" wp14:editId="471C2523">
            <wp:extent cx="7172325" cy="1392555"/>
            <wp:effectExtent l="0" t="0" r="9525" b="0"/>
            <wp:docPr id="5" name="Picture 5" descr="Logo: Australian Government, Attorney-General's Department." title="Australian Government, Attorney-General's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72325" cy="1392555"/>
                    </a:xfrm>
                    <a:prstGeom prst="rect">
                      <a:avLst/>
                    </a:prstGeom>
                  </pic:spPr>
                </pic:pic>
              </a:graphicData>
            </a:graphic>
          </wp:inline>
        </w:drawing>
      </w:r>
      <w:r w:rsidR="006178DB" w:rsidRPr="00016B41">
        <w:rPr>
          <w:rFonts w:ascii="Segoe UI" w:hAnsi="Segoe UI" w:cs="Segoe UI"/>
          <w:sz w:val="50"/>
          <w:szCs w:val="50"/>
        </w:rPr>
        <w:t xml:space="preserve">Fact sheet: </w:t>
      </w:r>
      <w:r w:rsidR="00932DD0" w:rsidRPr="00016B41">
        <w:rPr>
          <w:rFonts w:ascii="Segoe UI" w:hAnsi="Segoe UI" w:cs="Segoe UI"/>
          <w:sz w:val="50"/>
          <w:szCs w:val="50"/>
        </w:rPr>
        <w:t xml:space="preserve">List of Issues Prior to Reporting </w:t>
      </w:r>
    </w:p>
    <w:p w14:paraId="420B1CC2" w14:textId="1B6FA3D8" w:rsidR="007D070A" w:rsidRPr="00864934" w:rsidRDefault="00FE5910" w:rsidP="007D070A">
      <w:pPr>
        <w:jc w:val="right"/>
        <w:rPr>
          <w:rFonts w:ascii="Segoe UI" w:hAnsi="Segoe UI" w:cs="Segoe UI"/>
        </w:rPr>
      </w:pPr>
      <w:r w:rsidRPr="00864934">
        <w:rPr>
          <w:rFonts w:ascii="Segoe UI" w:hAnsi="Segoe UI" w:cs="Segoe UI"/>
        </w:rPr>
        <w:t>May</w:t>
      </w:r>
      <w:r w:rsidR="00DC1572" w:rsidRPr="00864934">
        <w:rPr>
          <w:rFonts w:ascii="Segoe UI" w:hAnsi="Segoe UI" w:cs="Segoe UI"/>
        </w:rPr>
        <w:t xml:space="preserve"> 2026</w:t>
      </w:r>
    </w:p>
    <w:p w14:paraId="79D81D6C" w14:textId="78F87B87" w:rsidR="001657BA" w:rsidRPr="00864934" w:rsidRDefault="001657BA" w:rsidP="001657BA">
      <w:r w:rsidRPr="00864934">
        <w:t>This fact sheet summarises the key requests in the L</w:t>
      </w:r>
      <w:r>
        <w:t>ist of Issues Prior to Reporting (L</w:t>
      </w:r>
      <w:r w:rsidRPr="00864934">
        <w:t>OIPR</w:t>
      </w:r>
      <w:r>
        <w:t>)</w:t>
      </w:r>
      <w:r w:rsidRPr="00864934">
        <w:t xml:space="preserve">. It explains what information the </w:t>
      </w:r>
      <w:r>
        <w:t xml:space="preserve">UN </w:t>
      </w:r>
      <w:r w:rsidRPr="00864934">
        <w:t>H</w:t>
      </w:r>
      <w:r>
        <w:t xml:space="preserve">uman </w:t>
      </w:r>
      <w:r w:rsidRPr="00864934">
        <w:t>R</w:t>
      </w:r>
      <w:r>
        <w:t xml:space="preserve">ights </w:t>
      </w:r>
      <w:r w:rsidRPr="00864934">
        <w:t>C</w:t>
      </w:r>
      <w:r>
        <w:t>ommittee</w:t>
      </w:r>
      <w:r w:rsidRPr="00864934">
        <w:t xml:space="preserve"> </w:t>
      </w:r>
      <w:r w:rsidR="00C41D51">
        <w:t xml:space="preserve">(HRC) </w:t>
      </w:r>
      <w:r w:rsidRPr="00864934">
        <w:t xml:space="preserve">has </w:t>
      </w:r>
      <w:r>
        <w:t>asked</w:t>
      </w:r>
      <w:r w:rsidRPr="00864934">
        <w:t xml:space="preserve"> Australia </w:t>
      </w:r>
      <w:r>
        <w:t xml:space="preserve">to </w:t>
      </w:r>
      <w:r w:rsidRPr="00864934">
        <w:t>include in its next</w:t>
      </w:r>
      <w:r w:rsidRPr="001657BA">
        <w:t xml:space="preserve"> </w:t>
      </w:r>
      <w:r w:rsidRPr="00864934">
        <w:t xml:space="preserve">International Covenant on Civil and Political Rights </w:t>
      </w:r>
      <w:r>
        <w:t>(</w:t>
      </w:r>
      <w:r w:rsidRPr="00864934">
        <w:t>ICCPR</w:t>
      </w:r>
      <w:r>
        <w:t>)</w:t>
      </w:r>
      <w:r w:rsidRPr="00864934">
        <w:t xml:space="preserve"> report.</w:t>
      </w:r>
    </w:p>
    <w:p w14:paraId="420B1CC3" w14:textId="39CB445E" w:rsidR="007D070A" w:rsidRPr="00864934" w:rsidRDefault="00DC1572" w:rsidP="007D070A">
      <w:pPr>
        <w:pStyle w:val="Heading2"/>
        <w:rPr>
          <w:rFonts w:ascii="Segoe UI" w:hAnsi="Segoe UI" w:cs="Segoe UI"/>
        </w:rPr>
      </w:pPr>
      <w:r w:rsidRPr="00864934">
        <w:rPr>
          <w:rFonts w:ascii="Segoe UI" w:hAnsi="Segoe UI" w:cs="Segoe UI"/>
        </w:rPr>
        <w:t xml:space="preserve">What is the List </w:t>
      </w:r>
      <w:r w:rsidR="00DB291B" w:rsidRPr="00864934">
        <w:rPr>
          <w:rFonts w:ascii="Segoe UI" w:hAnsi="Segoe UI" w:cs="Segoe UI"/>
        </w:rPr>
        <w:t>of</w:t>
      </w:r>
      <w:r w:rsidRPr="00864934">
        <w:rPr>
          <w:rFonts w:ascii="Segoe UI" w:hAnsi="Segoe UI" w:cs="Segoe UI"/>
        </w:rPr>
        <w:t xml:space="preserve"> Issues Prior to Reporting?</w:t>
      </w:r>
    </w:p>
    <w:p w14:paraId="1888C192" w14:textId="7D00B1E4" w:rsidR="00CF3694" w:rsidRDefault="00DB291B" w:rsidP="00016B41">
      <w:r w:rsidRPr="00864934">
        <w:t xml:space="preserve">The LOIPR is a set of </w:t>
      </w:r>
      <w:r w:rsidR="005B7EE9" w:rsidRPr="00864934">
        <w:t xml:space="preserve">requests for information </w:t>
      </w:r>
      <w:r w:rsidR="00E864F2" w:rsidRPr="00864934">
        <w:t xml:space="preserve">from </w:t>
      </w:r>
      <w:r w:rsidRPr="00864934">
        <w:t xml:space="preserve">the </w:t>
      </w:r>
      <w:r w:rsidR="005B7EE9" w:rsidRPr="00864934">
        <w:t xml:space="preserve">HRC. The LOIPR </w:t>
      </w:r>
      <w:r w:rsidR="00E864F2" w:rsidRPr="00864934">
        <w:t xml:space="preserve">asks </w:t>
      </w:r>
      <w:r w:rsidR="00CF3694">
        <w:t xml:space="preserve">Australia to provide </w:t>
      </w:r>
      <w:r w:rsidR="005B7EE9" w:rsidRPr="00864934">
        <w:t xml:space="preserve">specific information on how </w:t>
      </w:r>
      <w:r w:rsidR="00CF3694">
        <w:t>it</w:t>
      </w:r>
      <w:r w:rsidR="00CF3694" w:rsidRPr="00864934">
        <w:t xml:space="preserve"> </w:t>
      </w:r>
      <w:r w:rsidR="005B7EE9" w:rsidRPr="00864934">
        <w:t xml:space="preserve">is implementing the ICCPR. </w:t>
      </w:r>
    </w:p>
    <w:p w14:paraId="4A71A2FB" w14:textId="3FC7D83D" w:rsidR="00DB291B" w:rsidRPr="00864934" w:rsidRDefault="005B7EE9" w:rsidP="00016B41">
      <w:r w:rsidRPr="00864934">
        <w:t>Australia</w:t>
      </w:r>
      <w:r w:rsidR="00CF3694">
        <w:t xml:space="preserve"> must respond to these requests in its</w:t>
      </w:r>
      <w:r w:rsidRPr="00864934">
        <w:t xml:space="preserve"> next report under the ICCPR.</w:t>
      </w:r>
    </w:p>
    <w:p w14:paraId="378E0337" w14:textId="7A142F4D" w:rsidR="00842D77" w:rsidRPr="00864934" w:rsidRDefault="00842D77" w:rsidP="00842D77">
      <w:pPr>
        <w:pStyle w:val="Heading3"/>
        <w:rPr>
          <w:rFonts w:ascii="Segoe UI" w:hAnsi="Segoe UI" w:cs="Segoe UI"/>
        </w:rPr>
      </w:pPr>
      <w:r w:rsidRPr="00864934">
        <w:rPr>
          <w:rFonts w:ascii="Segoe UI" w:hAnsi="Segoe UI" w:cs="Segoe UI"/>
        </w:rPr>
        <w:t>Part A - General human rights framework and implementation</w:t>
      </w:r>
    </w:p>
    <w:p w14:paraId="78B8B736" w14:textId="42D40AE5" w:rsidR="00932DD0" w:rsidRPr="00864934" w:rsidRDefault="00842D77" w:rsidP="006178DB">
      <w:pPr>
        <w:spacing w:before="120" w:after="120"/>
      </w:pPr>
      <w:r w:rsidRPr="00484BE1">
        <w:rPr>
          <w:rStyle w:val="Heading5Char"/>
        </w:rPr>
        <w:t>Paragraph 1</w:t>
      </w:r>
      <w:r w:rsidRPr="00864934">
        <w:rPr>
          <w:b/>
          <w:bCs/>
        </w:rPr>
        <w:t xml:space="preserve"> </w:t>
      </w:r>
      <w:r w:rsidRPr="00864934">
        <w:br/>
      </w:r>
      <w:r w:rsidR="000674AB" w:rsidRPr="00864934">
        <w:t xml:space="preserve">The HRC asks </w:t>
      </w:r>
      <w:r w:rsidRPr="00864934">
        <w:t xml:space="preserve">Australia </w:t>
      </w:r>
      <w:r w:rsidR="000674AB" w:rsidRPr="00864934">
        <w:t>to provide information on</w:t>
      </w:r>
      <w:r w:rsidR="00932DD0" w:rsidRPr="00864934">
        <w:t>:</w:t>
      </w:r>
    </w:p>
    <w:p w14:paraId="0895CDFD" w14:textId="603EBD22" w:rsidR="00932DD0" w:rsidRPr="00484BE1" w:rsidRDefault="00842D77" w:rsidP="00484BE1">
      <w:pPr>
        <w:pStyle w:val="Bullet1"/>
      </w:pPr>
      <w:r w:rsidRPr="00484BE1">
        <w:t xml:space="preserve">any major legal or institutional changes affecting human rights since the last </w:t>
      </w:r>
      <w:r w:rsidR="00932DD0" w:rsidRPr="00484BE1">
        <w:t>review</w:t>
      </w:r>
    </w:p>
    <w:p w14:paraId="0A90297A" w14:textId="61EAA933" w:rsidR="00932DD0" w:rsidRPr="00484BE1" w:rsidRDefault="00842D77" w:rsidP="00484BE1">
      <w:pPr>
        <w:pStyle w:val="Bullet1"/>
      </w:pPr>
      <w:r w:rsidRPr="00484BE1">
        <w:t xml:space="preserve">how ICCPR rights are applied by laws and </w:t>
      </w:r>
      <w:r w:rsidR="00932DD0" w:rsidRPr="00484BE1">
        <w:t>courts</w:t>
      </w:r>
    </w:p>
    <w:p w14:paraId="663BE247" w14:textId="4B97687C" w:rsidR="00842D77" w:rsidRPr="00484BE1" w:rsidRDefault="00842D77" w:rsidP="00484BE1">
      <w:pPr>
        <w:pStyle w:val="Bullet1"/>
      </w:pPr>
      <w:r w:rsidRPr="00484BE1">
        <w:t>what steps have been taken to implement past UN recommendations and decisions to ensure effective remedies for individuals.</w:t>
      </w:r>
    </w:p>
    <w:p w14:paraId="254AC2F9" w14:textId="68CA54C2" w:rsidR="00842D77" w:rsidRPr="00864934" w:rsidRDefault="00842D77" w:rsidP="00842D77">
      <w:pPr>
        <w:pStyle w:val="Heading3"/>
        <w:rPr>
          <w:rFonts w:ascii="Segoe UI" w:hAnsi="Segoe UI" w:cs="Segoe UI"/>
        </w:rPr>
      </w:pPr>
      <w:r w:rsidRPr="00864934">
        <w:rPr>
          <w:rFonts w:ascii="Segoe UI" w:hAnsi="Segoe UI" w:cs="Segoe UI"/>
        </w:rPr>
        <w:t>Part B - Specific information on the implementation of articles 1 to 27 of the Covenant</w:t>
      </w:r>
    </w:p>
    <w:p w14:paraId="222FC131" w14:textId="1235DF2E" w:rsidR="00DB291B" w:rsidRPr="00864934" w:rsidRDefault="00FC4828" w:rsidP="009E712A">
      <w:pPr>
        <w:pStyle w:val="Heading4"/>
        <w:numPr>
          <w:ilvl w:val="0"/>
          <w:numId w:val="8"/>
        </w:numPr>
        <w:rPr>
          <w:rFonts w:ascii="Segoe UI" w:hAnsi="Segoe UI" w:cs="Segoe UI"/>
        </w:rPr>
      </w:pPr>
      <w:r w:rsidRPr="00484BE1">
        <w:rPr>
          <w:rFonts w:ascii="Segoe UI" w:hAnsi="Segoe UI" w:cs="Segoe UI"/>
          <w:color w:val="595959"/>
        </w:rPr>
        <w:t>Constitutional</w:t>
      </w:r>
      <w:r w:rsidRPr="00864934">
        <w:rPr>
          <w:rFonts w:ascii="Segoe UI" w:hAnsi="Segoe UI" w:cs="Segoe UI"/>
        </w:rPr>
        <w:t xml:space="preserve"> and legal frameworks </w:t>
      </w:r>
    </w:p>
    <w:p w14:paraId="7BB9E2EF" w14:textId="60DD4CA2" w:rsidR="00AE6824" w:rsidRPr="00484BE1" w:rsidRDefault="00AE6824" w:rsidP="00484BE1">
      <w:pPr>
        <w:pStyle w:val="Heading5"/>
      </w:pPr>
      <w:r w:rsidRPr="00484BE1">
        <w:t>Paragraph 2</w:t>
      </w:r>
    </w:p>
    <w:p w14:paraId="376E9661" w14:textId="44D4AFEA" w:rsidR="00AE6824" w:rsidRPr="00A062F3" w:rsidRDefault="00932DD0" w:rsidP="00016B41">
      <w:r w:rsidRPr="00864934">
        <w:t xml:space="preserve">The HRC asks </w:t>
      </w:r>
      <w:r w:rsidR="00E62D18" w:rsidRPr="00864934">
        <w:t>Australia</w:t>
      </w:r>
      <w:r w:rsidR="00842D77" w:rsidRPr="00864934">
        <w:t xml:space="preserve"> </w:t>
      </w:r>
      <w:r w:rsidR="00E62D18" w:rsidRPr="00864934">
        <w:t xml:space="preserve">to </w:t>
      </w:r>
      <w:r w:rsidR="001C0CAE">
        <w:t>provide information on</w:t>
      </w:r>
      <w:r w:rsidR="00016568">
        <w:t xml:space="preserve"> </w:t>
      </w:r>
      <w:r w:rsidR="00E62D18" w:rsidRPr="00016568">
        <w:t xml:space="preserve">how it ensures that federal and state laws are compatible with the </w:t>
      </w:r>
      <w:r w:rsidR="0011530E" w:rsidRPr="00016568">
        <w:t>ICCPR</w:t>
      </w:r>
      <w:r w:rsidR="00CF3694">
        <w:t>. This includes</w:t>
      </w:r>
      <w:r w:rsidR="006178DB">
        <w:t xml:space="preserve"> </w:t>
      </w:r>
      <w:r w:rsidR="00E62D18" w:rsidRPr="00A062F3">
        <w:t>how new laws are assessed for human rights compliance</w:t>
      </w:r>
      <w:r w:rsidR="006178DB">
        <w:t xml:space="preserve"> and </w:t>
      </w:r>
      <w:r w:rsidR="00E62D18" w:rsidRPr="00A062F3">
        <w:t>how awareness of the ICCPR is promoted among courts and law enforcement.</w:t>
      </w:r>
    </w:p>
    <w:p w14:paraId="4116D200" w14:textId="77777777" w:rsidR="00AE6824" w:rsidRPr="00864934" w:rsidRDefault="00AE6824" w:rsidP="00484BE1">
      <w:pPr>
        <w:pStyle w:val="Heading5"/>
      </w:pPr>
      <w:r w:rsidRPr="00864934">
        <w:t xml:space="preserve">Paragraph 3 </w:t>
      </w:r>
    </w:p>
    <w:p w14:paraId="7570F06A" w14:textId="46B9E825" w:rsidR="00932DD0" w:rsidRPr="00864934" w:rsidRDefault="00932DD0" w:rsidP="001657BA">
      <w:r w:rsidRPr="00864934">
        <w:t xml:space="preserve">The HRC </w:t>
      </w:r>
      <w:r w:rsidR="00E62D18" w:rsidRPr="00864934">
        <w:t>seeks information on whether Australia intends to withdraw its remaining reservations to certain ICCPR rights and how it regularly reviews whether those reservations remain necessary and justified.</w:t>
      </w:r>
    </w:p>
    <w:p w14:paraId="00542CF4" w14:textId="610F71CE" w:rsidR="00FC4828" w:rsidRPr="00864934" w:rsidRDefault="00FC4828" w:rsidP="009E712A">
      <w:pPr>
        <w:pStyle w:val="Heading4"/>
        <w:numPr>
          <w:ilvl w:val="0"/>
          <w:numId w:val="8"/>
        </w:numPr>
        <w:rPr>
          <w:rFonts w:ascii="Segoe UI" w:hAnsi="Segoe UI" w:cs="Segoe UI"/>
        </w:rPr>
      </w:pPr>
      <w:r w:rsidRPr="00864934">
        <w:rPr>
          <w:rFonts w:ascii="Segoe UI" w:hAnsi="Segoe UI" w:cs="Segoe UI"/>
        </w:rPr>
        <w:t xml:space="preserve">National human rights </w:t>
      </w:r>
      <w:r w:rsidR="00391988" w:rsidRPr="00864934">
        <w:rPr>
          <w:rFonts w:ascii="Segoe UI" w:hAnsi="Segoe UI" w:cs="Segoe UI"/>
        </w:rPr>
        <w:t>institutions (art. 2)</w:t>
      </w:r>
    </w:p>
    <w:p w14:paraId="2F69DA38" w14:textId="5F0EB262" w:rsidR="00F12A31" w:rsidRPr="00F12A31" w:rsidRDefault="00932DD0" w:rsidP="001657BA">
      <w:r w:rsidRPr="00864934">
        <w:t xml:space="preserve">The HRC asks Australia </w:t>
      </w:r>
      <w:r w:rsidR="00E62D18" w:rsidRPr="00864934">
        <w:t xml:space="preserve">to </w:t>
      </w:r>
      <w:r w:rsidR="001C0CAE">
        <w:t xml:space="preserve">provide information </w:t>
      </w:r>
      <w:r w:rsidR="00F12A31">
        <w:t>on</w:t>
      </w:r>
      <w:r w:rsidR="00F12A31" w:rsidRPr="00F12A31">
        <w:t xml:space="preserve"> what</w:t>
      </w:r>
      <w:r w:rsidR="00E62D18" w:rsidRPr="00A062F3">
        <w:t xml:space="preserve"> steps it has taken to strengthen the independence of the Australian Human Rights Commission and ensure it has sufficient funding, staff, and technical resources to carry out its human rights mandate in line with the Paris Principles. </w:t>
      </w:r>
    </w:p>
    <w:p w14:paraId="6F050786" w14:textId="56670E5D" w:rsidR="00DE42C5" w:rsidRPr="00A062F3" w:rsidRDefault="00E62D18" w:rsidP="00A60BF6">
      <w:r w:rsidRPr="00A062F3">
        <w:t xml:space="preserve">The </w:t>
      </w:r>
      <w:r w:rsidR="00D748B3" w:rsidRPr="00A062F3">
        <w:t xml:space="preserve">HRC </w:t>
      </w:r>
      <w:r w:rsidR="00F12A31" w:rsidRPr="00F12A31">
        <w:t>also seeks</w:t>
      </w:r>
      <w:r w:rsidRPr="00A062F3">
        <w:t xml:space="preserve"> an update on Australia’s response to recommendations to expand the Commission’s </w:t>
      </w:r>
      <w:r w:rsidR="00DE42C5" w:rsidRPr="00A062F3">
        <w:t>mandate,</w:t>
      </w:r>
      <w:r w:rsidRPr="00A062F3">
        <w:t xml:space="preserve"> so it covers all relevant international human rights treaties.</w:t>
      </w:r>
    </w:p>
    <w:p w14:paraId="5FCADC4B" w14:textId="7BA7C90E" w:rsidR="007E3CCC" w:rsidRPr="00864934" w:rsidRDefault="00391988" w:rsidP="009E712A">
      <w:pPr>
        <w:pStyle w:val="Heading4"/>
        <w:numPr>
          <w:ilvl w:val="0"/>
          <w:numId w:val="8"/>
        </w:numPr>
        <w:rPr>
          <w:rFonts w:ascii="Segoe UI" w:hAnsi="Segoe UI" w:cs="Segoe UI"/>
        </w:rPr>
      </w:pPr>
      <w:r w:rsidRPr="00864934">
        <w:rPr>
          <w:rFonts w:ascii="Segoe UI" w:hAnsi="Segoe UI" w:cs="Segoe UI"/>
        </w:rPr>
        <w:lastRenderedPageBreak/>
        <w:t>Non-discrimination (arts. 2, 19, 20 and 26)</w:t>
      </w:r>
    </w:p>
    <w:p w14:paraId="4B367CCF" w14:textId="77777777" w:rsidR="00F12A31" w:rsidRDefault="00DE42C5" w:rsidP="00484BE1">
      <w:pPr>
        <w:spacing w:before="120" w:after="120"/>
      </w:pPr>
      <w:r w:rsidRPr="00484BE1">
        <w:rPr>
          <w:rStyle w:val="Heading5Char"/>
        </w:rPr>
        <w:t>Paragraph 5 – Non</w:t>
      </w:r>
      <w:r w:rsidRPr="00484BE1">
        <w:rPr>
          <w:rStyle w:val="Heading5Char"/>
        </w:rPr>
        <w:noBreakHyphen/>
        <w:t>discrimination protections in law</w:t>
      </w:r>
      <w:r w:rsidRPr="00864934">
        <w:br/>
      </w:r>
      <w:r w:rsidR="00932DD0" w:rsidRPr="00864934">
        <w:t xml:space="preserve">The HRC asks Australia </w:t>
      </w:r>
      <w:r w:rsidRPr="00864934">
        <w:t xml:space="preserve">to </w:t>
      </w:r>
      <w:r w:rsidR="001C0CAE">
        <w:t>provide information on</w:t>
      </w:r>
      <w:r w:rsidR="00F12A31">
        <w:t>:</w:t>
      </w:r>
    </w:p>
    <w:p w14:paraId="38B8DF79" w14:textId="396220ED" w:rsidR="00F12A31" w:rsidRDefault="00DE42C5" w:rsidP="00484BE1">
      <w:pPr>
        <w:pStyle w:val="Bullet1"/>
      </w:pPr>
      <w:r w:rsidRPr="00A062F3">
        <w:t>how federal law provides comprehensive protection against all forms of discrimination under the ICCPR</w:t>
      </w:r>
    </w:p>
    <w:p w14:paraId="5B36E3E1" w14:textId="5E60E3DC" w:rsidR="00F12A31" w:rsidRDefault="00DE42C5" w:rsidP="00484BE1">
      <w:pPr>
        <w:pStyle w:val="Bullet1"/>
      </w:pPr>
      <w:r w:rsidRPr="00A062F3">
        <w:t>how people are supported to report discrimination</w:t>
      </w:r>
    </w:p>
    <w:p w14:paraId="08FC546C" w14:textId="2A377834" w:rsidR="00DE42C5" w:rsidRPr="00A062F3" w:rsidRDefault="00DE42C5" w:rsidP="00484BE1">
      <w:pPr>
        <w:pStyle w:val="Bullet1"/>
      </w:pPr>
      <w:r w:rsidRPr="00A062F3">
        <w:t>what data shows about complaints, investigations, penalties, and remedies for victims.</w:t>
      </w:r>
    </w:p>
    <w:p w14:paraId="6500ECFC" w14:textId="234B6AEE" w:rsidR="00A60BF6" w:rsidRDefault="00DE42C5" w:rsidP="00016B41">
      <w:pPr>
        <w:spacing w:after="120"/>
      </w:pPr>
      <w:r w:rsidRPr="00484BE1">
        <w:rPr>
          <w:rStyle w:val="Heading5Char"/>
        </w:rPr>
        <w:t>Paragraph 6 – Racial discrimination, hate speech, and profiling</w:t>
      </w:r>
      <w:r w:rsidRPr="00A756C8">
        <w:rPr>
          <w:rStyle w:val="Heading4Char"/>
        </w:rPr>
        <w:br/>
      </w:r>
      <w:r w:rsidR="00932DD0" w:rsidRPr="00484BE1">
        <w:t xml:space="preserve">The HRC asks Australia </w:t>
      </w:r>
      <w:r w:rsidRPr="00484BE1">
        <w:t xml:space="preserve">to </w:t>
      </w:r>
      <w:r w:rsidR="001C0CAE" w:rsidRPr="00484BE1">
        <w:t>provide information o</w:t>
      </w:r>
      <w:r w:rsidR="00F12A31" w:rsidRPr="00484BE1">
        <w:t>n</w:t>
      </w:r>
      <w:r w:rsidR="00F01E06" w:rsidRPr="00484BE1">
        <w:t xml:space="preserve"> </w:t>
      </w:r>
      <w:r w:rsidRPr="00484BE1">
        <w:t>how it addresses racial discrimination, hate speech, and incitement to violence</w:t>
      </w:r>
      <w:r w:rsidR="00A60BF6">
        <w:t>. This includes:</w:t>
      </w:r>
    </w:p>
    <w:p w14:paraId="6678614C" w14:textId="00E2BB85" w:rsidR="00A60BF6" w:rsidRPr="00016B41" w:rsidRDefault="00DE42C5" w:rsidP="00A60BF6">
      <w:pPr>
        <w:pStyle w:val="ListParagraph"/>
        <w:numPr>
          <w:ilvl w:val="0"/>
          <w:numId w:val="21"/>
        </w:numPr>
        <w:rPr>
          <w:rFonts w:ascii="Segoe UI" w:hAnsi="Segoe UI" w:cs="Segoe UI"/>
          <w:sz w:val="21"/>
          <w:szCs w:val="21"/>
        </w:rPr>
      </w:pPr>
      <w:r w:rsidRPr="00484BE1">
        <w:t xml:space="preserve">law enforcement action </w:t>
      </w:r>
    </w:p>
    <w:p w14:paraId="5AA392CC" w14:textId="154095BE" w:rsidR="00A60BF6" w:rsidRPr="00016B41" w:rsidRDefault="00DE42C5" w:rsidP="00A60BF6">
      <w:pPr>
        <w:pStyle w:val="ListParagraph"/>
        <w:numPr>
          <w:ilvl w:val="0"/>
          <w:numId w:val="21"/>
        </w:numPr>
        <w:rPr>
          <w:rFonts w:ascii="Segoe UI" w:hAnsi="Segoe UI" w:cs="Segoe UI"/>
          <w:sz w:val="21"/>
          <w:szCs w:val="21"/>
        </w:rPr>
      </w:pPr>
      <w:r w:rsidRPr="00484BE1">
        <w:t xml:space="preserve">preventing racial profiling </w:t>
      </w:r>
    </w:p>
    <w:p w14:paraId="73038621" w14:textId="69BD44E2" w:rsidR="00A60BF6" w:rsidRPr="00016B41" w:rsidRDefault="00DE42C5" w:rsidP="00A60BF6">
      <w:pPr>
        <w:pStyle w:val="ListParagraph"/>
        <w:numPr>
          <w:ilvl w:val="0"/>
          <w:numId w:val="21"/>
        </w:numPr>
        <w:rPr>
          <w:rFonts w:ascii="Segoe UI" w:hAnsi="Segoe UI" w:cs="Segoe UI"/>
          <w:sz w:val="21"/>
          <w:szCs w:val="21"/>
        </w:rPr>
      </w:pPr>
      <w:r w:rsidRPr="00484BE1">
        <w:t>training officials</w:t>
      </w:r>
    </w:p>
    <w:p w14:paraId="62103864" w14:textId="77542B06" w:rsidR="00DE42C5" w:rsidRPr="00A60BF6" w:rsidRDefault="00DE42C5" w:rsidP="00016B41">
      <w:pPr>
        <w:pStyle w:val="ListParagraph"/>
        <w:numPr>
          <w:ilvl w:val="0"/>
          <w:numId w:val="21"/>
        </w:numPr>
        <w:rPr>
          <w:rFonts w:ascii="Segoe UI" w:hAnsi="Segoe UI" w:cs="Segoe UI"/>
          <w:sz w:val="21"/>
          <w:szCs w:val="21"/>
        </w:rPr>
      </w:pPr>
      <w:r w:rsidRPr="00484BE1">
        <w:t>promoting tolerance and diversity through public education.</w:t>
      </w:r>
    </w:p>
    <w:p w14:paraId="375B7203" w14:textId="4A14538C" w:rsidR="00F12A31" w:rsidRDefault="00DE42C5" w:rsidP="00016B41">
      <w:pPr>
        <w:spacing w:after="120"/>
      </w:pPr>
      <w:r w:rsidRPr="00484BE1">
        <w:rPr>
          <w:rStyle w:val="Heading5Char"/>
        </w:rPr>
        <w:t>Paragraph 7 – Sexual orientation and gender identity</w:t>
      </w:r>
      <w:r w:rsidRPr="00864934">
        <w:br/>
      </w:r>
      <w:r w:rsidR="00932DD0" w:rsidRPr="00864934">
        <w:t xml:space="preserve">The HRC asks Australia </w:t>
      </w:r>
      <w:r w:rsidRPr="00864934">
        <w:t xml:space="preserve">to </w:t>
      </w:r>
      <w:r w:rsidR="001C0CAE">
        <w:t>provide information on</w:t>
      </w:r>
      <w:r w:rsidR="00080E03">
        <w:t xml:space="preserve"> how it</w:t>
      </w:r>
      <w:r w:rsidR="00F12A31">
        <w:t xml:space="preserve">: </w:t>
      </w:r>
    </w:p>
    <w:p w14:paraId="7519CA3B" w14:textId="68459122" w:rsidR="00F12A31" w:rsidRDefault="00DE42C5" w:rsidP="00484BE1">
      <w:pPr>
        <w:pStyle w:val="Bullet1"/>
      </w:pPr>
      <w:r w:rsidRPr="00A062F3">
        <w:t xml:space="preserve">prevents discrimination and stigma based on sexual orientation or gender identity, including in healthcare and education </w:t>
      </w:r>
    </w:p>
    <w:p w14:paraId="6454966F" w14:textId="4FDDA5EF" w:rsidR="00E62D18" w:rsidRPr="00A062F3" w:rsidRDefault="00DE42C5" w:rsidP="00484BE1">
      <w:pPr>
        <w:pStyle w:val="Bullet1"/>
      </w:pPr>
      <w:r w:rsidRPr="00A062F3">
        <w:t>ensures timely access to gender</w:t>
      </w:r>
      <w:r w:rsidRPr="00A062F3">
        <w:noBreakHyphen/>
        <w:t>affirming healthcare without unnecessary legal barriers.</w:t>
      </w:r>
    </w:p>
    <w:p w14:paraId="4BCC8452" w14:textId="4BB69888" w:rsidR="00391988" w:rsidRPr="00864934" w:rsidRDefault="00391988" w:rsidP="00DE42C5">
      <w:pPr>
        <w:pStyle w:val="Heading4"/>
        <w:numPr>
          <w:ilvl w:val="0"/>
          <w:numId w:val="6"/>
        </w:numPr>
        <w:rPr>
          <w:rFonts w:ascii="Segoe UI" w:hAnsi="Segoe UI" w:cs="Segoe UI"/>
        </w:rPr>
      </w:pPr>
      <w:r w:rsidRPr="00864934">
        <w:rPr>
          <w:rFonts w:ascii="Segoe UI" w:hAnsi="Segoe UI" w:cs="Segoe UI"/>
        </w:rPr>
        <w:t>Violence against women, including domestic violence (Arts. 3,6,7 and 26)</w:t>
      </w:r>
    </w:p>
    <w:p w14:paraId="6AA9E5DF" w14:textId="77777777" w:rsidR="00A60BF6" w:rsidRDefault="00AD6963" w:rsidP="00016B41">
      <w:pPr>
        <w:spacing w:after="120"/>
        <w:rPr>
          <w:rFonts w:eastAsia="Times New Roman"/>
          <w:w w:val="100"/>
          <w:kern w:val="0"/>
          <w:lang w:eastAsia="en-AU"/>
        </w:rPr>
      </w:pPr>
      <w:r w:rsidRPr="00484BE1">
        <w:rPr>
          <w:rStyle w:val="Heading5Char"/>
        </w:rPr>
        <w:t>Paragraph 8 – Gender</w:t>
      </w:r>
      <w:r w:rsidRPr="00484BE1">
        <w:rPr>
          <w:rStyle w:val="Heading5Char"/>
        </w:rPr>
        <w:noBreakHyphen/>
        <w:t>based violence</w:t>
      </w:r>
      <w:r w:rsidRPr="00864934">
        <w:rPr>
          <w:rFonts w:eastAsia="Times New Roman"/>
          <w:w w:val="100"/>
          <w:kern w:val="0"/>
          <w:lang w:eastAsia="en-AU"/>
        </w:rPr>
        <w:br/>
      </w:r>
      <w:r w:rsidR="00932DD0" w:rsidRPr="00864934">
        <w:t xml:space="preserve">The HRC asks Australia </w:t>
      </w:r>
      <w:r w:rsidRPr="00864934">
        <w:rPr>
          <w:rFonts w:eastAsia="Times New Roman"/>
          <w:w w:val="100"/>
          <w:kern w:val="0"/>
          <w:lang w:eastAsia="en-AU"/>
        </w:rPr>
        <w:t xml:space="preserve">to </w:t>
      </w:r>
      <w:r w:rsidR="001C0CAE">
        <w:rPr>
          <w:rFonts w:eastAsia="Times New Roman"/>
          <w:w w:val="100"/>
          <w:kern w:val="0"/>
          <w:lang w:eastAsia="en-AU"/>
        </w:rPr>
        <w:t>provide information on</w:t>
      </w:r>
      <w:r w:rsidR="001C0CAE" w:rsidRPr="00864934">
        <w:rPr>
          <w:rFonts w:eastAsia="Times New Roman"/>
          <w:w w:val="100"/>
          <w:kern w:val="0"/>
          <w:lang w:eastAsia="en-AU"/>
        </w:rPr>
        <w:t xml:space="preserve"> </w:t>
      </w:r>
      <w:r w:rsidRPr="00864934">
        <w:rPr>
          <w:rFonts w:eastAsia="Times New Roman"/>
          <w:w w:val="100"/>
          <w:kern w:val="0"/>
          <w:lang w:eastAsia="en-AU"/>
        </w:rPr>
        <w:t>how it is preventing and responding to violence against women</w:t>
      </w:r>
      <w:r w:rsidR="00A60BF6">
        <w:rPr>
          <w:rFonts w:eastAsia="Times New Roman"/>
          <w:w w:val="100"/>
          <w:kern w:val="0"/>
          <w:lang w:eastAsia="en-AU"/>
        </w:rPr>
        <w:t>. This includes:</w:t>
      </w:r>
    </w:p>
    <w:p w14:paraId="57C5D942" w14:textId="0533A0D6" w:rsidR="00A60BF6" w:rsidRDefault="00AD6963" w:rsidP="00A60BF6">
      <w:pPr>
        <w:pStyle w:val="Bullet1"/>
      </w:pPr>
      <w:r w:rsidRPr="00864934">
        <w:t>implementation of the National Plan</w:t>
      </w:r>
      <w:r w:rsidR="003923EC">
        <w:t xml:space="preserve"> to End Violence Against Women and children (2022-2032)</w:t>
      </w:r>
    </w:p>
    <w:p w14:paraId="0D654349" w14:textId="3416D1CF" w:rsidR="00A60BF6" w:rsidRDefault="00AD6963" w:rsidP="00A60BF6">
      <w:pPr>
        <w:pStyle w:val="Bullet1"/>
      </w:pPr>
      <w:r w:rsidRPr="00864934">
        <w:t>data collection</w:t>
      </w:r>
    </w:p>
    <w:p w14:paraId="66E4FD2F" w14:textId="6A7BB3E9" w:rsidR="00A60BF6" w:rsidRDefault="00AD6963" w:rsidP="00A60BF6">
      <w:pPr>
        <w:pStyle w:val="Bullet1"/>
      </w:pPr>
      <w:r w:rsidRPr="00864934">
        <w:t>victim support services</w:t>
      </w:r>
    </w:p>
    <w:p w14:paraId="664289BB" w14:textId="2F017B53" w:rsidR="00AD6963" w:rsidRPr="00864934" w:rsidRDefault="00AD6963" w:rsidP="00016B41">
      <w:pPr>
        <w:pStyle w:val="Bullet1"/>
      </w:pPr>
      <w:r w:rsidRPr="00864934">
        <w:t>accountability for perpetrators.</w:t>
      </w:r>
    </w:p>
    <w:p w14:paraId="2B09FFF2" w14:textId="79383CCA" w:rsidR="00391988" w:rsidRPr="00864934" w:rsidRDefault="00391988" w:rsidP="009E712A">
      <w:pPr>
        <w:pStyle w:val="Heading4"/>
        <w:numPr>
          <w:ilvl w:val="0"/>
          <w:numId w:val="8"/>
        </w:numPr>
        <w:rPr>
          <w:rFonts w:ascii="Segoe UI" w:hAnsi="Segoe UI" w:cs="Segoe UI"/>
        </w:rPr>
      </w:pPr>
      <w:r w:rsidRPr="00864934">
        <w:rPr>
          <w:rFonts w:ascii="Segoe UI" w:hAnsi="Segoe UI" w:cs="Segoe UI"/>
        </w:rPr>
        <w:t>Counter-</w:t>
      </w:r>
      <w:r w:rsidR="00156525" w:rsidRPr="00864934">
        <w:rPr>
          <w:rFonts w:ascii="Segoe UI" w:hAnsi="Segoe UI" w:cs="Segoe UI"/>
        </w:rPr>
        <w:t>T</w:t>
      </w:r>
      <w:r w:rsidRPr="00864934">
        <w:rPr>
          <w:rFonts w:ascii="Segoe UI" w:hAnsi="Segoe UI" w:cs="Segoe UI"/>
        </w:rPr>
        <w:t>errorism measures (arts. 2, 9, 12, 14, 17 and 22)</w:t>
      </w:r>
    </w:p>
    <w:p w14:paraId="22E1CFC1" w14:textId="36BBB4CA" w:rsidR="007E3CCC" w:rsidRPr="00864934" w:rsidRDefault="007E3CCC" w:rsidP="00484BE1">
      <w:pPr>
        <w:pStyle w:val="Heading5"/>
        <w:rPr>
          <w:w w:val="100"/>
          <w:lang w:eastAsia="en-AU"/>
        </w:rPr>
      </w:pPr>
      <w:r w:rsidRPr="00864934">
        <w:rPr>
          <w:w w:val="100"/>
          <w:lang w:eastAsia="en-AU"/>
        </w:rPr>
        <w:t>Paragraph 9</w:t>
      </w:r>
    </w:p>
    <w:p w14:paraId="2B6F9CE2" w14:textId="7B44A8EC" w:rsidR="007E3CCC" w:rsidRPr="00864934" w:rsidRDefault="00932DD0" w:rsidP="001657BA">
      <w:r w:rsidRPr="00864934">
        <w:t>The HRC asks Australia</w:t>
      </w:r>
      <w:r w:rsidR="007E3CCC" w:rsidRPr="00864934">
        <w:rPr>
          <w:w w:val="100"/>
          <w:lang w:eastAsia="en-AU"/>
        </w:rPr>
        <w:t xml:space="preserve"> to </w:t>
      </w:r>
      <w:r w:rsidR="001C0CAE">
        <w:rPr>
          <w:w w:val="100"/>
          <w:lang w:eastAsia="en-AU"/>
        </w:rPr>
        <w:t>provide information on</w:t>
      </w:r>
      <w:r w:rsidR="001C0CAE" w:rsidRPr="00864934">
        <w:rPr>
          <w:w w:val="100"/>
          <w:lang w:eastAsia="en-AU"/>
        </w:rPr>
        <w:t xml:space="preserve"> </w:t>
      </w:r>
      <w:r w:rsidR="007E3CCC" w:rsidRPr="00864934">
        <w:rPr>
          <w:w w:val="100"/>
          <w:lang w:eastAsia="en-AU"/>
        </w:rPr>
        <w:t xml:space="preserve">how its </w:t>
      </w:r>
      <w:r w:rsidR="00E77AAA" w:rsidRPr="00864934">
        <w:rPr>
          <w:w w:val="100"/>
          <w:lang w:eastAsia="en-AU"/>
        </w:rPr>
        <w:t>Counter-Terrorism</w:t>
      </w:r>
      <w:r w:rsidR="007E3CCC" w:rsidRPr="00864934">
        <w:rPr>
          <w:w w:val="100"/>
          <w:lang w:eastAsia="en-AU"/>
        </w:rPr>
        <w:t xml:space="preserve"> laws and expanded surveillance powers comply with human rights principles </w:t>
      </w:r>
      <w:r w:rsidR="003923EC">
        <w:rPr>
          <w:w w:val="100"/>
          <w:lang w:eastAsia="en-AU"/>
        </w:rPr>
        <w:t xml:space="preserve">contained in the ICCPR </w:t>
      </w:r>
      <w:r w:rsidR="007E3CCC" w:rsidRPr="00864934">
        <w:rPr>
          <w:w w:val="100"/>
          <w:lang w:eastAsia="en-AU"/>
        </w:rPr>
        <w:t>such as necessity, proportionality, non</w:t>
      </w:r>
      <w:r w:rsidR="007E3CCC" w:rsidRPr="00864934">
        <w:rPr>
          <w:w w:val="100"/>
          <w:lang w:eastAsia="en-AU"/>
        </w:rPr>
        <w:noBreakHyphen/>
        <w:t xml:space="preserve">discrimination, due process, and independent </w:t>
      </w:r>
      <w:r w:rsidR="007E3CCC" w:rsidRPr="00864934">
        <w:t>oversight.</w:t>
      </w:r>
    </w:p>
    <w:p w14:paraId="60E2B2D2" w14:textId="3DF9FDE8" w:rsidR="00156525" w:rsidRPr="00864934" w:rsidRDefault="00391988" w:rsidP="009E712A">
      <w:pPr>
        <w:pStyle w:val="Heading4"/>
        <w:numPr>
          <w:ilvl w:val="0"/>
          <w:numId w:val="8"/>
        </w:numPr>
        <w:rPr>
          <w:rFonts w:ascii="Segoe UI" w:hAnsi="Segoe UI" w:cs="Segoe UI"/>
        </w:rPr>
      </w:pPr>
      <w:r w:rsidRPr="00864934">
        <w:rPr>
          <w:rFonts w:ascii="Segoe UI" w:hAnsi="Segoe UI" w:cs="Segoe UI"/>
        </w:rPr>
        <w:t xml:space="preserve">Right to life (art. 6) </w:t>
      </w:r>
    </w:p>
    <w:p w14:paraId="69243006" w14:textId="607736B5" w:rsidR="00F12A31" w:rsidRDefault="007E3CCC" w:rsidP="00016B41">
      <w:pPr>
        <w:spacing w:after="120"/>
      </w:pPr>
      <w:r w:rsidRPr="00484BE1">
        <w:rPr>
          <w:rStyle w:val="Heading5Char"/>
        </w:rPr>
        <w:t>Paragraph 10 – Climate change, environment, and the right to life</w:t>
      </w:r>
      <w:r w:rsidRPr="00864934">
        <w:br/>
      </w:r>
      <w:r w:rsidR="00932DD0" w:rsidRPr="00864934">
        <w:t xml:space="preserve">The HRC asks Australia to </w:t>
      </w:r>
      <w:r w:rsidRPr="00864934">
        <w:t xml:space="preserve">explain </w:t>
      </w:r>
      <w:r w:rsidR="001C0CAE">
        <w:t>provide information on</w:t>
      </w:r>
      <w:r w:rsidR="00080E03">
        <w:t xml:space="preserve"> how it</w:t>
      </w:r>
      <w:r w:rsidR="00F12A31">
        <w:t>:</w:t>
      </w:r>
    </w:p>
    <w:p w14:paraId="438189F9" w14:textId="20412682" w:rsidR="00F12A31" w:rsidRDefault="007E3CCC" w:rsidP="00484BE1">
      <w:pPr>
        <w:pStyle w:val="Bullet1"/>
      </w:pPr>
      <w:r w:rsidRPr="00A062F3">
        <w:t xml:space="preserve">protects the right to life in the context of climate change and environmental harm, particularly for vulnerable communities </w:t>
      </w:r>
    </w:p>
    <w:p w14:paraId="3835D448" w14:textId="7E6F040B" w:rsidR="007E3CCC" w:rsidRPr="00A062F3" w:rsidRDefault="007E3CCC" w:rsidP="00484BE1">
      <w:pPr>
        <w:pStyle w:val="Bullet1"/>
      </w:pPr>
      <w:r w:rsidRPr="00A062F3">
        <w:t>avoids returning people to countries where environmental risks may cause serious harm.</w:t>
      </w:r>
    </w:p>
    <w:p w14:paraId="4A49FDF6" w14:textId="7E32A91D" w:rsidR="00932DD0" w:rsidRPr="00864934" w:rsidRDefault="007E3CCC" w:rsidP="00016B41">
      <w:r w:rsidRPr="00484BE1">
        <w:rPr>
          <w:rStyle w:val="Heading5Char"/>
        </w:rPr>
        <w:t>Paragraph 11 – Use of force and deaths in custody</w:t>
      </w:r>
      <w:r w:rsidRPr="00864934">
        <w:br/>
      </w:r>
      <w:r w:rsidR="00932DD0" w:rsidRPr="00864934">
        <w:t xml:space="preserve">The HRC asks Australia </w:t>
      </w:r>
      <w:r w:rsidRPr="00864934">
        <w:t xml:space="preserve">to </w:t>
      </w:r>
      <w:r w:rsidR="001C0CAE">
        <w:t>provide information on</w:t>
      </w:r>
      <w:r w:rsidR="001C0CAE" w:rsidRPr="00864934">
        <w:t xml:space="preserve"> </w:t>
      </w:r>
      <w:r w:rsidRPr="00864934">
        <w:t>how allegations of excessive use of force and deaths in custody are independently investigated</w:t>
      </w:r>
      <w:r w:rsidR="00A60BF6">
        <w:t xml:space="preserve">. This </w:t>
      </w:r>
      <w:r w:rsidRPr="00864934">
        <w:t>includ</w:t>
      </w:r>
      <w:r w:rsidR="00A60BF6">
        <w:t>es</w:t>
      </w:r>
      <w:r w:rsidRPr="00864934">
        <w:t xml:space="preserve"> outcomes for</w:t>
      </w:r>
      <w:r w:rsidR="00A60BF6">
        <w:t xml:space="preserve"> </w:t>
      </w:r>
      <w:r w:rsidRPr="00864934">
        <w:t>accountability</w:t>
      </w:r>
      <w:r w:rsidR="00A60BF6">
        <w:t xml:space="preserve">, </w:t>
      </w:r>
      <w:r w:rsidRPr="00864934">
        <w:t xml:space="preserve">compensation </w:t>
      </w:r>
      <w:r w:rsidR="00A60BF6">
        <w:t xml:space="preserve">and </w:t>
      </w:r>
      <w:r w:rsidRPr="00864934">
        <w:t>systemic reform.</w:t>
      </w:r>
    </w:p>
    <w:p w14:paraId="2E629738" w14:textId="4566FBFA" w:rsidR="00391988" w:rsidRPr="00864934" w:rsidRDefault="00391988" w:rsidP="009E712A">
      <w:pPr>
        <w:pStyle w:val="Heading4"/>
        <w:numPr>
          <w:ilvl w:val="0"/>
          <w:numId w:val="8"/>
        </w:numPr>
        <w:rPr>
          <w:rFonts w:ascii="Segoe UI" w:hAnsi="Segoe UI" w:cs="Segoe UI"/>
        </w:rPr>
      </w:pPr>
      <w:r w:rsidRPr="00864934">
        <w:rPr>
          <w:rFonts w:ascii="Segoe UI" w:hAnsi="Segoe UI" w:cs="Segoe UI"/>
        </w:rPr>
        <w:lastRenderedPageBreak/>
        <w:t xml:space="preserve">Prohibition of cruel, inhuman or degrading treatment or punishment (arts. 2,3,7,9,17, 24 and 26) </w:t>
      </w:r>
    </w:p>
    <w:p w14:paraId="1BF2BD0B" w14:textId="788EB052" w:rsidR="007E3CCC" w:rsidRPr="00864934" w:rsidRDefault="007E3CCC" w:rsidP="00016B41">
      <w:r w:rsidRPr="00484BE1">
        <w:rPr>
          <w:rStyle w:val="Heading5Char"/>
        </w:rPr>
        <w:t>Paragraph 12 – Sterilisation and intersex medical treatment</w:t>
      </w:r>
      <w:r w:rsidRPr="00864934">
        <w:br/>
      </w:r>
      <w:r w:rsidR="00932DD0" w:rsidRPr="00864934">
        <w:t xml:space="preserve">The HRC </w:t>
      </w:r>
      <w:proofErr w:type="gramStart"/>
      <w:r w:rsidR="00932DD0" w:rsidRPr="00864934">
        <w:t>asks</w:t>
      </w:r>
      <w:proofErr w:type="gramEnd"/>
      <w:r w:rsidR="00932DD0" w:rsidRPr="00864934">
        <w:t xml:space="preserve"> Australia </w:t>
      </w:r>
      <w:r w:rsidRPr="00864934">
        <w:t xml:space="preserve">to </w:t>
      </w:r>
      <w:r w:rsidR="001C0CAE">
        <w:t>provide information on</w:t>
      </w:r>
      <w:r w:rsidR="001C0CAE" w:rsidRPr="00864934">
        <w:t xml:space="preserve"> </w:t>
      </w:r>
      <w:r w:rsidRPr="00864934">
        <w:t>how it prevents non</w:t>
      </w:r>
      <w:r w:rsidRPr="00864934">
        <w:noBreakHyphen/>
        <w:t>therapeutic sterilisation of people with disabilities</w:t>
      </w:r>
      <w:r w:rsidR="00A60BF6">
        <w:t>. It also asks for information on how Australia</w:t>
      </w:r>
      <w:r w:rsidRPr="00864934">
        <w:t xml:space="preserve"> regulates irreversible medical procedures on intersex children in line with human rights standards.</w:t>
      </w:r>
    </w:p>
    <w:p w14:paraId="3EAB05BD" w14:textId="7946848B" w:rsidR="00391988" w:rsidRPr="00864934" w:rsidRDefault="00391988" w:rsidP="009E712A">
      <w:pPr>
        <w:pStyle w:val="Heading4"/>
        <w:numPr>
          <w:ilvl w:val="0"/>
          <w:numId w:val="8"/>
        </w:numPr>
        <w:rPr>
          <w:rFonts w:ascii="Segoe UI" w:hAnsi="Segoe UI" w:cs="Segoe UI"/>
        </w:rPr>
      </w:pPr>
      <w:r w:rsidRPr="00864934">
        <w:rPr>
          <w:rFonts w:ascii="Segoe UI" w:hAnsi="Segoe UI" w:cs="Segoe UI"/>
        </w:rPr>
        <w:t xml:space="preserve">Treatment of aliens, including refugees and asylum-seekers (arts. 2,7,9,10 and 17) </w:t>
      </w:r>
    </w:p>
    <w:p w14:paraId="2F415293" w14:textId="7BBCA2A1" w:rsidR="007E3CCC" w:rsidRPr="00864934" w:rsidRDefault="007E3CCC" w:rsidP="00016B41">
      <w:r w:rsidRPr="00484BE1">
        <w:rPr>
          <w:rStyle w:val="Heading5Char"/>
        </w:rPr>
        <w:t>Paragraph 13 – Refugee protection and offshore processing</w:t>
      </w:r>
      <w:r w:rsidRPr="00A756C8">
        <w:rPr>
          <w:rStyle w:val="Heading4Char"/>
        </w:rPr>
        <w:br/>
      </w:r>
      <w:r w:rsidR="00932DD0" w:rsidRPr="00864934">
        <w:t xml:space="preserve">The HRC asks Australia </w:t>
      </w:r>
      <w:r w:rsidRPr="00864934">
        <w:t xml:space="preserve">to </w:t>
      </w:r>
      <w:r w:rsidR="001C0CAE">
        <w:t>provide information on</w:t>
      </w:r>
      <w:r w:rsidR="001C0CAE" w:rsidRPr="00864934">
        <w:t xml:space="preserve"> </w:t>
      </w:r>
      <w:r w:rsidRPr="00864934">
        <w:t>how it ensures fair refugee processes and respects the principle of non</w:t>
      </w:r>
      <w:r w:rsidRPr="00864934">
        <w:noBreakHyphen/>
        <w:t>refoulement</w:t>
      </w:r>
      <w:r w:rsidR="00A60BF6">
        <w:t>. This</w:t>
      </w:r>
      <w:r w:rsidRPr="00864934">
        <w:t xml:space="preserve"> includ</w:t>
      </w:r>
      <w:r w:rsidR="00A60BF6">
        <w:t>es</w:t>
      </w:r>
      <w:r w:rsidR="006178DB">
        <w:t xml:space="preserve"> </w:t>
      </w:r>
      <w:r w:rsidRPr="00864934">
        <w:t>maritime interceptions</w:t>
      </w:r>
      <w:r w:rsidR="006178DB">
        <w:t xml:space="preserve">, </w:t>
      </w:r>
      <w:r w:rsidRPr="00864934">
        <w:t>offshore processing arrangements</w:t>
      </w:r>
      <w:r w:rsidR="006178DB">
        <w:t xml:space="preserve"> and </w:t>
      </w:r>
      <w:r w:rsidRPr="00864934">
        <w:t>transfers to third countries.</w:t>
      </w:r>
    </w:p>
    <w:p w14:paraId="3CF9415C" w14:textId="77777777" w:rsidR="00A60BF6" w:rsidRDefault="007E3CCC" w:rsidP="00016B41">
      <w:pPr>
        <w:spacing w:after="120"/>
      </w:pPr>
      <w:r w:rsidRPr="00484BE1">
        <w:rPr>
          <w:rStyle w:val="Heading5Char"/>
        </w:rPr>
        <w:t>Paragraph 14 – Immigration detention</w:t>
      </w:r>
      <w:r w:rsidRPr="00864934">
        <w:br/>
      </w:r>
      <w:r w:rsidR="00932DD0" w:rsidRPr="00864934">
        <w:t xml:space="preserve">The HRC asks Australia </w:t>
      </w:r>
      <w:r w:rsidRPr="00864934">
        <w:t xml:space="preserve">to </w:t>
      </w:r>
      <w:r w:rsidR="001C0CAE">
        <w:t>provide information on</w:t>
      </w:r>
      <w:r w:rsidR="001C0CAE" w:rsidRPr="00864934">
        <w:t xml:space="preserve"> </w:t>
      </w:r>
      <w:r w:rsidRPr="00864934">
        <w:t>how its immigration detention laws comply with the ICCPR</w:t>
      </w:r>
      <w:r w:rsidR="00A60BF6">
        <w:t>. This includes:</w:t>
      </w:r>
    </w:p>
    <w:p w14:paraId="5115DF45" w14:textId="3FF72E0E" w:rsidR="00A60BF6" w:rsidRDefault="007E3CCC" w:rsidP="00A60BF6">
      <w:pPr>
        <w:pStyle w:val="ListParagraph"/>
        <w:numPr>
          <w:ilvl w:val="0"/>
          <w:numId w:val="23"/>
        </w:numPr>
      </w:pPr>
      <w:r w:rsidRPr="00864934">
        <w:t>limiting detention to what is necessary</w:t>
      </w:r>
    </w:p>
    <w:p w14:paraId="0355ADC2" w14:textId="08AEA75B" w:rsidR="00A60BF6" w:rsidRDefault="007E3CCC" w:rsidP="00A60BF6">
      <w:pPr>
        <w:pStyle w:val="ListParagraph"/>
        <w:numPr>
          <w:ilvl w:val="0"/>
          <w:numId w:val="23"/>
        </w:numPr>
      </w:pPr>
      <w:r w:rsidRPr="00864934">
        <w:t>expanding alternatives to detention</w:t>
      </w:r>
    </w:p>
    <w:p w14:paraId="71E6A0E3" w14:textId="37BA7841" w:rsidR="00A60BF6" w:rsidRDefault="007E3CCC" w:rsidP="00A60BF6">
      <w:pPr>
        <w:pStyle w:val="ListParagraph"/>
        <w:numPr>
          <w:ilvl w:val="0"/>
          <w:numId w:val="23"/>
        </w:numPr>
      </w:pPr>
      <w:r w:rsidRPr="00864934">
        <w:t>ensuring children are not detained</w:t>
      </w:r>
    </w:p>
    <w:p w14:paraId="78099C8D" w14:textId="78AF2335" w:rsidR="007E3CCC" w:rsidRPr="00864934" w:rsidRDefault="007E3CCC" w:rsidP="00016B41">
      <w:pPr>
        <w:pStyle w:val="ListParagraph"/>
        <w:numPr>
          <w:ilvl w:val="0"/>
          <w:numId w:val="23"/>
        </w:numPr>
      </w:pPr>
      <w:r w:rsidRPr="00864934">
        <w:t>providing effective judicial review.</w:t>
      </w:r>
    </w:p>
    <w:p w14:paraId="5E4A591A" w14:textId="13F653EC" w:rsidR="007E3CCC" w:rsidRPr="00864934" w:rsidRDefault="007E3CCC" w:rsidP="00016B41">
      <w:r w:rsidRPr="00484BE1">
        <w:rPr>
          <w:rStyle w:val="Heading5Char"/>
        </w:rPr>
        <w:t>Paragraph 15 – Conditions of immigration detention</w:t>
      </w:r>
      <w:r w:rsidRPr="00864934">
        <w:br/>
      </w:r>
      <w:r w:rsidR="00932DD0" w:rsidRPr="00864934">
        <w:t xml:space="preserve">The HRC asks Australia </w:t>
      </w:r>
      <w:r w:rsidRPr="00864934">
        <w:t>to provide data on immigration detention and explain how it ensures humane detention conditions, access to healthcare and accountability for the use of force</w:t>
      </w:r>
      <w:r w:rsidR="00A60BF6">
        <w:t>. This includes</w:t>
      </w:r>
      <w:r w:rsidRPr="00864934">
        <w:t xml:space="preserve"> remedies for people affected by abuse or ill</w:t>
      </w:r>
      <w:r w:rsidRPr="00864934">
        <w:noBreakHyphen/>
        <w:t>treatment.</w:t>
      </w:r>
    </w:p>
    <w:p w14:paraId="3C2C15D9" w14:textId="35BC54BB" w:rsidR="00391988" w:rsidRPr="00864934" w:rsidRDefault="00391988" w:rsidP="009E712A">
      <w:pPr>
        <w:pStyle w:val="Heading4"/>
        <w:numPr>
          <w:ilvl w:val="0"/>
          <w:numId w:val="8"/>
        </w:numPr>
        <w:rPr>
          <w:rFonts w:ascii="Segoe UI" w:hAnsi="Segoe UI" w:cs="Segoe UI"/>
        </w:rPr>
      </w:pPr>
      <w:r w:rsidRPr="00864934">
        <w:rPr>
          <w:rFonts w:ascii="Segoe UI" w:hAnsi="Segoe UI" w:cs="Segoe UI"/>
        </w:rPr>
        <w:t>Liberty and security of person and treatment of persons deprived of their liberty (art. 7, 9, 10, 14,26 and 27)</w:t>
      </w:r>
    </w:p>
    <w:p w14:paraId="242353DC" w14:textId="45FCC9F8" w:rsidR="00932DD0" w:rsidRPr="00864934" w:rsidRDefault="00AD6963" w:rsidP="00016B41">
      <w:pPr>
        <w:spacing w:after="120"/>
      </w:pPr>
      <w:r w:rsidRPr="00484BE1">
        <w:rPr>
          <w:rStyle w:val="Heading5Char"/>
        </w:rPr>
        <w:t>Paragraph 16 – Detention and prison conditions</w:t>
      </w:r>
      <w:r w:rsidRPr="00A756C8">
        <w:rPr>
          <w:rStyle w:val="Heading4Char"/>
        </w:rPr>
        <w:br/>
      </w:r>
      <w:r w:rsidR="00932DD0" w:rsidRPr="00864934">
        <w:t>The HRC asks Australia</w:t>
      </w:r>
      <w:r w:rsidRPr="00864934">
        <w:t xml:space="preserve"> to explain</w:t>
      </w:r>
      <w:r w:rsidR="00CF3694">
        <w:t xml:space="preserve"> how it</w:t>
      </w:r>
      <w:r w:rsidR="00932DD0" w:rsidRPr="00864934">
        <w:t xml:space="preserve">: </w:t>
      </w:r>
    </w:p>
    <w:p w14:paraId="37A5EAF1" w14:textId="1ABE230C" w:rsidR="00932DD0" w:rsidRPr="00864934" w:rsidRDefault="00AD6963" w:rsidP="00484BE1">
      <w:pPr>
        <w:pStyle w:val="Bullet1"/>
      </w:pPr>
      <w:r w:rsidRPr="00864934">
        <w:t>limits the use and length of pre</w:t>
      </w:r>
      <w:r w:rsidRPr="00864934">
        <w:noBreakHyphen/>
        <w:t>trial detention</w:t>
      </w:r>
    </w:p>
    <w:p w14:paraId="35D9744A" w14:textId="77777777" w:rsidR="00932DD0" w:rsidRPr="00864934" w:rsidRDefault="00AD6963" w:rsidP="00484BE1">
      <w:pPr>
        <w:pStyle w:val="Bullet1"/>
      </w:pPr>
      <w:r w:rsidRPr="00864934">
        <w:t>improves prison conditions</w:t>
      </w:r>
    </w:p>
    <w:p w14:paraId="16C00ECE" w14:textId="2D630ABC" w:rsidR="00932DD0" w:rsidRPr="00864934" w:rsidRDefault="00AD6963" w:rsidP="00484BE1">
      <w:pPr>
        <w:pStyle w:val="Bullet1"/>
      </w:pPr>
      <w:r w:rsidRPr="00864934">
        <w:t>reduces overcrowding and solitary confinement</w:t>
      </w:r>
    </w:p>
    <w:p w14:paraId="1640AB0B" w14:textId="111F77F1" w:rsidR="00AD6963" w:rsidRPr="00864934" w:rsidRDefault="00AD6963" w:rsidP="00484BE1">
      <w:pPr>
        <w:pStyle w:val="Bullet1"/>
      </w:pPr>
      <w:r w:rsidRPr="00864934">
        <w:t>ensures adequate mental health care and support for people in custody.</w:t>
      </w:r>
    </w:p>
    <w:p w14:paraId="721F45E2" w14:textId="77777777" w:rsidR="00BF4FD9" w:rsidRDefault="00AD6963" w:rsidP="00016B41">
      <w:pPr>
        <w:spacing w:after="0"/>
      </w:pPr>
      <w:r w:rsidRPr="00484BE1">
        <w:rPr>
          <w:rStyle w:val="Heading5Char"/>
        </w:rPr>
        <w:t>Paragraph 17 – People with disabilities in detention</w:t>
      </w:r>
    </w:p>
    <w:p w14:paraId="49EE75ED" w14:textId="3F3DED22" w:rsidR="00AD6963" w:rsidRPr="00864934" w:rsidRDefault="00932DD0" w:rsidP="00A60BF6">
      <w:r w:rsidRPr="00864934">
        <w:t xml:space="preserve">The HRC asks Australia </w:t>
      </w:r>
      <w:r w:rsidR="00AD6963" w:rsidRPr="00864934">
        <w:t xml:space="preserve">to </w:t>
      </w:r>
      <w:r w:rsidR="001C0CAE">
        <w:t>provide information on</w:t>
      </w:r>
      <w:r w:rsidR="001C0CAE" w:rsidRPr="00864934">
        <w:t xml:space="preserve"> </w:t>
      </w:r>
      <w:r w:rsidR="00AD6963" w:rsidRPr="00864934">
        <w:t>the safeguards in place for people with disabilities who are detained</w:t>
      </w:r>
      <w:r w:rsidR="00A60BF6">
        <w:t>. This includes</w:t>
      </w:r>
      <w:r w:rsidR="00AD6963" w:rsidRPr="00864934">
        <w:t xml:space="preserve"> protections against indefinite detention, involuntary treatment and forced interventions, a</w:t>
      </w:r>
      <w:r w:rsidR="00A60BF6">
        <w:t>s well as</w:t>
      </w:r>
      <w:r w:rsidR="00AD6963" w:rsidRPr="00864934">
        <w:t xml:space="preserve"> the availability of community</w:t>
      </w:r>
      <w:r w:rsidR="00AD6963" w:rsidRPr="00864934">
        <w:noBreakHyphen/>
        <w:t>based alternatives.</w:t>
      </w:r>
    </w:p>
    <w:p w14:paraId="13DB6238" w14:textId="77777777" w:rsidR="00BF4FD9" w:rsidRDefault="00AD6963" w:rsidP="00484BE1">
      <w:r w:rsidRPr="00484BE1">
        <w:rPr>
          <w:rStyle w:val="Heading5Char"/>
        </w:rPr>
        <w:t>Paragraph 18 – Indigenous over</w:t>
      </w:r>
      <w:r w:rsidRPr="00484BE1">
        <w:rPr>
          <w:rStyle w:val="Heading5Char"/>
        </w:rPr>
        <w:noBreakHyphen/>
        <w:t>incarceration</w:t>
      </w:r>
    </w:p>
    <w:p w14:paraId="465F5D1C" w14:textId="6EFE14E3" w:rsidR="00C41D51" w:rsidRDefault="00932DD0" w:rsidP="006178DB">
      <w:r w:rsidRPr="00864934">
        <w:t xml:space="preserve">The HRC asks Australia </w:t>
      </w:r>
      <w:r w:rsidR="00AD6963" w:rsidRPr="00864934">
        <w:t xml:space="preserve">to </w:t>
      </w:r>
      <w:r w:rsidR="001C0CAE">
        <w:t>provide information on</w:t>
      </w:r>
      <w:r w:rsidR="001C0CAE" w:rsidRPr="00864934">
        <w:t xml:space="preserve"> </w:t>
      </w:r>
      <w:r w:rsidR="00AD6963" w:rsidRPr="00864934">
        <w:t>what measures it is taking to address the over</w:t>
      </w:r>
      <w:r w:rsidR="00AD6963" w:rsidRPr="00864934">
        <w:noBreakHyphen/>
        <w:t>representation of Aboriginal and Torres Strait Islander peoples in prisons</w:t>
      </w:r>
      <w:r w:rsidR="001657BA">
        <w:t>. This includes</w:t>
      </w:r>
      <w:r w:rsidR="006178DB">
        <w:t xml:space="preserve"> </w:t>
      </w:r>
      <w:r w:rsidR="00AD6963" w:rsidRPr="00864934">
        <w:t>sentencing practices</w:t>
      </w:r>
      <w:r w:rsidR="006178DB">
        <w:t xml:space="preserve">, </w:t>
      </w:r>
      <w:r w:rsidR="00AD6963" w:rsidRPr="00864934">
        <w:t>use of community</w:t>
      </w:r>
      <w:r w:rsidR="00AD6963" w:rsidRPr="00864934">
        <w:noBreakHyphen/>
        <w:t>based alternatives</w:t>
      </w:r>
      <w:r w:rsidR="006178DB">
        <w:t xml:space="preserve"> and </w:t>
      </w:r>
      <w:r w:rsidR="00AD6963" w:rsidRPr="00864934">
        <w:t>access to culturally appropriate legal services.</w:t>
      </w:r>
    </w:p>
    <w:p w14:paraId="247437F6" w14:textId="77777777" w:rsidR="00C41D51" w:rsidRDefault="00C41D51">
      <w:r>
        <w:br w:type="page"/>
      </w:r>
    </w:p>
    <w:p w14:paraId="0A977206" w14:textId="77777777" w:rsidR="00932DD0" w:rsidRPr="00864934" w:rsidRDefault="00932DD0" w:rsidP="006178DB"/>
    <w:p w14:paraId="6FBD8315" w14:textId="7A07F8DD" w:rsidR="00391988" w:rsidRPr="00864934" w:rsidRDefault="00391988" w:rsidP="009E712A">
      <w:pPr>
        <w:pStyle w:val="Heading4"/>
        <w:numPr>
          <w:ilvl w:val="0"/>
          <w:numId w:val="8"/>
        </w:numPr>
        <w:rPr>
          <w:rFonts w:ascii="Segoe UI" w:hAnsi="Segoe UI" w:cs="Segoe UI"/>
        </w:rPr>
      </w:pPr>
      <w:r w:rsidRPr="00864934">
        <w:rPr>
          <w:rFonts w:ascii="Segoe UI" w:hAnsi="Segoe UI" w:cs="Segoe UI"/>
        </w:rPr>
        <w:t>Right to privacy (art. 17)</w:t>
      </w:r>
    </w:p>
    <w:p w14:paraId="4BC2642F" w14:textId="77777777" w:rsidR="00BF4FD9" w:rsidRDefault="00AD6963" w:rsidP="00484BE1">
      <w:r w:rsidRPr="00484BE1">
        <w:rPr>
          <w:rStyle w:val="Heading5Char"/>
        </w:rPr>
        <w:t>Paragraph 19 – Right to privacy</w:t>
      </w:r>
    </w:p>
    <w:p w14:paraId="37F70068" w14:textId="6BBF4F03" w:rsidR="00932DD0" w:rsidRPr="00864934" w:rsidRDefault="00932DD0" w:rsidP="006178DB">
      <w:r w:rsidRPr="00864934">
        <w:t xml:space="preserve">The HRC asks Australia </w:t>
      </w:r>
      <w:r w:rsidR="00AD6963" w:rsidRPr="00864934">
        <w:t xml:space="preserve">to </w:t>
      </w:r>
      <w:r w:rsidR="001C0CAE">
        <w:t>provide information on</w:t>
      </w:r>
      <w:r w:rsidR="001C0CAE" w:rsidRPr="00864934">
        <w:t xml:space="preserve"> </w:t>
      </w:r>
      <w:r w:rsidR="00AD6963" w:rsidRPr="00864934">
        <w:t>how its laws and practices protect individuals from arbitrary or unlawful interference with privacy</w:t>
      </w:r>
      <w:r w:rsidR="001657BA">
        <w:t>. This includes</w:t>
      </w:r>
      <w:r w:rsidR="006178DB">
        <w:t xml:space="preserve"> </w:t>
      </w:r>
      <w:r w:rsidR="00AD6963" w:rsidRPr="00864934">
        <w:t>new privacy remedies</w:t>
      </w:r>
      <w:r w:rsidR="006178DB">
        <w:t xml:space="preserve">, </w:t>
      </w:r>
      <w:r w:rsidR="00AD6963" w:rsidRPr="00864934">
        <w:t>online safety regulation</w:t>
      </w:r>
      <w:r w:rsidR="006178DB">
        <w:t xml:space="preserve"> and </w:t>
      </w:r>
      <w:r w:rsidR="00AD6963" w:rsidRPr="00864934">
        <w:t>safeguards for surveillance, data access and digital harms.</w:t>
      </w:r>
    </w:p>
    <w:p w14:paraId="0E49642D" w14:textId="4CF330B0" w:rsidR="00391988" w:rsidRPr="00864934" w:rsidRDefault="00391988" w:rsidP="009E712A">
      <w:pPr>
        <w:pStyle w:val="Heading4"/>
        <w:rPr>
          <w:rFonts w:ascii="Segoe UI" w:hAnsi="Segoe UI" w:cs="Segoe UI"/>
        </w:rPr>
      </w:pPr>
      <w:r w:rsidRPr="00864934">
        <w:rPr>
          <w:rFonts w:ascii="Segoe UI" w:hAnsi="Segoe UI" w:cs="Segoe UI"/>
        </w:rPr>
        <w:t>Freedom of expression (art. 19)</w:t>
      </w:r>
    </w:p>
    <w:p w14:paraId="2E3E091A" w14:textId="289FBF82" w:rsidR="007E3CCC" w:rsidRPr="00864934" w:rsidRDefault="007E3CCC" w:rsidP="00016B41">
      <w:pPr>
        <w:pStyle w:val="Heading5"/>
        <w:spacing w:after="0"/>
        <w:rPr>
          <w:w w:val="100"/>
          <w:lang w:eastAsia="en-AU"/>
        </w:rPr>
      </w:pPr>
      <w:r w:rsidRPr="00864934">
        <w:rPr>
          <w:w w:val="100"/>
          <w:lang w:eastAsia="en-AU"/>
        </w:rPr>
        <w:t>Paragraph 20</w:t>
      </w:r>
    </w:p>
    <w:p w14:paraId="23DF6782" w14:textId="25470480" w:rsidR="00932DD0" w:rsidRPr="00864934" w:rsidRDefault="00932DD0" w:rsidP="00484BE1">
      <w:pPr>
        <w:rPr>
          <w:w w:val="100"/>
        </w:rPr>
      </w:pPr>
      <w:r w:rsidRPr="00864934">
        <w:t>The HRC asks Australia</w:t>
      </w:r>
      <w:r w:rsidR="007E3CCC" w:rsidRPr="00864934">
        <w:rPr>
          <w:w w:val="100"/>
        </w:rPr>
        <w:t xml:space="preserve"> to </w:t>
      </w:r>
      <w:r w:rsidR="001C0CAE">
        <w:rPr>
          <w:w w:val="100"/>
        </w:rPr>
        <w:t>provide information on</w:t>
      </w:r>
      <w:r w:rsidR="001C0CAE" w:rsidRPr="00864934">
        <w:rPr>
          <w:w w:val="100"/>
        </w:rPr>
        <w:t xml:space="preserve"> </w:t>
      </w:r>
      <w:r w:rsidR="007E3CCC" w:rsidRPr="00864934">
        <w:rPr>
          <w:w w:val="100"/>
        </w:rPr>
        <w:t>how its laws and practices, including online safety measures and social media age restrictions, comply with the ICCPR by protecting freedom of expression, access to information and privacy while appropriately safeguarding children.</w:t>
      </w:r>
    </w:p>
    <w:p w14:paraId="6D9ED022" w14:textId="1F6A883D" w:rsidR="00391988" w:rsidRPr="00864934" w:rsidRDefault="00391988" w:rsidP="009E712A">
      <w:pPr>
        <w:pStyle w:val="Heading4"/>
        <w:numPr>
          <w:ilvl w:val="0"/>
          <w:numId w:val="8"/>
        </w:numPr>
        <w:rPr>
          <w:rFonts w:ascii="Segoe UI" w:hAnsi="Segoe UI" w:cs="Segoe UI"/>
        </w:rPr>
      </w:pPr>
      <w:r w:rsidRPr="00864934">
        <w:rPr>
          <w:rFonts w:ascii="Segoe UI" w:hAnsi="Segoe UI" w:cs="Segoe UI"/>
        </w:rPr>
        <w:t>Freedom of assembly (art. 21)</w:t>
      </w:r>
    </w:p>
    <w:p w14:paraId="49B184F9" w14:textId="2B87A16D" w:rsidR="007E3CCC" w:rsidRPr="00864934" w:rsidRDefault="007E3CCC" w:rsidP="00016B41">
      <w:pPr>
        <w:pStyle w:val="Heading5"/>
        <w:spacing w:after="0"/>
        <w:rPr>
          <w:w w:val="100"/>
          <w:lang w:eastAsia="en-AU"/>
        </w:rPr>
      </w:pPr>
      <w:r w:rsidRPr="00864934">
        <w:rPr>
          <w:w w:val="100"/>
          <w:lang w:eastAsia="en-AU"/>
        </w:rPr>
        <w:t>Paragraph 21</w:t>
      </w:r>
    </w:p>
    <w:p w14:paraId="2FE32598" w14:textId="3084773F" w:rsidR="007E3CCC" w:rsidRPr="00864934" w:rsidRDefault="00932DD0" w:rsidP="00484BE1">
      <w:pPr>
        <w:rPr>
          <w:w w:val="100"/>
        </w:rPr>
      </w:pPr>
      <w:r w:rsidRPr="00864934">
        <w:t>The HRC asks Australia</w:t>
      </w:r>
      <w:r w:rsidRPr="00864934">
        <w:rPr>
          <w:w w:val="100"/>
        </w:rPr>
        <w:t xml:space="preserve"> </w:t>
      </w:r>
      <w:r w:rsidR="007E3CCC" w:rsidRPr="00864934">
        <w:rPr>
          <w:w w:val="100"/>
        </w:rPr>
        <w:t xml:space="preserve">to </w:t>
      </w:r>
      <w:r w:rsidR="001C0CAE">
        <w:rPr>
          <w:w w:val="100"/>
        </w:rPr>
        <w:t>provide information on</w:t>
      </w:r>
      <w:r w:rsidR="001C0CAE" w:rsidRPr="00864934">
        <w:rPr>
          <w:w w:val="100"/>
        </w:rPr>
        <w:t xml:space="preserve"> </w:t>
      </w:r>
      <w:r w:rsidR="007E3CCC" w:rsidRPr="00864934">
        <w:rPr>
          <w:w w:val="100"/>
        </w:rPr>
        <w:t>how anti</w:t>
      </w:r>
      <w:r w:rsidR="007E3CCC" w:rsidRPr="00864934">
        <w:rPr>
          <w:w w:val="100"/>
        </w:rPr>
        <w:noBreakHyphen/>
        <w:t>protest laws, including recent New South Wales legislation, comply with the ICCPR right to peaceful assembly and do not disproportionately restrict the rights to protest, freedom of expression or freedom of association.</w:t>
      </w:r>
    </w:p>
    <w:p w14:paraId="7A1F1578" w14:textId="0BE552A5" w:rsidR="00391988" w:rsidRPr="00864934" w:rsidRDefault="00391988" w:rsidP="009E712A">
      <w:pPr>
        <w:pStyle w:val="Heading4"/>
        <w:numPr>
          <w:ilvl w:val="0"/>
          <w:numId w:val="8"/>
        </w:numPr>
        <w:rPr>
          <w:rFonts w:ascii="Segoe UI" w:hAnsi="Segoe UI" w:cs="Segoe UI"/>
        </w:rPr>
      </w:pPr>
      <w:r w:rsidRPr="00864934">
        <w:rPr>
          <w:rFonts w:ascii="Segoe UI" w:hAnsi="Segoe UI" w:cs="Segoe UI"/>
        </w:rPr>
        <w:t xml:space="preserve">Rights of the child (arts. 9, 14 and 24) </w:t>
      </w:r>
    </w:p>
    <w:p w14:paraId="45E41764" w14:textId="77777777" w:rsidR="007E3CCC" w:rsidRPr="00864934" w:rsidRDefault="007E3CCC" w:rsidP="00016B41">
      <w:pPr>
        <w:pStyle w:val="Heading5"/>
        <w:spacing w:after="0"/>
        <w:rPr>
          <w:w w:val="100"/>
          <w:lang w:eastAsia="en-AU"/>
        </w:rPr>
      </w:pPr>
      <w:r w:rsidRPr="00864934">
        <w:rPr>
          <w:w w:val="100"/>
          <w:lang w:eastAsia="en-AU"/>
        </w:rPr>
        <w:t>Paragraph 22</w:t>
      </w:r>
    </w:p>
    <w:p w14:paraId="5EAF52A1" w14:textId="5BB9E96C" w:rsidR="00A062F3" w:rsidRDefault="00932DD0" w:rsidP="00016B41">
      <w:pPr>
        <w:spacing w:after="120"/>
        <w:rPr>
          <w:w w:val="100"/>
        </w:rPr>
      </w:pPr>
      <w:r w:rsidRPr="00864934">
        <w:t>The HRC asks Australia</w:t>
      </w:r>
      <w:r w:rsidRPr="00864934">
        <w:rPr>
          <w:w w:val="100"/>
        </w:rPr>
        <w:t xml:space="preserve"> </w:t>
      </w:r>
      <w:r w:rsidR="00DE42C5" w:rsidRPr="00864934">
        <w:rPr>
          <w:w w:val="100"/>
        </w:rPr>
        <w:t xml:space="preserve">to </w:t>
      </w:r>
      <w:r w:rsidR="001C0CAE">
        <w:rPr>
          <w:w w:val="100"/>
        </w:rPr>
        <w:t xml:space="preserve">provide information on </w:t>
      </w:r>
      <w:r w:rsidR="00DE42C5" w:rsidRPr="00864934">
        <w:rPr>
          <w:w w:val="100"/>
        </w:rPr>
        <w:t>what steps it has taken to</w:t>
      </w:r>
      <w:r w:rsidR="00A062F3">
        <w:rPr>
          <w:w w:val="100"/>
        </w:rPr>
        <w:t xml:space="preserve">: </w:t>
      </w:r>
    </w:p>
    <w:p w14:paraId="6D311743" w14:textId="64DF7012" w:rsidR="00A062F3" w:rsidRDefault="00DE42C5" w:rsidP="00484BE1">
      <w:pPr>
        <w:pStyle w:val="Bullet1"/>
        <w:rPr>
          <w:w w:val="100"/>
          <w:lang w:eastAsia="en-AU"/>
        </w:rPr>
      </w:pPr>
      <w:r w:rsidRPr="00A062F3">
        <w:rPr>
          <w:w w:val="100"/>
          <w:lang w:eastAsia="en-AU"/>
        </w:rPr>
        <w:t>raise the minimum age of criminal responsibility</w:t>
      </w:r>
    </w:p>
    <w:p w14:paraId="73BCAA85" w14:textId="79575382" w:rsidR="001657BA" w:rsidRDefault="00DE42C5" w:rsidP="00484BE1">
      <w:pPr>
        <w:pStyle w:val="Bullet1"/>
        <w:rPr>
          <w:w w:val="100"/>
          <w:lang w:eastAsia="en-AU"/>
        </w:rPr>
      </w:pPr>
      <w:r w:rsidRPr="00A062F3">
        <w:rPr>
          <w:w w:val="100"/>
          <w:lang w:eastAsia="en-AU"/>
        </w:rPr>
        <w:t>ensure that children are detained only as a last resort</w:t>
      </w:r>
    </w:p>
    <w:p w14:paraId="3E877010" w14:textId="724B2FFB" w:rsidR="00A062F3" w:rsidRDefault="001657BA" w:rsidP="00484BE1">
      <w:pPr>
        <w:pStyle w:val="Bullet1"/>
        <w:rPr>
          <w:w w:val="100"/>
          <w:lang w:eastAsia="en-AU"/>
        </w:rPr>
      </w:pPr>
      <w:r>
        <w:rPr>
          <w:w w:val="100"/>
          <w:lang w:eastAsia="en-AU"/>
        </w:rPr>
        <w:t xml:space="preserve">prevent </w:t>
      </w:r>
      <w:r w:rsidR="00DE42C5" w:rsidRPr="00A062F3">
        <w:rPr>
          <w:w w:val="100"/>
          <w:lang w:eastAsia="en-AU"/>
        </w:rPr>
        <w:t>solitary confinement</w:t>
      </w:r>
      <w:r>
        <w:rPr>
          <w:w w:val="100"/>
          <w:lang w:eastAsia="en-AU"/>
        </w:rPr>
        <w:t xml:space="preserve"> of children</w:t>
      </w:r>
    </w:p>
    <w:p w14:paraId="5D7A37AB" w14:textId="497CB21C" w:rsidR="009E712A" w:rsidRPr="00A062F3" w:rsidRDefault="001657BA" w:rsidP="00484BE1">
      <w:pPr>
        <w:pStyle w:val="Bullet1"/>
        <w:rPr>
          <w:w w:val="100"/>
          <w:lang w:eastAsia="en-AU"/>
        </w:rPr>
      </w:pPr>
      <w:r>
        <w:rPr>
          <w:w w:val="100"/>
          <w:lang w:eastAsia="en-AU"/>
        </w:rPr>
        <w:t>hold children</w:t>
      </w:r>
      <w:r w:rsidR="00DE42C5" w:rsidRPr="00A062F3">
        <w:rPr>
          <w:w w:val="100"/>
          <w:lang w:eastAsia="en-AU"/>
        </w:rPr>
        <w:t xml:space="preserve"> separately from adults.</w:t>
      </w:r>
    </w:p>
    <w:p w14:paraId="1B5B340F" w14:textId="3FBDD0EA" w:rsidR="00DE42C5" w:rsidRPr="00864934" w:rsidRDefault="00391988" w:rsidP="009E712A">
      <w:pPr>
        <w:pStyle w:val="Heading4"/>
        <w:numPr>
          <w:ilvl w:val="0"/>
          <w:numId w:val="8"/>
        </w:numPr>
        <w:spacing w:before="240"/>
        <w:rPr>
          <w:rFonts w:ascii="Segoe UI" w:hAnsi="Segoe UI" w:cs="Segoe UI"/>
        </w:rPr>
      </w:pPr>
      <w:r w:rsidRPr="00864934">
        <w:rPr>
          <w:rFonts w:ascii="Segoe UI" w:hAnsi="Segoe UI" w:cs="Segoe UI"/>
        </w:rPr>
        <w:t xml:space="preserve">Right to participate in public life (art. 25) </w:t>
      </w:r>
    </w:p>
    <w:p w14:paraId="692B6021" w14:textId="305565B3" w:rsidR="007E3CCC" w:rsidRPr="00864934" w:rsidRDefault="007E3CCC" w:rsidP="00016B41">
      <w:pPr>
        <w:pStyle w:val="Heading5"/>
        <w:spacing w:after="0"/>
        <w:rPr>
          <w:w w:val="100"/>
          <w:lang w:eastAsia="en-AU"/>
        </w:rPr>
      </w:pPr>
      <w:r w:rsidRPr="00864934">
        <w:rPr>
          <w:w w:val="100"/>
          <w:lang w:eastAsia="en-AU"/>
        </w:rPr>
        <w:t>Paragraph 23</w:t>
      </w:r>
    </w:p>
    <w:p w14:paraId="23779EED" w14:textId="77777777" w:rsidR="00A062F3" w:rsidRDefault="00932DD0" w:rsidP="00016B41">
      <w:pPr>
        <w:spacing w:after="120"/>
        <w:rPr>
          <w:w w:val="100"/>
        </w:rPr>
      </w:pPr>
      <w:r w:rsidRPr="00864934">
        <w:t>The HRC asks Australia</w:t>
      </w:r>
      <w:r w:rsidRPr="00864934">
        <w:rPr>
          <w:w w:val="100"/>
        </w:rPr>
        <w:t xml:space="preserve"> </w:t>
      </w:r>
      <w:r w:rsidR="00DE42C5" w:rsidRPr="00864934">
        <w:rPr>
          <w:w w:val="100"/>
        </w:rPr>
        <w:t>to provide information on</w:t>
      </w:r>
      <w:r w:rsidR="00A062F3">
        <w:rPr>
          <w:w w:val="100"/>
        </w:rPr>
        <w:t>:</w:t>
      </w:r>
    </w:p>
    <w:p w14:paraId="539171F8" w14:textId="5D6B0DFA" w:rsidR="00A062F3" w:rsidRDefault="00DE42C5" w:rsidP="00484BE1">
      <w:pPr>
        <w:pStyle w:val="Bullet1"/>
        <w:rPr>
          <w:w w:val="100"/>
          <w:lang w:eastAsia="en-AU"/>
        </w:rPr>
      </w:pPr>
      <w:r w:rsidRPr="00A062F3">
        <w:rPr>
          <w:w w:val="100"/>
          <w:lang w:eastAsia="en-AU"/>
        </w:rPr>
        <w:t>how many people are excluded from voting because of disability</w:t>
      </w:r>
    </w:p>
    <w:p w14:paraId="44C2A644" w14:textId="6F041E69" w:rsidR="00DE42C5" w:rsidRPr="00A062F3" w:rsidRDefault="00DE42C5" w:rsidP="00484BE1">
      <w:pPr>
        <w:pStyle w:val="Bullet1"/>
        <w:rPr>
          <w:w w:val="100"/>
          <w:lang w:eastAsia="en-AU"/>
        </w:rPr>
      </w:pPr>
      <w:r w:rsidRPr="00A062F3">
        <w:rPr>
          <w:w w:val="100"/>
          <w:lang w:eastAsia="en-AU"/>
        </w:rPr>
        <w:t>what measures are in place to ensure that any restrictions are reasonable, proportionate and directly related to a person’s capacity to vote.</w:t>
      </w:r>
    </w:p>
    <w:p w14:paraId="1C84654F" w14:textId="77777777" w:rsidR="00A70ADB" w:rsidRPr="00864934" w:rsidRDefault="00391988" w:rsidP="00A70ADB">
      <w:pPr>
        <w:pStyle w:val="Heading4"/>
        <w:numPr>
          <w:ilvl w:val="0"/>
          <w:numId w:val="8"/>
        </w:numPr>
        <w:rPr>
          <w:rFonts w:ascii="Segoe UI" w:hAnsi="Segoe UI" w:cs="Segoe UI"/>
        </w:rPr>
      </w:pPr>
      <w:r w:rsidRPr="00864934">
        <w:rPr>
          <w:rFonts w:ascii="Segoe UI" w:hAnsi="Segoe UI" w:cs="Segoe UI"/>
        </w:rPr>
        <w:t xml:space="preserve">Rights of minorities and Indigenous Peoples (arts. 2, 9, 14, 26 and 27) </w:t>
      </w:r>
    </w:p>
    <w:p w14:paraId="06EA74F9" w14:textId="3195716E" w:rsidR="00702CFA" w:rsidRPr="00864934" w:rsidRDefault="00702CFA" w:rsidP="00016B41">
      <w:pPr>
        <w:pStyle w:val="Heading5"/>
        <w:spacing w:after="0"/>
      </w:pPr>
      <w:r w:rsidRPr="00864934">
        <w:t>Paragraph 24 – Indigenous participation after the referendum</w:t>
      </w:r>
    </w:p>
    <w:p w14:paraId="6A95B12C" w14:textId="0DBBF699" w:rsidR="00702CFA" w:rsidRPr="00864934" w:rsidRDefault="007F0454" w:rsidP="00484BE1">
      <w:r w:rsidRPr="00864934">
        <w:rPr>
          <w:sz w:val="21"/>
          <w:szCs w:val="21"/>
        </w:rPr>
        <w:t xml:space="preserve">The HRC asks </w:t>
      </w:r>
      <w:r w:rsidR="00702CFA" w:rsidRPr="00864934">
        <w:t xml:space="preserve">Australia to </w:t>
      </w:r>
      <w:r w:rsidR="00A756C8">
        <w:t>provide information on</w:t>
      </w:r>
      <w:r w:rsidR="00A756C8" w:rsidRPr="00864934">
        <w:t xml:space="preserve"> </w:t>
      </w:r>
      <w:r w:rsidR="00702CFA" w:rsidRPr="00864934">
        <w:t>what alternative measures are being taken to ensure effective participation of Aboriginal and Torres Strait Islander peoples in decision-making following the 2023 referendum</w:t>
      </w:r>
      <w:r w:rsidR="00A60BF6">
        <w:t>.</w:t>
      </w:r>
    </w:p>
    <w:p w14:paraId="3E90523A" w14:textId="77777777" w:rsidR="00A062F3" w:rsidRDefault="007E3CCC" w:rsidP="00016B41">
      <w:pPr>
        <w:spacing w:after="120"/>
      </w:pPr>
      <w:r w:rsidRPr="00484BE1">
        <w:rPr>
          <w:rStyle w:val="Heading5Char"/>
        </w:rPr>
        <w:t>Paragraph 25 – Native title and reparations</w:t>
      </w:r>
      <w:r w:rsidRPr="00864934">
        <w:br/>
      </w:r>
      <w:r w:rsidR="00932DD0" w:rsidRPr="00864934">
        <w:t xml:space="preserve">The HRC </w:t>
      </w:r>
      <w:proofErr w:type="gramStart"/>
      <w:r w:rsidR="00932DD0" w:rsidRPr="00864934">
        <w:t>asks</w:t>
      </w:r>
      <w:proofErr w:type="gramEnd"/>
      <w:r w:rsidR="00932DD0" w:rsidRPr="00864934">
        <w:t xml:space="preserve"> Australia</w:t>
      </w:r>
      <w:r w:rsidR="00932DD0" w:rsidRPr="00864934">
        <w:rPr>
          <w:rFonts w:eastAsia="Times New Roman"/>
          <w:w w:val="100"/>
          <w:kern w:val="0"/>
          <w:lang w:eastAsia="en-AU"/>
        </w:rPr>
        <w:t xml:space="preserve"> </w:t>
      </w:r>
      <w:r w:rsidRPr="00864934">
        <w:t xml:space="preserve">to </w:t>
      </w:r>
      <w:r w:rsidR="00A756C8">
        <w:t>provide information on</w:t>
      </w:r>
      <w:r w:rsidR="00A062F3">
        <w:t>:</w:t>
      </w:r>
    </w:p>
    <w:p w14:paraId="1C81F8C4" w14:textId="1CAE1BF1" w:rsidR="00A062F3" w:rsidRPr="00A062F3" w:rsidRDefault="007E3CCC" w:rsidP="00484BE1">
      <w:pPr>
        <w:pStyle w:val="Bullet1"/>
      </w:pPr>
      <w:r w:rsidRPr="00A062F3">
        <w:t>how native title law complies with human rights obligations</w:t>
      </w:r>
    </w:p>
    <w:p w14:paraId="3A0B33F7" w14:textId="54D2227D" w:rsidR="00DE42C5" w:rsidRPr="00A062F3" w:rsidRDefault="007E3CCC" w:rsidP="00484BE1">
      <w:pPr>
        <w:pStyle w:val="Bullet1"/>
      </w:pPr>
      <w:r w:rsidRPr="00A062F3">
        <w:t>what steps are being taken to establish reparations, including compensation for members of the Stolen Generations.</w:t>
      </w:r>
    </w:p>
    <w:sectPr w:rsidR="00DE42C5" w:rsidRPr="00A062F3" w:rsidSect="00555668">
      <w:headerReference w:type="even" r:id="rId8"/>
      <w:footerReference w:type="even" r:id="rId9"/>
      <w:footerReference w:type="default" r:id="rId10"/>
      <w:headerReference w:type="first" r:id="rId11"/>
      <w:footerReference w:type="first" r:id="rId12"/>
      <w:pgSz w:w="11906" w:h="16838"/>
      <w:pgMar w:top="284"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8E3C" w14:textId="77777777" w:rsidR="0066504D" w:rsidRDefault="0066504D" w:rsidP="007D070A">
      <w:pPr>
        <w:spacing w:after="0" w:line="240" w:lineRule="auto"/>
      </w:pPr>
      <w:r>
        <w:separator/>
      </w:r>
    </w:p>
  </w:endnote>
  <w:endnote w:type="continuationSeparator" w:id="0">
    <w:p w14:paraId="3143CC82" w14:textId="77777777" w:rsidR="0066504D" w:rsidRDefault="0066504D" w:rsidP="007D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10BD" w14:textId="16C602C5" w:rsidR="00555668" w:rsidRDefault="003B587D">
    <w:pPr>
      <w:pStyle w:val="Footer"/>
    </w:pPr>
    <w:r>
      <w:rPr>
        <w:noProof/>
        <w:w w:val="100"/>
      </w:rPr>
      <mc:AlternateContent>
        <mc:Choice Requires="wps">
          <w:drawing>
            <wp:anchor distT="0" distB="0" distL="0" distR="0" simplePos="0" relativeHeight="251662336" behindDoc="0" locked="0" layoutInCell="1" allowOverlap="1" wp14:anchorId="45650BB2" wp14:editId="3243CE5F">
              <wp:simplePos x="635" y="635"/>
              <wp:positionH relativeFrom="page">
                <wp:align>center</wp:align>
              </wp:positionH>
              <wp:positionV relativeFrom="page">
                <wp:align>bottom</wp:align>
              </wp:positionV>
              <wp:extent cx="653415" cy="404495"/>
              <wp:effectExtent l="0" t="0" r="13335" b="0"/>
              <wp:wrapNone/>
              <wp:docPr id="2335205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3415" cy="404495"/>
                      </a:xfrm>
                      <a:prstGeom prst="rect">
                        <a:avLst/>
                      </a:prstGeom>
                      <a:noFill/>
                      <a:ln>
                        <a:noFill/>
                      </a:ln>
                    </wps:spPr>
                    <wps:txbx>
                      <w:txbxContent>
                        <w:p w14:paraId="222AA587" w14:textId="591CF014" w:rsidR="003B587D" w:rsidRPr="003B587D" w:rsidRDefault="003B587D" w:rsidP="003B587D">
                          <w:pPr>
                            <w:spacing w:after="0"/>
                            <w:rPr>
                              <w:rFonts w:ascii="Aptos" w:eastAsia="Aptos" w:hAnsi="Aptos" w:cs="Aptos"/>
                              <w:noProof/>
                              <w:color w:val="FF0000"/>
                              <w:sz w:val="24"/>
                              <w:szCs w:val="24"/>
                            </w:rPr>
                          </w:pPr>
                          <w:r w:rsidRPr="003B587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650BB2" id="_x0000_t202" coordsize="21600,21600" o:spt="202" path="m,l,21600r21600,l21600,xe">
              <v:stroke joinstyle="miter"/>
              <v:path gradientshapeok="t" o:connecttype="rect"/>
            </v:shapetype>
            <v:shape id="Text Box 5" o:spid="_x0000_s1027" type="#_x0000_t202" alt="OFFICIAL" style="position:absolute;margin-left:0;margin-top:0;width:51.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" filled="f" stroked="f">
              <v:textbox style="mso-fit-shape-to-text:t" inset="0,0,0,15pt">
                <w:txbxContent>
                  <w:p w14:paraId="222AA587" w14:textId="591CF014" w:rsidR="003B587D" w:rsidRPr="003B587D" w:rsidRDefault="003B587D" w:rsidP="003B587D">
                    <w:pPr>
                      <w:spacing w:after="0"/>
                      <w:rPr>
                        <w:rFonts w:ascii="Aptos" w:eastAsia="Aptos" w:hAnsi="Aptos" w:cs="Aptos"/>
                        <w:noProof/>
                        <w:color w:val="FF0000"/>
                        <w:sz w:val="24"/>
                        <w:szCs w:val="24"/>
                      </w:rPr>
                    </w:pPr>
                    <w:r w:rsidRPr="003B587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1CD0" w14:textId="486D5106" w:rsidR="007D070A" w:rsidRDefault="0066504D" w:rsidP="00555668">
    <w:pPr>
      <w:pStyle w:val="Footer"/>
      <w:ind w:left="-426" w:firstLine="142"/>
      <w:jc w:val="right"/>
    </w:pPr>
    <w:sdt>
      <w:sdtPr>
        <w:id w:val="-921719462"/>
        <w:docPartObj>
          <w:docPartGallery w:val="Page Numbers (Bottom of Page)"/>
          <w:docPartUnique/>
        </w:docPartObj>
      </w:sdtPr>
      <w:sdtEndPr>
        <w:rPr>
          <w:noProof/>
        </w:rPr>
      </w:sdtEndPr>
      <w:sdtContent>
        <w:r w:rsidR="007D070A" w:rsidRPr="005A3343">
          <w:rPr>
            <w:noProof/>
            <w:lang w:val="en-GB" w:eastAsia="en-GB"/>
          </w:rPr>
          <w:drawing>
            <wp:inline distT="0" distB="0" distL="0" distR="0" wp14:anchorId="12B7C2EE" wp14:editId="2EBDE01C">
              <wp:extent cx="7172325" cy="76200"/>
              <wp:effectExtent l="0" t="0" r="9525" b="0"/>
              <wp:docPr id="3" name="Picture 3" descr="Horizontal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ctdc01fs01p\user_folder$\jonesj\Desktop\stripe.jp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72325" cy="76200"/>
                      </a:xfrm>
                      <a:prstGeom prst="rect">
                        <a:avLst/>
                      </a:prstGeom>
                      <a:noFill/>
                      <a:ln>
                        <a:noFill/>
                      </a:ln>
                    </pic:spPr>
                  </pic:pic>
                </a:graphicData>
              </a:graphic>
            </wp:inline>
          </w:drawing>
        </w:r>
        <w:r w:rsidR="00932DD0">
          <w:t>List of Issues Prior to Reporting Fact</w:t>
        </w:r>
        <w:r w:rsidR="001657BA">
          <w:t xml:space="preserve"> </w:t>
        </w:r>
        <w:r w:rsidR="00A60BF6">
          <w:t>S</w:t>
        </w:r>
        <w:r w:rsidR="00932DD0">
          <w:t xml:space="preserve">heet </w:t>
        </w:r>
        <w:r w:rsidR="007D070A">
          <w:tab/>
        </w:r>
        <w:r w:rsidR="007D070A">
          <w:tab/>
        </w:r>
        <w:r w:rsidR="007D070A">
          <w:tab/>
        </w:r>
        <w:r w:rsidR="007D070A">
          <w:fldChar w:fldCharType="begin"/>
        </w:r>
        <w:r w:rsidR="007D070A">
          <w:instrText xml:space="preserve"> PAGE   \* MERGEFORMAT </w:instrText>
        </w:r>
        <w:r w:rsidR="007D070A">
          <w:fldChar w:fldCharType="separate"/>
        </w:r>
        <w:r w:rsidR="005C34EC">
          <w:rPr>
            <w:noProof/>
          </w:rPr>
          <w:t>1</w:t>
        </w:r>
        <w:r w:rsidR="007D070A">
          <w:rPr>
            <w:noProof/>
          </w:rPr>
          <w:fldChar w:fldCharType="end"/>
        </w:r>
      </w:sdtContent>
    </w:sdt>
  </w:p>
  <w:p w14:paraId="420B1CD1" w14:textId="0AEFCF87" w:rsidR="007D070A" w:rsidRDefault="00932DD0">
    <w:pPr>
      <w:pStyle w:val="Footer"/>
    </w:pPr>
    <w:r>
      <w:rPr>
        <w:noProof/>
        <w:w w:val="100"/>
      </w:rPr>
      <mc:AlternateContent>
        <mc:Choice Requires="wps">
          <w:drawing>
            <wp:anchor distT="0" distB="0" distL="0" distR="0" simplePos="0" relativeHeight="251660288" behindDoc="0" locked="0" layoutInCell="1" allowOverlap="1" wp14:anchorId="58A8AB3D" wp14:editId="749336B6">
              <wp:simplePos x="0" y="0"/>
              <wp:positionH relativeFrom="page">
                <wp:posOffset>3475355</wp:posOffset>
              </wp:positionH>
              <wp:positionV relativeFrom="page">
                <wp:posOffset>10648950</wp:posOffset>
              </wp:positionV>
              <wp:extent cx="653415" cy="404495"/>
              <wp:effectExtent l="0" t="0" r="13335" b="14605"/>
              <wp:wrapNone/>
              <wp:docPr id="10229529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04495"/>
                      </a:xfrm>
                      <a:prstGeom prst="rect">
                        <a:avLst/>
                      </a:prstGeom>
                      <a:noFill/>
                      <a:ln>
                        <a:noFill/>
                      </a:ln>
                    </wps:spPr>
                    <wps:txbx>
                      <w:txbxContent>
                        <w:p w14:paraId="3C1A0F77" w14:textId="4ED02045" w:rsidR="003B587D" w:rsidRPr="003B587D" w:rsidRDefault="003B587D" w:rsidP="003B587D">
                          <w:pPr>
                            <w:spacing w:after="0"/>
                            <w:rPr>
                              <w:rFonts w:ascii="Aptos" w:eastAsia="Aptos" w:hAnsi="Aptos" w:cs="Aptos"/>
                              <w:noProof/>
                              <w:color w:val="FF0000"/>
                              <w:sz w:val="24"/>
                              <w:szCs w:val="24"/>
                            </w:rPr>
                          </w:pPr>
                          <w:r w:rsidRPr="003B58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A8AB3D" id="_x0000_t202" coordsize="21600,21600" o:spt="202" path="m,l,21600r21600,l21600,xe">
              <v:stroke joinstyle="miter"/>
              <v:path gradientshapeok="t" o:connecttype="rect"/>
            </v:shapetype>
            <v:shape id="Text Box 3" o:spid="_x0000_s1028" type="#_x0000_t202" alt="OFFICIAL" style="position:absolute;margin-left:273.65pt;margin-top:838.5pt;width:51.45pt;height:31.8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VhDg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" filled="f" stroked="f">
              <v:textbox style="mso-fit-shape-to-text:t" inset="0,15pt,0,0">
                <w:txbxContent>
                  <w:p w14:paraId="3C1A0F77" w14:textId="4ED02045" w:rsidR="003B587D" w:rsidRPr="003B587D" w:rsidRDefault="003B587D" w:rsidP="003B587D">
                    <w:pPr>
                      <w:spacing w:after="0"/>
                      <w:rPr>
                        <w:rFonts w:ascii="Aptos" w:eastAsia="Aptos" w:hAnsi="Aptos" w:cs="Aptos"/>
                        <w:noProof/>
                        <w:color w:val="FF0000"/>
                        <w:sz w:val="24"/>
                        <w:szCs w:val="24"/>
                      </w:rPr>
                    </w:pPr>
                    <w:r w:rsidRPr="003B587D">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E3A2" w14:textId="593BD698" w:rsidR="00555668" w:rsidRDefault="003B587D">
    <w:pPr>
      <w:pStyle w:val="Footer"/>
    </w:pPr>
    <w:r>
      <w:rPr>
        <w:noProof/>
        <w:w w:val="100"/>
      </w:rPr>
      <mc:AlternateContent>
        <mc:Choice Requires="wps">
          <w:drawing>
            <wp:anchor distT="0" distB="0" distL="0" distR="0" simplePos="0" relativeHeight="251661312" behindDoc="0" locked="0" layoutInCell="1" allowOverlap="1" wp14:anchorId="67A47C21" wp14:editId="79046B5E">
              <wp:simplePos x="635" y="635"/>
              <wp:positionH relativeFrom="page">
                <wp:align>center</wp:align>
              </wp:positionH>
              <wp:positionV relativeFrom="page">
                <wp:align>bottom</wp:align>
              </wp:positionV>
              <wp:extent cx="653415" cy="404495"/>
              <wp:effectExtent l="0" t="0" r="13335" b="0"/>
              <wp:wrapNone/>
              <wp:docPr id="18105608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3415" cy="404495"/>
                      </a:xfrm>
                      <a:prstGeom prst="rect">
                        <a:avLst/>
                      </a:prstGeom>
                      <a:noFill/>
                      <a:ln>
                        <a:noFill/>
                      </a:ln>
                    </wps:spPr>
                    <wps:txbx>
                      <w:txbxContent>
                        <w:p w14:paraId="53AD5D91" w14:textId="3CEB5E1D" w:rsidR="003B587D" w:rsidRPr="003B587D" w:rsidRDefault="003B587D" w:rsidP="003B587D">
                          <w:pPr>
                            <w:spacing w:after="0"/>
                            <w:rPr>
                              <w:rFonts w:ascii="Aptos" w:eastAsia="Aptos" w:hAnsi="Aptos" w:cs="Aptos"/>
                              <w:noProof/>
                              <w:color w:val="FF0000"/>
                              <w:sz w:val="24"/>
                              <w:szCs w:val="24"/>
                            </w:rPr>
                          </w:pPr>
                          <w:r w:rsidRPr="003B587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47C21" id="_x0000_t202" coordsize="21600,21600" o:spt="202" path="m,l,21600r21600,l21600,xe">
              <v:stroke joinstyle="miter"/>
              <v:path gradientshapeok="t" o:connecttype="rect"/>
            </v:shapetype>
            <v:shape id="Text Box 4" o:spid="_x0000_s1030" type="#_x0000_t202" alt="OFFICIAL" style="position:absolute;margin-left:0;margin-top:0;width:51.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" filled="f" stroked="f">
              <v:textbox style="mso-fit-shape-to-text:t" inset="0,0,0,15pt">
                <w:txbxContent>
                  <w:p w14:paraId="53AD5D91" w14:textId="3CEB5E1D" w:rsidR="003B587D" w:rsidRPr="003B587D" w:rsidRDefault="003B587D" w:rsidP="003B587D">
                    <w:pPr>
                      <w:spacing w:after="0"/>
                      <w:rPr>
                        <w:rFonts w:ascii="Aptos" w:eastAsia="Aptos" w:hAnsi="Aptos" w:cs="Aptos"/>
                        <w:noProof/>
                        <w:color w:val="FF0000"/>
                        <w:sz w:val="24"/>
                        <w:szCs w:val="24"/>
                      </w:rPr>
                    </w:pPr>
                    <w:r w:rsidRPr="003B587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C703" w14:textId="77777777" w:rsidR="0066504D" w:rsidRDefault="0066504D" w:rsidP="007D070A">
      <w:pPr>
        <w:spacing w:after="0" w:line="240" w:lineRule="auto"/>
      </w:pPr>
      <w:r>
        <w:separator/>
      </w:r>
    </w:p>
  </w:footnote>
  <w:footnote w:type="continuationSeparator" w:id="0">
    <w:p w14:paraId="5677BBB7" w14:textId="77777777" w:rsidR="0066504D" w:rsidRDefault="0066504D" w:rsidP="007D0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CEB3" w14:textId="1D8DDEEA" w:rsidR="00555668" w:rsidRDefault="003B587D">
    <w:pPr>
      <w:pStyle w:val="Header"/>
    </w:pPr>
    <w:r>
      <w:rPr>
        <w:noProof/>
        <w:w w:val="100"/>
      </w:rPr>
      <mc:AlternateContent>
        <mc:Choice Requires="wps">
          <w:drawing>
            <wp:anchor distT="0" distB="0" distL="0" distR="0" simplePos="0" relativeHeight="251659264" behindDoc="0" locked="0" layoutInCell="1" allowOverlap="1" wp14:anchorId="66AD719A" wp14:editId="34551E4A">
              <wp:simplePos x="635" y="635"/>
              <wp:positionH relativeFrom="page">
                <wp:align>center</wp:align>
              </wp:positionH>
              <wp:positionV relativeFrom="page">
                <wp:align>top</wp:align>
              </wp:positionV>
              <wp:extent cx="653415" cy="404495"/>
              <wp:effectExtent l="0" t="0" r="13335" b="14605"/>
              <wp:wrapNone/>
              <wp:docPr id="16855345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04495"/>
                      </a:xfrm>
                      <a:prstGeom prst="rect">
                        <a:avLst/>
                      </a:prstGeom>
                      <a:noFill/>
                      <a:ln>
                        <a:noFill/>
                      </a:ln>
                    </wps:spPr>
                    <wps:txbx>
                      <w:txbxContent>
                        <w:p w14:paraId="2046F349" w14:textId="5CF00DFC" w:rsidR="003B587D" w:rsidRPr="003B587D" w:rsidRDefault="003B587D" w:rsidP="003B587D">
                          <w:pPr>
                            <w:spacing w:after="0"/>
                            <w:rPr>
                              <w:rFonts w:ascii="Aptos" w:eastAsia="Aptos" w:hAnsi="Aptos" w:cs="Aptos"/>
                              <w:noProof/>
                              <w:color w:val="FF0000"/>
                              <w:sz w:val="24"/>
                              <w:szCs w:val="24"/>
                            </w:rPr>
                          </w:pPr>
                          <w:r w:rsidRPr="003B58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D719A" id="_x0000_t202" coordsize="21600,21600" o:spt="202" path="m,l,21600r21600,l21600,xe">
              <v:stroke joinstyle="miter"/>
              <v:path gradientshapeok="t" o:connecttype="rect"/>
            </v:shapetype>
            <v:shape id="Text Box 2" o:spid="_x0000_s1026" type="#_x0000_t202" alt="OFFICIAL" style="position:absolute;margin-left:0;margin-top:0;width:51.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" filled="f" stroked="f">
              <v:textbox style="mso-fit-shape-to-text:t" inset="0,15pt,0,0">
                <w:txbxContent>
                  <w:p w14:paraId="2046F349" w14:textId="5CF00DFC" w:rsidR="003B587D" w:rsidRPr="003B587D" w:rsidRDefault="003B587D" w:rsidP="003B587D">
                    <w:pPr>
                      <w:spacing w:after="0"/>
                      <w:rPr>
                        <w:rFonts w:ascii="Aptos" w:eastAsia="Aptos" w:hAnsi="Aptos" w:cs="Aptos"/>
                        <w:noProof/>
                        <w:color w:val="FF0000"/>
                        <w:sz w:val="24"/>
                        <w:szCs w:val="24"/>
                      </w:rPr>
                    </w:pPr>
                    <w:r w:rsidRPr="003B587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A618" w14:textId="3B532ADA" w:rsidR="00555668" w:rsidRDefault="003B587D">
    <w:pPr>
      <w:pStyle w:val="Header"/>
    </w:pPr>
    <w:r>
      <w:rPr>
        <w:noProof/>
        <w:w w:val="100"/>
      </w:rPr>
      <mc:AlternateContent>
        <mc:Choice Requires="wps">
          <w:drawing>
            <wp:anchor distT="0" distB="0" distL="0" distR="0" simplePos="0" relativeHeight="251658240" behindDoc="0" locked="0" layoutInCell="1" allowOverlap="1" wp14:anchorId="009FB521" wp14:editId="635A37B7">
              <wp:simplePos x="635" y="635"/>
              <wp:positionH relativeFrom="page">
                <wp:align>center</wp:align>
              </wp:positionH>
              <wp:positionV relativeFrom="page">
                <wp:align>top</wp:align>
              </wp:positionV>
              <wp:extent cx="653415" cy="404495"/>
              <wp:effectExtent l="0" t="0" r="13335" b="14605"/>
              <wp:wrapNone/>
              <wp:docPr id="15361322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04495"/>
                      </a:xfrm>
                      <a:prstGeom prst="rect">
                        <a:avLst/>
                      </a:prstGeom>
                      <a:noFill/>
                      <a:ln>
                        <a:noFill/>
                      </a:ln>
                    </wps:spPr>
                    <wps:txbx>
                      <w:txbxContent>
                        <w:p w14:paraId="10F751D2" w14:textId="7B0A9701" w:rsidR="003B587D" w:rsidRPr="003B587D" w:rsidRDefault="003B587D" w:rsidP="003B587D">
                          <w:pPr>
                            <w:spacing w:after="0"/>
                            <w:rPr>
                              <w:rFonts w:ascii="Aptos" w:eastAsia="Aptos" w:hAnsi="Aptos" w:cs="Aptos"/>
                              <w:noProof/>
                              <w:color w:val="FF0000"/>
                              <w:sz w:val="24"/>
                              <w:szCs w:val="24"/>
                            </w:rPr>
                          </w:pPr>
                          <w:r w:rsidRPr="003B58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FB521" id="_x0000_t202" coordsize="21600,21600" o:spt="202" path="m,l,21600r21600,l21600,xe">
              <v:stroke joinstyle="miter"/>
              <v:path gradientshapeok="t" o:connecttype="rect"/>
            </v:shapetype>
            <v:shape id="Text Box 1" o:spid="_x0000_s1029" type="#_x0000_t202" alt="OFFICIAL" style="position:absolute;margin-left:0;margin-top:0;width:51.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" filled="f" stroked="f">
              <v:textbox style="mso-fit-shape-to-text:t" inset="0,15pt,0,0">
                <w:txbxContent>
                  <w:p w14:paraId="10F751D2" w14:textId="7B0A9701" w:rsidR="003B587D" w:rsidRPr="003B587D" w:rsidRDefault="003B587D" w:rsidP="003B587D">
                    <w:pPr>
                      <w:spacing w:after="0"/>
                      <w:rPr>
                        <w:rFonts w:ascii="Aptos" w:eastAsia="Aptos" w:hAnsi="Aptos" w:cs="Aptos"/>
                        <w:noProof/>
                        <w:color w:val="FF0000"/>
                        <w:sz w:val="24"/>
                        <w:szCs w:val="24"/>
                      </w:rPr>
                    </w:pPr>
                    <w:r w:rsidRPr="003B587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CCF"/>
    <w:multiLevelType w:val="hybridMultilevel"/>
    <w:tmpl w:val="B5204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A2568"/>
    <w:multiLevelType w:val="hybridMultilevel"/>
    <w:tmpl w:val="68A88BE2"/>
    <w:lvl w:ilvl="0" w:tplc="5C9428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256AAE"/>
    <w:multiLevelType w:val="hybridMultilevel"/>
    <w:tmpl w:val="CB40CD36"/>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72161E"/>
    <w:multiLevelType w:val="hybridMultilevel"/>
    <w:tmpl w:val="61A45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A645BB"/>
    <w:multiLevelType w:val="hybridMultilevel"/>
    <w:tmpl w:val="D76610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D4B23D1"/>
    <w:multiLevelType w:val="hybridMultilevel"/>
    <w:tmpl w:val="7A42BBA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782EEF"/>
    <w:multiLevelType w:val="hybridMultilevel"/>
    <w:tmpl w:val="84424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DB60423"/>
    <w:multiLevelType w:val="hybridMultilevel"/>
    <w:tmpl w:val="D35065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89937C9"/>
    <w:multiLevelType w:val="hybridMultilevel"/>
    <w:tmpl w:val="C1A8CC5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F3D6C03"/>
    <w:multiLevelType w:val="hybridMultilevel"/>
    <w:tmpl w:val="14567EDA"/>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81409C"/>
    <w:multiLevelType w:val="hybridMultilevel"/>
    <w:tmpl w:val="C78840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3A226B16"/>
    <w:multiLevelType w:val="hybridMultilevel"/>
    <w:tmpl w:val="0A4080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D925B59"/>
    <w:multiLevelType w:val="hybridMultilevel"/>
    <w:tmpl w:val="69A2C2D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3" w15:restartNumberingAfterBreak="0">
    <w:nsid w:val="50CF4A24"/>
    <w:multiLevelType w:val="hybridMultilevel"/>
    <w:tmpl w:val="030E9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362F2F"/>
    <w:multiLevelType w:val="hybridMultilevel"/>
    <w:tmpl w:val="AD308D5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59A90387"/>
    <w:multiLevelType w:val="hybridMultilevel"/>
    <w:tmpl w:val="7AA8E1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9663D0"/>
    <w:multiLevelType w:val="hybridMultilevel"/>
    <w:tmpl w:val="F70407C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133275F"/>
    <w:multiLevelType w:val="hybridMultilevel"/>
    <w:tmpl w:val="3FD8955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619E3EFA"/>
    <w:multiLevelType w:val="hybridMultilevel"/>
    <w:tmpl w:val="7E5E4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A04DE4"/>
    <w:multiLevelType w:val="hybridMultilevel"/>
    <w:tmpl w:val="EA10E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A15FB9"/>
    <w:multiLevelType w:val="hybridMultilevel"/>
    <w:tmpl w:val="764489AE"/>
    <w:lvl w:ilvl="0" w:tplc="582AD58C">
      <w:start w:val="1"/>
      <w:numFmt w:val="bullet"/>
      <w:pStyle w:val="Bullet1"/>
      <w:lvlText w:val=""/>
      <w:lvlJc w:val="left"/>
      <w:pPr>
        <w:ind w:left="3555" w:hanging="360"/>
      </w:pPr>
      <w:rPr>
        <w:rFonts w:ascii="Symbol" w:hAnsi="Symbol" w:hint="default"/>
        <w:color w:val="5C5C5C"/>
      </w:rPr>
    </w:lvl>
    <w:lvl w:ilvl="1" w:tplc="87E4CA92">
      <w:start w:val="1"/>
      <w:numFmt w:val="bullet"/>
      <w:pStyle w:val="ListBullet"/>
      <w:lvlText w:val=""/>
      <w:lvlJc w:val="left"/>
      <w:pPr>
        <w:ind w:left="4188" w:hanging="360"/>
      </w:pPr>
      <w:rPr>
        <w:rFonts w:ascii="Symbol" w:hAnsi="Symbol" w:hint="default"/>
        <w:color w:val="4D738A"/>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21" w15:restartNumberingAfterBreak="0">
    <w:nsid w:val="664B17D5"/>
    <w:multiLevelType w:val="hybridMultilevel"/>
    <w:tmpl w:val="0A3848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7344360E"/>
    <w:multiLevelType w:val="hybridMultilevel"/>
    <w:tmpl w:val="47C0115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3763929">
    <w:abstractNumId w:val="20"/>
  </w:num>
  <w:num w:numId="2" w16cid:durableId="848065424">
    <w:abstractNumId w:val="15"/>
  </w:num>
  <w:num w:numId="3" w16cid:durableId="1276405518">
    <w:abstractNumId w:val="16"/>
  </w:num>
  <w:num w:numId="4" w16cid:durableId="845754935">
    <w:abstractNumId w:val="1"/>
  </w:num>
  <w:num w:numId="5" w16cid:durableId="1246068153">
    <w:abstractNumId w:val="2"/>
  </w:num>
  <w:num w:numId="6" w16cid:durableId="1305625701">
    <w:abstractNumId w:val="22"/>
  </w:num>
  <w:num w:numId="7" w16cid:durableId="1973319401">
    <w:abstractNumId w:val="5"/>
  </w:num>
  <w:num w:numId="8" w16cid:durableId="1766681049">
    <w:abstractNumId w:val="9"/>
  </w:num>
  <w:num w:numId="9" w16cid:durableId="1408697527">
    <w:abstractNumId w:val="3"/>
  </w:num>
  <w:num w:numId="10" w16cid:durableId="2039155389">
    <w:abstractNumId w:val="7"/>
  </w:num>
  <w:num w:numId="11" w16cid:durableId="1465736150">
    <w:abstractNumId w:val="21"/>
  </w:num>
  <w:num w:numId="12" w16cid:durableId="998386285">
    <w:abstractNumId w:val="14"/>
  </w:num>
  <w:num w:numId="13" w16cid:durableId="2069260607">
    <w:abstractNumId w:val="17"/>
  </w:num>
  <w:num w:numId="14" w16cid:durableId="228032381">
    <w:abstractNumId w:val="8"/>
  </w:num>
  <w:num w:numId="15" w16cid:durableId="870263461">
    <w:abstractNumId w:val="12"/>
  </w:num>
  <w:num w:numId="16" w16cid:durableId="1779642377">
    <w:abstractNumId w:val="6"/>
  </w:num>
  <w:num w:numId="17" w16cid:durableId="2021665105">
    <w:abstractNumId w:val="11"/>
  </w:num>
  <w:num w:numId="18" w16cid:durableId="150027909">
    <w:abstractNumId w:val="10"/>
  </w:num>
  <w:num w:numId="19" w16cid:durableId="218826438">
    <w:abstractNumId w:val="4"/>
  </w:num>
  <w:num w:numId="20" w16cid:durableId="471294660">
    <w:abstractNumId w:val="13"/>
  </w:num>
  <w:num w:numId="21" w16cid:durableId="1566605282">
    <w:abstractNumId w:val="18"/>
  </w:num>
  <w:num w:numId="22" w16cid:durableId="742067382">
    <w:abstractNumId w:val="19"/>
  </w:num>
  <w:num w:numId="23" w16cid:durableId="123103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0A"/>
    <w:rsid w:val="0000793F"/>
    <w:rsid w:val="00016568"/>
    <w:rsid w:val="00016B41"/>
    <w:rsid w:val="00032983"/>
    <w:rsid w:val="000674AB"/>
    <w:rsid w:val="00070761"/>
    <w:rsid w:val="00080E03"/>
    <w:rsid w:val="000A6679"/>
    <w:rsid w:val="0011530E"/>
    <w:rsid w:val="00156260"/>
    <w:rsid w:val="00156525"/>
    <w:rsid w:val="001657BA"/>
    <w:rsid w:val="001C0CAE"/>
    <w:rsid w:val="0023317E"/>
    <w:rsid w:val="00262BCE"/>
    <w:rsid w:val="002D683D"/>
    <w:rsid w:val="002F2358"/>
    <w:rsid w:val="00301B99"/>
    <w:rsid w:val="00362266"/>
    <w:rsid w:val="00391988"/>
    <w:rsid w:val="003923EC"/>
    <w:rsid w:val="003B587D"/>
    <w:rsid w:val="00484BE1"/>
    <w:rsid w:val="004D34DA"/>
    <w:rsid w:val="00533FD1"/>
    <w:rsid w:val="005479F2"/>
    <w:rsid w:val="00555668"/>
    <w:rsid w:val="005821A4"/>
    <w:rsid w:val="005B7EE9"/>
    <w:rsid w:val="005C34EC"/>
    <w:rsid w:val="005D1755"/>
    <w:rsid w:val="00610223"/>
    <w:rsid w:val="006178DB"/>
    <w:rsid w:val="00631D17"/>
    <w:rsid w:val="0066504D"/>
    <w:rsid w:val="00682A7E"/>
    <w:rsid w:val="00684DB6"/>
    <w:rsid w:val="006E7C9D"/>
    <w:rsid w:val="007017BE"/>
    <w:rsid w:val="00702CFA"/>
    <w:rsid w:val="007073CF"/>
    <w:rsid w:val="00727EFC"/>
    <w:rsid w:val="007423F9"/>
    <w:rsid w:val="007762BE"/>
    <w:rsid w:val="007D070A"/>
    <w:rsid w:val="007D4E18"/>
    <w:rsid w:val="007E3CCC"/>
    <w:rsid w:val="007E4652"/>
    <w:rsid w:val="007F0454"/>
    <w:rsid w:val="00842D77"/>
    <w:rsid w:val="00864934"/>
    <w:rsid w:val="008B5E4E"/>
    <w:rsid w:val="008F4D05"/>
    <w:rsid w:val="00932DD0"/>
    <w:rsid w:val="00944990"/>
    <w:rsid w:val="0095498D"/>
    <w:rsid w:val="0098785E"/>
    <w:rsid w:val="009A068F"/>
    <w:rsid w:val="009E712A"/>
    <w:rsid w:val="00A062F3"/>
    <w:rsid w:val="00A60BF6"/>
    <w:rsid w:val="00A70ADB"/>
    <w:rsid w:val="00A756C8"/>
    <w:rsid w:val="00AA08D7"/>
    <w:rsid w:val="00AC5E74"/>
    <w:rsid w:val="00AD6963"/>
    <w:rsid w:val="00AE30A3"/>
    <w:rsid w:val="00AE6824"/>
    <w:rsid w:val="00B649DD"/>
    <w:rsid w:val="00BF4FD9"/>
    <w:rsid w:val="00C41D51"/>
    <w:rsid w:val="00CA189E"/>
    <w:rsid w:val="00CD5BC4"/>
    <w:rsid w:val="00CF3694"/>
    <w:rsid w:val="00D077FD"/>
    <w:rsid w:val="00D748B3"/>
    <w:rsid w:val="00D82850"/>
    <w:rsid w:val="00D9331D"/>
    <w:rsid w:val="00DB291B"/>
    <w:rsid w:val="00DC10FA"/>
    <w:rsid w:val="00DC1572"/>
    <w:rsid w:val="00DE42C5"/>
    <w:rsid w:val="00E35DC3"/>
    <w:rsid w:val="00E62D18"/>
    <w:rsid w:val="00E736DC"/>
    <w:rsid w:val="00E77AAA"/>
    <w:rsid w:val="00E864F2"/>
    <w:rsid w:val="00F01E06"/>
    <w:rsid w:val="00F12A31"/>
    <w:rsid w:val="00FC4828"/>
    <w:rsid w:val="00FE0327"/>
    <w:rsid w:val="00FE5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B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70A"/>
    <w:rPr>
      <w:rFonts w:ascii="Calibri" w:eastAsia="Calibri" w:hAnsi="Calibri" w:cs="Calibri"/>
      <w:w w:val="105"/>
      <w:kern w:val="40"/>
    </w:rPr>
  </w:style>
  <w:style w:type="paragraph" w:styleId="Heading1">
    <w:name w:val="heading 1"/>
    <w:basedOn w:val="Normal"/>
    <w:next w:val="Normal"/>
    <w:link w:val="Heading1Char"/>
    <w:uiPriority w:val="9"/>
    <w:qFormat/>
    <w:rsid w:val="007D070A"/>
    <w:pPr>
      <w:keepNext/>
      <w:spacing w:after="0" w:line="240" w:lineRule="auto"/>
      <w:jc w:val="right"/>
      <w:outlineLvl w:val="0"/>
    </w:pPr>
    <w:rPr>
      <w:rFonts w:eastAsia="SimSun" w:cs="Angsana New"/>
      <w:b/>
      <w:bCs/>
      <w:color w:val="404040"/>
      <w:kern w:val="32"/>
      <w:sz w:val="52"/>
      <w:szCs w:val="52"/>
    </w:rPr>
  </w:style>
  <w:style w:type="paragraph" w:styleId="Heading2">
    <w:name w:val="heading 2"/>
    <w:basedOn w:val="Normal"/>
    <w:next w:val="Normal"/>
    <w:link w:val="Heading2Char"/>
    <w:uiPriority w:val="9"/>
    <w:unhideWhenUsed/>
    <w:qFormat/>
    <w:rsid w:val="007D070A"/>
    <w:pPr>
      <w:keepNext/>
      <w:spacing w:before="240" w:after="60" w:line="240" w:lineRule="auto"/>
      <w:outlineLvl w:val="1"/>
    </w:pPr>
    <w:rPr>
      <w:rFonts w:eastAsia="SimSun" w:cs="Angsana New"/>
      <w:b/>
      <w:bCs/>
      <w:iCs/>
      <w:color w:val="4D738A"/>
      <w:sz w:val="40"/>
      <w:szCs w:val="48"/>
    </w:rPr>
  </w:style>
  <w:style w:type="paragraph" w:styleId="Heading3">
    <w:name w:val="heading 3"/>
    <w:basedOn w:val="Normal"/>
    <w:next w:val="Normal"/>
    <w:link w:val="Heading3Char"/>
    <w:uiPriority w:val="9"/>
    <w:unhideWhenUsed/>
    <w:qFormat/>
    <w:rsid w:val="007D070A"/>
    <w:pPr>
      <w:keepNext/>
      <w:spacing w:after="60" w:line="240" w:lineRule="auto"/>
      <w:outlineLvl w:val="2"/>
    </w:pPr>
    <w:rPr>
      <w:rFonts w:eastAsia="SimSun" w:cs="Angsana New"/>
      <w:b/>
      <w:bCs/>
      <w:color w:val="404040"/>
      <w:sz w:val="32"/>
      <w:szCs w:val="32"/>
    </w:rPr>
  </w:style>
  <w:style w:type="paragraph" w:styleId="Heading4">
    <w:name w:val="heading 4"/>
    <w:basedOn w:val="Heading3"/>
    <w:next w:val="Normal"/>
    <w:link w:val="Heading4Char"/>
    <w:uiPriority w:val="9"/>
    <w:unhideWhenUsed/>
    <w:qFormat/>
    <w:rsid w:val="007D070A"/>
    <w:pPr>
      <w:outlineLvl w:val="3"/>
    </w:pPr>
    <w:rPr>
      <w:color w:val="595959" w:themeColor="text1" w:themeTint="A6"/>
      <w:sz w:val="26"/>
      <w:szCs w:val="26"/>
    </w:rPr>
  </w:style>
  <w:style w:type="paragraph" w:styleId="Heading5">
    <w:name w:val="heading 5"/>
    <w:basedOn w:val="Normal"/>
    <w:next w:val="Normal"/>
    <w:link w:val="Heading5Char"/>
    <w:uiPriority w:val="9"/>
    <w:unhideWhenUsed/>
    <w:qFormat/>
    <w:rsid w:val="00484BE1"/>
    <w:pPr>
      <w:spacing w:before="120" w:after="120"/>
      <w:outlineLvl w:val="4"/>
    </w:pPr>
    <w:rPr>
      <w:rFonts w:ascii="Segoe UI" w:hAnsi="Segoe UI" w:cs="Segoe UI"/>
      <w:b/>
      <w:bCs/>
      <w:color w:val="59595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70A"/>
  </w:style>
  <w:style w:type="paragraph" w:styleId="Footer">
    <w:name w:val="footer"/>
    <w:basedOn w:val="Normal"/>
    <w:link w:val="FooterChar"/>
    <w:uiPriority w:val="99"/>
    <w:unhideWhenUsed/>
    <w:rsid w:val="007D0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70A"/>
  </w:style>
  <w:style w:type="character" w:customStyle="1" w:styleId="Heading1Char">
    <w:name w:val="Heading 1 Char"/>
    <w:basedOn w:val="DefaultParagraphFont"/>
    <w:link w:val="Heading1"/>
    <w:uiPriority w:val="9"/>
    <w:rsid w:val="007D070A"/>
    <w:rPr>
      <w:rFonts w:ascii="Calibri" w:eastAsia="SimSun" w:hAnsi="Calibri" w:cs="Angsana New"/>
      <w:b/>
      <w:bCs/>
      <w:color w:val="404040"/>
      <w:w w:val="105"/>
      <w:kern w:val="32"/>
      <w:sz w:val="52"/>
      <w:szCs w:val="52"/>
    </w:rPr>
  </w:style>
  <w:style w:type="character" w:customStyle="1" w:styleId="Heading2Char">
    <w:name w:val="Heading 2 Char"/>
    <w:basedOn w:val="DefaultParagraphFont"/>
    <w:link w:val="Heading2"/>
    <w:uiPriority w:val="9"/>
    <w:rsid w:val="007D070A"/>
    <w:rPr>
      <w:rFonts w:ascii="Calibri" w:eastAsia="SimSun" w:hAnsi="Calibri" w:cs="Angsana New"/>
      <w:b/>
      <w:bCs/>
      <w:iCs/>
      <w:color w:val="4D738A"/>
      <w:w w:val="105"/>
      <w:kern w:val="40"/>
      <w:sz w:val="40"/>
      <w:szCs w:val="48"/>
    </w:rPr>
  </w:style>
  <w:style w:type="character" w:customStyle="1" w:styleId="Heading3Char">
    <w:name w:val="Heading 3 Char"/>
    <w:basedOn w:val="DefaultParagraphFont"/>
    <w:link w:val="Heading3"/>
    <w:uiPriority w:val="9"/>
    <w:rsid w:val="007D070A"/>
    <w:rPr>
      <w:rFonts w:ascii="Calibri" w:eastAsia="SimSun" w:hAnsi="Calibri" w:cs="Angsana New"/>
      <w:b/>
      <w:bCs/>
      <w:color w:val="404040"/>
      <w:w w:val="105"/>
      <w:kern w:val="40"/>
      <w:sz w:val="32"/>
      <w:szCs w:val="32"/>
    </w:rPr>
  </w:style>
  <w:style w:type="character" w:customStyle="1" w:styleId="Heading4Char">
    <w:name w:val="Heading 4 Char"/>
    <w:basedOn w:val="DefaultParagraphFont"/>
    <w:link w:val="Heading4"/>
    <w:uiPriority w:val="9"/>
    <w:rsid w:val="007D070A"/>
    <w:rPr>
      <w:rFonts w:ascii="Calibri" w:eastAsia="SimSun" w:hAnsi="Calibri" w:cs="Angsana New"/>
      <w:b/>
      <w:bCs/>
      <w:color w:val="595959" w:themeColor="text1" w:themeTint="A6"/>
      <w:w w:val="105"/>
      <w:kern w:val="40"/>
      <w:sz w:val="26"/>
      <w:szCs w:val="26"/>
    </w:rPr>
  </w:style>
  <w:style w:type="paragraph" w:styleId="Subtitle">
    <w:name w:val="Subtitle"/>
    <w:basedOn w:val="Title"/>
    <w:next w:val="Normal"/>
    <w:link w:val="SubtitleChar"/>
    <w:uiPriority w:val="11"/>
    <w:qFormat/>
    <w:rsid w:val="007D070A"/>
    <w:pPr>
      <w:pBdr>
        <w:bottom w:val="none" w:sz="0" w:space="0" w:color="auto"/>
      </w:pBdr>
      <w:spacing w:before="240" w:after="60"/>
      <w:contextualSpacing w:val="0"/>
      <w:jc w:val="right"/>
      <w:outlineLvl w:val="0"/>
    </w:pPr>
    <w:rPr>
      <w:rFonts w:ascii="Calibri" w:eastAsia="SimSun" w:hAnsi="Calibri" w:cs="Angsana New"/>
      <w:b/>
      <w:bCs/>
      <w:noProof/>
      <w:color w:val="auto"/>
      <w:spacing w:val="0"/>
      <w:sz w:val="28"/>
      <w:szCs w:val="28"/>
    </w:rPr>
  </w:style>
  <w:style w:type="character" w:customStyle="1" w:styleId="SubtitleChar">
    <w:name w:val="Subtitle Char"/>
    <w:basedOn w:val="DefaultParagraphFont"/>
    <w:link w:val="Subtitle"/>
    <w:uiPriority w:val="11"/>
    <w:rsid w:val="007D070A"/>
    <w:rPr>
      <w:rFonts w:ascii="Calibri" w:eastAsia="SimSun" w:hAnsi="Calibri" w:cs="Angsana New"/>
      <w:b/>
      <w:bCs/>
      <w:noProof/>
      <w:w w:val="105"/>
      <w:kern w:val="28"/>
      <w:sz w:val="28"/>
      <w:szCs w:val="28"/>
    </w:rPr>
  </w:style>
  <w:style w:type="paragraph" w:customStyle="1" w:styleId="Bullet1">
    <w:name w:val="Bullet 1"/>
    <w:basedOn w:val="ListBullet2"/>
    <w:autoRedefine/>
    <w:qFormat/>
    <w:rsid w:val="00484BE1"/>
    <w:pPr>
      <w:numPr>
        <w:ilvl w:val="0"/>
      </w:numPr>
      <w:spacing w:before="120" w:after="120"/>
      <w:ind w:left="567" w:hanging="567"/>
    </w:pPr>
  </w:style>
  <w:style w:type="paragraph" w:styleId="ListBullet2">
    <w:name w:val="List Bullet 2"/>
    <w:basedOn w:val="ListBullet"/>
    <w:autoRedefine/>
    <w:uiPriority w:val="99"/>
    <w:unhideWhenUsed/>
    <w:qFormat/>
    <w:rsid w:val="007D070A"/>
    <w:pPr>
      <w:ind w:left="1134" w:hanging="567"/>
    </w:pPr>
  </w:style>
  <w:style w:type="paragraph" w:styleId="ListBullet">
    <w:name w:val="List Bullet"/>
    <w:aliases w:val="List Bullet 1"/>
    <w:basedOn w:val="Normal"/>
    <w:uiPriority w:val="99"/>
    <w:unhideWhenUsed/>
    <w:rsid w:val="007D070A"/>
    <w:pPr>
      <w:numPr>
        <w:ilvl w:val="1"/>
        <w:numId w:val="1"/>
      </w:numPr>
      <w:ind w:left="1440"/>
      <w:contextualSpacing/>
    </w:pPr>
  </w:style>
  <w:style w:type="paragraph" w:styleId="Title">
    <w:name w:val="Title"/>
    <w:basedOn w:val="Normal"/>
    <w:next w:val="Normal"/>
    <w:link w:val="TitleChar"/>
    <w:uiPriority w:val="10"/>
    <w:qFormat/>
    <w:rsid w:val="007D07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D070A"/>
    <w:rPr>
      <w:rFonts w:asciiTheme="majorHAnsi" w:eastAsiaTheme="majorEastAsia" w:hAnsiTheme="majorHAnsi" w:cstheme="majorBidi"/>
      <w:color w:val="17365D" w:themeColor="text2" w:themeShade="BF"/>
      <w:spacing w:val="5"/>
      <w:w w:val="105"/>
      <w:kern w:val="28"/>
      <w:sz w:val="52"/>
      <w:szCs w:val="52"/>
    </w:rPr>
  </w:style>
  <w:style w:type="paragraph" w:styleId="BalloonText">
    <w:name w:val="Balloon Text"/>
    <w:basedOn w:val="Normal"/>
    <w:link w:val="BalloonTextChar"/>
    <w:uiPriority w:val="99"/>
    <w:semiHidden/>
    <w:unhideWhenUsed/>
    <w:rsid w:val="00555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668"/>
    <w:rPr>
      <w:rFonts w:ascii="Tahoma" w:eastAsia="Calibri" w:hAnsi="Tahoma" w:cs="Tahoma"/>
      <w:w w:val="105"/>
      <w:kern w:val="40"/>
      <w:sz w:val="16"/>
      <w:szCs w:val="16"/>
    </w:rPr>
  </w:style>
  <w:style w:type="paragraph" w:styleId="ListParagraph">
    <w:name w:val="List Paragraph"/>
    <w:basedOn w:val="Normal"/>
    <w:uiPriority w:val="34"/>
    <w:qFormat/>
    <w:rsid w:val="00DB291B"/>
    <w:pPr>
      <w:ind w:left="720"/>
      <w:contextualSpacing/>
    </w:pPr>
  </w:style>
  <w:style w:type="paragraph" w:styleId="NormalWeb">
    <w:name w:val="Normal (Web)"/>
    <w:basedOn w:val="Normal"/>
    <w:uiPriority w:val="99"/>
    <w:unhideWhenUsed/>
    <w:rsid w:val="00DE42C5"/>
    <w:pPr>
      <w:spacing w:before="100" w:beforeAutospacing="1" w:after="100" w:afterAutospacing="1" w:line="240" w:lineRule="auto"/>
    </w:pPr>
    <w:rPr>
      <w:rFonts w:ascii="Times New Roman" w:eastAsia="Times New Roman" w:hAnsi="Times New Roman" w:cs="Times New Roman"/>
      <w:w w:val="100"/>
      <w:kern w:val="0"/>
      <w:sz w:val="24"/>
      <w:szCs w:val="24"/>
      <w:lang w:eastAsia="en-AU"/>
    </w:rPr>
  </w:style>
  <w:style w:type="character" w:styleId="Strong">
    <w:name w:val="Strong"/>
    <w:basedOn w:val="DefaultParagraphFont"/>
    <w:uiPriority w:val="22"/>
    <w:qFormat/>
    <w:rsid w:val="00DE42C5"/>
    <w:rPr>
      <w:b/>
      <w:bCs/>
    </w:rPr>
  </w:style>
  <w:style w:type="character" w:styleId="CommentReference">
    <w:name w:val="annotation reference"/>
    <w:basedOn w:val="DefaultParagraphFont"/>
    <w:uiPriority w:val="99"/>
    <w:semiHidden/>
    <w:unhideWhenUsed/>
    <w:rsid w:val="00032983"/>
    <w:rPr>
      <w:sz w:val="16"/>
      <w:szCs w:val="16"/>
    </w:rPr>
  </w:style>
  <w:style w:type="paragraph" w:styleId="CommentText">
    <w:name w:val="annotation text"/>
    <w:basedOn w:val="Normal"/>
    <w:link w:val="CommentTextChar"/>
    <w:uiPriority w:val="99"/>
    <w:unhideWhenUsed/>
    <w:rsid w:val="00032983"/>
    <w:pPr>
      <w:spacing w:line="240" w:lineRule="auto"/>
    </w:pPr>
    <w:rPr>
      <w:sz w:val="20"/>
      <w:szCs w:val="20"/>
    </w:rPr>
  </w:style>
  <w:style w:type="character" w:customStyle="1" w:styleId="CommentTextChar">
    <w:name w:val="Comment Text Char"/>
    <w:basedOn w:val="DefaultParagraphFont"/>
    <w:link w:val="CommentText"/>
    <w:uiPriority w:val="99"/>
    <w:rsid w:val="00032983"/>
    <w:rPr>
      <w:rFonts w:ascii="Calibri" w:eastAsia="Calibri" w:hAnsi="Calibri" w:cs="Calibri"/>
      <w:w w:val="105"/>
      <w:kern w:val="40"/>
      <w:sz w:val="20"/>
      <w:szCs w:val="20"/>
    </w:rPr>
  </w:style>
  <w:style w:type="paragraph" w:styleId="CommentSubject">
    <w:name w:val="annotation subject"/>
    <w:basedOn w:val="CommentText"/>
    <w:next w:val="CommentText"/>
    <w:link w:val="CommentSubjectChar"/>
    <w:uiPriority w:val="99"/>
    <w:semiHidden/>
    <w:unhideWhenUsed/>
    <w:rsid w:val="00032983"/>
    <w:rPr>
      <w:b/>
      <w:bCs/>
    </w:rPr>
  </w:style>
  <w:style w:type="character" w:customStyle="1" w:styleId="CommentSubjectChar">
    <w:name w:val="Comment Subject Char"/>
    <w:basedOn w:val="CommentTextChar"/>
    <w:link w:val="CommentSubject"/>
    <w:uiPriority w:val="99"/>
    <w:semiHidden/>
    <w:rsid w:val="00032983"/>
    <w:rPr>
      <w:rFonts w:ascii="Calibri" w:eastAsia="Calibri" w:hAnsi="Calibri" w:cs="Calibri"/>
      <w:b/>
      <w:bCs/>
      <w:w w:val="105"/>
      <w:kern w:val="40"/>
      <w:sz w:val="20"/>
      <w:szCs w:val="20"/>
    </w:rPr>
  </w:style>
  <w:style w:type="paragraph" w:styleId="Revision">
    <w:name w:val="Revision"/>
    <w:hidden/>
    <w:uiPriority w:val="99"/>
    <w:semiHidden/>
    <w:rsid w:val="00032983"/>
    <w:pPr>
      <w:spacing w:after="0" w:line="240" w:lineRule="auto"/>
    </w:pPr>
    <w:rPr>
      <w:rFonts w:ascii="Calibri" w:eastAsia="Calibri" w:hAnsi="Calibri" w:cs="Calibri"/>
      <w:w w:val="105"/>
      <w:kern w:val="40"/>
    </w:rPr>
  </w:style>
  <w:style w:type="character" w:customStyle="1" w:styleId="Heading5Char">
    <w:name w:val="Heading 5 Char"/>
    <w:basedOn w:val="DefaultParagraphFont"/>
    <w:link w:val="Heading5"/>
    <w:uiPriority w:val="9"/>
    <w:rsid w:val="00484BE1"/>
    <w:rPr>
      <w:rFonts w:ascii="Segoe UI" w:eastAsia="Calibri" w:hAnsi="Segoe UI" w:cs="Segoe UI"/>
      <w:b/>
      <w:bCs/>
      <w:color w:val="595959"/>
      <w:w w:val="105"/>
      <w:kern w:val="4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62c8d61-d98b-43e2-bbb3-092158328373}" enabled="1" method="Privileged" siteId="{5d2dd196-0646-4419-8922-440f7d464cf0}"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List of Issues Prior to Reporting</dc:title>
  <dc:creator/>
  <cp:lastModifiedBy/>
  <cp:revision>1</cp:revision>
  <dcterms:created xsi:type="dcterms:W3CDTF">2026-05-21T00:05:00Z</dcterms:created>
  <dcterms:modified xsi:type="dcterms:W3CDTF">2026-05-21T00:06:00Z</dcterms:modified>
</cp:coreProperties>
</file>